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57785</wp:posOffset>
            </wp:positionV>
            <wp:extent cx="10115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85725</wp:posOffset>
            </wp:positionV>
            <wp:extent cx="10115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QUARTERLY REPORT</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1-12984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3030855</wp:posOffset>
            </wp:positionH>
            <wp:positionV relativeFrom="paragraph">
              <wp:posOffset>71755</wp:posOffset>
            </wp:positionV>
            <wp:extent cx="1080135" cy="5314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0135"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EAGLE MATERIALS INC.</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57785</wp:posOffset>
            </wp:positionV>
            <wp:extent cx="10115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Delaware </w:t>
      </w:r>
      <w:r>
        <w:rPr>
          <w:rFonts w:ascii="Arial" w:cs="Arial" w:eastAsia="Arial" w:hAnsi="Arial"/>
          <w:sz w:val="16"/>
          <w:szCs w:val="16"/>
          <w:color w:val="auto"/>
        </w:rPr>
        <w:t>(State of Incorporation)</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75-2520779 </w:t>
      </w:r>
      <w:r>
        <w:rPr>
          <w:rFonts w:ascii="Arial" w:cs="Arial" w:eastAsia="Arial" w:hAnsi="Arial"/>
          <w:sz w:val="16"/>
          <w:szCs w:val="16"/>
          <w:color w:val="auto"/>
        </w:rPr>
        <w:t>(I.R.S. Employer Identification No.)</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5960 Berkshire Lane, Suite 900, Dallas, Texas 75225 </w:t>
      </w:r>
      <w:r>
        <w:rPr>
          <w:rFonts w:ascii="Arial" w:cs="Arial" w:eastAsia="Arial" w:hAnsi="Arial"/>
          <w:sz w:val="16"/>
          <w:szCs w:val="16"/>
          <w:color w:val="auto"/>
        </w:rPr>
        <w:t>(Address of principal executive offices)</w:t>
      </w:r>
    </w:p>
    <w:p>
      <w:pPr>
        <w:spacing w:after="0" w:line="50" w:lineRule="exact"/>
        <w:rPr>
          <w:sz w:val="24"/>
          <w:szCs w:val="24"/>
          <w:color w:val="auto"/>
        </w:rPr>
      </w:pPr>
    </w:p>
    <w:p>
      <w:pPr>
        <w:ind w:left="3560" w:hanging="475"/>
        <w:spacing w:after="0"/>
        <w:tabs>
          <w:tab w:leader="none" w:pos="35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432-2000 </w:t>
      </w: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106045</wp:posOffset>
            </wp:positionV>
            <wp:extent cx="1011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208"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Trading</w:t>
            </w:r>
          </w:p>
        </w:tc>
        <w:tc>
          <w:tcPr>
            <w:tcW w:w="4480" w:type="dxa"/>
            <w:vAlign w:val="bottom"/>
          </w:tcPr>
          <w:p>
            <w:pPr>
              <w:spacing w:after="0"/>
              <w:rPr>
                <w:sz w:val="14"/>
                <w:szCs w:val="14"/>
                <w:color w:val="auto"/>
              </w:rPr>
            </w:pPr>
          </w:p>
        </w:tc>
      </w:tr>
      <w:tr>
        <w:trPr>
          <w:trHeight w:val="175"/>
        </w:trPr>
        <w:tc>
          <w:tcPr>
            <w:tcW w:w="4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Title of each class</w:t>
            </w: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Symbol(s)</w:t>
            </w:r>
          </w:p>
        </w:tc>
        <w:tc>
          <w:tcPr>
            <w:tcW w:w="448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78"/>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rPr>
              <w:t>Common Stock (par value $.01 per share)</w:t>
            </w:r>
          </w:p>
        </w:tc>
        <w:tc>
          <w:tcPr>
            <w:tcW w:w="120" w:type="dxa"/>
            <w:vAlign w:val="bottom"/>
          </w:tcPr>
          <w:p>
            <w:pPr>
              <w:spacing w:after="0"/>
              <w:rPr>
                <w:sz w:val="15"/>
                <w:szCs w:val="15"/>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rPr>
              <w:t>EXP</w:t>
            </w:r>
          </w:p>
        </w:tc>
        <w:tc>
          <w:tcPr>
            <w:tcW w:w="120" w:type="dxa"/>
            <w:vAlign w:val="bottom"/>
          </w:tcPr>
          <w:p>
            <w:pPr>
              <w:spacing w:after="0"/>
              <w:rPr>
                <w:sz w:val="15"/>
                <w:szCs w:val="15"/>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rPr>
              <w:t>New York Stock Exchange</w:t>
            </w:r>
          </w:p>
        </w:tc>
      </w:tr>
    </w:tbl>
    <w:p>
      <w:pPr>
        <w:spacing w:after="0" w:line="93" w:lineRule="exact"/>
        <w:rPr>
          <w:sz w:val="24"/>
          <w:szCs w:val="24"/>
          <w:color w:val="auto"/>
        </w:rPr>
      </w:pPr>
    </w:p>
    <w:p>
      <w:pPr>
        <w:jc w:val="both"/>
        <w:spacing w:after="0" w:line="206"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32" w:lineRule="exact"/>
        <w:rPr>
          <w:sz w:val="24"/>
          <w:szCs w:val="24"/>
          <w:color w:val="auto"/>
        </w:rPr>
      </w:pPr>
    </w:p>
    <w:p>
      <w:pPr>
        <w:jc w:val="both"/>
        <w:spacing w:after="0" w:line="214"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32" w:lineRule="exact"/>
        <w:rPr>
          <w:sz w:val="24"/>
          <w:szCs w:val="24"/>
          <w:color w:val="auto"/>
        </w:rPr>
      </w:pPr>
    </w:p>
    <w:p>
      <w:pPr>
        <w:jc w:val="both"/>
        <w:ind w:right="140"/>
        <w:spacing w:after="0" w:line="23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2720" w:type="dxa"/>
            <w:vAlign w:val="bottom"/>
          </w:tcPr>
          <w:p>
            <w:pPr>
              <w:ind w:left="720"/>
              <w:spacing w:after="0" w:line="171" w:lineRule="exact"/>
              <w:rPr>
                <w:sz w:val="20"/>
                <w:szCs w:val="20"/>
                <w:color w:val="auto"/>
              </w:rPr>
            </w:pPr>
            <w:r>
              <w:rPr>
                <w:rFonts w:ascii="MS PGothic" w:cs="MS PGothic" w:eastAsia="MS PGothic" w:hAnsi="MS PGothic"/>
                <w:sz w:val="17"/>
                <w:szCs w:val="17"/>
                <w:color w:val="auto"/>
              </w:rPr>
              <w:t>☒</w:t>
            </w:r>
          </w:p>
        </w:tc>
        <w:tc>
          <w:tcPr>
            <w:tcW w:w="4580" w:type="dxa"/>
            <w:vAlign w:val="bottom"/>
          </w:tcPr>
          <w:p>
            <w:pPr>
              <w:ind w:left="1820"/>
              <w:spacing w:after="0"/>
              <w:rPr>
                <w:sz w:val="20"/>
                <w:szCs w:val="20"/>
                <w:color w:val="auto"/>
              </w:rPr>
            </w:pPr>
            <w:r>
              <w:rPr>
                <w:rFonts w:ascii="Arial" w:cs="Arial" w:eastAsia="Arial" w:hAnsi="Arial"/>
                <w:sz w:val="17"/>
                <w:szCs w:val="17"/>
                <w:color w:val="auto"/>
              </w:rPr>
              <w:t>Accelerated filer</w:t>
            </w:r>
          </w:p>
        </w:tc>
        <w:tc>
          <w:tcPr>
            <w:tcW w:w="86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16"/>
        </w:trPr>
        <w:tc>
          <w:tcPr>
            <w:tcW w:w="2780" w:type="dxa"/>
            <w:vAlign w:val="bottom"/>
          </w:tcPr>
          <w:p>
            <w:pPr>
              <w:spacing w:after="0"/>
              <w:rPr>
                <w:sz w:val="20"/>
                <w:szCs w:val="20"/>
                <w:color w:val="auto"/>
              </w:rPr>
            </w:pPr>
            <w:r>
              <w:rPr>
                <w:rFonts w:ascii="Arial" w:cs="Arial" w:eastAsia="Arial" w:hAnsi="Arial"/>
                <w:sz w:val="17"/>
                <w:szCs w:val="17"/>
                <w:color w:val="auto"/>
              </w:rPr>
              <w:t>Non-accelerated filer</w:t>
            </w:r>
          </w:p>
        </w:tc>
        <w:tc>
          <w:tcPr>
            <w:tcW w:w="2720" w:type="dxa"/>
            <w:vAlign w:val="bottom"/>
          </w:tcPr>
          <w:p>
            <w:pPr>
              <w:ind w:left="720"/>
              <w:spacing w:after="0" w:line="171" w:lineRule="exact"/>
              <w:rPr>
                <w:sz w:val="20"/>
                <w:szCs w:val="20"/>
                <w:color w:val="auto"/>
              </w:rPr>
            </w:pPr>
            <w:r>
              <w:rPr>
                <w:rFonts w:ascii="MS PGothic" w:cs="MS PGothic" w:eastAsia="MS PGothic" w:hAnsi="MS PGothic"/>
                <w:sz w:val="17"/>
                <w:szCs w:val="17"/>
                <w:color w:val="auto"/>
              </w:rPr>
              <w:t>☐</w:t>
            </w:r>
          </w:p>
        </w:tc>
        <w:tc>
          <w:tcPr>
            <w:tcW w:w="4580" w:type="dxa"/>
            <w:vAlign w:val="bottom"/>
          </w:tcPr>
          <w:p>
            <w:pPr>
              <w:ind w:left="1820"/>
              <w:spacing w:after="0"/>
              <w:rPr>
                <w:sz w:val="20"/>
                <w:szCs w:val="20"/>
                <w:color w:val="auto"/>
              </w:rPr>
            </w:pPr>
            <w:r>
              <w:rPr>
                <w:rFonts w:ascii="Arial" w:cs="Arial" w:eastAsia="Arial" w:hAnsi="Arial"/>
                <w:sz w:val="17"/>
                <w:szCs w:val="17"/>
                <w:color w:val="auto"/>
              </w:rPr>
              <w:t>Smaller reporting company</w:t>
            </w:r>
          </w:p>
        </w:tc>
        <w:tc>
          <w:tcPr>
            <w:tcW w:w="86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69"/>
        </w:trPr>
        <w:tc>
          <w:tcPr>
            <w:tcW w:w="278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2720" w:type="dxa"/>
            <w:vAlign w:val="bottom"/>
          </w:tcPr>
          <w:p>
            <w:pPr>
              <w:ind w:left="720"/>
              <w:spacing w:after="0" w:line="171" w:lineRule="exact"/>
              <w:rPr>
                <w:sz w:val="20"/>
                <w:szCs w:val="20"/>
                <w:color w:val="auto"/>
              </w:rPr>
            </w:pPr>
            <w:r>
              <w:rPr>
                <w:rFonts w:ascii="MS PGothic" w:cs="MS PGothic" w:eastAsia="MS PGothic" w:hAnsi="MS PGothic"/>
                <w:sz w:val="17"/>
                <w:szCs w:val="17"/>
                <w:color w:val="auto"/>
              </w:rPr>
              <w:t>☐</w:t>
            </w:r>
          </w:p>
        </w:tc>
        <w:tc>
          <w:tcPr>
            <w:tcW w:w="4580" w:type="dxa"/>
            <w:vAlign w:val="bottom"/>
          </w:tcPr>
          <w:p>
            <w:pPr>
              <w:spacing w:after="0"/>
              <w:rPr>
                <w:sz w:val="23"/>
                <w:szCs w:val="23"/>
                <w:color w:val="auto"/>
              </w:rPr>
            </w:pPr>
          </w:p>
        </w:tc>
        <w:tc>
          <w:tcPr>
            <w:tcW w:w="860" w:type="dxa"/>
            <w:vAlign w:val="bottom"/>
          </w:tcPr>
          <w:p>
            <w:pPr>
              <w:spacing w:after="0"/>
              <w:rPr>
                <w:sz w:val="23"/>
                <w:szCs w:val="23"/>
                <w:color w:val="auto"/>
              </w:rPr>
            </w:pPr>
          </w:p>
        </w:tc>
      </w:tr>
    </w:tbl>
    <w:p>
      <w:pPr>
        <w:spacing w:after="0" w:line="45" w:lineRule="exact"/>
        <w:rPr>
          <w:sz w:val="24"/>
          <w:szCs w:val="24"/>
          <w:color w:val="auto"/>
        </w:rPr>
      </w:pPr>
    </w:p>
    <w:p>
      <w:pPr>
        <w:spacing w:after="0" w:line="21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260"/>
        </w:trPr>
        <w:tc>
          <w:tcPr>
            <w:tcW w:w="5740" w:type="dxa"/>
            <w:vAlign w:val="bottom"/>
            <w:gridSpan w:val="2"/>
          </w:tcPr>
          <w:p>
            <w:pPr>
              <w:ind w:left="5020"/>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p>
        </w:tc>
        <w:tc>
          <w:tcPr>
            <w:tcW w:w="5500" w:type="dxa"/>
            <w:vAlign w:val="bottom"/>
          </w:tcPr>
          <w:p>
            <w:pPr>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tc>
      </w:tr>
      <w:tr>
        <w:trPr>
          <w:trHeight w:val="205"/>
        </w:trPr>
        <w:tc>
          <w:tcPr>
            <w:tcW w:w="11240" w:type="dxa"/>
            <w:vAlign w:val="bottom"/>
            <w:gridSpan w:val="3"/>
          </w:tcPr>
          <w:p>
            <w:pPr>
              <w:spacing w:after="0"/>
              <w:rPr>
                <w:sz w:val="20"/>
                <w:szCs w:val="20"/>
                <w:color w:val="auto"/>
              </w:rPr>
            </w:pPr>
            <w:r>
              <w:rPr>
                <w:rFonts w:ascii="Arial" w:cs="Arial" w:eastAsia="Arial" w:hAnsi="Arial"/>
                <w:sz w:val="17"/>
                <w:szCs w:val="17"/>
                <w:color w:val="auto"/>
              </w:rPr>
              <w:t>As of October 27, 2020, the number of outstanding shares of common stock was:</w:t>
            </w:r>
          </w:p>
        </w:tc>
      </w:tr>
      <w:tr>
        <w:trPr>
          <w:trHeight w:val="247"/>
        </w:trPr>
        <w:tc>
          <w:tcPr>
            <w:tcW w:w="574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rPr>
              <w:t>Class</w:t>
            </w:r>
          </w:p>
        </w:tc>
        <w:tc>
          <w:tcPr>
            <w:tcW w:w="5500" w:type="dxa"/>
            <w:vAlign w:val="bottom"/>
          </w:tcPr>
          <w:p>
            <w:pPr>
              <w:jc w:val="center"/>
              <w:spacing w:after="0"/>
              <w:rPr>
                <w:sz w:val="20"/>
                <w:szCs w:val="20"/>
                <w:color w:val="auto"/>
              </w:rPr>
            </w:pPr>
            <w:r>
              <w:rPr>
                <w:rFonts w:ascii="Arial" w:cs="Arial" w:eastAsia="Arial" w:hAnsi="Arial"/>
                <w:sz w:val="17"/>
                <w:szCs w:val="17"/>
                <w:b w:val="1"/>
                <w:bCs w:val="1"/>
                <w:color w:val="auto"/>
              </w:rPr>
              <w:t>Outstanding Shares</w:t>
            </w:r>
          </w:p>
        </w:tc>
      </w:tr>
      <w:tr>
        <w:trPr>
          <w:trHeight w:val="198"/>
        </w:trPr>
        <w:tc>
          <w:tcPr>
            <w:tcW w:w="564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9"/>
              </w:rPr>
              <w:t>Common Stock, $.01 Par Value</w:t>
            </w:r>
          </w:p>
        </w:tc>
        <w:tc>
          <w:tcPr>
            <w:tcW w:w="100" w:type="dxa"/>
            <w:vAlign w:val="bottom"/>
          </w:tcPr>
          <w:p>
            <w:pPr>
              <w:spacing w:after="0"/>
              <w:rPr>
                <w:sz w:val="17"/>
                <w:szCs w:val="17"/>
                <w:color w:val="auto"/>
              </w:rPr>
            </w:pPr>
          </w:p>
        </w:tc>
        <w:tc>
          <w:tcPr>
            <w:tcW w:w="5500" w:type="dxa"/>
            <w:vAlign w:val="bottom"/>
            <w:tcBorders>
              <w:top w:val="single" w:sz="8" w:color="auto"/>
            </w:tcBorders>
          </w:tcPr>
          <w:p>
            <w:pPr>
              <w:jc w:val="right"/>
              <w:ind w:right="2235"/>
              <w:spacing w:after="0"/>
              <w:rPr>
                <w:sz w:val="20"/>
                <w:szCs w:val="20"/>
                <w:color w:val="auto"/>
              </w:rPr>
            </w:pPr>
            <w:r>
              <w:rPr>
                <w:rFonts w:ascii="Arial" w:cs="Arial" w:eastAsia="Arial" w:hAnsi="Arial"/>
                <w:sz w:val="17"/>
                <w:szCs w:val="17"/>
                <w:color w:val="auto"/>
              </w:rPr>
              <w:t>41,817,942</w:t>
            </w:r>
          </w:p>
        </w:tc>
      </w:tr>
      <w:tr>
        <w:trPr>
          <w:trHeight w:val="65"/>
        </w:trPr>
        <w:tc>
          <w:tcPr>
            <w:tcW w:w="56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500" w:type="dxa"/>
            <w:vAlign w:val="bottom"/>
            <w:tcBorders>
              <w:bottom w:val="single" w:sz="8" w:color="auto"/>
            </w:tcBorders>
          </w:tcPr>
          <w:p>
            <w:pPr>
              <w:spacing w:after="0"/>
              <w:rPr>
                <w:sz w:val="5"/>
                <w:szCs w:val="5"/>
                <w:color w:val="auto"/>
              </w:rPr>
            </w:pPr>
          </w:p>
        </w:tc>
      </w:tr>
      <w:tr>
        <w:trPr>
          <w:trHeight w:val="20"/>
        </w:trPr>
        <w:tc>
          <w:tcPr>
            <w:tcW w:w="5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r>
      <w:tr>
        <w:trPr>
          <w:trHeight w:val="568"/>
        </w:trPr>
        <w:tc>
          <w:tcPr>
            <w:tcW w:w="5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u w:val="single" w:color="auto"/>
          <w:color w:val="auto"/>
        </w:rPr>
        <w:t>TABLE OF CONTENTS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PART I. FINANCIAL INFORMATION (unaudited)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040" w:type="dxa"/>
            <w:vAlign w:val="bottom"/>
            <w:vMerge w:val="restart"/>
          </w:tcPr>
          <w:p>
            <w:pPr>
              <w:spacing w:after="0"/>
              <w:rPr>
                <w:sz w:val="20"/>
                <w:szCs w:val="20"/>
                <w:color w:val="auto"/>
              </w:rPr>
            </w:pPr>
            <w:r>
              <w:rPr>
                <w:rFonts w:ascii="Arial" w:cs="Arial" w:eastAsia="Arial" w:hAnsi="Arial"/>
                <w:sz w:val="18"/>
                <w:szCs w:val="18"/>
                <w:b w:val="1"/>
                <w:bCs w:val="1"/>
                <w:color w:val="auto"/>
              </w:rPr>
              <w:t>Item 1.</w:t>
            </w:r>
          </w:p>
        </w:tc>
        <w:tc>
          <w:tcPr>
            <w:tcW w:w="9500" w:type="dxa"/>
            <w:vAlign w:val="bottom"/>
            <w:gridSpan w:val="4"/>
            <w:vMerge w:val="restart"/>
          </w:tcPr>
          <w:p>
            <w:pPr>
              <w:spacing w:after="0"/>
              <w:rPr>
                <w:sz w:val="20"/>
                <w:szCs w:val="20"/>
                <w:color w:val="auto"/>
              </w:rPr>
            </w:pPr>
            <w:r>
              <w:rPr>
                <w:rFonts w:ascii="Arial" w:cs="Arial" w:eastAsia="Arial" w:hAnsi="Arial"/>
                <w:sz w:val="18"/>
                <w:szCs w:val="18"/>
                <w:color w:val="auto"/>
              </w:rPr>
              <w:t>Consolidated Financial Statements</w:t>
            </w:r>
          </w:p>
        </w:tc>
        <w:tc>
          <w:tcPr>
            <w:tcW w:w="700" w:type="dxa"/>
            <w:vAlign w:val="bottom"/>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9500" w:type="dxa"/>
            <w:vAlign w:val="bottom"/>
            <w:gridSpan w:val="4"/>
            <w:vMerge w:val="continue"/>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1040" w:type="dxa"/>
            <w:vAlign w:val="bottom"/>
          </w:tcPr>
          <w:p>
            <w:pPr>
              <w:spacing w:after="0"/>
              <w:rPr>
                <w:sz w:val="24"/>
                <w:szCs w:val="24"/>
                <w:color w:val="auto"/>
              </w:rPr>
            </w:pPr>
          </w:p>
        </w:tc>
        <w:tc>
          <w:tcPr>
            <w:tcW w:w="9500" w:type="dxa"/>
            <w:vAlign w:val="bottom"/>
            <w:gridSpan w:val="4"/>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Statements of Earnings for the Three and Six Months Ended September 30, 2020 and 2019</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05"/>
        </w:trPr>
        <w:tc>
          <w:tcPr>
            <w:tcW w:w="1040" w:type="dxa"/>
            <w:vAlign w:val="bottom"/>
          </w:tcPr>
          <w:p>
            <w:pPr>
              <w:spacing w:after="0"/>
              <w:rPr>
                <w:sz w:val="24"/>
                <w:szCs w:val="24"/>
                <w:color w:val="auto"/>
              </w:rPr>
            </w:pPr>
          </w:p>
        </w:tc>
        <w:tc>
          <w:tcPr>
            <w:tcW w:w="9500" w:type="dxa"/>
            <w:vAlign w:val="bottom"/>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Comprehensive Earnings for the Three and Six Months Ended September 30, 2020 and</w:t>
              </w:r>
            </w:hyperlink>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620" w:type="dxa"/>
            <w:vAlign w:val="bottom"/>
            <w:tcBorders>
              <w:top w:val="single" w:sz="8" w:color="0000EE"/>
            </w:tcBorders>
            <w:gridSpan w:val="2"/>
          </w:tcPr>
          <w:p>
            <w:pPr>
              <w:ind w:left="220"/>
              <w:spacing w:after="0" w:line="182" w:lineRule="exact"/>
              <w:rPr>
                <w:rFonts w:ascii="Arial" w:cs="Arial" w:eastAsia="Arial" w:hAnsi="Arial"/>
                <w:sz w:val="18"/>
                <w:szCs w:val="18"/>
                <w:color w:val="0000EE"/>
                <w:w w:val="94"/>
              </w:rPr>
            </w:pPr>
            <w:hyperlink w:anchor="page4">
              <w:r>
                <w:rPr>
                  <w:rFonts w:ascii="Arial" w:cs="Arial" w:eastAsia="Arial" w:hAnsi="Arial"/>
                  <w:sz w:val="18"/>
                  <w:szCs w:val="18"/>
                  <w:color w:val="0000EE"/>
                  <w:w w:val="94"/>
                </w:rPr>
                <w:t>2019</w:t>
              </w:r>
            </w:hyperlink>
          </w:p>
        </w:tc>
        <w:tc>
          <w:tcPr>
            <w:tcW w:w="8620" w:type="dxa"/>
            <w:vAlign w:val="bottom"/>
            <w:tcBorders>
              <w:top w:val="single" w:sz="8" w:color="0000EE"/>
            </w:tcBorders>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8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040" w:type="dxa"/>
            <w:vAlign w:val="bottom"/>
          </w:tcPr>
          <w:p>
            <w:pPr>
              <w:spacing w:after="0"/>
              <w:rPr>
                <w:sz w:val="24"/>
                <w:szCs w:val="24"/>
                <w:color w:val="auto"/>
              </w:rPr>
            </w:pPr>
          </w:p>
        </w:tc>
        <w:tc>
          <w:tcPr>
            <w:tcW w:w="9500" w:type="dxa"/>
            <w:vAlign w:val="bottom"/>
            <w:gridSpan w:val="4"/>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Balance Sheets as of September 30, 2020, and March 31, 2020</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59"/>
        </w:trPr>
        <w:tc>
          <w:tcPr>
            <w:tcW w:w="1040" w:type="dxa"/>
            <w:vAlign w:val="bottom"/>
          </w:tcPr>
          <w:p>
            <w:pPr>
              <w:spacing w:after="0"/>
              <w:rPr>
                <w:sz w:val="24"/>
                <w:szCs w:val="24"/>
                <w:color w:val="auto"/>
              </w:rPr>
            </w:pPr>
          </w:p>
        </w:tc>
        <w:tc>
          <w:tcPr>
            <w:tcW w:w="9500" w:type="dxa"/>
            <w:vAlign w:val="bottom"/>
            <w:gridSpan w:val="4"/>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Statements of Cash Flows for the Six Months Ended September 30, 2020 and 2019</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59"/>
        </w:trPr>
        <w:tc>
          <w:tcPr>
            <w:tcW w:w="1040" w:type="dxa"/>
            <w:vAlign w:val="bottom"/>
          </w:tcPr>
          <w:p>
            <w:pPr>
              <w:spacing w:after="0"/>
              <w:rPr>
                <w:sz w:val="24"/>
                <w:szCs w:val="24"/>
                <w:color w:val="auto"/>
              </w:rPr>
            </w:pPr>
          </w:p>
        </w:tc>
        <w:tc>
          <w:tcPr>
            <w:tcW w:w="9500" w:type="dxa"/>
            <w:vAlign w:val="bottom"/>
            <w:gridSpan w:val="4"/>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Statements of Stockholders' Equity for the Three and Six Months Ended September 30, 2020 and 2019</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59"/>
        </w:trPr>
        <w:tc>
          <w:tcPr>
            <w:tcW w:w="1040" w:type="dxa"/>
            <w:vAlign w:val="bottom"/>
          </w:tcPr>
          <w:p>
            <w:pPr>
              <w:spacing w:after="0"/>
              <w:rPr>
                <w:sz w:val="24"/>
                <w:szCs w:val="24"/>
                <w:color w:val="auto"/>
              </w:rPr>
            </w:pPr>
          </w:p>
        </w:tc>
        <w:tc>
          <w:tcPr>
            <w:tcW w:w="9500" w:type="dxa"/>
            <w:vAlign w:val="bottom"/>
            <w:gridSpan w:val="4"/>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Unaudited Consolidated Financial Statements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59"/>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500" w:type="dxa"/>
            <w:vAlign w:val="bottom"/>
            <w:gridSpan w:val="4"/>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Management’s Discussion and Analysis of Financial Condition and Results of Operations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59"/>
        </w:trPr>
        <w:tc>
          <w:tcPr>
            <w:tcW w:w="10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500" w:type="dxa"/>
            <w:vAlign w:val="bottom"/>
            <w:gridSpan w:val="4"/>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Quantitative and Qualitative Disclosures About Market Risk</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59"/>
        </w:trPr>
        <w:tc>
          <w:tcPr>
            <w:tcW w:w="10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500" w:type="dxa"/>
            <w:vAlign w:val="bottom"/>
            <w:gridSpan w:val="4"/>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Controls and Procedures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544"/>
        </w:trPr>
        <w:tc>
          <w:tcPr>
            <w:tcW w:w="10540" w:type="dxa"/>
            <w:vAlign w:val="bottom"/>
            <w:gridSpan w:val="5"/>
          </w:tcPr>
          <w:p>
            <w:pPr>
              <w:spacing w:after="0"/>
              <w:rPr>
                <w:rFonts w:ascii="Arial" w:cs="Arial" w:eastAsia="Arial" w:hAnsi="Arial"/>
                <w:sz w:val="20"/>
                <w:szCs w:val="20"/>
                <w:b w:val="1"/>
                <w:bCs w:val="1"/>
                <w:u w:val="single" w:color="auto"/>
                <w:color w:val="0000EE"/>
              </w:rPr>
            </w:pPr>
            <w:hyperlink w:anchor="page42">
              <w:r>
                <w:rPr>
                  <w:rFonts w:ascii="Arial" w:cs="Arial" w:eastAsia="Arial" w:hAnsi="Arial"/>
                  <w:sz w:val="20"/>
                  <w:szCs w:val="20"/>
                  <w:b w:val="1"/>
                  <w:bCs w:val="1"/>
                  <w:u w:val="single" w:color="auto"/>
                  <w:color w:val="0000EE"/>
                </w:rPr>
                <w:t>PART II. OTHER INFORMATION</w:t>
              </w:r>
            </w:hyperlink>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500" w:type="dxa"/>
            <w:vAlign w:val="bottom"/>
            <w:gridSpan w:val="4"/>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Legal Proceedings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59"/>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500" w:type="dxa"/>
            <w:vAlign w:val="bottom"/>
            <w:gridSpan w:val="4"/>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Risk Factors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59"/>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500" w:type="dxa"/>
            <w:vAlign w:val="bottom"/>
            <w:gridSpan w:val="4"/>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Unregistered Sales of Equity Securities and Use of Proceeds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59"/>
        </w:trPr>
        <w:tc>
          <w:tcPr>
            <w:tcW w:w="10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500" w:type="dxa"/>
            <w:vAlign w:val="bottom"/>
            <w:gridSpan w:val="4"/>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Mine Safety Information</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59"/>
        </w:trPr>
        <w:tc>
          <w:tcPr>
            <w:tcW w:w="10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500" w:type="dxa"/>
            <w:vAlign w:val="bottom"/>
            <w:gridSpan w:val="4"/>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Exhibits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32"/>
        </w:trPr>
        <w:tc>
          <w:tcPr>
            <w:tcW w:w="10540" w:type="dxa"/>
            <w:vAlign w:val="bottom"/>
            <w:gridSpan w:val="5"/>
          </w:tcPr>
          <w:p>
            <w:pPr>
              <w:spacing w:after="0"/>
              <w:rPr>
                <w:rFonts w:ascii="Arial" w:cs="Arial" w:eastAsia="Arial" w:hAnsi="Arial"/>
                <w:sz w:val="18"/>
                <w:szCs w:val="18"/>
                <w:b w:val="1"/>
                <w:bCs w:val="1"/>
                <w:u w:val="single" w:color="auto"/>
                <w:color w:val="0000EE"/>
              </w:rPr>
            </w:pPr>
            <w:hyperlink w:anchor="page45">
              <w:r>
                <w:rPr>
                  <w:rFonts w:ascii="Arial" w:cs="Arial" w:eastAsia="Arial" w:hAnsi="Arial"/>
                  <w:sz w:val="18"/>
                  <w:szCs w:val="18"/>
                  <w:b w:val="1"/>
                  <w:bCs w:val="1"/>
                  <w:u w:val="single" w:color="auto"/>
                  <w:color w:val="0000EE"/>
                </w:rPr>
                <w:t>SIGNATURES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425"/>
        </w:trPr>
        <w:tc>
          <w:tcPr>
            <w:tcW w:w="1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6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EAGLE MATERIALS INC. AND SUBSIDIARIES CONSOLIDATED STATEMENTS OF EARNINGS (unaudited)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shd w:val="clear" w:color="auto" w:fill="004483"/>
          </w:tcPr>
          <w:p>
            <w:pPr>
              <w:spacing w:after="0"/>
              <w:rPr>
                <w:sz w:val="19"/>
                <w:szCs w:val="19"/>
                <w:color w:val="auto"/>
              </w:rPr>
            </w:pPr>
          </w:p>
        </w:tc>
        <w:tc>
          <w:tcPr>
            <w:tcW w:w="2720" w:type="dxa"/>
            <w:vAlign w:val="bottom"/>
            <w:gridSpan w:val="6"/>
            <w:shd w:val="clear" w:color="auto" w:fill="004483"/>
          </w:tcPr>
          <w:p>
            <w:pPr>
              <w:jc w:val="right"/>
              <w:ind w:right="300"/>
              <w:spacing w:after="0"/>
              <w:rPr>
                <w:sz w:val="20"/>
                <w:szCs w:val="20"/>
                <w:color w:val="auto"/>
              </w:rPr>
            </w:pPr>
            <w:r>
              <w:rPr>
                <w:rFonts w:ascii="Arial" w:cs="Arial" w:eastAsia="Arial" w:hAnsi="Arial"/>
                <w:sz w:val="13"/>
                <w:szCs w:val="13"/>
                <w:b w:val="1"/>
                <w:bCs w:val="1"/>
                <w:color w:val="FFFFFF"/>
                <w:w w:val="89"/>
              </w:rPr>
              <w:t>For the Three Months Ended September 30,</w:t>
            </w:r>
          </w:p>
        </w:tc>
        <w:tc>
          <w:tcPr>
            <w:tcW w:w="140" w:type="dxa"/>
            <w:vAlign w:val="bottom"/>
          </w:tcPr>
          <w:p>
            <w:pPr>
              <w:spacing w:after="0"/>
              <w:rPr>
                <w:sz w:val="19"/>
                <w:szCs w:val="19"/>
                <w:color w:val="auto"/>
              </w:rPr>
            </w:pPr>
          </w:p>
        </w:tc>
        <w:tc>
          <w:tcPr>
            <w:tcW w:w="160" w:type="dxa"/>
            <w:vAlign w:val="bottom"/>
            <w:shd w:val="clear" w:color="auto" w:fill="004483"/>
          </w:tcPr>
          <w:p>
            <w:pPr>
              <w:spacing w:after="0"/>
              <w:rPr>
                <w:sz w:val="19"/>
                <w:szCs w:val="19"/>
                <w:color w:val="auto"/>
              </w:rPr>
            </w:pPr>
          </w:p>
        </w:tc>
        <w:tc>
          <w:tcPr>
            <w:tcW w:w="2720" w:type="dxa"/>
            <w:vAlign w:val="bottom"/>
            <w:gridSpan w:val="6"/>
            <w:shd w:val="clear" w:color="auto" w:fill="004483"/>
          </w:tcPr>
          <w:p>
            <w:pPr>
              <w:jc w:val="right"/>
              <w:ind w:right="400"/>
              <w:spacing w:after="0"/>
              <w:rPr>
                <w:sz w:val="20"/>
                <w:szCs w:val="20"/>
                <w:color w:val="auto"/>
              </w:rPr>
            </w:pPr>
            <w:r>
              <w:rPr>
                <w:rFonts w:ascii="Arial" w:cs="Arial" w:eastAsia="Arial" w:hAnsi="Arial"/>
                <w:sz w:val="13"/>
                <w:szCs w:val="13"/>
                <w:b w:val="1"/>
                <w:bCs w:val="1"/>
                <w:color w:val="FFFFFF"/>
                <w:w w:val="90"/>
              </w:rPr>
              <w:t>For the Six Months Ended September 30,</w:t>
            </w:r>
          </w:p>
        </w:tc>
      </w:tr>
      <w:tr>
        <w:trPr>
          <w:trHeight w:val="161"/>
        </w:trPr>
        <w:tc>
          <w:tcPr>
            <w:tcW w:w="5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4"/>
                <w:szCs w:val="14"/>
                <w:color w:val="auto"/>
              </w:rPr>
            </w:pPr>
          </w:p>
        </w:tc>
      </w:tr>
      <w:tr>
        <w:trPr>
          <w:trHeight w:val="149"/>
        </w:trPr>
        <w:tc>
          <w:tcPr>
            <w:tcW w:w="5040" w:type="dxa"/>
            <w:vAlign w:val="bottom"/>
            <w:tcBorders>
              <w:bottom w:val="single" w:sz="8" w:color="004483"/>
            </w:tcBorders>
          </w:tcPr>
          <w:p>
            <w:pPr>
              <w:spacing w:after="0"/>
              <w:rPr>
                <w:sz w:val="12"/>
                <w:szCs w:val="12"/>
                <w:color w:val="auto"/>
              </w:rPr>
            </w:pPr>
          </w:p>
        </w:tc>
        <w:tc>
          <w:tcPr>
            <w:tcW w:w="320" w:type="dxa"/>
            <w:vAlign w:val="bottom"/>
            <w:tcBorders>
              <w:bottom w:val="single" w:sz="8" w:color="004483"/>
            </w:tcBorders>
          </w:tcPr>
          <w:p>
            <w:pPr>
              <w:spacing w:after="0"/>
              <w:rPr>
                <w:sz w:val="12"/>
                <w:szCs w:val="12"/>
                <w:color w:val="auto"/>
              </w:rPr>
            </w:pPr>
          </w:p>
        </w:tc>
        <w:tc>
          <w:tcPr>
            <w:tcW w:w="140" w:type="dxa"/>
            <w:vAlign w:val="bottom"/>
            <w:tcBorders>
              <w:bottom w:val="single" w:sz="8" w:color="004483"/>
            </w:tcBorders>
          </w:tcPr>
          <w:p>
            <w:pPr>
              <w:spacing w:after="0"/>
              <w:rPr>
                <w:sz w:val="12"/>
                <w:szCs w:val="12"/>
                <w:color w:val="auto"/>
              </w:rPr>
            </w:pPr>
          </w:p>
        </w:tc>
        <w:tc>
          <w:tcPr>
            <w:tcW w:w="1120" w:type="dxa"/>
            <w:vAlign w:val="bottom"/>
            <w:tcBorders>
              <w:bottom w:val="single" w:sz="8" w:color="004483"/>
            </w:tcBorders>
          </w:tcPr>
          <w:p>
            <w:pPr>
              <w:spacing w:after="0"/>
              <w:rPr>
                <w:sz w:val="12"/>
                <w:szCs w:val="12"/>
                <w:color w:val="auto"/>
              </w:rPr>
            </w:pPr>
          </w:p>
        </w:tc>
        <w:tc>
          <w:tcPr>
            <w:tcW w:w="120" w:type="dxa"/>
            <w:vAlign w:val="bottom"/>
            <w:tcBorders>
              <w:bottom w:val="single" w:sz="8" w:color="004483"/>
            </w:tcBorders>
          </w:tcPr>
          <w:p>
            <w:pPr>
              <w:spacing w:after="0"/>
              <w:rPr>
                <w:sz w:val="12"/>
                <w:szCs w:val="12"/>
                <w:color w:val="auto"/>
              </w:rPr>
            </w:pPr>
          </w:p>
        </w:tc>
        <w:tc>
          <w:tcPr>
            <w:tcW w:w="120" w:type="dxa"/>
            <w:vAlign w:val="bottom"/>
            <w:tcBorders>
              <w:bottom w:val="single" w:sz="8" w:color="004483"/>
            </w:tcBorders>
          </w:tcPr>
          <w:p>
            <w:pPr>
              <w:spacing w:after="0"/>
              <w:rPr>
                <w:sz w:val="12"/>
                <w:szCs w:val="12"/>
                <w:color w:val="auto"/>
              </w:rPr>
            </w:pPr>
          </w:p>
        </w:tc>
        <w:tc>
          <w:tcPr>
            <w:tcW w:w="3000" w:type="dxa"/>
            <w:vAlign w:val="bottom"/>
            <w:tcBorders>
              <w:bottom w:val="single" w:sz="8" w:color="004483"/>
            </w:tcBorders>
            <w:gridSpan w:val="8"/>
          </w:tcPr>
          <w:p>
            <w:pPr>
              <w:ind w:left="20"/>
              <w:spacing w:after="0"/>
              <w:rPr>
                <w:sz w:val="20"/>
                <w:szCs w:val="20"/>
                <w:color w:val="auto"/>
              </w:rPr>
            </w:pPr>
            <w:r>
              <w:rPr>
                <w:rFonts w:ascii="Arial" w:cs="Arial" w:eastAsia="Arial" w:hAnsi="Arial"/>
                <w:sz w:val="13"/>
                <w:szCs w:val="13"/>
                <w:color w:val="auto"/>
                <w:w w:val="92"/>
              </w:rPr>
              <w:t>(dollars in thousands, except share and per share data)</w:t>
            </w:r>
          </w:p>
        </w:tc>
        <w:tc>
          <w:tcPr>
            <w:tcW w:w="300" w:type="dxa"/>
            <w:vAlign w:val="bottom"/>
            <w:tcBorders>
              <w:bottom w:val="single" w:sz="8" w:color="004483"/>
            </w:tcBorders>
          </w:tcPr>
          <w:p>
            <w:pPr>
              <w:spacing w:after="0"/>
              <w:rPr>
                <w:sz w:val="12"/>
                <w:szCs w:val="12"/>
                <w:color w:val="auto"/>
              </w:rPr>
            </w:pPr>
          </w:p>
        </w:tc>
        <w:tc>
          <w:tcPr>
            <w:tcW w:w="980" w:type="dxa"/>
            <w:vAlign w:val="bottom"/>
            <w:tcBorders>
              <w:bottom w:val="single" w:sz="8" w:color="004483"/>
            </w:tcBorders>
          </w:tcPr>
          <w:p>
            <w:pPr>
              <w:spacing w:after="0"/>
              <w:rPr>
                <w:sz w:val="12"/>
                <w:szCs w:val="12"/>
                <w:color w:val="auto"/>
              </w:rPr>
            </w:pPr>
          </w:p>
        </w:tc>
        <w:tc>
          <w:tcPr>
            <w:tcW w:w="100" w:type="dxa"/>
            <w:vAlign w:val="bottom"/>
          </w:tcPr>
          <w:p>
            <w:pPr>
              <w:spacing w:after="0"/>
              <w:rPr>
                <w:sz w:val="12"/>
                <w:szCs w:val="12"/>
                <w:color w:val="auto"/>
              </w:rPr>
            </w:pPr>
          </w:p>
        </w:tc>
      </w:tr>
      <w:tr>
        <w:trPr>
          <w:trHeight w:val="220"/>
        </w:trPr>
        <w:tc>
          <w:tcPr>
            <w:tcW w:w="5040" w:type="dxa"/>
            <w:vAlign w:val="bottom"/>
            <w:tcBorders>
              <w:bottom w:val="single" w:sz="8" w:color="A6A6A6"/>
            </w:tcBorders>
          </w:tcPr>
          <w:p>
            <w:pPr>
              <w:ind w:left="260"/>
              <w:spacing w:after="0"/>
              <w:rPr>
                <w:sz w:val="20"/>
                <w:szCs w:val="20"/>
                <w:color w:val="auto"/>
              </w:rPr>
            </w:pPr>
            <w:r>
              <w:rPr>
                <w:rFonts w:ascii="Arial" w:cs="Arial" w:eastAsia="Arial" w:hAnsi="Arial"/>
                <w:sz w:val="16"/>
                <w:szCs w:val="16"/>
                <w:color w:val="17385E"/>
              </w:rPr>
              <w:t>Revenue</w:t>
            </w:r>
          </w:p>
        </w:tc>
        <w:tc>
          <w:tcPr>
            <w:tcW w:w="46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447,684</w:t>
            </w:r>
          </w:p>
        </w:tc>
        <w:tc>
          <w:tcPr>
            <w:tcW w:w="120" w:type="dxa"/>
            <w:vAlign w:val="bottom"/>
          </w:tcPr>
          <w:p>
            <w:pPr>
              <w:spacing w:after="0"/>
              <w:rPr>
                <w:sz w:val="19"/>
                <w:szCs w:val="19"/>
                <w:color w:val="auto"/>
              </w:rPr>
            </w:pPr>
          </w:p>
        </w:tc>
        <w:tc>
          <w:tcPr>
            <w:tcW w:w="420" w:type="dxa"/>
            <w:vAlign w:val="bottom"/>
            <w:tcBorders>
              <w:bottom w:val="single" w:sz="8" w:color="A6A6A6"/>
            </w:tcBorders>
            <w:gridSpan w:val="2"/>
          </w:tcPr>
          <w:p>
            <w:pPr>
              <w:jc w:val="right"/>
              <w:ind w:right="148"/>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400,569</w:t>
            </w:r>
          </w:p>
        </w:tc>
        <w:tc>
          <w:tcPr>
            <w:tcW w:w="100" w:type="dxa"/>
            <w:vAlign w:val="bottom"/>
          </w:tcPr>
          <w:p>
            <w:pPr>
              <w:spacing w:after="0"/>
              <w:rPr>
                <w:sz w:val="19"/>
                <w:szCs w:val="19"/>
                <w:color w:val="auto"/>
              </w:rPr>
            </w:pPr>
          </w:p>
        </w:tc>
        <w:tc>
          <w:tcPr>
            <w:tcW w:w="300" w:type="dxa"/>
            <w:vAlign w:val="bottom"/>
            <w:tcBorders>
              <w:bottom w:val="single" w:sz="8" w:color="A6A6A6"/>
            </w:tcBorders>
            <w:gridSpan w:val="2"/>
          </w:tcPr>
          <w:p>
            <w:pPr>
              <w:jc w:val="right"/>
              <w:ind w:right="4"/>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874,673</w:t>
            </w:r>
          </w:p>
        </w:tc>
        <w:tc>
          <w:tcPr>
            <w:tcW w:w="10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300" w:type="dxa"/>
            <w:vAlign w:val="bottom"/>
            <w:tcBorders>
              <w:bottom w:val="single" w:sz="8" w:color="A6A6A6"/>
            </w:tcBorders>
          </w:tcPr>
          <w:p>
            <w:pPr>
              <w:jc w:val="right"/>
              <w:ind w:right="14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755,934</w:t>
            </w:r>
          </w:p>
        </w:tc>
        <w:tc>
          <w:tcPr>
            <w:tcW w:w="100" w:type="dxa"/>
            <w:vAlign w:val="bottom"/>
          </w:tcPr>
          <w:p>
            <w:pPr>
              <w:spacing w:after="0"/>
              <w:rPr>
                <w:sz w:val="19"/>
                <w:szCs w:val="19"/>
                <w:color w:val="auto"/>
              </w:rPr>
            </w:pPr>
          </w:p>
        </w:tc>
      </w:tr>
      <w:tr>
        <w:trPr>
          <w:trHeight w:val="223"/>
        </w:trPr>
        <w:tc>
          <w:tcPr>
            <w:tcW w:w="5040" w:type="dxa"/>
            <w:vAlign w:val="bottom"/>
            <w:tcBorders>
              <w:bottom w:val="single" w:sz="8" w:color="A6A6A6"/>
            </w:tcBorders>
          </w:tcPr>
          <w:p>
            <w:pPr>
              <w:ind w:left="260"/>
              <w:spacing w:after="0"/>
              <w:rPr>
                <w:sz w:val="20"/>
                <w:szCs w:val="20"/>
                <w:color w:val="auto"/>
              </w:rPr>
            </w:pPr>
            <w:r>
              <w:rPr>
                <w:rFonts w:ascii="Arial" w:cs="Arial" w:eastAsia="Arial" w:hAnsi="Arial"/>
                <w:sz w:val="16"/>
                <w:szCs w:val="16"/>
                <w:color w:val="17385E"/>
              </w:rPr>
              <w:t>Cost of Goods Sold</w:t>
            </w:r>
          </w:p>
        </w:tc>
        <w:tc>
          <w:tcPr>
            <w:tcW w:w="320" w:type="dxa"/>
            <w:vAlign w:val="bottom"/>
            <w:tcBorders>
              <w:bottom w:val="single" w:sz="8" w:color="A6A6A6"/>
            </w:tcBorders>
          </w:tcPr>
          <w:p>
            <w:pPr>
              <w:spacing w:after="0"/>
              <w:rPr>
                <w:sz w:val="19"/>
                <w:szCs w:val="19"/>
                <w:color w:val="auto"/>
              </w:rPr>
            </w:pPr>
          </w:p>
        </w:tc>
        <w:tc>
          <w:tcPr>
            <w:tcW w:w="140" w:type="dxa"/>
            <w:vAlign w:val="bottom"/>
            <w:tcBorders>
              <w:bottom w:val="single" w:sz="8" w:color="004483"/>
            </w:tcBorders>
          </w:tcPr>
          <w:p>
            <w:pPr>
              <w:spacing w:after="0"/>
              <w:rPr>
                <w:sz w:val="19"/>
                <w:szCs w:val="19"/>
                <w:color w:val="auto"/>
              </w:rPr>
            </w:pP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324,835</w:t>
            </w:r>
          </w:p>
        </w:tc>
        <w:tc>
          <w:tcPr>
            <w:tcW w:w="12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300" w:type="dxa"/>
            <w:vAlign w:val="bottom"/>
            <w:tcBorders>
              <w:bottom w:val="single" w:sz="8" w:color="004483"/>
            </w:tcBorders>
          </w:tcPr>
          <w:p>
            <w:pPr>
              <w:spacing w:after="0"/>
              <w:rPr>
                <w:sz w:val="19"/>
                <w:szCs w:val="19"/>
                <w:color w:val="auto"/>
              </w:rPr>
            </w:pPr>
          </w:p>
        </w:tc>
        <w:tc>
          <w:tcPr>
            <w:tcW w:w="9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291,549</w:t>
            </w:r>
          </w:p>
        </w:tc>
        <w:tc>
          <w:tcPr>
            <w:tcW w:w="10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160" w:type="dxa"/>
            <w:vAlign w:val="bottom"/>
            <w:tcBorders>
              <w:bottom w:val="single" w:sz="8" w:color="004483"/>
            </w:tcBorders>
          </w:tcPr>
          <w:p>
            <w:pPr>
              <w:spacing w:after="0"/>
              <w:rPr>
                <w:sz w:val="19"/>
                <w:szCs w:val="19"/>
                <w:color w:val="auto"/>
              </w:rPr>
            </w:pPr>
          </w:p>
        </w:tc>
        <w:tc>
          <w:tcPr>
            <w:tcW w:w="1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649,527</w:t>
            </w:r>
          </w:p>
        </w:tc>
        <w:tc>
          <w:tcPr>
            <w:tcW w:w="10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300" w:type="dxa"/>
            <w:vAlign w:val="bottom"/>
            <w:tcBorders>
              <w:bottom w:val="single" w:sz="8" w:color="004483"/>
            </w:tcBorders>
          </w:tcPr>
          <w:p>
            <w:pPr>
              <w:spacing w:after="0"/>
              <w:rPr>
                <w:sz w:val="19"/>
                <w:szCs w:val="19"/>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568,820</w:t>
            </w:r>
          </w:p>
        </w:tc>
        <w:tc>
          <w:tcPr>
            <w:tcW w:w="100" w:type="dxa"/>
            <w:vAlign w:val="bottom"/>
          </w:tcPr>
          <w:p>
            <w:pPr>
              <w:spacing w:after="0"/>
              <w:rPr>
                <w:sz w:val="19"/>
                <w:szCs w:val="19"/>
                <w:color w:val="auto"/>
              </w:rPr>
            </w:pPr>
          </w:p>
        </w:tc>
      </w:tr>
      <w:tr>
        <w:trPr>
          <w:trHeight w:val="223"/>
        </w:trPr>
        <w:tc>
          <w:tcPr>
            <w:tcW w:w="5040" w:type="dxa"/>
            <w:vAlign w:val="bottom"/>
            <w:tcBorders>
              <w:bottom w:val="single" w:sz="8" w:color="A6A6A6"/>
            </w:tcBorders>
          </w:tcPr>
          <w:p>
            <w:pPr>
              <w:ind w:left="500"/>
              <w:spacing w:after="0"/>
              <w:rPr>
                <w:sz w:val="20"/>
                <w:szCs w:val="20"/>
                <w:color w:val="auto"/>
              </w:rPr>
            </w:pPr>
            <w:r>
              <w:rPr>
                <w:rFonts w:ascii="Arial" w:cs="Arial" w:eastAsia="Arial" w:hAnsi="Arial"/>
                <w:sz w:val="16"/>
                <w:szCs w:val="16"/>
                <w:color w:val="17385E"/>
              </w:rPr>
              <w:t>Gross Profit</w:t>
            </w:r>
          </w:p>
        </w:tc>
        <w:tc>
          <w:tcPr>
            <w:tcW w:w="320" w:type="dxa"/>
            <w:vAlign w:val="bottom"/>
            <w:tcBorders>
              <w:bottom w:val="single" w:sz="8" w:color="A6A6A6"/>
            </w:tcBorders>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122,849</w:t>
            </w:r>
          </w:p>
        </w:tc>
        <w:tc>
          <w:tcPr>
            <w:tcW w:w="12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300" w:type="dxa"/>
            <w:vAlign w:val="bottom"/>
            <w:tcBorders>
              <w:bottom w:val="single" w:sz="8" w:color="A6A6A6"/>
            </w:tcBorders>
          </w:tcPr>
          <w:p>
            <w:pPr>
              <w:spacing w:after="0"/>
              <w:rPr>
                <w:sz w:val="19"/>
                <w:szCs w:val="19"/>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109,020</w:t>
            </w:r>
          </w:p>
        </w:tc>
        <w:tc>
          <w:tcPr>
            <w:tcW w:w="10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160" w:type="dxa"/>
            <w:vAlign w:val="bottom"/>
            <w:tcBorders>
              <w:bottom w:val="single" w:sz="8" w:color="A6A6A6"/>
            </w:tcBorders>
          </w:tcPr>
          <w:p>
            <w:pPr>
              <w:spacing w:after="0"/>
              <w:rPr>
                <w:sz w:val="19"/>
                <w:szCs w:val="19"/>
                <w:color w:val="auto"/>
              </w:rPr>
            </w:pP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225,146</w:t>
            </w:r>
          </w:p>
        </w:tc>
        <w:tc>
          <w:tcPr>
            <w:tcW w:w="10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300" w:type="dxa"/>
            <w:vAlign w:val="bottom"/>
            <w:tcBorders>
              <w:bottom w:val="single" w:sz="8" w:color="A6A6A6"/>
            </w:tcBorders>
          </w:tcPr>
          <w:p>
            <w:pPr>
              <w:spacing w:after="0"/>
              <w:rPr>
                <w:sz w:val="19"/>
                <w:szCs w:val="19"/>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187,114</w:t>
            </w:r>
          </w:p>
        </w:tc>
        <w:tc>
          <w:tcPr>
            <w:tcW w:w="100" w:type="dxa"/>
            <w:vAlign w:val="bottom"/>
          </w:tcPr>
          <w:p>
            <w:pPr>
              <w:spacing w:after="0"/>
              <w:rPr>
                <w:sz w:val="19"/>
                <w:szCs w:val="19"/>
                <w:color w:val="auto"/>
              </w:rPr>
            </w:pPr>
          </w:p>
        </w:tc>
      </w:tr>
      <w:tr>
        <w:trPr>
          <w:trHeight w:val="223"/>
        </w:trPr>
        <w:tc>
          <w:tcPr>
            <w:tcW w:w="5040" w:type="dxa"/>
            <w:vAlign w:val="bottom"/>
            <w:tcBorders>
              <w:bottom w:val="single" w:sz="8" w:color="A6A6A6"/>
            </w:tcBorders>
          </w:tcPr>
          <w:p>
            <w:pPr>
              <w:ind w:left="260"/>
              <w:spacing w:after="0"/>
              <w:rPr>
                <w:sz w:val="20"/>
                <w:szCs w:val="20"/>
                <w:color w:val="auto"/>
              </w:rPr>
            </w:pPr>
            <w:r>
              <w:rPr>
                <w:rFonts w:ascii="Arial" w:cs="Arial" w:eastAsia="Arial" w:hAnsi="Arial"/>
                <w:sz w:val="16"/>
                <w:szCs w:val="16"/>
                <w:color w:val="17385E"/>
              </w:rPr>
              <w:t>Equity in Earnings of Unconsolidated Joint Venture</w:t>
            </w:r>
          </w:p>
        </w:tc>
        <w:tc>
          <w:tcPr>
            <w:tcW w:w="320" w:type="dxa"/>
            <w:vAlign w:val="bottom"/>
            <w:tcBorders>
              <w:bottom w:val="single" w:sz="8" w:color="A6A6A6"/>
            </w:tcBorders>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10,577</w:t>
            </w:r>
          </w:p>
        </w:tc>
        <w:tc>
          <w:tcPr>
            <w:tcW w:w="12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300" w:type="dxa"/>
            <w:vAlign w:val="bottom"/>
            <w:tcBorders>
              <w:bottom w:val="single" w:sz="8" w:color="A6A6A6"/>
            </w:tcBorders>
          </w:tcPr>
          <w:p>
            <w:pPr>
              <w:spacing w:after="0"/>
              <w:rPr>
                <w:sz w:val="19"/>
                <w:szCs w:val="19"/>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12,357</w:t>
            </w:r>
          </w:p>
        </w:tc>
        <w:tc>
          <w:tcPr>
            <w:tcW w:w="10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160" w:type="dxa"/>
            <w:vAlign w:val="bottom"/>
            <w:tcBorders>
              <w:bottom w:val="single" w:sz="8" w:color="A6A6A6"/>
            </w:tcBorders>
          </w:tcPr>
          <w:p>
            <w:pPr>
              <w:spacing w:after="0"/>
              <w:rPr>
                <w:sz w:val="19"/>
                <w:szCs w:val="19"/>
                <w:color w:val="auto"/>
              </w:rPr>
            </w:pP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18,373</w:t>
            </w:r>
          </w:p>
        </w:tc>
        <w:tc>
          <w:tcPr>
            <w:tcW w:w="10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300" w:type="dxa"/>
            <w:vAlign w:val="bottom"/>
            <w:tcBorders>
              <w:bottom w:val="single" w:sz="8" w:color="A6A6A6"/>
            </w:tcBorders>
          </w:tcPr>
          <w:p>
            <w:pPr>
              <w:spacing w:after="0"/>
              <w:rPr>
                <w:sz w:val="19"/>
                <w:szCs w:val="19"/>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21,789</w:t>
            </w:r>
          </w:p>
        </w:tc>
        <w:tc>
          <w:tcPr>
            <w:tcW w:w="100" w:type="dxa"/>
            <w:vAlign w:val="bottom"/>
          </w:tcPr>
          <w:p>
            <w:pPr>
              <w:spacing w:after="0"/>
              <w:rPr>
                <w:sz w:val="19"/>
                <w:szCs w:val="19"/>
                <w:color w:val="auto"/>
              </w:rPr>
            </w:pPr>
          </w:p>
        </w:tc>
      </w:tr>
      <w:tr>
        <w:trPr>
          <w:trHeight w:val="223"/>
        </w:trPr>
        <w:tc>
          <w:tcPr>
            <w:tcW w:w="5040" w:type="dxa"/>
            <w:vAlign w:val="bottom"/>
          </w:tcPr>
          <w:p>
            <w:pPr>
              <w:ind w:left="260"/>
              <w:spacing w:after="0"/>
              <w:rPr>
                <w:sz w:val="20"/>
                <w:szCs w:val="20"/>
                <w:color w:val="auto"/>
              </w:rPr>
            </w:pPr>
            <w:r>
              <w:rPr>
                <w:rFonts w:ascii="Arial" w:cs="Arial" w:eastAsia="Arial" w:hAnsi="Arial"/>
                <w:sz w:val="16"/>
                <w:szCs w:val="16"/>
                <w:color w:val="17385E"/>
              </w:rPr>
              <w:t>Corporate General and Administrative Expense</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(11,109)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(13,458)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(28,898)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(34,712)</w:t>
            </w:r>
          </w:p>
        </w:tc>
      </w:tr>
      <w:tr>
        <w:trPr>
          <w:trHeight w:val="223"/>
        </w:trPr>
        <w:tc>
          <w:tcPr>
            <w:tcW w:w="5040" w:type="dxa"/>
            <w:vAlign w:val="bottom"/>
            <w:tcBorders>
              <w:top w:val="single" w:sz="8" w:color="A6A6A6"/>
              <w:bottom w:val="single" w:sz="8" w:color="A6A6A6"/>
            </w:tcBorders>
          </w:tcPr>
          <w:p>
            <w:pPr>
              <w:ind w:left="260"/>
              <w:spacing w:after="0"/>
              <w:rPr>
                <w:sz w:val="20"/>
                <w:szCs w:val="20"/>
                <w:color w:val="auto"/>
              </w:rPr>
            </w:pPr>
            <w:r>
              <w:rPr>
                <w:rFonts w:ascii="Arial" w:cs="Arial" w:eastAsia="Arial" w:hAnsi="Arial"/>
                <w:sz w:val="16"/>
                <w:szCs w:val="16"/>
                <w:color w:val="17385E"/>
              </w:rPr>
              <w:t>Gain on Sale of Businesses</w:t>
            </w:r>
          </w:p>
        </w:tc>
        <w:tc>
          <w:tcPr>
            <w:tcW w:w="320" w:type="dxa"/>
            <w:vAlign w:val="bottom"/>
            <w:tcBorders>
              <w:top w:val="single" w:sz="8" w:color="A6A6A6"/>
              <w:bottom w:val="single" w:sz="8" w:color="A6A6A6"/>
            </w:tcBorders>
          </w:tcPr>
          <w:p>
            <w:pPr>
              <w:spacing w:after="0"/>
              <w:rPr>
                <w:sz w:val="19"/>
                <w:szCs w:val="19"/>
                <w:color w:val="auto"/>
              </w:rPr>
            </w:pPr>
          </w:p>
        </w:tc>
        <w:tc>
          <w:tcPr>
            <w:tcW w:w="140" w:type="dxa"/>
            <w:vAlign w:val="bottom"/>
            <w:tcBorders>
              <w:top w:val="single" w:sz="8" w:color="A6A6A6"/>
              <w:bottom w:val="single" w:sz="8" w:color="A6A6A6"/>
            </w:tcBorders>
          </w:tcPr>
          <w:p>
            <w:pPr>
              <w:spacing w:after="0"/>
              <w:rPr>
                <w:sz w:val="19"/>
                <w:szCs w:val="19"/>
                <w:color w:val="auto"/>
              </w:rPr>
            </w:pPr>
          </w:p>
        </w:tc>
        <w:tc>
          <w:tcPr>
            <w:tcW w:w="11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300" w:type="dxa"/>
            <w:vAlign w:val="bottom"/>
            <w:tcBorders>
              <w:top w:val="single" w:sz="8" w:color="A6A6A6"/>
              <w:bottom w:val="single" w:sz="8" w:color="A6A6A6"/>
            </w:tcBorders>
          </w:tcPr>
          <w:p>
            <w:pPr>
              <w:spacing w:after="0"/>
              <w:rPr>
                <w:sz w:val="19"/>
                <w:szCs w:val="19"/>
                <w:color w:val="auto"/>
              </w:rPr>
            </w:pPr>
          </w:p>
        </w:tc>
        <w:tc>
          <w:tcPr>
            <w:tcW w:w="9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40" w:type="dxa"/>
            <w:vAlign w:val="bottom"/>
            <w:tcBorders>
              <w:top w:val="single" w:sz="8" w:color="A6A6A6"/>
              <w:bottom w:val="single" w:sz="8" w:color="A6A6A6"/>
            </w:tcBorders>
          </w:tcPr>
          <w:p>
            <w:pPr>
              <w:spacing w:after="0"/>
              <w:rPr>
                <w:sz w:val="19"/>
                <w:szCs w:val="19"/>
                <w:color w:val="auto"/>
              </w:rPr>
            </w:pPr>
          </w:p>
        </w:tc>
        <w:tc>
          <w:tcPr>
            <w:tcW w:w="160" w:type="dxa"/>
            <w:vAlign w:val="bottom"/>
            <w:tcBorders>
              <w:top w:val="single" w:sz="8" w:color="A6A6A6"/>
              <w:bottom w:val="single" w:sz="8" w:color="A6A6A6"/>
            </w:tcBorders>
          </w:tcPr>
          <w:p>
            <w:pPr>
              <w:spacing w:after="0"/>
              <w:rPr>
                <w:sz w:val="19"/>
                <w:szCs w:val="19"/>
                <w:color w:val="auto"/>
              </w:rPr>
            </w:pPr>
          </w:p>
        </w:tc>
        <w:tc>
          <w:tcPr>
            <w:tcW w:w="11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51,973</w:t>
            </w:r>
          </w:p>
        </w:tc>
        <w:tc>
          <w:tcPr>
            <w:tcW w:w="100" w:type="dxa"/>
            <w:vAlign w:val="bottom"/>
          </w:tcPr>
          <w:p>
            <w:pPr>
              <w:spacing w:after="0"/>
              <w:rPr>
                <w:sz w:val="19"/>
                <w:szCs w:val="19"/>
                <w:color w:val="auto"/>
              </w:rPr>
            </w:pPr>
          </w:p>
        </w:tc>
        <w:tc>
          <w:tcPr>
            <w:tcW w:w="140" w:type="dxa"/>
            <w:vAlign w:val="bottom"/>
            <w:tcBorders>
              <w:top w:val="single" w:sz="8" w:color="A6A6A6"/>
              <w:bottom w:val="single" w:sz="8" w:color="A6A6A6"/>
            </w:tcBorders>
          </w:tcPr>
          <w:p>
            <w:pPr>
              <w:spacing w:after="0"/>
              <w:rPr>
                <w:sz w:val="19"/>
                <w:szCs w:val="19"/>
                <w:color w:val="auto"/>
              </w:rPr>
            </w:pPr>
          </w:p>
        </w:tc>
        <w:tc>
          <w:tcPr>
            <w:tcW w:w="300" w:type="dxa"/>
            <w:vAlign w:val="bottom"/>
            <w:tcBorders>
              <w:top w:val="single" w:sz="8" w:color="A6A6A6"/>
              <w:bottom w:val="single" w:sz="8" w:color="A6A6A6"/>
            </w:tcBorders>
          </w:tcPr>
          <w:p>
            <w:pPr>
              <w:spacing w:after="0"/>
              <w:rPr>
                <w:sz w:val="19"/>
                <w:szCs w:val="19"/>
                <w:color w:val="auto"/>
              </w:rPr>
            </w:pPr>
          </w:p>
        </w:tc>
        <w:tc>
          <w:tcPr>
            <w:tcW w:w="9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23"/>
        </w:trPr>
        <w:tc>
          <w:tcPr>
            <w:tcW w:w="5040" w:type="dxa"/>
            <w:vAlign w:val="bottom"/>
          </w:tcPr>
          <w:p>
            <w:pPr>
              <w:ind w:left="260"/>
              <w:spacing w:after="0"/>
              <w:rPr>
                <w:sz w:val="20"/>
                <w:szCs w:val="20"/>
                <w:color w:val="auto"/>
              </w:rPr>
            </w:pPr>
            <w:r>
              <w:rPr>
                <w:rFonts w:ascii="Arial" w:cs="Arial" w:eastAsia="Arial" w:hAnsi="Arial"/>
                <w:sz w:val="16"/>
                <w:szCs w:val="16"/>
                <w:color w:val="17385E"/>
              </w:rPr>
              <w:t>Other Non-Operating Income (Loss)</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(399)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723</w:t>
            </w:r>
          </w:p>
        </w:tc>
        <w:tc>
          <w:tcPr>
            <w:tcW w:w="100" w:type="dxa"/>
            <w:vAlign w:val="bottom"/>
          </w:tcPr>
          <w:p>
            <w:pPr>
              <w:spacing w:after="0"/>
              <w:rPr>
                <w:sz w:val="19"/>
                <w:szCs w:val="19"/>
                <w:color w:val="auto"/>
              </w:rPr>
            </w:pPr>
          </w:p>
        </w:tc>
      </w:tr>
      <w:tr>
        <w:trPr>
          <w:trHeight w:val="20"/>
        </w:trPr>
        <w:tc>
          <w:tcPr>
            <w:tcW w:w="5040" w:type="dxa"/>
            <w:vAlign w:val="bottom"/>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11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9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11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6A6A6"/>
            </w:tcBorders>
            <w:shd w:val="clear" w:color="auto" w:fill="A6A6A6"/>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040" w:type="dxa"/>
            <w:vAlign w:val="bottom"/>
          </w:tcPr>
          <w:p>
            <w:pPr>
              <w:ind w:left="260"/>
              <w:spacing w:after="0"/>
              <w:rPr>
                <w:sz w:val="20"/>
                <w:szCs w:val="20"/>
                <w:color w:val="auto"/>
              </w:rPr>
            </w:pPr>
            <w:r>
              <w:rPr>
                <w:rFonts w:ascii="Arial" w:cs="Arial" w:eastAsia="Arial" w:hAnsi="Arial"/>
                <w:sz w:val="16"/>
                <w:szCs w:val="16"/>
                <w:color w:val="17385E"/>
              </w:rPr>
              <w:t>Interest Expense, Net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(12,556)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(10,137)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(26,597)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(18,983)</w:t>
            </w:r>
          </w:p>
        </w:tc>
      </w:tr>
      <w:tr>
        <w:trPr>
          <w:trHeight w:val="223"/>
        </w:trPr>
        <w:tc>
          <w:tcPr>
            <w:tcW w:w="5040" w:type="dxa"/>
            <w:vAlign w:val="bottom"/>
            <w:tcBorders>
              <w:top w:val="single" w:sz="8" w:color="A6A6A6"/>
              <w:bottom w:val="single" w:sz="8" w:color="A6A6A6"/>
            </w:tcBorders>
          </w:tcPr>
          <w:p>
            <w:pPr>
              <w:ind w:left="500"/>
              <w:spacing w:after="0"/>
              <w:rPr>
                <w:sz w:val="20"/>
                <w:szCs w:val="20"/>
                <w:color w:val="auto"/>
              </w:rPr>
            </w:pPr>
            <w:r>
              <w:rPr>
                <w:rFonts w:ascii="Arial" w:cs="Arial" w:eastAsia="Arial" w:hAnsi="Arial"/>
                <w:sz w:val="16"/>
                <w:szCs w:val="16"/>
                <w:color w:val="17385E"/>
              </w:rPr>
              <w:t>Earnings from Continuing Operations before Income Taxes</w:t>
            </w:r>
          </w:p>
        </w:tc>
        <w:tc>
          <w:tcPr>
            <w:tcW w:w="320" w:type="dxa"/>
            <w:vAlign w:val="bottom"/>
            <w:tcBorders>
              <w:top w:val="single" w:sz="8" w:color="A6A6A6"/>
              <w:bottom w:val="single" w:sz="8" w:color="A6A6A6"/>
            </w:tcBorders>
          </w:tcPr>
          <w:p>
            <w:pPr>
              <w:spacing w:after="0"/>
              <w:rPr>
                <w:sz w:val="19"/>
                <w:szCs w:val="19"/>
                <w:color w:val="auto"/>
              </w:rPr>
            </w:pPr>
          </w:p>
        </w:tc>
        <w:tc>
          <w:tcPr>
            <w:tcW w:w="140" w:type="dxa"/>
            <w:vAlign w:val="bottom"/>
            <w:tcBorders>
              <w:top w:val="single" w:sz="8" w:color="004483"/>
              <w:bottom w:val="single" w:sz="8" w:color="A6A6A6"/>
            </w:tcBorders>
          </w:tcPr>
          <w:p>
            <w:pPr>
              <w:spacing w:after="0"/>
              <w:rPr>
                <w:sz w:val="19"/>
                <w:szCs w:val="19"/>
                <w:color w:val="auto"/>
              </w:rPr>
            </w:pPr>
          </w:p>
        </w:tc>
        <w:tc>
          <w:tcPr>
            <w:tcW w:w="112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109,671</w:t>
            </w:r>
          </w:p>
        </w:tc>
        <w:tc>
          <w:tcPr>
            <w:tcW w:w="120" w:type="dxa"/>
            <w:vAlign w:val="bottom"/>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300" w:type="dxa"/>
            <w:vAlign w:val="bottom"/>
            <w:tcBorders>
              <w:top w:val="single" w:sz="8" w:color="004483"/>
              <w:bottom w:val="single" w:sz="8" w:color="A6A6A6"/>
            </w:tcBorders>
          </w:tcPr>
          <w:p>
            <w:pPr>
              <w:spacing w:after="0"/>
              <w:rPr>
                <w:sz w:val="19"/>
                <w:szCs w:val="19"/>
                <w:color w:val="auto"/>
              </w:rPr>
            </w:pPr>
          </w:p>
        </w:tc>
        <w:tc>
          <w:tcPr>
            <w:tcW w:w="9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98,367</w:t>
            </w:r>
          </w:p>
        </w:tc>
        <w:tc>
          <w:tcPr>
            <w:tcW w:w="100" w:type="dxa"/>
            <w:vAlign w:val="bottom"/>
          </w:tcPr>
          <w:p>
            <w:pPr>
              <w:spacing w:after="0"/>
              <w:rPr>
                <w:sz w:val="19"/>
                <w:szCs w:val="19"/>
                <w:color w:val="auto"/>
              </w:rPr>
            </w:pPr>
          </w:p>
        </w:tc>
        <w:tc>
          <w:tcPr>
            <w:tcW w:w="140" w:type="dxa"/>
            <w:vAlign w:val="bottom"/>
            <w:tcBorders>
              <w:top w:val="single" w:sz="8" w:color="A6A6A6"/>
              <w:bottom w:val="single" w:sz="8" w:color="A6A6A6"/>
            </w:tcBorders>
          </w:tcPr>
          <w:p>
            <w:pPr>
              <w:spacing w:after="0"/>
              <w:rPr>
                <w:sz w:val="19"/>
                <w:szCs w:val="19"/>
                <w:color w:val="auto"/>
              </w:rPr>
            </w:pPr>
          </w:p>
        </w:tc>
        <w:tc>
          <w:tcPr>
            <w:tcW w:w="160" w:type="dxa"/>
            <w:vAlign w:val="bottom"/>
            <w:tcBorders>
              <w:top w:val="single" w:sz="8" w:color="004483"/>
              <w:bottom w:val="single" w:sz="8" w:color="A6A6A6"/>
            </w:tcBorders>
          </w:tcPr>
          <w:p>
            <w:pPr>
              <w:spacing w:after="0"/>
              <w:rPr>
                <w:sz w:val="19"/>
                <w:szCs w:val="19"/>
                <w:color w:val="auto"/>
              </w:rPr>
            </w:pPr>
          </w:p>
        </w:tc>
        <w:tc>
          <w:tcPr>
            <w:tcW w:w="110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239,598</w:t>
            </w:r>
          </w:p>
        </w:tc>
        <w:tc>
          <w:tcPr>
            <w:tcW w:w="100" w:type="dxa"/>
            <w:vAlign w:val="bottom"/>
          </w:tcPr>
          <w:p>
            <w:pPr>
              <w:spacing w:after="0"/>
              <w:rPr>
                <w:sz w:val="19"/>
                <w:szCs w:val="19"/>
                <w:color w:val="auto"/>
              </w:rPr>
            </w:pPr>
          </w:p>
        </w:tc>
        <w:tc>
          <w:tcPr>
            <w:tcW w:w="140" w:type="dxa"/>
            <w:vAlign w:val="bottom"/>
            <w:tcBorders>
              <w:top w:val="single" w:sz="8" w:color="A6A6A6"/>
              <w:bottom w:val="single" w:sz="8" w:color="A6A6A6"/>
            </w:tcBorders>
          </w:tcPr>
          <w:p>
            <w:pPr>
              <w:spacing w:after="0"/>
              <w:rPr>
                <w:sz w:val="19"/>
                <w:szCs w:val="19"/>
                <w:color w:val="auto"/>
              </w:rPr>
            </w:pPr>
          </w:p>
        </w:tc>
        <w:tc>
          <w:tcPr>
            <w:tcW w:w="300" w:type="dxa"/>
            <w:vAlign w:val="bottom"/>
            <w:tcBorders>
              <w:top w:val="single" w:sz="8" w:color="004483"/>
              <w:bottom w:val="single" w:sz="8" w:color="A6A6A6"/>
            </w:tcBorders>
          </w:tcPr>
          <w:p>
            <w:pPr>
              <w:spacing w:after="0"/>
              <w:rPr>
                <w:sz w:val="19"/>
                <w:szCs w:val="19"/>
                <w:color w:val="auto"/>
              </w:rPr>
            </w:pPr>
          </w:p>
        </w:tc>
        <w:tc>
          <w:tcPr>
            <w:tcW w:w="98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155,931</w:t>
            </w:r>
          </w:p>
        </w:tc>
        <w:tc>
          <w:tcPr>
            <w:tcW w:w="100" w:type="dxa"/>
            <w:vAlign w:val="bottom"/>
          </w:tcPr>
          <w:p>
            <w:pPr>
              <w:spacing w:after="0"/>
              <w:rPr>
                <w:sz w:val="19"/>
                <w:szCs w:val="19"/>
                <w:color w:val="auto"/>
              </w:rPr>
            </w:pPr>
          </w:p>
        </w:tc>
      </w:tr>
      <w:tr>
        <w:trPr>
          <w:trHeight w:val="223"/>
        </w:trPr>
        <w:tc>
          <w:tcPr>
            <w:tcW w:w="5040" w:type="dxa"/>
            <w:vAlign w:val="bottom"/>
          </w:tcPr>
          <w:p>
            <w:pPr>
              <w:ind w:left="260"/>
              <w:spacing w:after="0"/>
              <w:rPr>
                <w:sz w:val="20"/>
                <w:szCs w:val="20"/>
                <w:color w:val="auto"/>
              </w:rPr>
            </w:pPr>
            <w:r>
              <w:rPr>
                <w:rFonts w:ascii="Arial" w:cs="Arial" w:eastAsia="Arial" w:hAnsi="Arial"/>
                <w:sz w:val="16"/>
                <w:szCs w:val="16"/>
                <w:color w:val="17385E"/>
              </w:rPr>
              <w:t>Income Taxes</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(19,800)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(23,303)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(52,636)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(37,534)</w:t>
            </w:r>
          </w:p>
        </w:tc>
      </w:tr>
      <w:tr>
        <w:trPr>
          <w:trHeight w:val="223"/>
        </w:trPr>
        <w:tc>
          <w:tcPr>
            <w:tcW w:w="5040" w:type="dxa"/>
            <w:vAlign w:val="bottom"/>
            <w:tcBorders>
              <w:top w:val="single" w:sz="8" w:color="A6A6A6"/>
              <w:bottom w:val="single" w:sz="8" w:color="A6A6A6"/>
            </w:tcBorders>
          </w:tcPr>
          <w:p>
            <w:pPr>
              <w:ind w:left="500"/>
              <w:spacing w:after="0"/>
              <w:rPr>
                <w:sz w:val="20"/>
                <w:szCs w:val="20"/>
                <w:color w:val="auto"/>
              </w:rPr>
            </w:pPr>
            <w:r>
              <w:rPr>
                <w:rFonts w:ascii="Arial" w:cs="Arial" w:eastAsia="Arial" w:hAnsi="Arial"/>
                <w:sz w:val="16"/>
                <w:szCs w:val="16"/>
                <w:color w:val="17385E"/>
              </w:rPr>
              <w:t>Earnings from Continuing Operations</w:t>
            </w:r>
          </w:p>
        </w:tc>
        <w:tc>
          <w:tcPr>
            <w:tcW w:w="320" w:type="dxa"/>
            <w:vAlign w:val="bottom"/>
            <w:tcBorders>
              <w:top w:val="single" w:sz="8" w:color="A6A6A6"/>
              <w:bottom w:val="single" w:sz="8" w:color="A6A6A6"/>
            </w:tcBorders>
          </w:tcPr>
          <w:p>
            <w:pPr>
              <w:spacing w:after="0"/>
              <w:rPr>
                <w:sz w:val="19"/>
                <w:szCs w:val="19"/>
                <w:color w:val="auto"/>
              </w:rPr>
            </w:pPr>
          </w:p>
        </w:tc>
        <w:tc>
          <w:tcPr>
            <w:tcW w:w="140" w:type="dxa"/>
            <w:vAlign w:val="bottom"/>
            <w:tcBorders>
              <w:top w:val="single" w:sz="8" w:color="004483"/>
              <w:bottom w:val="single" w:sz="8" w:color="A6A6A6"/>
            </w:tcBorders>
          </w:tcPr>
          <w:p>
            <w:pPr>
              <w:spacing w:after="0"/>
              <w:rPr>
                <w:sz w:val="19"/>
                <w:szCs w:val="19"/>
                <w:color w:val="auto"/>
              </w:rPr>
            </w:pPr>
          </w:p>
        </w:tc>
        <w:tc>
          <w:tcPr>
            <w:tcW w:w="112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89,871</w:t>
            </w:r>
          </w:p>
        </w:tc>
        <w:tc>
          <w:tcPr>
            <w:tcW w:w="120" w:type="dxa"/>
            <w:vAlign w:val="bottom"/>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300" w:type="dxa"/>
            <w:vAlign w:val="bottom"/>
            <w:tcBorders>
              <w:top w:val="single" w:sz="8" w:color="004483"/>
              <w:bottom w:val="single" w:sz="8" w:color="A6A6A6"/>
            </w:tcBorders>
          </w:tcPr>
          <w:p>
            <w:pPr>
              <w:spacing w:after="0"/>
              <w:rPr>
                <w:sz w:val="19"/>
                <w:szCs w:val="19"/>
                <w:color w:val="auto"/>
              </w:rPr>
            </w:pPr>
          </w:p>
        </w:tc>
        <w:tc>
          <w:tcPr>
            <w:tcW w:w="9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75,064</w:t>
            </w:r>
          </w:p>
        </w:tc>
        <w:tc>
          <w:tcPr>
            <w:tcW w:w="100" w:type="dxa"/>
            <w:vAlign w:val="bottom"/>
          </w:tcPr>
          <w:p>
            <w:pPr>
              <w:spacing w:after="0"/>
              <w:rPr>
                <w:sz w:val="19"/>
                <w:szCs w:val="19"/>
                <w:color w:val="auto"/>
              </w:rPr>
            </w:pPr>
          </w:p>
        </w:tc>
        <w:tc>
          <w:tcPr>
            <w:tcW w:w="140" w:type="dxa"/>
            <w:vAlign w:val="bottom"/>
            <w:tcBorders>
              <w:top w:val="single" w:sz="8" w:color="A6A6A6"/>
              <w:bottom w:val="single" w:sz="8" w:color="A6A6A6"/>
            </w:tcBorders>
          </w:tcPr>
          <w:p>
            <w:pPr>
              <w:spacing w:after="0"/>
              <w:rPr>
                <w:sz w:val="19"/>
                <w:szCs w:val="19"/>
                <w:color w:val="auto"/>
              </w:rPr>
            </w:pPr>
          </w:p>
        </w:tc>
        <w:tc>
          <w:tcPr>
            <w:tcW w:w="160" w:type="dxa"/>
            <w:vAlign w:val="bottom"/>
            <w:tcBorders>
              <w:top w:val="single" w:sz="8" w:color="004483"/>
              <w:bottom w:val="single" w:sz="8" w:color="A6A6A6"/>
            </w:tcBorders>
          </w:tcPr>
          <w:p>
            <w:pPr>
              <w:spacing w:after="0"/>
              <w:rPr>
                <w:sz w:val="19"/>
                <w:szCs w:val="19"/>
                <w:color w:val="auto"/>
              </w:rPr>
            </w:pPr>
          </w:p>
        </w:tc>
        <w:tc>
          <w:tcPr>
            <w:tcW w:w="110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186,962</w:t>
            </w:r>
          </w:p>
        </w:tc>
        <w:tc>
          <w:tcPr>
            <w:tcW w:w="100" w:type="dxa"/>
            <w:vAlign w:val="bottom"/>
          </w:tcPr>
          <w:p>
            <w:pPr>
              <w:spacing w:after="0"/>
              <w:rPr>
                <w:sz w:val="19"/>
                <w:szCs w:val="19"/>
                <w:color w:val="auto"/>
              </w:rPr>
            </w:pPr>
          </w:p>
        </w:tc>
        <w:tc>
          <w:tcPr>
            <w:tcW w:w="140" w:type="dxa"/>
            <w:vAlign w:val="bottom"/>
            <w:tcBorders>
              <w:top w:val="single" w:sz="8" w:color="A6A6A6"/>
              <w:bottom w:val="single" w:sz="8" w:color="A6A6A6"/>
            </w:tcBorders>
          </w:tcPr>
          <w:p>
            <w:pPr>
              <w:spacing w:after="0"/>
              <w:rPr>
                <w:sz w:val="19"/>
                <w:szCs w:val="19"/>
                <w:color w:val="auto"/>
              </w:rPr>
            </w:pPr>
          </w:p>
        </w:tc>
        <w:tc>
          <w:tcPr>
            <w:tcW w:w="300" w:type="dxa"/>
            <w:vAlign w:val="bottom"/>
            <w:tcBorders>
              <w:top w:val="single" w:sz="8" w:color="004483"/>
              <w:bottom w:val="single" w:sz="8" w:color="A6A6A6"/>
            </w:tcBorders>
          </w:tcPr>
          <w:p>
            <w:pPr>
              <w:spacing w:after="0"/>
              <w:rPr>
                <w:sz w:val="19"/>
                <w:szCs w:val="19"/>
                <w:color w:val="auto"/>
              </w:rPr>
            </w:pPr>
          </w:p>
        </w:tc>
        <w:tc>
          <w:tcPr>
            <w:tcW w:w="98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118,397</w:t>
            </w:r>
          </w:p>
        </w:tc>
        <w:tc>
          <w:tcPr>
            <w:tcW w:w="100" w:type="dxa"/>
            <w:vAlign w:val="bottom"/>
          </w:tcPr>
          <w:p>
            <w:pPr>
              <w:spacing w:after="0"/>
              <w:rPr>
                <w:sz w:val="19"/>
                <w:szCs w:val="19"/>
                <w:color w:val="auto"/>
              </w:rPr>
            </w:pPr>
          </w:p>
        </w:tc>
      </w:tr>
      <w:tr>
        <w:trPr>
          <w:trHeight w:val="223"/>
        </w:trPr>
        <w:tc>
          <w:tcPr>
            <w:tcW w:w="5040" w:type="dxa"/>
            <w:vAlign w:val="bottom"/>
          </w:tcPr>
          <w:p>
            <w:pPr>
              <w:ind w:left="260"/>
              <w:spacing w:after="0"/>
              <w:rPr>
                <w:sz w:val="20"/>
                <w:szCs w:val="20"/>
                <w:color w:val="auto"/>
              </w:rPr>
            </w:pPr>
            <w:r>
              <w:rPr>
                <w:rFonts w:ascii="Arial" w:cs="Arial" w:eastAsia="Arial" w:hAnsi="Arial"/>
                <w:sz w:val="16"/>
                <w:szCs w:val="16"/>
                <w:color w:val="17385E"/>
                <w:w w:val="98"/>
              </w:rPr>
              <w:t>Earnings (Loss) from Discontinued Operations, net of Income Taxes</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6,163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(3,271)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(5,300)</w:t>
            </w:r>
          </w:p>
        </w:tc>
      </w:tr>
      <w:tr>
        <w:trPr>
          <w:trHeight w:val="250"/>
        </w:trPr>
        <w:tc>
          <w:tcPr>
            <w:tcW w:w="5040" w:type="dxa"/>
            <w:vAlign w:val="bottom"/>
            <w:tcBorders>
              <w:top w:val="single" w:sz="8" w:color="A6A6A6"/>
              <w:bottom w:val="single" w:sz="8" w:color="A6A6A6"/>
            </w:tcBorders>
          </w:tcPr>
          <w:p>
            <w:pPr>
              <w:ind w:left="500"/>
              <w:spacing w:after="0"/>
              <w:rPr>
                <w:sz w:val="20"/>
                <w:szCs w:val="20"/>
                <w:color w:val="auto"/>
              </w:rPr>
            </w:pPr>
            <w:r>
              <w:rPr>
                <w:rFonts w:ascii="Arial" w:cs="Arial" w:eastAsia="Arial" w:hAnsi="Arial"/>
                <w:sz w:val="16"/>
                <w:szCs w:val="16"/>
                <w:b w:val="1"/>
                <w:bCs w:val="1"/>
                <w:color w:val="17385E"/>
              </w:rPr>
              <w:t>Net Earnings</w:t>
            </w:r>
          </w:p>
        </w:tc>
        <w:tc>
          <w:tcPr>
            <w:tcW w:w="320" w:type="dxa"/>
            <w:vAlign w:val="bottom"/>
            <w:tcBorders>
              <w:top w:val="single" w:sz="8" w:color="A6A6A6"/>
              <w:bottom w:val="single" w:sz="8" w:color="A6A6A6"/>
            </w:tcBorders>
          </w:tcPr>
          <w:p>
            <w:pPr>
              <w:spacing w:after="0"/>
              <w:rPr>
                <w:sz w:val="21"/>
                <w:szCs w:val="21"/>
                <w:color w:val="auto"/>
              </w:rPr>
            </w:pPr>
          </w:p>
        </w:tc>
        <w:tc>
          <w:tcPr>
            <w:tcW w:w="14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96,034</w:t>
            </w:r>
          </w:p>
        </w:tc>
        <w:tc>
          <w:tcPr>
            <w:tcW w:w="120" w:type="dxa"/>
            <w:vAlign w:val="bottom"/>
          </w:tcPr>
          <w:p>
            <w:pPr>
              <w:spacing w:after="0"/>
              <w:rPr>
                <w:sz w:val="21"/>
                <w:szCs w:val="21"/>
                <w:color w:val="auto"/>
              </w:rPr>
            </w:pPr>
          </w:p>
        </w:tc>
        <w:tc>
          <w:tcPr>
            <w:tcW w:w="120" w:type="dxa"/>
            <w:vAlign w:val="bottom"/>
            <w:tcBorders>
              <w:top w:val="single" w:sz="8" w:color="A6A6A6"/>
              <w:bottom w:val="single" w:sz="8" w:color="A6A6A6"/>
            </w:tcBorders>
          </w:tcPr>
          <w:p>
            <w:pPr>
              <w:spacing w:after="0"/>
              <w:rPr>
                <w:sz w:val="21"/>
                <w:szCs w:val="21"/>
                <w:color w:val="auto"/>
              </w:rPr>
            </w:pPr>
          </w:p>
        </w:tc>
        <w:tc>
          <w:tcPr>
            <w:tcW w:w="300" w:type="dxa"/>
            <w:vAlign w:val="bottom"/>
            <w:tcBorders>
              <w:top w:val="single" w:sz="8" w:color="004483"/>
              <w:bottom w:val="single" w:sz="8" w:color="004483"/>
            </w:tcBorders>
          </w:tcPr>
          <w:p>
            <w:pPr>
              <w:jc w:val="right"/>
              <w:ind w:right="148"/>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71,793</w:t>
            </w:r>
          </w:p>
        </w:tc>
        <w:tc>
          <w:tcPr>
            <w:tcW w:w="100" w:type="dxa"/>
            <w:vAlign w:val="bottom"/>
          </w:tcPr>
          <w:p>
            <w:pPr>
              <w:spacing w:after="0"/>
              <w:rPr>
                <w:sz w:val="21"/>
                <w:szCs w:val="21"/>
                <w:color w:val="auto"/>
              </w:rPr>
            </w:pPr>
          </w:p>
        </w:tc>
        <w:tc>
          <w:tcPr>
            <w:tcW w:w="140" w:type="dxa"/>
            <w:vAlign w:val="bottom"/>
            <w:tcBorders>
              <w:top w:val="single" w:sz="8" w:color="A6A6A6"/>
              <w:bottom w:val="single" w:sz="8" w:color="A6A6A6"/>
            </w:tcBorders>
          </w:tcPr>
          <w:p>
            <w:pPr>
              <w:spacing w:after="0"/>
              <w:rPr>
                <w:sz w:val="21"/>
                <w:szCs w:val="21"/>
                <w:color w:val="auto"/>
              </w:rPr>
            </w:pPr>
          </w:p>
        </w:tc>
        <w:tc>
          <w:tcPr>
            <w:tcW w:w="160" w:type="dxa"/>
            <w:vAlign w:val="bottom"/>
            <w:tcBorders>
              <w:top w:val="single" w:sz="8" w:color="004483"/>
              <w:bottom w:val="single" w:sz="8" w:color="004483"/>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192,240</w:t>
            </w:r>
          </w:p>
        </w:tc>
        <w:tc>
          <w:tcPr>
            <w:tcW w:w="100" w:type="dxa"/>
            <w:vAlign w:val="bottom"/>
          </w:tcPr>
          <w:p>
            <w:pPr>
              <w:spacing w:after="0"/>
              <w:rPr>
                <w:sz w:val="21"/>
                <w:szCs w:val="21"/>
                <w:color w:val="auto"/>
              </w:rPr>
            </w:pPr>
          </w:p>
        </w:tc>
        <w:tc>
          <w:tcPr>
            <w:tcW w:w="140" w:type="dxa"/>
            <w:vAlign w:val="bottom"/>
            <w:tcBorders>
              <w:top w:val="single" w:sz="8" w:color="A6A6A6"/>
              <w:bottom w:val="single" w:sz="8" w:color="A6A6A6"/>
            </w:tcBorders>
          </w:tcPr>
          <w:p>
            <w:pPr>
              <w:spacing w:after="0"/>
              <w:rPr>
                <w:sz w:val="21"/>
                <w:szCs w:val="21"/>
                <w:color w:val="auto"/>
              </w:rPr>
            </w:pPr>
          </w:p>
        </w:tc>
        <w:tc>
          <w:tcPr>
            <w:tcW w:w="300" w:type="dxa"/>
            <w:vAlign w:val="bottom"/>
            <w:tcBorders>
              <w:top w:val="single" w:sz="8" w:color="004483"/>
              <w:bottom w:val="single" w:sz="8" w:color="004483"/>
            </w:tcBorders>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113,097</w:t>
            </w:r>
          </w:p>
        </w:tc>
        <w:tc>
          <w:tcPr>
            <w:tcW w:w="100" w:type="dxa"/>
            <w:vAlign w:val="bottom"/>
          </w:tcPr>
          <w:p>
            <w:pPr>
              <w:spacing w:after="0"/>
              <w:rPr>
                <w:sz w:val="21"/>
                <w:szCs w:val="21"/>
                <w:color w:val="auto"/>
              </w:rPr>
            </w:pPr>
          </w:p>
        </w:tc>
      </w:tr>
      <w:tr>
        <w:trPr>
          <w:trHeight w:val="199"/>
        </w:trPr>
        <w:tc>
          <w:tcPr>
            <w:tcW w:w="5040" w:type="dxa"/>
            <w:vAlign w:val="bottom"/>
            <w:tcBorders>
              <w:bottom w:val="single" w:sz="8" w:color="A6A6A6"/>
            </w:tcBorders>
          </w:tcPr>
          <w:p>
            <w:pPr>
              <w:spacing w:after="0"/>
              <w:rPr>
                <w:sz w:val="17"/>
                <w:szCs w:val="17"/>
                <w:color w:val="auto"/>
              </w:rPr>
            </w:pPr>
          </w:p>
        </w:tc>
        <w:tc>
          <w:tcPr>
            <w:tcW w:w="320" w:type="dxa"/>
            <w:vAlign w:val="bottom"/>
            <w:tcBorders>
              <w:bottom w:val="single" w:sz="8" w:color="A6A6A6"/>
            </w:tcBorders>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120" w:type="dxa"/>
            <w:vAlign w:val="bottom"/>
            <w:tcBorders>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300" w:type="dxa"/>
            <w:vAlign w:val="bottom"/>
            <w:tcBorders>
              <w:bottom w:val="single" w:sz="8" w:color="A6A6A6"/>
            </w:tcBorders>
          </w:tcPr>
          <w:p>
            <w:pPr>
              <w:spacing w:after="0"/>
              <w:rPr>
                <w:sz w:val="17"/>
                <w:szCs w:val="17"/>
                <w:color w:val="auto"/>
              </w:rPr>
            </w:pPr>
          </w:p>
        </w:tc>
        <w:tc>
          <w:tcPr>
            <w:tcW w:w="96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60" w:type="dxa"/>
            <w:vAlign w:val="bottom"/>
            <w:tcBorders>
              <w:bottom w:val="single" w:sz="8" w:color="A6A6A6"/>
            </w:tcBorders>
          </w:tcPr>
          <w:p>
            <w:pPr>
              <w:spacing w:after="0"/>
              <w:rPr>
                <w:sz w:val="17"/>
                <w:szCs w:val="17"/>
                <w:color w:val="auto"/>
              </w:rPr>
            </w:pPr>
          </w:p>
        </w:tc>
        <w:tc>
          <w:tcPr>
            <w:tcW w:w="110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300" w:type="dxa"/>
            <w:vAlign w:val="bottom"/>
            <w:tcBorders>
              <w:bottom w:val="single" w:sz="8" w:color="A6A6A6"/>
            </w:tcBorders>
          </w:tcPr>
          <w:p>
            <w:pPr>
              <w:spacing w:after="0"/>
              <w:rPr>
                <w:sz w:val="17"/>
                <w:szCs w:val="17"/>
                <w:color w:val="auto"/>
              </w:rPr>
            </w:pPr>
          </w:p>
        </w:tc>
        <w:tc>
          <w:tcPr>
            <w:tcW w:w="98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040" w:type="dxa"/>
            <w:vAlign w:val="bottom"/>
            <w:tcBorders>
              <w:bottom w:val="single" w:sz="8" w:color="A6A6A6"/>
            </w:tcBorders>
          </w:tcPr>
          <w:p>
            <w:pPr>
              <w:spacing w:after="0"/>
              <w:rPr>
                <w:sz w:val="20"/>
                <w:szCs w:val="20"/>
                <w:color w:val="auto"/>
              </w:rPr>
            </w:pPr>
            <w:r>
              <w:rPr>
                <w:rFonts w:ascii="Arial" w:cs="Arial" w:eastAsia="Arial" w:hAnsi="Arial"/>
                <w:sz w:val="16"/>
                <w:szCs w:val="16"/>
                <w:b w:val="1"/>
                <w:bCs w:val="1"/>
                <w:color w:val="auto"/>
              </w:rPr>
              <w:t>BASIC EARNINGS PER SHARE</w:t>
            </w:r>
          </w:p>
        </w:tc>
        <w:tc>
          <w:tcPr>
            <w:tcW w:w="32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5040" w:type="dxa"/>
            <w:vAlign w:val="bottom"/>
            <w:tcBorders>
              <w:bottom w:val="single" w:sz="8" w:color="A6A6A6"/>
            </w:tcBorders>
          </w:tcPr>
          <w:p>
            <w:pPr>
              <w:ind w:left="260"/>
              <w:spacing w:after="0"/>
              <w:rPr>
                <w:sz w:val="20"/>
                <w:szCs w:val="20"/>
                <w:color w:val="auto"/>
              </w:rPr>
            </w:pPr>
            <w:r>
              <w:rPr>
                <w:rFonts w:ascii="Arial" w:cs="Arial" w:eastAsia="Arial" w:hAnsi="Arial"/>
                <w:sz w:val="16"/>
                <w:szCs w:val="16"/>
                <w:color w:val="17385E"/>
              </w:rPr>
              <w:t>Continuing Operations</w:t>
            </w:r>
          </w:p>
        </w:tc>
        <w:tc>
          <w:tcPr>
            <w:tcW w:w="46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19"/>
                <w:szCs w:val="19"/>
                <w:color w:val="auto"/>
              </w:rPr>
            </w:pPr>
          </w:p>
        </w:tc>
        <w:tc>
          <w:tcPr>
            <w:tcW w:w="420" w:type="dxa"/>
            <w:vAlign w:val="bottom"/>
            <w:tcBorders>
              <w:bottom w:val="single" w:sz="8" w:color="A6A6A6"/>
            </w:tcBorders>
            <w:gridSpan w:val="2"/>
          </w:tcPr>
          <w:p>
            <w:pPr>
              <w:jc w:val="right"/>
              <w:ind w:right="148"/>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19"/>
                <w:szCs w:val="19"/>
                <w:color w:val="auto"/>
              </w:rPr>
            </w:pPr>
          </w:p>
        </w:tc>
        <w:tc>
          <w:tcPr>
            <w:tcW w:w="300" w:type="dxa"/>
            <w:vAlign w:val="bottom"/>
            <w:tcBorders>
              <w:bottom w:val="single" w:sz="8" w:color="A6A6A6"/>
            </w:tcBorders>
            <w:gridSpan w:val="2"/>
          </w:tcPr>
          <w:p>
            <w:pPr>
              <w:jc w:val="right"/>
              <w:ind w:right="4"/>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300" w:type="dxa"/>
            <w:vAlign w:val="bottom"/>
            <w:tcBorders>
              <w:bottom w:val="single" w:sz="8" w:color="A6A6A6"/>
            </w:tcBorders>
          </w:tcPr>
          <w:p>
            <w:pPr>
              <w:jc w:val="right"/>
              <w:ind w:right="14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19"/>
                <w:szCs w:val="19"/>
                <w:color w:val="auto"/>
              </w:rPr>
            </w:pPr>
          </w:p>
        </w:tc>
      </w:tr>
      <w:tr>
        <w:trPr>
          <w:trHeight w:val="223"/>
        </w:trPr>
        <w:tc>
          <w:tcPr>
            <w:tcW w:w="5040" w:type="dxa"/>
            <w:vAlign w:val="bottom"/>
          </w:tcPr>
          <w:p>
            <w:pPr>
              <w:ind w:left="260"/>
              <w:spacing w:after="0"/>
              <w:rPr>
                <w:sz w:val="20"/>
                <w:szCs w:val="20"/>
                <w:color w:val="auto"/>
              </w:rPr>
            </w:pPr>
            <w:r>
              <w:rPr>
                <w:rFonts w:ascii="Arial" w:cs="Arial" w:eastAsia="Arial" w:hAnsi="Arial"/>
                <w:sz w:val="16"/>
                <w:szCs w:val="16"/>
                <w:color w:val="17385E"/>
              </w:rPr>
              <w:t>Discontinued Operations</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(0.08)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(0.12)</w:t>
            </w:r>
          </w:p>
        </w:tc>
      </w:tr>
      <w:tr>
        <w:trPr>
          <w:trHeight w:val="20"/>
        </w:trPr>
        <w:tc>
          <w:tcPr>
            <w:tcW w:w="5040" w:type="dxa"/>
            <w:vAlign w:val="bottom"/>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140" w:type="dxa"/>
            <w:vAlign w:val="bottom"/>
            <w:shd w:val="clear" w:color="auto" w:fill="004483"/>
          </w:tcPr>
          <w:p>
            <w:pPr>
              <w:spacing w:after="0" w:line="20" w:lineRule="exact"/>
              <w:rPr>
                <w:sz w:val="1"/>
                <w:szCs w:val="1"/>
                <w:color w:val="auto"/>
              </w:rPr>
            </w:pPr>
          </w:p>
        </w:tc>
        <w:tc>
          <w:tcPr>
            <w:tcW w:w="112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96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160" w:type="dxa"/>
            <w:vAlign w:val="bottom"/>
            <w:shd w:val="clear" w:color="auto" w:fill="004483"/>
          </w:tcPr>
          <w:p>
            <w:pPr>
              <w:spacing w:after="0" w:line="20" w:lineRule="exact"/>
              <w:rPr>
                <w:sz w:val="1"/>
                <w:szCs w:val="1"/>
                <w:color w:val="auto"/>
              </w:rPr>
            </w:pPr>
          </w:p>
        </w:tc>
        <w:tc>
          <w:tcPr>
            <w:tcW w:w="110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6A6A6"/>
            </w:tcBorders>
            <w:shd w:val="clear" w:color="auto" w:fill="A6A6A6"/>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98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040" w:type="dxa"/>
            <w:vAlign w:val="bottom"/>
          </w:tcPr>
          <w:p>
            <w:pPr>
              <w:ind w:left="260"/>
              <w:spacing w:after="0"/>
              <w:rPr>
                <w:sz w:val="20"/>
                <w:szCs w:val="20"/>
                <w:color w:val="auto"/>
              </w:rPr>
            </w:pPr>
            <w:r>
              <w:rPr>
                <w:rFonts w:ascii="Arial" w:cs="Arial" w:eastAsia="Arial" w:hAnsi="Arial"/>
                <w:sz w:val="16"/>
                <w:szCs w:val="16"/>
                <w:color w:val="17385E"/>
              </w:rPr>
              <w:t>Net Earnings</w:t>
            </w:r>
          </w:p>
        </w:tc>
        <w:tc>
          <w:tcPr>
            <w:tcW w:w="3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2.32</w:t>
            </w:r>
          </w:p>
        </w:tc>
        <w:tc>
          <w:tcPr>
            <w:tcW w:w="120" w:type="dxa"/>
            <w:vAlign w:val="bottom"/>
          </w:tcPr>
          <w:p>
            <w:pPr>
              <w:spacing w:after="0"/>
              <w:rPr>
                <w:sz w:val="21"/>
                <w:szCs w:val="21"/>
                <w:color w:val="auto"/>
              </w:rPr>
            </w:pPr>
          </w:p>
        </w:tc>
        <w:tc>
          <w:tcPr>
            <w:tcW w:w="420" w:type="dxa"/>
            <w:vAlign w:val="bottom"/>
            <w:gridSpan w:val="2"/>
          </w:tcPr>
          <w:p>
            <w:pPr>
              <w:jc w:val="right"/>
              <w:ind w:right="148"/>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21"/>
                <w:szCs w:val="21"/>
                <w:color w:val="auto"/>
              </w:rPr>
            </w:pPr>
          </w:p>
        </w:tc>
        <w:tc>
          <w:tcPr>
            <w:tcW w:w="30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2.65</w:t>
            </w:r>
          </w:p>
        </w:tc>
        <w:tc>
          <w:tcPr>
            <w:tcW w:w="100" w:type="dxa"/>
            <w:vAlign w:val="bottom"/>
          </w:tcPr>
          <w:p>
            <w:pPr>
              <w:spacing w:after="0"/>
              <w:rPr>
                <w:sz w:val="21"/>
                <w:szCs w:val="21"/>
                <w:color w:val="auto"/>
              </w:rPr>
            </w:pPr>
          </w:p>
        </w:tc>
      </w:tr>
      <w:tr>
        <w:trPr>
          <w:trHeight w:val="193"/>
        </w:trPr>
        <w:tc>
          <w:tcPr>
            <w:tcW w:w="504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6"/>
                <w:szCs w:val="16"/>
                <w:b w:val="1"/>
                <w:bCs w:val="1"/>
                <w:color w:val="auto"/>
              </w:rPr>
              <w:t>DILUTED EARNINGS PER SHARE</w:t>
            </w:r>
          </w:p>
        </w:tc>
        <w:tc>
          <w:tcPr>
            <w:tcW w:w="320" w:type="dxa"/>
            <w:vAlign w:val="bottom"/>
            <w:tcBorders>
              <w:top w:val="single" w:sz="8" w:color="A6A6A6"/>
              <w:bottom w:val="single" w:sz="8" w:color="A6A6A6"/>
            </w:tcBorders>
          </w:tcPr>
          <w:p>
            <w:pPr>
              <w:spacing w:after="0"/>
              <w:rPr>
                <w:sz w:val="16"/>
                <w:szCs w:val="16"/>
                <w:color w:val="auto"/>
              </w:rPr>
            </w:pPr>
          </w:p>
        </w:tc>
        <w:tc>
          <w:tcPr>
            <w:tcW w:w="140" w:type="dxa"/>
            <w:vAlign w:val="bottom"/>
            <w:tcBorders>
              <w:top w:val="single" w:sz="8" w:color="004483"/>
              <w:bottom w:val="single" w:sz="8" w:color="A6A6A6"/>
            </w:tcBorders>
          </w:tcPr>
          <w:p>
            <w:pPr>
              <w:spacing w:after="0"/>
              <w:rPr>
                <w:sz w:val="16"/>
                <w:szCs w:val="16"/>
                <w:color w:val="auto"/>
              </w:rPr>
            </w:pPr>
          </w:p>
        </w:tc>
        <w:tc>
          <w:tcPr>
            <w:tcW w:w="1120" w:type="dxa"/>
            <w:vAlign w:val="bottom"/>
            <w:tcBorders>
              <w:top w:val="single" w:sz="8" w:color="004483"/>
              <w:bottom w:val="single" w:sz="8" w:color="A6A6A6"/>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6A6A6"/>
              <w:bottom w:val="single" w:sz="8" w:color="A6A6A6"/>
            </w:tcBorders>
          </w:tcPr>
          <w:p>
            <w:pPr>
              <w:spacing w:after="0"/>
              <w:rPr>
                <w:sz w:val="16"/>
                <w:szCs w:val="16"/>
                <w:color w:val="auto"/>
              </w:rPr>
            </w:pPr>
          </w:p>
        </w:tc>
        <w:tc>
          <w:tcPr>
            <w:tcW w:w="300" w:type="dxa"/>
            <w:vAlign w:val="bottom"/>
            <w:tcBorders>
              <w:top w:val="single" w:sz="8" w:color="004483"/>
              <w:bottom w:val="single" w:sz="8" w:color="A6A6A6"/>
            </w:tcBorders>
          </w:tcPr>
          <w:p>
            <w:pPr>
              <w:spacing w:after="0"/>
              <w:rPr>
                <w:sz w:val="16"/>
                <w:szCs w:val="16"/>
                <w:color w:val="auto"/>
              </w:rPr>
            </w:pPr>
          </w:p>
        </w:tc>
        <w:tc>
          <w:tcPr>
            <w:tcW w:w="960" w:type="dxa"/>
            <w:vAlign w:val="bottom"/>
            <w:tcBorders>
              <w:top w:val="single" w:sz="8" w:color="004483"/>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6A6A6"/>
              <w:bottom w:val="single" w:sz="8" w:color="A6A6A6"/>
            </w:tcBorders>
          </w:tcPr>
          <w:p>
            <w:pPr>
              <w:spacing w:after="0"/>
              <w:rPr>
                <w:sz w:val="16"/>
                <w:szCs w:val="16"/>
                <w:color w:val="auto"/>
              </w:rPr>
            </w:pPr>
          </w:p>
        </w:tc>
        <w:tc>
          <w:tcPr>
            <w:tcW w:w="160" w:type="dxa"/>
            <w:vAlign w:val="bottom"/>
            <w:tcBorders>
              <w:top w:val="single" w:sz="8" w:color="004483"/>
              <w:bottom w:val="single" w:sz="8" w:color="A6A6A6"/>
            </w:tcBorders>
          </w:tcPr>
          <w:p>
            <w:pPr>
              <w:spacing w:after="0"/>
              <w:rPr>
                <w:sz w:val="16"/>
                <w:szCs w:val="16"/>
                <w:color w:val="auto"/>
              </w:rPr>
            </w:pPr>
          </w:p>
        </w:tc>
        <w:tc>
          <w:tcPr>
            <w:tcW w:w="1100" w:type="dxa"/>
            <w:vAlign w:val="bottom"/>
            <w:tcBorders>
              <w:top w:val="single" w:sz="8" w:color="004483"/>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6A6A6"/>
              <w:bottom w:val="single" w:sz="8" w:color="A6A6A6"/>
            </w:tcBorders>
          </w:tcPr>
          <w:p>
            <w:pPr>
              <w:spacing w:after="0"/>
              <w:rPr>
                <w:sz w:val="16"/>
                <w:szCs w:val="16"/>
                <w:color w:val="auto"/>
              </w:rPr>
            </w:pPr>
          </w:p>
        </w:tc>
        <w:tc>
          <w:tcPr>
            <w:tcW w:w="300" w:type="dxa"/>
            <w:vAlign w:val="bottom"/>
            <w:tcBorders>
              <w:top w:val="single" w:sz="8" w:color="004483"/>
              <w:bottom w:val="single" w:sz="8" w:color="A6A6A6"/>
            </w:tcBorders>
          </w:tcPr>
          <w:p>
            <w:pPr>
              <w:spacing w:after="0"/>
              <w:rPr>
                <w:sz w:val="16"/>
                <w:szCs w:val="16"/>
                <w:color w:val="auto"/>
              </w:rPr>
            </w:pPr>
          </w:p>
        </w:tc>
        <w:tc>
          <w:tcPr>
            <w:tcW w:w="980" w:type="dxa"/>
            <w:vAlign w:val="bottom"/>
            <w:tcBorders>
              <w:top w:val="single" w:sz="8" w:color="004483"/>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r>
      <w:tr>
        <w:trPr>
          <w:trHeight w:val="227"/>
        </w:trPr>
        <w:tc>
          <w:tcPr>
            <w:tcW w:w="5040" w:type="dxa"/>
            <w:vAlign w:val="bottom"/>
            <w:tcBorders>
              <w:bottom w:val="single" w:sz="8" w:color="A6A6A6"/>
            </w:tcBorders>
          </w:tcPr>
          <w:p>
            <w:pPr>
              <w:ind w:left="260"/>
              <w:spacing w:after="0"/>
              <w:rPr>
                <w:sz w:val="20"/>
                <w:szCs w:val="20"/>
                <w:color w:val="auto"/>
              </w:rPr>
            </w:pPr>
            <w:r>
              <w:rPr>
                <w:rFonts w:ascii="Arial" w:cs="Arial" w:eastAsia="Arial" w:hAnsi="Arial"/>
                <w:sz w:val="16"/>
                <w:szCs w:val="16"/>
                <w:color w:val="17385E"/>
              </w:rPr>
              <w:t>Continuing Operations</w:t>
            </w:r>
          </w:p>
        </w:tc>
        <w:tc>
          <w:tcPr>
            <w:tcW w:w="46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19"/>
                <w:szCs w:val="19"/>
                <w:color w:val="auto"/>
              </w:rPr>
            </w:pPr>
          </w:p>
        </w:tc>
        <w:tc>
          <w:tcPr>
            <w:tcW w:w="420" w:type="dxa"/>
            <w:vAlign w:val="bottom"/>
            <w:tcBorders>
              <w:bottom w:val="single" w:sz="8" w:color="A6A6A6"/>
            </w:tcBorders>
            <w:gridSpan w:val="2"/>
          </w:tcPr>
          <w:p>
            <w:pPr>
              <w:jc w:val="right"/>
              <w:ind w:right="148"/>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9"/>
                <w:szCs w:val="19"/>
                <w:color w:val="auto"/>
              </w:rPr>
            </w:pPr>
          </w:p>
        </w:tc>
        <w:tc>
          <w:tcPr>
            <w:tcW w:w="300" w:type="dxa"/>
            <w:vAlign w:val="bottom"/>
            <w:tcBorders>
              <w:bottom w:val="single" w:sz="8" w:color="A6A6A6"/>
            </w:tcBorders>
            <w:gridSpan w:val="2"/>
          </w:tcPr>
          <w:p>
            <w:pPr>
              <w:jc w:val="right"/>
              <w:ind w:right="4"/>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4.49</w:t>
            </w:r>
          </w:p>
        </w:tc>
        <w:tc>
          <w:tcPr>
            <w:tcW w:w="10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300" w:type="dxa"/>
            <w:vAlign w:val="bottom"/>
            <w:tcBorders>
              <w:bottom w:val="single" w:sz="8" w:color="A6A6A6"/>
            </w:tcBorders>
          </w:tcPr>
          <w:p>
            <w:pPr>
              <w:jc w:val="right"/>
              <w:ind w:right="14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19"/>
                <w:szCs w:val="19"/>
                <w:color w:val="auto"/>
              </w:rPr>
            </w:pPr>
          </w:p>
        </w:tc>
      </w:tr>
      <w:tr>
        <w:trPr>
          <w:trHeight w:val="223"/>
        </w:trPr>
        <w:tc>
          <w:tcPr>
            <w:tcW w:w="5040" w:type="dxa"/>
            <w:vAlign w:val="bottom"/>
          </w:tcPr>
          <w:p>
            <w:pPr>
              <w:ind w:left="260"/>
              <w:spacing w:after="0"/>
              <w:rPr>
                <w:sz w:val="20"/>
                <w:szCs w:val="20"/>
                <w:color w:val="auto"/>
              </w:rPr>
            </w:pPr>
            <w:r>
              <w:rPr>
                <w:rFonts w:ascii="Arial" w:cs="Arial" w:eastAsia="Arial" w:hAnsi="Arial"/>
                <w:sz w:val="16"/>
                <w:szCs w:val="16"/>
                <w:color w:val="17385E"/>
              </w:rPr>
              <w:t>Discontinued Operations</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(0.08)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(0.12)</w:t>
            </w:r>
          </w:p>
        </w:tc>
      </w:tr>
      <w:tr>
        <w:trPr>
          <w:trHeight w:val="20"/>
        </w:trPr>
        <w:tc>
          <w:tcPr>
            <w:tcW w:w="5040" w:type="dxa"/>
            <w:vAlign w:val="bottom"/>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140" w:type="dxa"/>
            <w:vAlign w:val="bottom"/>
            <w:shd w:val="clear" w:color="auto" w:fill="004483"/>
          </w:tcPr>
          <w:p>
            <w:pPr>
              <w:spacing w:after="0" w:line="20" w:lineRule="exact"/>
              <w:rPr>
                <w:sz w:val="1"/>
                <w:szCs w:val="1"/>
                <w:color w:val="auto"/>
              </w:rPr>
            </w:pPr>
          </w:p>
        </w:tc>
        <w:tc>
          <w:tcPr>
            <w:tcW w:w="112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96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160" w:type="dxa"/>
            <w:vAlign w:val="bottom"/>
            <w:shd w:val="clear" w:color="auto" w:fill="004483"/>
          </w:tcPr>
          <w:p>
            <w:pPr>
              <w:spacing w:after="0" w:line="20" w:lineRule="exact"/>
              <w:rPr>
                <w:sz w:val="1"/>
                <w:szCs w:val="1"/>
                <w:color w:val="auto"/>
              </w:rPr>
            </w:pPr>
          </w:p>
        </w:tc>
        <w:tc>
          <w:tcPr>
            <w:tcW w:w="110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6A6A6"/>
            </w:tcBorders>
            <w:shd w:val="clear" w:color="auto" w:fill="A6A6A6"/>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98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040" w:type="dxa"/>
            <w:vAlign w:val="bottom"/>
          </w:tcPr>
          <w:p>
            <w:pPr>
              <w:ind w:left="260"/>
              <w:spacing w:after="0"/>
              <w:rPr>
                <w:sz w:val="20"/>
                <w:szCs w:val="20"/>
                <w:color w:val="auto"/>
              </w:rPr>
            </w:pPr>
            <w:r>
              <w:rPr>
                <w:rFonts w:ascii="Arial" w:cs="Arial" w:eastAsia="Arial" w:hAnsi="Arial"/>
                <w:sz w:val="16"/>
                <w:szCs w:val="16"/>
                <w:color w:val="17385E"/>
              </w:rPr>
              <w:t>Net Earnings</w:t>
            </w:r>
          </w:p>
        </w:tc>
        <w:tc>
          <w:tcPr>
            <w:tcW w:w="3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21"/>
                <w:szCs w:val="21"/>
                <w:color w:val="auto"/>
              </w:rPr>
            </w:pPr>
          </w:p>
        </w:tc>
        <w:tc>
          <w:tcPr>
            <w:tcW w:w="420" w:type="dxa"/>
            <w:vAlign w:val="bottom"/>
            <w:gridSpan w:val="2"/>
          </w:tcPr>
          <w:p>
            <w:pPr>
              <w:jc w:val="right"/>
              <w:ind w:right="148"/>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21"/>
                <w:szCs w:val="21"/>
                <w:color w:val="auto"/>
              </w:rPr>
            </w:pPr>
          </w:p>
        </w:tc>
        <w:tc>
          <w:tcPr>
            <w:tcW w:w="30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21"/>
                <w:szCs w:val="21"/>
                <w:color w:val="auto"/>
              </w:rPr>
            </w:pPr>
          </w:p>
        </w:tc>
      </w:tr>
      <w:tr>
        <w:trPr>
          <w:trHeight w:val="193"/>
        </w:trPr>
        <w:tc>
          <w:tcPr>
            <w:tcW w:w="504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6"/>
                <w:szCs w:val="16"/>
                <w:b w:val="1"/>
                <w:bCs w:val="1"/>
                <w:color w:val="auto"/>
              </w:rPr>
              <w:t>AVERAGE SHARES OUTSTANDING</w:t>
            </w:r>
          </w:p>
        </w:tc>
        <w:tc>
          <w:tcPr>
            <w:tcW w:w="320" w:type="dxa"/>
            <w:vAlign w:val="bottom"/>
            <w:tcBorders>
              <w:top w:val="single" w:sz="8" w:color="A6A6A6"/>
              <w:bottom w:val="single" w:sz="8" w:color="A6A6A6"/>
            </w:tcBorders>
          </w:tcPr>
          <w:p>
            <w:pPr>
              <w:spacing w:after="0"/>
              <w:rPr>
                <w:sz w:val="16"/>
                <w:szCs w:val="16"/>
                <w:color w:val="auto"/>
              </w:rPr>
            </w:pPr>
          </w:p>
        </w:tc>
        <w:tc>
          <w:tcPr>
            <w:tcW w:w="140" w:type="dxa"/>
            <w:vAlign w:val="bottom"/>
            <w:tcBorders>
              <w:top w:val="single" w:sz="8" w:color="004483"/>
              <w:bottom w:val="single" w:sz="8" w:color="A6A6A6"/>
            </w:tcBorders>
          </w:tcPr>
          <w:p>
            <w:pPr>
              <w:spacing w:after="0"/>
              <w:rPr>
                <w:sz w:val="16"/>
                <w:szCs w:val="16"/>
                <w:color w:val="auto"/>
              </w:rPr>
            </w:pPr>
          </w:p>
        </w:tc>
        <w:tc>
          <w:tcPr>
            <w:tcW w:w="1120" w:type="dxa"/>
            <w:vAlign w:val="bottom"/>
            <w:tcBorders>
              <w:top w:val="single" w:sz="8" w:color="004483"/>
              <w:bottom w:val="single" w:sz="8" w:color="A6A6A6"/>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6A6A6"/>
              <w:bottom w:val="single" w:sz="8" w:color="A6A6A6"/>
            </w:tcBorders>
          </w:tcPr>
          <w:p>
            <w:pPr>
              <w:spacing w:after="0"/>
              <w:rPr>
                <w:sz w:val="16"/>
                <w:szCs w:val="16"/>
                <w:color w:val="auto"/>
              </w:rPr>
            </w:pPr>
          </w:p>
        </w:tc>
        <w:tc>
          <w:tcPr>
            <w:tcW w:w="300" w:type="dxa"/>
            <w:vAlign w:val="bottom"/>
            <w:tcBorders>
              <w:top w:val="single" w:sz="8" w:color="004483"/>
              <w:bottom w:val="single" w:sz="8" w:color="A6A6A6"/>
            </w:tcBorders>
          </w:tcPr>
          <w:p>
            <w:pPr>
              <w:spacing w:after="0"/>
              <w:rPr>
                <w:sz w:val="16"/>
                <w:szCs w:val="16"/>
                <w:color w:val="auto"/>
              </w:rPr>
            </w:pPr>
          </w:p>
        </w:tc>
        <w:tc>
          <w:tcPr>
            <w:tcW w:w="960" w:type="dxa"/>
            <w:vAlign w:val="bottom"/>
            <w:tcBorders>
              <w:top w:val="single" w:sz="8" w:color="004483"/>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6A6A6"/>
              <w:bottom w:val="single" w:sz="8" w:color="A6A6A6"/>
            </w:tcBorders>
          </w:tcPr>
          <w:p>
            <w:pPr>
              <w:spacing w:after="0"/>
              <w:rPr>
                <w:sz w:val="16"/>
                <w:szCs w:val="16"/>
                <w:color w:val="auto"/>
              </w:rPr>
            </w:pPr>
          </w:p>
        </w:tc>
        <w:tc>
          <w:tcPr>
            <w:tcW w:w="160" w:type="dxa"/>
            <w:vAlign w:val="bottom"/>
            <w:tcBorders>
              <w:top w:val="single" w:sz="8" w:color="004483"/>
              <w:bottom w:val="single" w:sz="8" w:color="A6A6A6"/>
            </w:tcBorders>
          </w:tcPr>
          <w:p>
            <w:pPr>
              <w:spacing w:after="0"/>
              <w:rPr>
                <w:sz w:val="16"/>
                <w:szCs w:val="16"/>
                <w:color w:val="auto"/>
              </w:rPr>
            </w:pPr>
          </w:p>
        </w:tc>
        <w:tc>
          <w:tcPr>
            <w:tcW w:w="1100" w:type="dxa"/>
            <w:vAlign w:val="bottom"/>
            <w:tcBorders>
              <w:top w:val="single" w:sz="8" w:color="004483"/>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6A6A6"/>
              <w:bottom w:val="single" w:sz="8" w:color="A6A6A6"/>
            </w:tcBorders>
          </w:tcPr>
          <w:p>
            <w:pPr>
              <w:spacing w:after="0"/>
              <w:rPr>
                <w:sz w:val="16"/>
                <w:szCs w:val="16"/>
                <w:color w:val="auto"/>
              </w:rPr>
            </w:pPr>
          </w:p>
        </w:tc>
        <w:tc>
          <w:tcPr>
            <w:tcW w:w="300" w:type="dxa"/>
            <w:vAlign w:val="bottom"/>
            <w:tcBorders>
              <w:top w:val="single" w:sz="8" w:color="004483"/>
              <w:bottom w:val="single" w:sz="8" w:color="A6A6A6"/>
            </w:tcBorders>
          </w:tcPr>
          <w:p>
            <w:pPr>
              <w:spacing w:after="0"/>
              <w:rPr>
                <w:sz w:val="16"/>
                <w:szCs w:val="16"/>
                <w:color w:val="auto"/>
              </w:rPr>
            </w:pPr>
          </w:p>
        </w:tc>
        <w:tc>
          <w:tcPr>
            <w:tcW w:w="980" w:type="dxa"/>
            <w:vAlign w:val="bottom"/>
            <w:tcBorders>
              <w:top w:val="single" w:sz="8" w:color="004483"/>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r>
      <w:tr>
        <w:trPr>
          <w:trHeight w:val="253"/>
        </w:trPr>
        <w:tc>
          <w:tcPr>
            <w:tcW w:w="5040" w:type="dxa"/>
            <w:vAlign w:val="bottom"/>
            <w:tcBorders>
              <w:bottom w:val="single" w:sz="8" w:color="A6A6A6"/>
            </w:tcBorders>
          </w:tcPr>
          <w:p>
            <w:pPr>
              <w:ind w:left="260"/>
              <w:spacing w:after="0"/>
              <w:rPr>
                <w:sz w:val="20"/>
                <w:szCs w:val="20"/>
                <w:color w:val="auto"/>
              </w:rPr>
            </w:pPr>
            <w:r>
              <w:rPr>
                <w:rFonts w:ascii="Arial" w:cs="Arial" w:eastAsia="Arial" w:hAnsi="Arial"/>
                <w:sz w:val="16"/>
                <w:szCs w:val="16"/>
                <w:color w:val="17385E"/>
              </w:rPr>
              <w:t>Basic</w:t>
            </w:r>
          </w:p>
        </w:tc>
        <w:tc>
          <w:tcPr>
            <w:tcW w:w="320" w:type="dxa"/>
            <w:vAlign w:val="bottom"/>
            <w:tcBorders>
              <w:bottom w:val="single" w:sz="8" w:color="A6A6A6"/>
            </w:tcBorders>
          </w:tcPr>
          <w:p>
            <w:pPr>
              <w:spacing w:after="0"/>
              <w:rPr>
                <w:sz w:val="22"/>
                <w:szCs w:val="22"/>
                <w:color w:val="auto"/>
              </w:rPr>
            </w:pPr>
          </w:p>
        </w:tc>
        <w:tc>
          <w:tcPr>
            <w:tcW w:w="140" w:type="dxa"/>
            <w:vAlign w:val="bottom"/>
            <w:tcBorders>
              <w:bottom w:val="single" w:sz="8" w:color="004483"/>
            </w:tcBorders>
          </w:tcPr>
          <w:p>
            <w:pPr>
              <w:spacing w:after="0"/>
              <w:rPr>
                <w:sz w:val="22"/>
                <w:szCs w:val="22"/>
                <w:color w:val="auto"/>
              </w:rPr>
            </w:pP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41,450,013</w:t>
            </w:r>
          </w:p>
        </w:tc>
        <w:tc>
          <w:tcPr>
            <w:tcW w:w="120" w:type="dxa"/>
            <w:vAlign w:val="bottom"/>
          </w:tcPr>
          <w:p>
            <w:pPr>
              <w:spacing w:after="0"/>
              <w:rPr>
                <w:sz w:val="22"/>
                <w:szCs w:val="22"/>
                <w:color w:val="auto"/>
              </w:rPr>
            </w:pPr>
          </w:p>
        </w:tc>
        <w:tc>
          <w:tcPr>
            <w:tcW w:w="120" w:type="dxa"/>
            <w:vAlign w:val="bottom"/>
            <w:tcBorders>
              <w:bottom w:val="single" w:sz="8" w:color="A6A6A6"/>
            </w:tcBorders>
          </w:tcPr>
          <w:p>
            <w:pPr>
              <w:spacing w:after="0"/>
              <w:rPr>
                <w:sz w:val="22"/>
                <w:szCs w:val="22"/>
                <w:color w:val="auto"/>
              </w:rPr>
            </w:pPr>
          </w:p>
        </w:tc>
        <w:tc>
          <w:tcPr>
            <w:tcW w:w="300" w:type="dxa"/>
            <w:vAlign w:val="bottom"/>
            <w:tcBorders>
              <w:bottom w:val="single" w:sz="8" w:color="004483"/>
            </w:tcBorders>
          </w:tcPr>
          <w:p>
            <w:pPr>
              <w:spacing w:after="0"/>
              <w:rPr>
                <w:sz w:val="22"/>
                <w:szCs w:val="22"/>
                <w:color w:val="auto"/>
              </w:rPr>
            </w:pPr>
          </w:p>
        </w:tc>
        <w:tc>
          <w:tcPr>
            <w:tcW w:w="9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41,572,127</w:t>
            </w:r>
          </w:p>
        </w:tc>
        <w:tc>
          <w:tcPr>
            <w:tcW w:w="100" w:type="dxa"/>
            <w:vAlign w:val="bottom"/>
          </w:tcPr>
          <w:p>
            <w:pPr>
              <w:spacing w:after="0"/>
              <w:rPr>
                <w:sz w:val="22"/>
                <w:szCs w:val="22"/>
                <w:color w:val="auto"/>
              </w:rPr>
            </w:pPr>
          </w:p>
        </w:tc>
        <w:tc>
          <w:tcPr>
            <w:tcW w:w="140" w:type="dxa"/>
            <w:vAlign w:val="bottom"/>
            <w:tcBorders>
              <w:bottom w:val="single" w:sz="8" w:color="A6A6A6"/>
            </w:tcBorders>
          </w:tcPr>
          <w:p>
            <w:pPr>
              <w:spacing w:after="0"/>
              <w:rPr>
                <w:sz w:val="22"/>
                <w:szCs w:val="22"/>
                <w:color w:val="auto"/>
              </w:rPr>
            </w:pPr>
          </w:p>
        </w:tc>
        <w:tc>
          <w:tcPr>
            <w:tcW w:w="160" w:type="dxa"/>
            <w:vAlign w:val="bottom"/>
            <w:tcBorders>
              <w:bottom w:val="single" w:sz="8" w:color="004483"/>
            </w:tcBorders>
          </w:tcPr>
          <w:p>
            <w:pPr>
              <w:spacing w:after="0"/>
              <w:rPr>
                <w:sz w:val="22"/>
                <w:szCs w:val="22"/>
                <w:color w:val="auto"/>
              </w:rPr>
            </w:pPr>
          </w:p>
        </w:tc>
        <w:tc>
          <w:tcPr>
            <w:tcW w:w="1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41,430,511</w:t>
            </w:r>
          </w:p>
        </w:tc>
        <w:tc>
          <w:tcPr>
            <w:tcW w:w="100" w:type="dxa"/>
            <w:vAlign w:val="bottom"/>
          </w:tcPr>
          <w:p>
            <w:pPr>
              <w:spacing w:after="0"/>
              <w:rPr>
                <w:sz w:val="22"/>
                <w:szCs w:val="22"/>
                <w:color w:val="auto"/>
              </w:rPr>
            </w:pPr>
          </w:p>
        </w:tc>
        <w:tc>
          <w:tcPr>
            <w:tcW w:w="140" w:type="dxa"/>
            <w:vAlign w:val="bottom"/>
            <w:tcBorders>
              <w:bottom w:val="single" w:sz="8" w:color="A6A6A6"/>
            </w:tcBorders>
          </w:tcPr>
          <w:p>
            <w:pPr>
              <w:spacing w:after="0"/>
              <w:rPr>
                <w:sz w:val="22"/>
                <w:szCs w:val="22"/>
                <w:color w:val="auto"/>
              </w:rPr>
            </w:pPr>
          </w:p>
        </w:tc>
        <w:tc>
          <w:tcPr>
            <w:tcW w:w="300" w:type="dxa"/>
            <w:vAlign w:val="bottom"/>
            <w:tcBorders>
              <w:bottom w:val="single" w:sz="8" w:color="004483"/>
            </w:tcBorders>
          </w:tcPr>
          <w:p>
            <w:pPr>
              <w:spacing w:after="0"/>
              <w:rPr>
                <w:sz w:val="22"/>
                <w:szCs w:val="22"/>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42,714,896</w:t>
            </w:r>
          </w:p>
        </w:tc>
        <w:tc>
          <w:tcPr>
            <w:tcW w:w="100" w:type="dxa"/>
            <w:vAlign w:val="bottom"/>
          </w:tcPr>
          <w:p>
            <w:pPr>
              <w:spacing w:after="0"/>
              <w:rPr>
                <w:sz w:val="22"/>
                <w:szCs w:val="22"/>
                <w:color w:val="auto"/>
              </w:rPr>
            </w:pPr>
          </w:p>
        </w:tc>
      </w:tr>
      <w:tr>
        <w:trPr>
          <w:trHeight w:val="236"/>
        </w:trPr>
        <w:tc>
          <w:tcPr>
            <w:tcW w:w="5040" w:type="dxa"/>
            <w:vAlign w:val="bottom"/>
            <w:tcBorders>
              <w:bottom w:val="single" w:sz="8" w:color="A6A6A6"/>
            </w:tcBorders>
          </w:tcPr>
          <w:p>
            <w:pPr>
              <w:ind w:left="260"/>
              <w:spacing w:after="0"/>
              <w:rPr>
                <w:sz w:val="20"/>
                <w:szCs w:val="20"/>
                <w:color w:val="auto"/>
              </w:rPr>
            </w:pPr>
            <w:r>
              <w:rPr>
                <w:rFonts w:ascii="Arial" w:cs="Arial" w:eastAsia="Arial" w:hAnsi="Arial"/>
                <w:sz w:val="16"/>
                <w:szCs w:val="16"/>
                <w:color w:val="17385E"/>
              </w:rPr>
              <w:t>Diluted</w:t>
            </w:r>
          </w:p>
        </w:tc>
        <w:tc>
          <w:tcPr>
            <w:tcW w:w="320" w:type="dxa"/>
            <w:vAlign w:val="bottom"/>
            <w:tcBorders>
              <w:bottom w:val="single" w:sz="8" w:color="A6A6A6"/>
            </w:tcBorders>
          </w:tcPr>
          <w:p>
            <w:pPr>
              <w:spacing w:after="0"/>
              <w:rPr>
                <w:sz w:val="20"/>
                <w:szCs w:val="20"/>
                <w:color w:val="auto"/>
              </w:rPr>
            </w:pPr>
          </w:p>
        </w:tc>
        <w:tc>
          <w:tcPr>
            <w:tcW w:w="140" w:type="dxa"/>
            <w:vAlign w:val="bottom"/>
            <w:tcBorders>
              <w:bottom w:val="single" w:sz="8" w:color="004483"/>
            </w:tcBorders>
          </w:tcPr>
          <w:p>
            <w:pPr>
              <w:spacing w:after="0"/>
              <w:rPr>
                <w:sz w:val="20"/>
                <w:szCs w:val="20"/>
                <w:color w:val="auto"/>
              </w:rPr>
            </w:pP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41,649,319</w:t>
            </w:r>
          </w:p>
        </w:tc>
        <w:tc>
          <w:tcPr>
            <w:tcW w:w="12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300" w:type="dxa"/>
            <w:vAlign w:val="bottom"/>
            <w:tcBorders>
              <w:bottom w:val="single" w:sz="8" w:color="004483"/>
            </w:tcBorders>
          </w:tcPr>
          <w:p>
            <w:pPr>
              <w:spacing w:after="0"/>
              <w:rPr>
                <w:sz w:val="20"/>
                <w:szCs w:val="20"/>
                <w:color w:val="auto"/>
              </w:rPr>
            </w:pPr>
          </w:p>
        </w:tc>
        <w:tc>
          <w:tcPr>
            <w:tcW w:w="9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41,833,775</w:t>
            </w:r>
          </w:p>
        </w:tc>
        <w:tc>
          <w:tcPr>
            <w:tcW w:w="100" w:type="dxa"/>
            <w:vAlign w:val="bottom"/>
          </w:tcPr>
          <w:p>
            <w:pPr>
              <w:spacing w:after="0"/>
              <w:rPr>
                <w:sz w:val="20"/>
                <w:szCs w:val="20"/>
                <w:color w:val="auto"/>
              </w:rPr>
            </w:pPr>
          </w:p>
        </w:tc>
        <w:tc>
          <w:tcPr>
            <w:tcW w:w="140" w:type="dxa"/>
            <w:vAlign w:val="bottom"/>
            <w:tcBorders>
              <w:bottom w:val="single" w:sz="8" w:color="A6A6A6"/>
            </w:tcBorders>
          </w:tcPr>
          <w:p>
            <w:pPr>
              <w:spacing w:after="0"/>
              <w:rPr>
                <w:sz w:val="20"/>
                <w:szCs w:val="20"/>
                <w:color w:val="auto"/>
              </w:rPr>
            </w:pPr>
          </w:p>
        </w:tc>
        <w:tc>
          <w:tcPr>
            <w:tcW w:w="160" w:type="dxa"/>
            <w:vAlign w:val="bottom"/>
            <w:tcBorders>
              <w:bottom w:val="single" w:sz="8" w:color="004483"/>
            </w:tcBorders>
          </w:tcPr>
          <w:p>
            <w:pPr>
              <w:spacing w:after="0"/>
              <w:rPr>
                <w:sz w:val="20"/>
                <w:szCs w:val="20"/>
                <w:color w:val="auto"/>
              </w:rPr>
            </w:pPr>
          </w:p>
        </w:tc>
        <w:tc>
          <w:tcPr>
            <w:tcW w:w="1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41,606,401</w:t>
            </w:r>
          </w:p>
        </w:tc>
        <w:tc>
          <w:tcPr>
            <w:tcW w:w="100" w:type="dxa"/>
            <w:vAlign w:val="bottom"/>
          </w:tcPr>
          <w:p>
            <w:pPr>
              <w:spacing w:after="0"/>
              <w:rPr>
                <w:sz w:val="20"/>
                <w:szCs w:val="20"/>
                <w:color w:val="auto"/>
              </w:rPr>
            </w:pPr>
          </w:p>
        </w:tc>
        <w:tc>
          <w:tcPr>
            <w:tcW w:w="140" w:type="dxa"/>
            <w:vAlign w:val="bottom"/>
            <w:tcBorders>
              <w:bottom w:val="single" w:sz="8" w:color="A6A6A6"/>
            </w:tcBorders>
          </w:tcPr>
          <w:p>
            <w:pPr>
              <w:spacing w:after="0"/>
              <w:rPr>
                <w:sz w:val="20"/>
                <w:szCs w:val="20"/>
                <w:color w:val="auto"/>
              </w:rPr>
            </w:pPr>
          </w:p>
        </w:tc>
        <w:tc>
          <w:tcPr>
            <w:tcW w:w="300" w:type="dxa"/>
            <w:vAlign w:val="bottom"/>
            <w:tcBorders>
              <w:bottom w:val="single" w:sz="8" w:color="004483"/>
            </w:tcBorders>
          </w:tcPr>
          <w:p>
            <w:pPr>
              <w:spacing w:after="0"/>
              <w:rPr>
                <w:sz w:val="20"/>
                <w:szCs w:val="20"/>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42,985,715</w:t>
            </w:r>
          </w:p>
        </w:tc>
        <w:tc>
          <w:tcPr>
            <w:tcW w:w="100" w:type="dxa"/>
            <w:vAlign w:val="bottom"/>
          </w:tcPr>
          <w:p>
            <w:pPr>
              <w:spacing w:after="0"/>
              <w:rPr>
                <w:sz w:val="20"/>
                <w:szCs w:val="20"/>
                <w:color w:val="auto"/>
              </w:rPr>
            </w:pPr>
          </w:p>
        </w:tc>
      </w:tr>
      <w:tr>
        <w:trPr>
          <w:trHeight w:val="217"/>
        </w:trPr>
        <w:tc>
          <w:tcPr>
            <w:tcW w:w="5040" w:type="dxa"/>
            <w:vAlign w:val="bottom"/>
          </w:tcPr>
          <w:p>
            <w:pPr>
              <w:spacing w:after="0"/>
              <w:rPr>
                <w:sz w:val="20"/>
                <w:szCs w:val="20"/>
                <w:color w:val="auto"/>
              </w:rPr>
            </w:pPr>
            <w:r>
              <w:rPr>
                <w:rFonts w:ascii="Arial" w:cs="Arial" w:eastAsia="Arial" w:hAnsi="Arial"/>
                <w:sz w:val="16"/>
                <w:szCs w:val="16"/>
                <w:b w:val="1"/>
                <w:bCs w:val="1"/>
                <w:color w:val="auto"/>
              </w:rPr>
              <w:t>CASH DIVIDENDS PER SHARE</w:t>
            </w:r>
          </w:p>
        </w:tc>
        <w:tc>
          <w:tcPr>
            <w:tcW w:w="320" w:type="dxa"/>
            <w:vAlign w:val="bottom"/>
          </w:tcPr>
          <w:p>
            <w:pPr>
              <w:spacing w:after="0"/>
              <w:rPr>
                <w:sz w:val="18"/>
                <w:szCs w:val="18"/>
                <w:color w:val="auto"/>
              </w:rPr>
            </w:pPr>
          </w:p>
        </w:tc>
        <w:tc>
          <w:tcPr>
            <w:tcW w:w="140" w:type="dxa"/>
            <w:vAlign w:val="bottom"/>
            <w:tcBorders>
              <w:bottom w:val="single" w:sz="8" w:color="004483"/>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004483"/>
            </w:tcBorders>
          </w:tcPr>
          <w:p>
            <w:pPr>
              <w:jc w:val="right"/>
              <w:ind w:right="148"/>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0.10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004483"/>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0.10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004483"/>
            </w:tcBorders>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0.20</w:t>
            </w:r>
          </w:p>
        </w:tc>
        <w:tc>
          <w:tcPr>
            <w:tcW w:w="100" w:type="dxa"/>
            <w:vAlign w:val="bottom"/>
          </w:tcPr>
          <w:p>
            <w:pPr>
              <w:spacing w:after="0"/>
              <w:rPr>
                <w:sz w:val="18"/>
                <w:szCs w:val="18"/>
                <w:color w:val="auto"/>
              </w:rPr>
            </w:pPr>
          </w:p>
        </w:tc>
      </w:tr>
      <w:tr>
        <w:trPr>
          <w:trHeight w:val="20"/>
        </w:trPr>
        <w:tc>
          <w:tcPr>
            <w:tcW w:w="5040" w:type="dxa"/>
            <w:vAlign w:val="bottom"/>
            <w:tcBorders>
              <w:top w:val="single" w:sz="8" w:color="A6A6A6"/>
            </w:tcBorders>
          </w:tcPr>
          <w:p>
            <w:pPr>
              <w:spacing w:after="0" w:line="20" w:lineRule="exact"/>
              <w:rPr>
                <w:sz w:val="1"/>
                <w:szCs w:val="1"/>
                <w:color w:val="auto"/>
              </w:rPr>
            </w:pPr>
          </w:p>
        </w:tc>
        <w:tc>
          <w:tcPr>
            <w:tcW w:w="320" w:type="dxa"/>
            <w:vAlign w:val="bottom"/>
            <w:tcBorders>
              <w:top w:val="single" w:sz="8" w:color="A6A6A6"/>
            </w:tcBorders>
          </w:tcPr>
          <w:p>
            <w:pPr>
              <w:spacing w:after="0" w:line="20" w:lineRule="exact"/>
              <w:rPr>
                <w:sz w:val="1"/>
                <w:szCs w:val="1"/>
                <w:color w:val="auto"/>
              </w:rPr>
            </w:pPr>
          </w:p>
        </w:tc>
        <w:tc>
          <w:tcPr>
            <w:tcW w:w="140" w:type="dxa"/>
            <w:vAlign w:val="bottom"/>
            <w:shd w:val="clear" w:color="auto" w:fill="004483"/>
          </w:tcPr>
          <w:p>
            <w:pPr>
              <w:spacing w:after="0" w:line="20" w:lineRule="exact"/>
              <w:rPr>
                <w:sz w:val="1"/>
                <w:szCs w:val="1"/>
                <w:color w:val="auto"/>
              </w:rPr>
            </w:pPr>
          </w:p>
        </w:tc>
        <w:tc>
          <w:tcPr>
            <w:tcW w:w="112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6A6A6"/>
            </w:tcBorders>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96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6A6A6"/>
            </w:tcBorders>
          </w:tcPr>
          <w:p>
            <w:pPr>
              <w:spacing w:after="0" w:line="20" w:lineRule="exact"/>
              <w:rPr>
                <w:sz w:val="1"/>
                <w:szCs w:val="1"/>
                <w:color w:val="auto"/>
              </w:rPr>
            </w:pPr>
          </w:p>
        </w:tc>
        <w:tc>
          <w:tcPr>
            <w:tcW w:w="160" w:type="dxa"/>
            <w:vAlign w:val="bottom"/>
            <w:shd w:val="clear" w:color="auto" w:fill="004483"/>
          </w:tcPr>
          <w:p>
            <w:pPr>
              <w:spacing w:after="0" w:line="20" w:lineRule="exact"/>
              <w:rPr>
                <w:sz w:val="1"/>
                <w:szCs w:val="1"/>
                <w:color w:val="auto"/>
              </w:rPr>
            </w:pPr>
          </w:p>
        </w:tc>
        <w:tc>
          <w:tcPr>
            <w:tcW w:w="110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6A6A6"/>
            </w:tcBorders>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98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EAGLE MATERIALS INC. AND SUBSIDIARIES CONSOLIDATED STATEMENTS OF COMPREHENSIVE EARNINGS (unaudited)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shd w:val="clear" w:color="auto" w:fill="004483"/>
          </w:tcPr>
          <w:p>
            <w:pPr>
              <w:spacing w:after="0"/>
              <w:rPr>
                <w:sz w:val="19"/>
                <w:szCs w:val="19"/>
                <w:color w:val="auto"/>
              </w:rPr>
            </w:pPr>
          </w:p>
        </w:tc>
        <w:tc>
          <w:tcPr>
            <w:tcW w:w="2720" w:type="dxa"/>
            <w:vAlign w:val="bottom"/>
            <w:gridSpan w:val="6"/>
            <w:shd w:val="clear" w:color="auto" w:fill="004483"/>
          </w:tcPr>
          <w:p>
            <w:pPr>
              <w:jc w:val="right"/>
              <w:ind w:right="300"/>
              <w:spacing w:after="0"/>
              <w:rPr>
                <w:sz w:val="20"/>
                <w:szCs w:val="20"/>
                <w:color w:val="auto"/>
              </w:rPr>
            </w:pPr>
            <w:r>
              <w:rPr>
                <w:rFonts w:ascii="Arial" w:cs="Arial" w:eastAsia="Arial" w:hAnsi="Arial"/>
                <w:sz w:val="13"/>
                <w:szCs w:val="13"/>
                <w:b w:val="1"/>
                <w:bCs w:val="1"/>
                <w:color w:val="FFFFFF"/>
                <w:w w:val="89"/>
              </w:rPr>
              <w:t>For the Three Months Ended September 30,</w:t>
            </w:r>
          </w:p>
        </w:tc>
        <w:tc>
          <w:tcPr>
            <w:tcW w:w="140" w:type="dxa"/>
            <w:vAlign w:val="bottom"/>
          </w:tcPr>
          <w:p>
            <w:pPr>
              <w:spacing w:after="0"/>
              <w:rPr>
                <w:sz w:val="19"/>
                <w:szCs w:val="19"/>
                <w:color w:val="auto"/>
              </w:rPr>
            </w:pPr>
          </w:p>
        </w:tc>
        <w:tc>
          <w:tcPr>
            <w:tcW w:w="160" w:type="dxa"/>
            <w:vAlign w:val="bottom"/>
            <w:shd w:val="clear" w:color="auto" w:fill="004483"/>
          </w:tcPr>
          <w:p>
            <w:pPr>
              <w:spacing w:after="0"/>
              <w:rPr>
                <w:sz w:val="19"/>
                <w:szCs w:val="19"/>
                <w:color w:val="auto"/>
              </w:rPr>
            </w:pPr>
          </w:p>
        </w:tc>
        <w:tc>
          <w:tcPr>
            <w:tcW w:w="2720" w:type="dxa"/>
            <w:vAlign w:val="bottom"/>
            <w:gridSpan w:val="6"/>
            <w:shd w:val="clear" w:color="auto" w:fill="004483"/>
          </w:tcPr>
          <w:p>
            <w:pPr>
              <w:jc w:val="right"/>
              <w:ind w:right="400"/>
              <w:spacing w:after="0"/>
              <w:rPr>
                <w:sz w:val="20"/>
                <w:szCs w:val="20"/>
                <w:color w:val="auto"/>
              </w:rPr>
            </w:pPr>
            <w:r>
              <w:rPr>
                <w:rFonts w:ascii="Arial" w:cs="Arial" w:eastAsia="Arial" w:hAnsi="Arial"/>
                <w:sz w:val="13"/>
                <w:szCs w:val="13"/>
                <w:b w:val="1"/>
                <w:bCs w:val="1"/>
                <w:color w:val="FFFFFF"/>
                <w:w w:val="90"/>
              </w:rPr>
              <w:t>For the Six Months Ended September 30,</w:t>
            </w:r>
          </w:p>
        </w:tc>
      </w:tr>
      <w:tr>
        <w:trPr>
          <w:trHeight w:val="148"/>
        </w:trPr>
        <w:tc>
          <w:tcPr>
            <w:tcW w:w="4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2"/>
                <w:szCs w:val="12"/>
                <w:color w:val="auto"/>
              </w:rPr>
            </w:pPr>
          </w:p>
        </w:tc>
      </w:tr>
      <w:tr>
        <w:trPr>
          <w:trHeight w:val="149"/>
        </w:trPr>
        <w:tc>
          <w:tcPr>
            <w:tcW w:w="4240" w:type="dxa"/>
            <w:vAlign w:val="bottom"/>
            <w:tcBorders>
              <w:bottom w:val="single" w:sz="8" w:color="004483"/>
            </w:tcBorders>
          </w:tcPr>
          <w:p>
            <w:pPr>
              <w:spacing w:after="0"/>
              <w:rPr>
                <w:sz w:val="12"/>
                <w:szCs w:val="12"/>
                <w:color w:val="auto"/>
              </w:rPr>
            </w:pPr>
          </w:p>
        </w:tc>
        <w:tc>
          <w:tcPr>
            <w:tcW w:w="1120" w:type="dxa"/>
            <w:vAlign w:val="bottom"/>
            <w:tcBorders>
              <w:bottom w:val="single" w:sz="8" w:color="004483"/>
            </w:tcBorders>
          </w:tcPr>
          <w:p>
            <w:pPr>
              <w:spacing w:after="0"/>
              <w:rPr>
                <w:sz w:val="12"/>
                <w:szCs w:val="12"/>
                <w:color w:val="auto"/>
              </w:rPr>
            </w:pPr>
          </w:p>
        </w:tc>
        <w:tc>
          <w:tcPr>
            <w:tcW w:w="140" w:type="dxa"/>
            <w:vAlign w:val="bottom"/>
            <w:tcBorders>
              <w:bottom w:val="single" w:sz="8" w:color="004483"/>
            </w:tcBorders>
          </w:tcPr>
          <w:p>
            <w:pPr>
              <w:spacing w:after="0"/>
              <w:rPr>
                <w:sz w:val="12"/>
                <w:szCs w:val="12"/>
                <w:color w:val="auto"/>
              </w:rPr>
            </w:pPr>
          </w:p>
        </w:tc>
        <w:tc>
          <w:tcPr>
            <w:tcW w:w="1120" w:type="dxa"/>
            <w:vAlign w:val="bottom"/>
            <w:tcBorders>
              <w:bottom w:val="single" w:sz="8" w:color="004483"/>
            </w:tcBorders>
          </w:tcPr>
          <w:p>
            <w:pPr>
              <w:spacing w:after="0"/>
              <w:rPr>
                <w:sz w:val="12"/>
                <w:szCs w:val="12"/>
                <w:color w:val="auto"/>
              </w:rPr>
            </w:pPr>
          </w:p>
        </w:tc>
        <w:tc>
          <w:tcPr>
            <w:tcW w:w="120" w:type="dxa"/>
            <w:vAlign w:val="bottom"/>
            <w:tcBorders>
              <w:bottom w:val="single" w:sz="8" w:color="004483"/>
            </w:tcBorders>
          </w:tcPr>
          <w:p>
            <w:pPr>
              <w:spacing w:after="0"/>
              <w:rPr>
                <w:sz w:val="12"/>
                <w:szCs w:val="12"/>
                <w:color w:val="auto"/>
              </w:rPr>
            </w:pPr>
          </w:p>
        </w:tc>
        <w:tc>
          <w:tcPr>
            <w:tcW w:w="120" w:type="dxa"/>
            <w:vAlign w:val="bottom"/>
            <w:tcBorders>
              <w:bottom w:val="single" w:sz="8" w:color="004483"/>
            </w:tcBorders>
          </w:tcPr>
          <w:p>
            <w:pPr>
              <w:spacing w:after="0"/>
              <w:rPr>
                <w:sz w:val="12"/>
                <w:szCs w:val="12"/>
                <w:color w:val="auto"/>
              </w:rPr>
            </w:pPr>
          </w:p>
        </w:tc>
        <w:tc>
          <w:tcPr>
            <w:tcW w:w="440" w:type="dxa"/>
            <w:vAlign w:val="bottom"/>
            <w:tcBorders>
              <w:bottom w:val="single" w:sz="8" w:color="004483"/>
            </w:tcBorders>
          </w:tcPr>
          <w:p>
            <w:pPr>
              <w:spacing w:after="0"/>
              <w:rPr>
                <w:sz w:val="12"/>
                <w:szCs w:val="12"/>
                <w:color w:val="auto"/>
              </w:rPr>
            </w:pPr>
          </w:p>
        </w:tc>
        <w:tc>
          <w:tcPr>
            <w:tcW w:w="2540" w:type="dxa"/>
            <w:vAlign w:val="bottom"/>
            <w:tcBorders>
              <w:bottom w:val="single" w:sz="8" w:color="004483"/>
            </w:tcBorders>
            <w:gridSpan w:val="7"/>
          </w:tcPr>
          <w:p>
            <w:pPr>
              <w:ind w:left="400"/>
              <w:spacing w:after="0"/>
              <w:rPr>
                <w:sz w:val="20"/>
                <w:szCs w:val="20"/>
                <w:color w:val="auto"/>
              </w:rPr>
            </w:pPr>
            <w:r>
              <w:rPr>
                <w:rFonts w:ascii="Arial" w:cs="Arial" w:eastAsia="Arial" w:hAnsi="Arial"/>
                <w:sz w:val="13"/>
                <w:szCs w:val="13"/>
                <w:color w:val="auto"/>
              </w:rPr>
              <w:t>(dollars in thousands)</w:t>
            </w:r>
          </w:p>
        </w:tc>
        <w:tc>
          <w:tcPr>
            <w:tcW w:w="420" w:type="dxa"/>
            <w:vAlign w:val="bottom"/>
            <w:tcBorders>
              <w:bottom w:val="single" w:sz="8" w:color="004483"/>
            </w:tcBorders>
          </w:tcPr>
          <w:p>
            <w:pPr>
              <w:spacing w:after="0"/>
              <w:rPr>
                <w:sz w:val="12"/>
                <w:szCs w:val="12"/>
                <w:color w:val="auto"/>
              </w:rPr>
            </w:pPr>
          </w:p>
        </w:tc>
        <w:tc>
          <w:tcPr>
            <w:tcW w:w="880" w:type="dxa"/>
            <w:vAlign w:val="bottom"/>
            <w:tcBorders>
              <w:bottom w:val="single" w:sz="8" w:color="004483"/>
            </w:tcBorders>
          </w:tcPr>
          <w:p>
            <w:pPr>
              <w:spacing w:after="0"/>
              <w:rPr>
                <w:sz w:val="12"/>
                <w:szCs w:val="12"/>
                <w:color w:val="auto"/>
              </w:rPr>
            </w:pPr>
          </w:p>
        </w:tc>
        <w:tc>
          <w:tcPr>
            <w:tcW w:w="100" w:type="dxa"/>
            <w:vAlign w:val="bottom"/>
          </w:tcPr>
          <w:p>
            <w:pPr>
              <w:spacing w:after="0"/>
              <w:rPr>
                <w:sz w:val="12"/>
                <w:szCs w:val="12"/>
                <w:color w:val="auto"/>
              </w:rPr>
            </w:pPr>
          </w:p>
        </w:tc>
      </w:tr>
      <w:tr>
        <w:trPr>
          <w:trHeight w:val="207"/>
        </w:trPr>
        <w:tc>
          <w:tcPr>
            <w:tcW w:w="4240" w:type="dxa"/>
            <w:vAlign w:val="bottom"/>
            <w:tcBorders>
              <w:bottom w:val="single" w:sz="8" w:color="A6A6A6"/>
            </w:tcBorders>
          </w:tcPr>
          <w:p>
            <w:pPr>
              <w:spacing w:after="0"/>
              <w:rPr>
                <w:sz w:val="20"/>
                <w:szCs w:val="20"/>
                <w:color w:val="auto"/>
              </w:rPr>
            </w:pPr>
            <w:r>
              <w:rPr>
                <w:rFonts w:ascii="Arial" w:cs="Arial" w:eastAsia="Arial" w:hAnsi="Arial"/>
                <w:sz w:val="16"/>
                <w:szCs w:val="16"/>
                <w:color w:val="17385E"/>
              </w:rPr>
              <w:t>Net Earnings</w:t>
            </w:r>
          </w:p>
        </w:tc>
        <w:tc>
          <w:tcPr>
            <w:tcW w:w="126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96,034</w:t>
            </w:r>
          </w:p>
        </w:tc>
        <w:tc>
          <w:tcPr>
            <w:tcW w:w="120" w:type="dxa"/>
            <w:vAlign w:val="bottom"/>
          </w:tcPr>
          <w:p>
            <w:pPr>
              <w:spacing w:after="0"/>
              <w:rPr>
                <w:sz w:val="17"/>
                <w:szCs w:val="17"/>
                <w:color w:val="auto"/>
              </w:rPr>
            </w:pPr>
          </w:p>
        </w:tc>
        <w:tc>
          <w:tcPr>
            <w:tcW w:w="560" w:type="dxa"/>
            <w:vAlign w:val="bottom"/>
            <w:tcBorders>
              <w:bottom w:val="single" w:sz="8" w:color="A6A6A6"/>
            </w:tcBorders>
            <w:gridSpan w:val="2"/>
          </w:tcPr>
          <w:p>
            <w:pPr>
              <w:jc w:val="right"/>
              <w:ind w:right="284"/>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71,793</w:t>
            </w:r>
          </w:p>
        </w:tc>
        <w:tc>
          <w:tcPr>
            <w:tcW w:w="100" w:type="dxa"/>
            <w:vAlign w:val="bottom"/>
          </w:tcPr>
          <w:p>
            <w:pPr>
              <w:spacing w:after="0"/>
              <w:rPr>
                <w:sz w:val="17"/>
                <w:szCs w:val="17"/>
                <w:color w:val="auto"/>
              </w:rPr>
            </w:pPr>
          </w:p>
        </w:tc>
        <w:tc>
          <w:tcPr>
            <w:tcW w:w="300" w:type="dxa"/>
            <w:vAlign w:val="bottom"/>
            <w:tcBorders>
              <w:bottom w:val="single" w:sz="8" w:color="A6A6A6"/>
            </w:tcBorders>
            <w:gridSpan w:val="2"/>
          </w:tcPr>
          <w:p>
            <w:pPr>
              <w:jc w:val="right"/>
              <w:ind w:right="4"/>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192,240</w:t>
            </w: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420" w:type="dxa"/>
            <w:vAlign w:val="bottom"/>
            <w:tcBorders>
              <w:bottom w:val="single" w:sz="8" w:color="A6A6A6"/>
            </w:tcBorders>
          </w:tcPr>
          <w:p>
            <w:pPr>
              <w:jc w:val="right"/>
              <w:ind w:right="2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113,097</w:t>
            </w:r>
          </w:p>
        </w:tc>
        <w:tc>
          <w:tcPr>
            <w:tcW w:w="100" w:type="dxa"/>
            <w:vAlign w:val="bottom"/>
          </w:tcPr>
          <w:p>
            <w:pPr>
              <w:spacing w:after="0"/>
              <w:rPr>
                <w:sz w:val="17"/>
                <w:szCs w:val="17"/>
                <w:color w:val="auto"/>
              </w:rPr>
            </w:pPr>
          </w:p>
        </w:tc>
      </w:tr>
      <w:tr>
        <w:trPr>
          <w:trHeight w:val="209"/>
        </w:trPr>
        <w:tc>
          <w:tcPr>
            <w:tcW w:w="4240" w:type="dxa"/>
            <w:vAlign w:val="bottom"/>
            <w:tcBorders>
              <w:bottom w:val="single" w:sz="8" w:color="A6A6A6"/>
            </w:tcBorders>
          </w:tcPr>
          <w:p>
            <w:pPr>
              <w:spacing w:after="0"/>
              <w:rPr>
                <w:sz w:val="20"/>
                <w:szCs w:val="20"/>
                <w:color w:val="auto"/>
              </w:rPr>
            </w:pPr>
            <w:r>
              <w:rPr>
                <w:rFonts w:ascii="Arial" w:cs="Arial" w:eastAsia="Arial" w:hAnsi="Arial"/>
                <w:sz w:val="16"/>
                <w:szCs w:val="16"/>
                <w:color w:val="17385E"/>
              </w:rPr>
              <w:t>Net Actuarial Change in Defined Benefit Plans:</w:t>
            </w:r>
          </w:p>
        </w:tc>
        <w:tc>
          <w:tcPr>
            <w:tcW w:w="112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44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240" w:type="dxa"/>
            <w:vAlign w:val="bottom"/>
            <w:tcBorders>
              <w:bottom w:val="single" w:sz="8" w:color="A6A6A6"/>
            </w:tcBorders>
          </w:tcPr>
          <w:p>
            <w:pPr>
              <w:ind w:left="260"/>
              <w:spacing w:after="0"/>
              <w:rPr>
                <w:sz w:val="20"/>
                <w:szCs w:val="20"/>
                <w:color w:val="auto"/>
              </w:rPr>
            </w:pPr>
            <w:r>
              <w:rPr>
                <w:rFonts w:ascii="Arial" w:cs="Arial" w:eastAsia="Arial" w:hAnsi="Arial"/>
                <w:sz w:val="16"/>
                <w:szCs w:val="16"/>
                <w:color w:val="17385E"/>
              </w:rPr>
              <w:t>Amortization of net actuarial loss</w:t>
            </w:r>
          </w:p>
        </w:tc>
        <w:tc>
          <w:tcPr>
            <w:tcW w:w="112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44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r>
      <w:tr>
        <w:trPr>
          <w:trHeight w:val="210"/>
        </w:trPr>
        <w:tc>
          <w:tcPr>
            <w:tcW w:w="4240" w:type="dxa"/>
            <w:vAlign w:val="bottom"/>
          </w:tcPr>
          <w:p>
            <w:pPr>
              <w:ind w:left="260"/>
              <w:spacing w:after="0"/>
              <w:rPr>
                <w:sz w:val="20"/>
                <w:szCs w:val="20"/>
                <w:color w:val="auto"/>
              </w:rPr>
            </w:pPr>
            <w:r>
              <w:rPr>
                <w:rFonts w:ascii="Arial" w:cs="Arial" w:eastAsia="Arial" w:hAnsi="Arial"/>
                <w:sz w:val="16"/>
                <w:szCs w:val="16"/>
                <w:color w:val="17385E"/>
              </w:rPr>
              <w:t>Tax expense</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(20)</w:t>
            </w:r>
          </w:p>
        </w:tc>
      </w:tr>
      <w:tr>
        <w:trPr>
          <w:trHeight w:val="210"/>
        </w:trPr>
        <w:tc>
          <w:tcPr>
            <w:tcW w:w="4240" w:type="dxa"/>
            <w:vAlign w:val="bottom"/>
            <w:tcBorders>
              <w:top w:val="single" w:sz="8" w:color="A6A6A6"/>
            </w:tcBorders>
          </w:tcPr>
          <w:p>
            <w:pPr>
              <w:spacing w:after="0"/>
              <w:rPr>
                <w:sz w:val="20"/>
                <w:szCs w:val="20"/>
                <w:color w:val="auto"/>
              </w:rPr>
            </w:pPr>
            <w:r>
              <w:rPr>
                <w:rFonts w:ascii="Arial" w:cs="Arial" w:eastAsia="Arial" w:hAnsi="Arial"/>
                <w:sz w:val="16"/>
                <w:szCs w:val="16"/>
                <w:b w:val="1"/>
                <w:bCs w:val="1"/>
                <w:color w:val="17385E"/>
              </w:rPr>
              <w:t>Comprehensive Earnings</w:t>
            </w:r>
          </w:p>
        </w:tc>
        <w:tc>
          <w:tcPr>
            <w:tcW w:w="1120" w:type="dxa"/>
            <w:vAlign w:val="bottom"/>
            <w:tcBorders>
              <w:top w:val="single" w:sz="8" w:color="A6A6A6"/>
            </w:tcBorders>
          </w:tcPr>
          <w:p>
            <w:pPr>
              <w:spacing w:after="0"/>
              <w:rPr>
                <w:sz w:val="18"/>
                <w:szCs w:val="18"/>
                <w:color w:val="auto"/>
              </w:rPr>
            </w:pPr>
          </w:p>
        </w:tc>
        <w:tc>
          <w:tcPr>
            <w:tcW w:w="14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96,060</w:t>
            </w:r>
          </w:p>
        </w:tc>
        <w:tc>
          <w:tcPr>
            <w:tcW w:w="120" w:type="dxa"/>
            <w:vAlign w:val="bottom"/>
          </w:tcPr>
          <w:p>
            <w:pPr>
              <w:spacing w:after="0"/>
              <w:rPr>
                <w:sz w:val="18"/>
                <w:szCs w:val="18"/>
                <w:color w:val="auto"/>
              </w:rPr>
            </w:pPr>
          </w:p>
        </w:tc>
        <w:tc>
          <w:tcPr>
            <w:tcW w:w="120" w:type="dxa"/>
            <w:vAlign w:val="bottom"/>
            <w:tcBorders>
              <w:top w:val="single" w:sz="8" w:color="A6A6A6"/>
            </w:tcBorders>
          </w:tcPr>
          <w:p>
            <w:pPr>
              <w:spacing w:after="0"/>
              <w:rPr>
                <w:sz w:val="18"/>
                <w:szCs w:val="18"/>
                <w:color w:val="auto"/>
              </w:rPr>
            </w:pPr>
          </w:p>
        </w:tc>
        <w:tc>
          <w:tcPr>
            <w:tcW w:w="440" w:type="dxa"/>
            <w:vAlign w:val="bottom"/>
            <w:tcBorders>
              <w:top w:val="single" w:sz="8" w:color="004483"/>
              <w:bottom w:val="single" w:sz="8" w:color="004483"/>
            </w:tcBorders>
          </w:tcPr>
          <w:p>
            <w:pPr>
              <w:jc w:val="right"/>
              <w:ind w:right="284"/>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71,826</w:t>
            </w:r>
          </w:p>
        </w:tc>
        <w:tc>
          <w:tcPr>
            <w:tcW w:w="100" w:type="dxa"/>
            <w:vAlign w:val="bottom"/>
          </w:tcPr>
          <w:p>
            <w:pPr>
              <w:spacing w:after="0"/>
              <w:rPr>
                <w:sz w:val="18"/>
                <w:szCs w:val="18"/>
                <w:color w:val="auto"/>
              </w:rPr>
            </w:pPr>
          </w:p>
        </w:tc>
        <w:tc>
          <w:tcPr>
            <w:tcW w:w="140" w:type="dxa"/>
            <w:vAlign w:val="bottom"/>
            <w:tcBorders>
              <w:top w:val="single" w:sz="8" w:color="A6A6A6"/>
            </w:tcBorders>
          </w:tcPr>
          <w:p>
            <w:pPr>
              <w:spacing w:after="0"/>
              <w:rPr>
                <w:sz w:val="18"/>
                <w:szCs w:val="18"/>
                <w:color w:val="auto"/>
              </w:rPr>
            </w:pPr>
          </w:p>
        </w:tc>
        <w:tc>
          <w:tcPr>
            <w:tcW w:w="160" w:type="dxa"/>
            <w:vAlign w:val="bottom"/>
            <w:tcBorders>
              <w:top w:val="single" w:sz="8" w:color="004483"/>
              <w:bottom w:val="single" w:sz="8" w:color="004483"/>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192,291</w:t>
            </w:r>
          </w:p>
        </w:tc>
        <w:tc>
          <w:tcPr>
            <w:tcW w:w="100" w:type="dxa"/>
            <w:vAlign w:val="bottom"/>
          </w:tcPr>
          <w:p>
            <w:pPr>
              <w:spacing w:after="0"/>
              <w:rPr>
                <w:sz w:val="18"/>
                <w:szCs w:val="18"/>
                <w:color w:val="auto"/>
              </w:rPr>
            </w:pPr>
          </w:p>
        </w:tc>
        <w:tc>
          <w:tcPr>
            <w:tcW w:w="120" w:type="dxa"/>
            <w:vAlign w:val="bottom"/>
            <w:tcBorders>
              <w:top w:val="single" w:sz="8" w:color="A6A6A6"/>
            </w:tcBorders>
          </w:tcPr>
          <w:p>
            <w:pPr>
              <w:spacing w:after="0"/>
              <w:rPr>
                <w:sz w:val="18"/>
                <w:szCs w:val="18"/>
                <w:color w:val="auto"/>
              </w:rPr>
            </w:pPr>
          </w:p>
        </w:tc>
        <w:tc>
          <w:tcPr>
            <w:tcW w:w="420" w:type="dxa"/>
            <w:vAlign w:val="bottom"/>
            <w:tcBorders>
              <w:top w:val="single" w:sz="8" w:color="004483"/>
              <w:bottom w:val="single" w:sz="8" w:color="004483"/>
            </w:tcBorders>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113,165</w:t>
            </w:r>
          </w:p>
        </w:tc>
        <w:tc>
          <w:tcPr>
            <w:tcW w:w="100" w:type="dxa"/>
            <w:vAlign w:val="bottom"/>
          </w:tcPr>
          <w:p>
            <w:pPr>
              <w:spacing w:after="0"/>
              <w:rPr>
                <w:sz w:val="18"/>
                <w:szCs w:val="18"/>
                <w:color w:val="auto"/>
              </w:rPr>
            </w:pPr>
          </w:p>
        </w:tc>
      </w:tr>
      <w:tr>
        <w:trPr>
          <w:trHeight w:val="20"/>
        </w:trPr>
        <w:tc>
          <w:tcPr>
            <w:tcW w:w="4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004483"/>
            </w:tcBorders>
          </w:tcPr>
          <w:p>
            <w:pPr>
              <w:spacing w:after="0" w:line="20" w:lineRule="exact"/>
              <w:rPr>
                <w:sz w:val="1"/>
                <w:szCs w:val="1"/>
                <w:color w:val="auto"/>
              </w:rPr>
            </w:pPr>
          </w:p>
        </w:tc>
        <w:tc>
          <w:tcPr>
            <w:tcW w:w="8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EAGLE MATERIALS INC. AND SUBSIDIARIES CONSOLIDATED BALANCE SHEETS (unaudited)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140" w:type="dxa"/>
            <w:vAlign w:val="bottom"/>
          </w:tcPr>
          <w:p>
            <w:pPr>
              <w:spacing w:after="0"/>
              <w:rPr>
                <w:sz w:val="19"/>
                <w:szCs w:val="19"/>
                <w:color w:val="auto"/>
              </w:rPr>
            </w:pPr>
          </w:p>
        </w:tc>
        <w:tc>
          <w:tcPr>
            <w:tcW w:w="2240" w:type="dxa"/>
            <w:vAlign w:val="bottom"/>
            <w:shd w:val="clear" w:color="auto" w:fill="004483"/>
          </w:tcPr>
          <w:p>
            <w:pPr>
              <w:jc w:val="right"/>
              <w:ind w:right="837"/>
              <w:spacing w:after="0"/>
              <w:rPr>
                <w:sz w:val="20"/>
                <w:szCs w:val="20"/>
                <w:color w:val="auto"/>
              </w:rPr>
            </w:pPr>
            <w:r>
              <w:rPr>
                <w:rFonts w:ascii="Arial" w:cs="Arial" w:eastAsia="Arial" w:hAnsi="Arial"/>
                <w:sz w:val="13"/>
                <w:szCs w:val="13"/>
                <w:b w:val="1"/>
                <w:bCs w:val="1"/>
                <w:color w:val="FFFFFF"/>
              </w:rPr>
              <w:t>September 30,</w:t>
            </w:r>
          </w:p>
        </w:tc>
        <w:tc>
          <w:tcPr>
            <w:tcW w:w="860" w:type="dxa"/>
            <w:vAlign w:val="bottom"/>
            <w:gridSpan w:val="2"/>
            <w:shd w:val="clear" w:color="auto" w:fill="004483"/>
          </w:tcPr>
          <w:p>
            <w:pPr>
              <w:jc w:val="right"/>
              <w:ind w:right="120"/>
              <w:spacing w:after="0"/>
              <w:rPr>
                <w:sz w:val="20"/>
                <w:szCs w:val="20"/>
                <w:color w:val="auto"/>
              </w:rPr>
            </w:pPr>
            <w:r>
              <w:rPr>
                <w:rFonts w:ascii="Arial" w:cs="Arial" w:eastAsia="Arial" w:hAnsi="Arial"/>
                <w:sz w:val="13"/>
                <w:szCs w:val="13"/>
                <w:b w:val="1"/>
                <w:bCs w:val="1"/>
                <w:color w:val="FFFFFF"/>
              </w:rPr>
              <w:t>March 31,</w:t>
            </w:r>
          </w:p>
        </w:tc>
      </w:tr>
      <w:tr>
        <w:trPr>
          <w:trHeight w:val="148"/>
        </w:trPr>
        <w:tc>
          <w:tcPr>
            <w:tcW w:w="8140" w:type="dxa"/>
            <w:vAlign w:val="bottom"/>
          </w:tcPr>
          <w:p>
            <w:pPr>
              <w:spacing w:after="0"/>
              <w:rPr>
                <w:sz w:val="12"/>
                <w:szCs w:val="12"/>
                <w:color w:val="auto"/>
              </w:rPr>
            </w:pPr>
          </w:p>
        </w:tc>
        <w:tc>
          <w:tcPr>
            <w:tcW w:w="2240" w:type="dxa"/>
            <w:vAlign w:val="bottom"/>
          </w:tcPr>
          <w:p>
            <w:pPr>
              <w:jc w:val="right"/>
              <w:ind w:right="837"/>
              <w:spacing w:after="0" w:line="148" w:lineRule="exact"/>
              <w:rPr>
                <w:sz w:val="20"/>
                <w:szCs w:val="20"/>
                <w:color w:val="auto"/>
              </w:rPr>
            </w:pPr>
            <w:r>
              <w:rPr>
                <w:rFonts w:ascii="Arial" w:cs="Arial" w:eastAsia="Arial" w:hAnsi="Arial"/>
                <w:sz w:val="13"/>
                <w:szCs w:val="13"/>
                <w:b w:val="1"/>
                <w:bCs w:val="1"/>
                <w:color w:val="auto"/>
              </w:rPr>
              <w:t>2020</w:t>
            </w:r>
          </w:p>
        </w:tc>
        <w:tc>
          <w:tcPr>
            <w:tcW w:w="76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2"/>
                <w:szCs w:val="12"/>
                <w:color w:val="auto"/>
              </w:rPr>
            </w:pPr>
          </w:p>
        </w:tc>
      </w:tr>
      <w:tr>
        <w:trPr>
          <w:trHeight w:val="149"/>
        </w:trPr>
        <w:tc>
          <w:tcPr>
            <w:tcW w:w="8140" w:type="dxa"/>
            <w:vAlign w:val="bottom"/>
            <w:tcBorders>
              <w:bottom w:val="single" w:sz="8" w:color="004483"/>
            </w:tcBorders>
          </w:tcPr>
          <w:p>
            <w:pPr>
              <w:spacing w:after="0"/>
              <w:rPr>
                <w:sz w:val="12"/>
                <w:szCs w:val="12"/>
                <w:color w:val="auto"/>
              </w:rPr>
            </w:pPr>
          </w:p>
        </w:tc>
        <w:tc>
          <w:tcPr>
            <w:tcW w:w="2240" w:type="dxa"/>
            <w:vAlign w:val="bottom"/>
            <w:tcBorders>
              <w:bottom w:val="single" w:sz="8" w:color="004483"/>
            </w:tcBorders>
          </w:tcPr>
          <w:p>
            <w:pPr>
              <w:jc w:val="right"/>
              <w:ind w:right="137"/>
              <w:spacing w:after="0"/>
              <w:rPr>
                <w:sz w:val="20"/>
                <w:szCs w:val="20"/>
                <w:color w:val="auto"/>
              </w:rPr>
            </w:pPr>
            <w:r>
              <w:rPr>
                <w:rFonts w:ascii="Arial" w:cs="Arial" w:eastAsia="Arial" w:hAnsi="Arial"/>
                <w:sz w:val="13"/>
                <w:szCs w:val="13"/>
                <w:color w:val="auto"/>
              </w:rPr>
              <w:t>(dollars in thousands)</w:t>
            </w:r>
          </w:p>
        </w:tc>
        <w:tc>
          <w:tcPr>
            <w:tcW w:w="760" w:type="dxa"/>
            <w:vAlign w:val="bottom"/>
            <w:tcBorders>
              <w:bottom w:val="single" w:sz="8" w:color="004483"/>
            </w:tcBorders>
          </w:tcPr>
          <w:p>
            <w:pPr>
              <w:spacing w:after="0"/>
              <w:rPr>
                <w:sz w:val="12"/>
                <w:szCs w:val="12"/>
                <w:color w:val="auto"/>
              </w:rPr>
            </w:pPr>
          </w:p>
        </w:tc>
        <w:tc>
          <w:tcPr>
            <w:tcW w:w="100" w:type="dxa"/>
            <w:vAlign w:val="bottom"/>
          </w:tcPr>
          <w:p>
            <w:pPr>
              <w:spacing w:after="0"/>
              <w:rPr>
                <w:sz w:val="12"/>
                <w:szCs w:val="12"/>
                <w:color w:val="auto"/>
              </w:rPr>
            </w:pPr>
          </w:p>
        </w:tc>
      </w:tr>
    </w:tbl>
    <w:p>
      <w:pPr>
        <w:spacing w:after="0"/>
        <w:rPr>
          <w:sz w:val="20"/>
          <w:szCs w:val="20"/>
          <w:color w:val="auto"/>
        </w:rPr>
      </w:pPr>
      <w:r>
        <w:rPr>
          <w:rFonts w:ascii="Arial" w:cs="Arial" w:eastAsia="Arial" w:hAnsi="Arial"/>
          <w:sz w:val="16"/>
          <w:szCs w:val="16"/>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0637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17385E"/>
        </w:rPr>
        <w:t>Current Assets -</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40" w:type="dxa"/>
            <w:vAlign w:val="bottom"/>
            <w:tcBorders>
              <w:top w:val="single" w:sz="8" w:color="A6A6A6"/>
              <w:bottom w:val="single" w:sz="8" w:color="A6A6A6"/>
            </w:tcBorders>
          </w:tcPr>
          <w:p>
            <w:pPr>
              <w:ind w:left="260"/>
              <w:spacing w:after="0"/>
              <w:rPr>
                <w:sz w:val="20"/>
                <w:szCs w:val="20"/>
                <w:color w:val="auto"/>
              </w:rPr>
            </w:pPr>
            <w:r>
              <w:rPr>
                <w:rFonts w:ascii="Arial" w:cs="Arial" w:eastAsia="Arial" w:hAnsi="Arial"/>
                <w:sz w:val="16"/>
                <w:szCs w:val="16"/>
                <w:color w:val="17385E"/>
              </w:rPr>
              <w:t>Cash and Cash Equivalents</w:t>
            </w:r>
          </w:p>
        </w:tc>
        <w:tc>
          <w:tcPr>
            <w:tcW w:w="380" w:type="dxa"/>
            <w:vAlign w:val="bottom"/>
            <w:tcBorders>
              <w:top w:val="single" w:sz="8" w:color="A6A6A6"/>
              <w:bottom w:val="single" w:sz="8" w:color="A6A6A6"/>
            </w:tcBorders>
          </w:tcPr>
          <w:p>
            <w:pPr>
              <w:jc w:val="right"/>
              <w:ind w:right="22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200,858</w:t>
            </w:r>
          </w:p>
        </w:tc>
      </w:tr>
      <w:tr>
        <w:trPr>
          <w:trHeight w:val="209"/>
        </w:trPr>
        <w:tc>
          <w:tcPr>
            <w:tcW w:w="8140" w:type="dxa"/>
            <w:vAlign w:val="bottom"/>
            <w:tcBorders>
              <w:bottom w:val="single" w:sz="8" w:color="A6A6A6"/>
            </w:tcBorders>
          </w:tcPr>
          <w:p>
            <w:pPr>
              <w:ind w:left="260"/>
              <w:spacing w:after="0"/>
              <w:rPr>
                <w:sz w:val="20"/>
                <w:szCs w:val="20"/>
                <w:color w:val="auto"/>
              </w:rPr>
            </w:pPr>
            <w:r>
              <w:rPr>
                <w:rFonts w:ascii="Arial" w:cs="Arial" w:eastAsia="Arial" w:hAnsi="Arial"/>
                <w:sz w:val="16"/>
                <w:szCs w:val="16"/>
                <w:color w:val="17385E"/>
              </w:rPr>
              <w:t>Restricted Cash</w:t>
            </w:r>
          </w:p>
        </w:tc>
        <w:tc>
          <w:tcPr>
            <w:tcW w:w="38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5,000</w:t>
            </w:r>
          </w:p>
        </w:tc>
      </w:tr>
      <w:tr>
        <w:trPr>
          <w:trHeight w:val="210"/>
        </w:trPr>
        <w:tc>
          <w:tcPr>
            <w:tcW w:w="8140" w:type="dxa"/>
            <w:vAlign w:val="bottom"/>
            <w:tcBorders>
              <w:bottom w:val="single" w:sz="8" w:color="A6A6A6"/>
            </w:tcBorders>
          </w:tcPr>
          <w:p>
            <w:pPr>
              <w:ind w:left="260"/>
              <w:spacing w:after="0"/>
              <w:rPr>
                <w:sz w:val="20"/>
                <w:szCs w:val="20"/>
                <w:color w:val="auto"/>
              </w:rPr>
            </w:pPr>
            <w:r>
              <w:rPr>
                <w:rFonts w:ascii="Arial" w:cs="Arial" w:eastAsia="Arial" w:hAnsi="Arial"/>
                <w:sz w:val="16"/>
                <w:szCs w:val="16"/>
                <w:color w:val="17385E"/>
              </w:rPr>
              <w:t>Accounts and Notes Receivable, net</w:t>
            </w:r>
          </w:p>
        </w:tc>
        <w:tc>
          <w:tcPr>
            <w:tcW w:w="38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177,138</w:t>
            </w:r>
          </w:p>
        </w:tc>
      </w:tr>
      <w:tr>
        <w:trPr>
          <w:trHeight w:val="209"/>
        </w:trPr>
        <w:tc>
          <w:tcPr>
            <w:tcW w:w="8140" w:type="dxa"/>
            <w:vAlign w:val="bottom"/>
            <w:tcBorders>
              <w:bottom w:val="single" w:sz="8" w:color="A6A6A6"/>
            </w:tcBorders>
          </w:tcPr>
          <w:p>
            <w:pPr>
              <w:ind w:left="260"/>
              <w:spacing w:after="0"/>
              <w:rPr>
                <w:sz w:val="20"/>
                <w:szCs w:val="20"/>
                <w:color w:val="auto"/>
              </w:rPr>
            </w:pPr>
            <w:r>
              <w:rPr>
                <w:rFonts w:ascii="Arial" w:cs="Arial" w:eastAsia="Arial" w:hAnsi="Arial"/>
                <w:sz w:val="16"/>
                <w:szCs w:val="16"/>
                <w:color w:val="17385E"/>
              </w:rPr>
              <w:t>Inventories</w:t>
            </w:r>
          </w:p>
        </w:tc>
        <w:tc>
          <w:tcPr>
            <w:tcW w:w="38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227,106</w:t>
            </w:r>
          </w:p>
        </w:tc>
      </w:tr>
      <w:tr>
        <w:trPr>
          <w:trHeight w:val="209"/>
        </w:trPr>
        <w:tc>
          <w:tcPr>
            <w:tcW w:w="8140" w:type="dxa"/>
            <w:vAlign w:val="bottom"/>
            <w:tcBorders>
              <w:bottom w:val="single" w:sz="8" w:color="A6A6A6"/>
            </w:tcBorders>
          </w:tcPr>
          <w:p>
            <w:pPr>
              <w:ind w:left="260"/>
              <w:spacing w:after="0"/>
              <w:rPr>
                <w:sz w:val="20"/>
                <w:szCs w:val="20"/>
                <w:color w:val="auto"/>
              </w:rPr>
            </w:pPr>
            <w:r>
              <w:rPr>
                <w:rFonts w:ascii="Arial" w:cs="Arial" w:eastAsia="Arial" w:hAnsi="Arial"/>
                <w:sz w:val="16"/>
                <w:szCs w:val="16"/>
                <w:color w:val="17385E"/>
              </w:rPr>
              <w:t>Income Tax Receivable</w:t>
            </w:r>
          </w:p>
        </w:tc>
        <w:tc>
          <w:tcPr>
            <w:tcW w:w="38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28,671</w:t>
            </w:r>
          </w:p>
        </w:tc>
      </w:tr>
      <w:tr>
        <w:trPr>
          <w:trHeight w:val="209"/>
        </w:trPr>
        <w:tc>
          <w:tcPr>
            <w:tcW w:w="8140" w:type="dxa"/>
            <w:vAlign w:val="bottom"/>
            <w:tcBorders>
              <w:bottom w:val="single" w:sz="8" w:color="A6A6A6"/>
            </w:tcBorders>
          </w:tcPr>
          <w:p>
            <w:pPr>
              <w:ind w:left="260"/>
              <w:spacing w:after="0"/>
              <w:rPr>
                <w:sz w:val="20"/>
                <w:szCs w:val="20"/>
                <w:color w:val="auto"/>
              </w:rPr>
            </w:pPr>
            <w:r>
              <w:rPr>
                <w:rFonts w:ascii="Arial" w:cs="Arial" w:eastAsia="Arial" w:hAnsi="Arial"/>
                <w:sz w:val="16"/>
                <w:szCs w:val="16"/>
                <w:color w:val="17385E"/>
              </w:rPr>
              <w:t>Prepaid and Other Assets</w:t>
            </w:r>
          </w:p>
        </w:tc>
        <w:tc>
          <w:tcPr>
            <w:tcW w:w="38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9,634</w:t>
            </w:r>
          </w:p>
        </w:tc>
      </w:tr>
      <w:tr>
        <w:trPr>
          <w:trHeight w:val="209"/>
        </w:trPr>
        <w:tc>
          <w:tcPr>
            <w:tcW w:w="8140" w:type="dxa"/>
            <w:vAlign w:val="bottom"/>
            <w:tcBorders>
              <w:bottom w:val="single" w:sz="8" w:color="A6A6A6"/>
            </w:tcBorders>
          </w:tcPr>
          <w:p>
            <w:pPr>
              <w:ind w:left="260"/>
              <w:spacing w:after="0"/>
              <w:rPr>
                <w:sz w:val="20"/>
                <w:szCs w:val="20"/>
                <w:color w:val="auto"/>
              </w:rPr>
            </w:pPr>
            <w:r>
              <w:rPr>
                <w:rFonts w:ascii="Arial" w:cs="Arial" w:eastAsia="Arial" w:hAnsi="Arial"/>
                <w:sz w:val="16"/>
                <w:szCs w:val="16"/>
                <w:color w:val="17385E"/>
              </w:rPr>
              <w:t>Current Assets of Discontinued Operations</w:t>
            </w:r>
          </w:p>
        </w:tc>
        <w:tc>
          <w:tcPr>
            <w:tcW w:w="380" w:type="dxa"/>
            <w:vAlign w:val="bottom"/>
            <w:tcBorders>
              <w:bottom w:val="single" w:sz="8" w:color="004483"/>
            </w:tcBorders>
          </w:tcPr>
          <w:p>
            <w:pPr>
              <w:spacing w:after="0"/>
              <w:rPr>
                <w:sz w:val="18"/>
                <w:szCs w:val="18"/>
                <w:color w:val="auto"/>
              </w:rPr>
            </w:pPr>
          </w:p>
        </w:tc>
        <w:tc>
          <w:tcPr>
            <w:tcW w:w="9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140" w:type="dxa"/>
            <w:vAlign w:val="bottom"/>
            <w:tcBorders>
              <w:bottom w:val="single" w:sz="8" w:color="A6A6A6"/>
            </w:tcBorders>
          </w:tcPr>
          <w:p>
            <w:pPr>
              <w:ind w:left="500"/>
              <w:spacing w:after="0"/>
              <w:rPr>
                <w:sz w:val="20"/>
                <w:szCs w:val="20"/>
                <w:color w:val="auto"/>
              </w:rPr>
            </w:pPr>
            <w:r>
              <w:rPr>
                <w:rFonts w:ascii="Arial" w:cs="Arial" w:eastAsia="Arial" w:hAnsi="Arial"/>
                <w:sz w:val="16"/>
                <w:szCs w:val="16"/>
                <w:color w:val="17385E"/>
              </w:rPr>
              <w:t>Total Current Assets</w:t>
            </w:r>
          </w:p>
        </w:tc>
        <w:tc>
          <w:tcPr>
            <w:tcW w:w="380" w:type="dxa"/>
            <w:vAlign w:val="bottom"/>
            <w:tcBorders>
              <w:bottom w:val="single" w:sz="8" w:color="004483"/>
            </w:tcBorders>
          </w:tcPr>
          <w:p>
            <w:pPr>
              <w:spacing w:after="0"/>
              <w:rPr>
                <w:sz w:val="18"/>
                <w:szCs w:val="18"/>
                <w:color w:val="auto"/>
              </w:rPr>
            </w:pPr>
          </w:p>
        </w:tc>
        <w:tc>
          <w:tcPr>
            <w:tcW w:w="9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648,407</w:t>
            </w:r>
          </w:p>
        </w:tc>
      </w:tr>
      <w:tr>
        <w:trPr>
          <w:trHeight w:val="210"/>
        </w:trPr>
        <w:tc>
          <w:tcPr>
            <w:tcW w:w="8140" w:type="dxa"/>
            <w:vAlign w:val="bottom"/>
            <w:tcBorders>
              <w:bottom w:val="single" w:sz="8" w:color="A6A6A6"/>
            </w:tcBorders>
          </w:tcPr>
          <w:p>
            <w:pPr>
              <w:spacing w:after="0"/>
              <w:rPr>
                <w:sz w:val="20"/>
                <w:szCs w:val="20"/>
                <w:color w:val="auto"/>
              </w:rPr>
            </w:pPr>
            <w:r>
              <w:rPr>
                <w:rFonts w:ascii="Arial" w:cs="Arial" w:eastAsia="Arial" w:hAnsi="Arial"/>
                <w:sz w:val="16"/>
                <w:szCs w:val="16"/>
                <w:color w:val="17385E"/>
              </w:rPr>
              <w:t>Property, Plant, and Equipment, net</w:t>
            </w:r>
          </w:p>
        </w:tc>
        <w:tc>
          <w:tcPr>
            <w:tcW w:w="38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1,706,200</w:t>
            </w:r>
          </w:p>
        </w:tc>
      </w:tr>
      <w:tr>
        <w:trPr>
          <w:trHeight w:val="209"/>
        </w:trPr>
        <w:tc>
          <w:tcPr>
            <w:tcW w:w="8140" w:type="dxa"/>
            <w:vAlign w:val="bottom"/>
            <w:tcBorders>
              <w:bottom w:val="single" w:sz="8" w:color="A6A6A6"/>
            </w:tcBorders>
          </w:tcPr>
          <w:p>
            <w:pPr>
              <w:spacing w:after="0"/>
              <w:rPr>
                <w:sz w:val="20"/>
                <w:szCs w:val="20"/>
                <w:color w:val="auto"/>
              </w:rPr>
            </w:pPr>
            <w:r>
              <w:rPr>
                <w:rFonts w:ascii="Arial" w:cs="Arial" w:eastAsia="Arial" w:hAnsi="Arial"/>
                <w:sz w:val="16"/>
                <w:szCs w:val="16"/>
                <w:color w:val="17385E"/>
              </w:rPr>
              <w:t>Notes Receivable</w:t>
            </w:r>
          </w:p>
        </w:tc>
        <w:tc>
          <w:tcPr>
            <w:tcW w:w="38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8,287</w:t>
            </w:r>
          </w:p>
        </w:tc>
      </w:tr>
      <w:tr>
        <w:trPr>
          <w:trHeight w:val="209"/>
        </w:trPr>
        <w:tc>
          <w:tcPr>
            <w:tcW w:w="8140" w:type="dxa"/>
            <w:vAlign w:val="bottom"/>
            <w:tcBorders>
              <w:bottom w:val="single" w:sz="8" w:color="A6A6A6"/>
            </w:tcBorders>
          </w:tcPr>
          <w:p>
            <w:pPr>
              <w:spacing w:after="0"/>
              <w:rPr>
                <w:sz w:val="20"/>
                <w:szCs w:val="20"/>
                <w:color w:val="auto"/>
              </w:rPr>
            </w:pPr>
            <w:r>
              <w:rPr>
                <w:rFonts w:ascii="Arial" w:cs="Arial" w:eastAsia="Arial" w:hAnsi="Arial"/>
                <w:sz w:val="16"/>
                <w:szCs w:val="16"/>
                <w:color w:val="17385E"/>
              </w:rPr>
              <w:t>Investment in Joint Venture</w:t>
            </w:r>
          </w:p>
        </w:tc>
        <w:tc>
          <w:tcPr>
            <w:tcW w:w="38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74,331</w:t>
            </w:r>
          </w:p>
        </w:tc>
      </w:tr>
      <w:tr>
        <w:trPr>
          <w:trHeight w:val="209"/>
        </w:trPr>
        <w:tc>
          <w:tcPr>
            <w:tcW w:w="8140" w:type="dxa"/>
            <w:vAlign w:val="bottom"/>
            <w:tcBorders>
              <w:bottom w:val="single" w:sz="8" w:color="A6A6A6"/>
            </w:tcBorders>
          </w:tcPr>
          <w:p>
            <w:pPr>
              <w:spacing w:after="0"/>
              <w:rPr>
                <w:sz w:val="20"/>
                <w:szCs w:val="20"/>
                <w:color w:val="auto"/>
              </w:rPr>
            </w:pPr>
            <w:r>
              <w:rPr>
                <w:rFonts w:ascii="Arial" w:cs="Arial" w:eastAsia="Arial" w:hAnsi="Arial"/>
                <w:sz w:val="16"/>
                <w:szCs w:val="16"/>
                <w:color w:val="17385E"/>
              </w:rPr>
              <w:t>Operating Lease Right-of-Use Assets</w:t>
            </w:r>
          </w:p>
        </w:tc>
        <w:tc>
          <w:tcPr>
            <w:tcW w:w="38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28,139</w:t>
            </w:r>
          </w:p>
        </w:tc>
      </w:tr>
      <w:tr>
        <w:trPr>
          <w:trHeight w:val="210"/>
        </w:trPr>
        <w:tc>
          <w:tcPr>
            <w:tcW w:w="8140" w:type="dxa"/>
            <w:vAlign w:val="bottom"/>
            <w:tcBorders>
              <w:bottom w:val="single" w:sz="8" w:color="A6A6A6"/>
            </w:tcBorders>
          </w:tcPr>
          <w:p>
            <w:pPr>
              <w:spacing w:after="0"/>
              <w:rPr>
                <w:sz w:val="20"/>
                <w:szCs w:val="20"/>
                <w:color w:val="auto"/>
              </w:rPr>
            </w:pPr>
            <w:r>
              <w:rPr>
                <w:rFonts w:ascii="Arial" w:cs="Arial" w:eastAsia="Arial" w:hAnsi="Arial"/>
                <w:sz w:val="16"/>
                <w:szCs w:val="16"/>
                <w:color w:val="17385E"/>
              </w:rPr>
              <w:t>Goodwill and Intangible Assets, net</w:t>
            </w:r>
          </w:p>
        </w:tc>
        <w:tc>
          <w:tcPr>
            <w:tcW w:w="38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394,524</w:t>
            </w:r>
          </w:p>
        </w:tc>
      </w:tr>
      <w:tr>
        <w:trPr>
          <w:trHeight w:val="210"/>
        </w:trPr>
        <w:tc>
          <w:tcPr>
            <w:tcW w:w="8140" w:type="dxa"/>
            <w:vAlign w:val="bottom"/>
            <w:tcBorders>
              <w:bottom w:val="single" w:sz="8" w:color="A6A6A6"/>
            </w:tcBorders>
          </w:tcPr>
          <w:p>
            <w:pPr>
              <w:spacing w:after="0"/>
              <w:rPr>
                <w:sz w:val="20"/>
                <w:szCs w:val="20"/>
                <w:color w:val="auto"/>
              </w:rPr>
            </w:pPr>
            <w:r>
              <w:rPr>
                <w:rFonts w:ascii="Arial" w:cs="Arial" w:eastAsia="Arial" w:hAnsi="Arial"/>
                <w:sz w:val="16"/>
                <w:szCs w:val="16"/>
                <w:color w:val="17385E"/>
              </w:rPr>
              <w:t>Other Assets</w:t>
            </w:r>
          </w:p>
        </w:tc>
        <w:tc>
          <w:tcPr>
            <w:tcW w:w="38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11,395</w:t>
            </w:r>
          </w:p>
        </w:tc>
      </w:tr>
      <w:tr>
        <w:trPr>
          <w:trHeight w:val="209"/>
        </w:trPr>
        <w:tc>
          <w:tcPr>
            <w:tcW w:w="8140" w:type="dxa"/>
            <w:vAlign w:val="bottom"/>
            <w:tcBorders>
              <w:bottom w:val="single" w:sz="8" w:color="A6A6A6"/>
            </w:tcBorders>
          </w:tcPr>
          <w:p>
            <w:pPr>
              <w:spacing w:after="0"/>
              <w:rPr>
                <w:sz w:val="20"/>
                <w:szCs w:val="20"/>
                <w:color w:val="auto"/>
              </w:rPr>
            </w:pPr>
            <w:r>
              <w:rPr>
                <w:rFonts w:ascii="Arial" w:cs="Arial" w:eastAsia="Arial" w:hAnsi="Arial"/>
                <w:sz w:val="16"/>
                <w:szCs w:val="16"/>
                <w:color w:val="17385E"/>
              </w:rPr>
              <w:t>Assets of Discontinued Operations</w:t>
            </w:r>
          </w:p>
        </w:tc>
        <w:tc>
          <w:tcPr>
            <w:tcW w:w="380" w:type="dxa"/>
            <w:vAlign w:val="bottom"/>
            <w:tcBorders>
              <w:bottom w:val="single" w:sz="8" w:color="004483"/>
            </w:tcBorders>
          </w:tcPr>
          <w:p>
            <w:pPr>
              <w:spacing w:after="0"/>
              <w:rPr>
                <w:sz w:val="18"/>
                <w:szCs w:val="18"/>
                <w:color w:val="auto"/>
              </w:rPr>
            </w:pPr>
          </w:p>
        </w:tc>
        <w:tc>
          <w:tcPr>
            <w:tcW w:w="9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8140" w:type="dxa"/>
            <w:vAlign w:val="bottom"/>
            <w:tcBorders>
              <w:bottom w:val="single" w:sz="8" w:color="A6A6A6"/>
            </w:tcBorders>
          </w:tcPr>
          <w:p>
            <w:pPr>
              <w:spacing w:after="0"/>
              <w:rPr>
                <w:sz w:val="21"/>
                <w:szCs w:val="21"/>
                <w:color w:val="auto"/>
              </w:rPr>
            </w:pPr>
          </w:p>
        </w:tc>
        <w:tc>
          <w:tcPr>
            <w:tcW w:w="380" w:type="dxa"/>
            <w:vAlign w:val="bottom"/>
            <w:tcBorders>
              <w:bottom w:val="single" w:sz="8" w:color="004483"/>
            </w:tcBorders>
          </w:tcPr>
          <w:p>
            <w:pPr>
              <w:jc w:val="right"/>
              <w:ind w:right="22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2,871,283</w:t>
            </w:r>
          </w:p>
        </w:tc>
      </w:tr>
      <w:tr>
        <w:trPr>
          <w:trHeight w:val="180"/>
        </w:trPr>
        <w:tc>
          <w:tcPr>
            <w:tcW w:w="8140" w:type="dxa"/>
            <w:vAlign w:val="bottom"/>
          </w:tcPr>
          <w:p>
            <w:pPr>
              <w:spacing w:after="0" w:line="181" w:lineRule="exact"/>
              <w:rPr>
                <w:sz w:val="20"/>
                <w:szCs w:val="20"/>
                <w:color w:val="auto"/>
              </w:rPr>
            </w:pPr>
            <w:r>
              <w:rPr>
                <w:rFonts w:ascii="Arial" w:cs="Arial" w:eastAsia="Arial" w:hAnsi="Arial"/>
                <w:sz w:val="16"/>
                <w:szCs w:val="16"/>
                <w:b w:val="1"/>
                <w:bCs w:val="1"/>
                <w:color w:val="auto"/>
              </w:rPr>
              <w:t>LIABILITIES AND STOCKHOLDERS’ EQUITY</w:t>
            </w: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left="840" w:hanging="832"/>
        <w:spacing w:after="0"/>
        <w:tabs>
          <w:tab w:leader="none" w:pos="840" w:val="left"/>
        </w:tabs>
        <w:numPr>
          <w:ilvl w:val="0"/>
          <w:numId w:val="2"/>
        </w:numPr>
        <w:rPr>
          <w:rFonts w:ascii="Arial" w:cs="Arial" w:eastAsia="Arial" w:hAnsi="Arial"/>
          <w:sz w:val="14"/>
          <w:szCs w:val="14"/>
          <w:color w:val="auto"/>
        </w:rPr>
      </w:pPr>
      <w:r>
        <w:rPr>
          <w:rFonts w:ascii="Arial" w:cs="Arial" w:eastAsia="Arial" w:hAnsi="Arial"/>
          <w:sz w:val="14"/>
          <w:szCs w:val="14"/>
          <w:color w:val="auto"/>
        </w:rPr>
        <w:t>118,648</w:t>
      </w:r>
    </w:p>
    <w:p>
      <w:pPr>
        <w:spacing w:after="0" w:line="68" w:lineRule="exact"/>
        <w:rPr>
          <w:rFonts w:ascii="Arial" w:cs="Arial" w:eastAsia="Arial" w:hAnsi="Arial"/>
          <w:sz w:val="14"/>
          <w:szCs w:val="14"/>
          <w:color w:val="auto"/>
        </w:rPr>
      </w:pPr>
    </w:p>
    <w:p>
      <w:pPr>
        <w:ind w:left="1200"/>
        <w:spacing w:after="0"/>
        <w:rPr>
          <w:rFonts w:ascii="Arial" w:cs="Arial" w:eastAsia="Arial" w:hAnsi="Arial"/>
          <w:sz w:val="14"/>
          <w:szCs w:val="14"/>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17780</wp:posOffset>
            </wp:positionV>
            <wp:extent cx="9772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77265" cy="8255"/>
                    </a:xfrm>
                    <a:prstGeom prst="rect">
                      <a:avLst/>
                    </a:prstGeom>
                    <a:noFill/>
                  </pic:spPr>
                </pic:pic>
              </a:graphicData>
            </a:graphic>
          </wp:anchor>
        </w:drawing>
        <w:drawing>
          <wp:anchor simplePos="0" relativeHeight="251657728" behindDoc="1" locked="0" layoutInCell="0" allowOverlap="1">
            <wp:simplePos x="0" y="0"/>
            <wp:positionH relativeFrom="column">
              <wp:posOffset>-105410</wp:posOffset>
            </wp:positionH>
            <wp:positionV relativeFrom="paragraph">
              <wp:posOffset>-127000</wp:posOffset>
            </wp:positionV>
            <wp:extent cx="9772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77265" cy="8255"/>
                    </a:xfrm>
                    <a:prstGeom prst="rect">
                      <a:avLst/>
                    </a:prstGeom>
                    <a:noFill/>
                  </pic:spPr>
                </pic:pic>
              </a:graphicData>
            </a:graphic>
          </wp:anchor>
        </w:drawing>
        <w:drawing>
          <wp:anchor simplePos="0" relativeHeight="251657728" behindDoc="1" locked="0" layoutInCell="0" allowOverlap="1">
            <wp:simplePos x="0" y="0"/>
            <wp:positionH relativeFrom="column">
              <wp:posOffset>-105410</wp:posOffset>
            </wp:positionH>
            <wp:positionV relativeFrom="paragraph">
              <wp:posOffset>-273050</wp:posOffset>
            </wp:positionV>
            <wp:extent cx="9772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spacing w:after="0" w:line="2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145,808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17780</wp:posOffset>
            </wp:positionV>
            <wp:extent cx="9772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2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272,121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17780</wp:posOffset>
            </wp:positionV>
            <wp:extent cx="9772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2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128,413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17780</wp:posOffset>
            </wp:positionV>
            <wp:extent cx="9772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spacing w:after="0" w:line="2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6,135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17780</wp:posOffset>
            </wp:positionV>
            <wp:extent cx="9772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2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7,092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17780</wp:posOffset>
            </wp:positionV>
            <wp:extent cx="9772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2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678,217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17780</wp:posOffset>
            </wp:positionV>
            <wp:extent cx="9772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spacing w:after="0" w:line="2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1,756,417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17780</wp:posOffset>
            </wp:positionV>
            <wp:extent cx="9772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2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9,139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17780</wp:posOffset>
            </wp:positionV>
            <wp:extent cx="9772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2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73,958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17780</wp:posOffset>
            </wp:positionV>
            <wp:extent cx="9772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2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29,483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17780</wp:posOffset>
            </wp:positionV>
            <wp:extent cx="9772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2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396,463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17780</wp:posOffset>
            </wp:positionV>
            <wp:extent cx="9772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spacing w:after="0" w:line="2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10,604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17780</wp:posOffset>
            </wp:positionV>
            <wp:extent cx="9772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2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6,739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17780</wp:posOffset>
            </wp:positionV>
            <wp:extent cx="9772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22" w:lineRule="exact"/>
        <w:rPr>
          <w:sz w:val="20"/>
          <w:szCs w:val="20"/>
          <w:color w:val="auto"/>
        </w:rPr>
      </w:pPr>
    </w:p>
    <w:p>
      <w:pPr>
        <w:ind w:left="720" w:hanging="712"/>
        <w:spacing w:after="0"/>
        <w:tabs>
          <w:tab w:leader="none" w:pos="720" w:val="left"/>
        </w:tabs>
        <w:numPr>
          <w:ilvl w:val="0"/>
          <w:numId w:val="3"/>
        </w:numPr>
        <w:rPr>
          <w:rFonts w:ascii="Arial" w:cs="Arial" w:eastAsia="Arial" w:hAnsi="Arial"/>
          <w:sz w:val="14"/>
          <w:szCs w:val="14"/>
          <w:b w:val="1"/>
          <w:bCs w:val="1"/>
          <w:color w:val="auto"/>
        </w:rPr>
      </w:pPr>
      <w:r>
        <w:rPr>
          <w:rFonts w:ascii="Arial" w:cs="Arial" w:eastAsia="Arial" w:hAnsi="Arial"/>
          <w:sz w:val="14"/>
          <w:szCs w:val="14"/>
          <w:b w:val="1"/>
          <w:bCs w:val="1"/>
          <w:color w:val="auto"/>
        </w:rPr>
        <w:t>2,961,020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34925</wp:posOffset>
            </wp:positionV>
            <wp:extent cx="9772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77265" cy="25400"/>
                    </a:xfrm>
                    <a:prstGeom prst="rect">
                      <a:avLst/>
                    </a:prstGeom>
                    <a:noFill/>
                  </pic:spPr>
                </pic:pic>
              </a:graphicData>
            </a:graphic>
          </wp:anchor>
        </w:drawing>
      </w:r>
    </w:p>
    <w:p>
      <w:pPr>
        <w:spacing w:after="0" w:line="293" w:lineRule="exact"/>
        <w:rPr>
          <w:sz w:val="20"/>
          <w:szCs w:val="20"/>
          <w:color w:val="auto"/>
        </w:rPr>
      </w:pPr>
    </w:p>
    <w:p>
      <w:pPr>
        <w:sectPr>
          <w:pgSz w:w="11900" w:h="16838" w:orient="portrait"/>
          <w:cols w:equalWidth="0" w:num="2">
            <w:col w:w="9480" w:space="280"/>
            <w:col w:w="1480"/>
          </w:cols>
          <w:pgMar w:left="320" w:top="373" w:right="339" w:bottom="1440" w:gutter="0" w:footer="0" w:header="0"/>
          <w:type w:val="continuous"/>
        </w:sectPr>
      </w:pPr>
    </w:p>
    <w:tbl>
      <w:tblPr>
        <w:tblLayout w:type="fixed"/>
        <w:tblInd w:w="0" w:type="dxa"/>
        <w:tblCellMar>
          <w:top w:w="0" w:type="dxa"/>
          <w:left w:w="0" w:type="dxa"/>
          <w:bottom w:w="0" w:type="dxa"/>
          <w:right w:w="0" w:type="dxa"/>
        </w:tblCellMar>
      </w:tblPr>
      <w:tr>
        <w:trPr>
          <w:trHeight w:val="226"/>
        </w:trPr>
        <w:tc>
          <w:tcPr>
            <w:tcW w:w="814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6"/>
                <w:szCs w:val="16"/>
                <w:color w:val="17385E"/>
              </w:rPr>
              <w:t>Current Liabilities -</w:t>
            </w:r>
          </w:p>
        </w:tc>
        <w:tc>
          <w:tcPr>
            <w:tcW w:w="380" w:type="dxa"/>
            <w:vAlign w:val="bottom"/>
            <w:tcBorders>
              <w:top w:val="single" w:sz="8" w:color="A6A6A6"/>
              <w:bottom w:val="single" w:sz="8" w:color="A6A6A6"/>
            </w:tcBorders>
          </w:tcPr>
          <w:p>
            <w:pPr>
              <w:spacing w:after="0"/>
              <w:rPr>
                <w:sz w:val="19"/>
                <w:szCs w:val="19"/>
                <w:color w:val="auto"/>
              </w:rPr>
            </w:pPr>
          </w:p>
        </w:tc>
        <w:tc>
          <w:tcPr>
            <w:tcW w:w="960" w:type="dxa"/>
            <w:vAlign w:val="bottom"/>
            <w:tcBorders>
              <w:top w:val="single" w:sz="8" w:color="A6A6A6"/>
              <w:bottom w:val="single" w:sz="8" w:color="A6A6A6"/>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6A6A6"/>
              <w:bottom w:val="single" w:sz="8" w:color="A6A6A6"/>
            </w:tcBorders>
          </w:tcPr>
          <w:p>
            <w:pPr>
              <w:spacing w:after="0"/>
              <w:rPr>
                <w:sz w:val="19"/>
                <w:szCs w:val="19"/>
                <w:color w:val="auto"/>
              </w:rPr>
            </w:pPr>
          </w:p>
        </w:tc>
        <w:tc>
          <w:tcPr>
            <w:tcW w:w="20" w:type="dxa"/>
            <w:vAlign w:val="bottom"/>
            <w:tcBorders>
              <w:top w:val="single" w:sz="8" w:color="A6A6A6"/>
              <w:bottom w:val="single" w:sz="8" w:color="A6A6A6"/>
            </w:tcBorders>
          </w:tcPr>
          <w:p>
            <w:pPr>
              <w:spacing w:after="0"/>
              <w:rPr>
                <w:sz w:val="19"/>
                <w:szCs w:val="19"/>
                <w:color w:val="auto"/>
              </w:rPr>
            </w:pPr>
          </w:p>
        </w:tc>
        <w:tc>
          <w:tcPr>
            <w:tcW w:w="380" w:type="dxa"/>
            <w:vAlign w:val="bottom"/>
            <w:tcBorders>
              <w:top w:val="single" w:sz="8" w:color="A6A6A6"/>
              <w:bottom w:val="single" w:sz="8" w:color="A6A6A6"/>
            </w:tcBorders>
          </w:tcPr>
          <w:p>
            <w:pPr>
              <w:spacing w:after="0"/>
              <w:rPr>
                <w:sz w:val="19"/>
                <w:szCs w:val="19"/>
                <w:color w:val="auto"/>
              </w:rPr>
            </w:pPr>
          </w:p>
        </w:tc>
        <w:tc>
          <w:tcPr>
            <w:tcW w:w="980" w:type="dxa"/>
            <w:vAlign w:val="bottom"/>
            <w:tcBorders>
              <w:top w:val="single" w:sz="8" w:color="A6A6A6"/>
              <w:bottom w:val="single" w:sz="8" w:color="A6A6A6"/>
            </w:tcBorders>
          </w:tcPr>
          <w:p>
            <w:pPr>
              <w:spacing w:after="0"/>
              <w:rPr>
                <w:sz w:val="19"/>
                <w:szCs w:val="19"/>
                <w:color w:val="auto"/>
              </w:rPr>
            </w:pPr>
          </w:p>
        </w:tc>
        <w:tc>
          <w:tcPr>
            <w:tcW w:w="40" w:type="dxa"/>
            <w:vAlign w:val="bottom"/>
          </w:tcPr>
          <w:p>
            <w:pPr>
              <w:spacing w:after="0"/>
              <w:rPr>
                <w:sz w:val="19"/>
                <w:szCs w:val="19"/>
                <w:color w:val="auto"/>
              </w:rPr>
            </w:pPr>
          </w:p>
        </w:tc>
      </w:tr>
      <w:tr>
        <w:trPr>
          <w:trHeight w:val="209"/>
        </w:trPr>
        <w:tc>
          <w:tcPr>
            <w:tcW w:w="8140" w:type="dxa"/>
            <w:vAlign w:val="bottom"/>
            <w:tcBorders>
              <w:bottom w:val="single" w:sz="8" w:color="A6A6A6"/>
            </w:tcBorders>
          </w:tcPr>
          <w:p>
            <w:pPr>
              <w:ind w:left="260"/>
              <w:spacing w:after="0"/>
              <w:rPr>
                <w:sz w:val="20"/>
                <w:szCs w:val="20"/>
                <w:color w:val="auto"/>
              </w:rPr>
            </w:pPr>
            <w:r>
              <w:rPr>
                <w:rFonts w:ascii="Arial" w:cs="Arial" w:eastAsia="Arial" w:hAnsi="Arial"/>
                <w:sz w:val="16"/>
                <w:szCs w:val="16"/>
                <w:color w:val="17385E"/>
              </w:rPr>
              <w:t>Accounts Payable</w:t>
            </w:r>
          </w:p>
        </w:tc>
        <w:tc>
          <w:tcPr>
            <w:tcW w:w="380" w:type="dxa"/>
            <w:vAlign w:val="bottom"/>
            <w:tcBorders>
              <w:bottom w:val="single" w:sz="8" w:color="A6A6A6"/>
            </w:tcBorders>
          </w:tcPr>
          <w:p>
            <w:pPr>
              <w:jc w:val="right"/>
              <w:ind w:right="22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80,130</w:t>
            </w:r>
          </w:p>
        </w:tc>
        <w:tc>
          <w:tcPr>
            <w:tcW w:w="12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gridSpan w:val="2"/>
          </w:tcPr>
          <w:p>
            <w:pPr>
              <w:jc w:val="right"/>
              <w:ind w:right="269"/>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84,183</w:t>
            </w:r>
          </w:p>
        </w:tc>
        <w:tc>
          <w:tcPr>
            <w:tcW w:w="40" w:type="dxa"/>
            <w:vAlign w:val="bottom"/>
          </w:tcPr>
          <w:p>
            <w:pPr>
              <w:spacing w:after="0"/>
              <w:rPr>
                <w:sz w:val="18"/>
                <w:szCs w:val="18"/>
                <w:color w:val="auto"/>
              </w:rPr>
            </w:pPr>
          </w:p>
        </w:tc>
      </w:tr>
      <w:tr>
        <w:trPr>
          <w:trHeight w:val="209"/>
        </w:trPr>
        <w:tc>
          <w:tcPr>
            <w:tcW w:w="8140" w:type="dxa"/>
            <w:vAlign w:val="bottom"/>
            <w:tcBorders>
              <w:bottom w:val="single" w:sz="8" w:color="A6A6A6"/>
            </w:tcBorders>
          </w:tcPr>
          <w:p>
            <w:pPr>
              <w:ind w:left="260"/>
              <w:spacing w:after="0"/>
              <w:rPr>
                <w:sz w:val="20"/>
                <w:szCs w:val="20"/>
                <w:color w:val="auto"/>
              </w:rPr>
            </w:pPr>
            <w:r>
              <w:rPr>
                <w:rFonts w:ascii="Arial" w:cs="Arial" w:eastAsia="Arial" w:hAnsi="Arial"/>
                <w:sz w:val="16"/>
                <w:szCs w:val="16"/>
                <w:color w:val="17385E"/>
              </w:rPr>
              <w:t>Accrued Liabilities</w:t>
            </w:r>
          </w:p>
        </w:tc>
        <w:tc>
          <w:tcPr>
            <w:tcW w:w="38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76,145</w:t>
            </w:r>
          </w:p>
        </w:tc>
        <w:tc>
          <w:tcPr>
            <w:tcW w:w="12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70,442</w:t>
            </w:r>
          </w:p>
        </w:tc>
        <w:tc>
          <w:tcPr>
            <w:tcW w:w="40" w:type="dxa"/>
            <w:vAlign w:val="bottom"/>
          </w:tcPr>
          <w:p>
            <w:pPr>
              <w:spacing w:after="0"/>
              <w:rPr>
                <w:sz w:val="18"/>
                <w:szCs w:val="18"/>
                <w:color w:val="auto"/>
              </w:rPr>
            </w:pPr>
          </w:p>
        </w:tc>
      </w:tr>
      <w:tr>
        <w:trPr>
          <w:trHeight w:val="209"/>
        </w:trPr>
        <w:tc>
          <w:tcPr>
            <w:tcW w:w="8140" w:type="dxa"/>
            <w:vAlign w:val="bottom"/>
            <w:tcBorders>
              <w:bottom w:val="single" w:sz="8" w:color="A6A6A6"/>
            </w:tcBorders>
          </w:tcPr>
          <w:p>
            <w:pPr>
              <w:ind w:left="260"/>
              <w:spacing w:after="0"/>
              <w:rPr>
                <w:sz w:val="20"/>
                <w:szCs w:val="20"/>
                <w:color w:val="auto"/>
              </w:rPr>
            </w:pPr>
            <w:r>
              <w:rPr>
                <w:rFonts w:ascii="Arial" w:cs="Arial" w:eastAsia="Arial" w:hAnsi="Arial"/>
                <w:sz w:val="16"/>
                <w:szCs w:val="16"/>
                <w:color w:val="17385E"/>
              </w:rPr>
              <w:t>Operating Lease Liabilities</w:t>
            </w:r>
          </w:p>
        </w:tc>
        <w:tc>
          <w:tcPr>
            <w:tcW w:w="38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6,810</w:t>
            </w:r>
          </w:p>
        </w:tc>
        <w:tc>
          <w:tcPr>
            <w:tcW w:w="12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6,585</w:t>
            </w:r>
          </w:p>
        </w:tc>
        <w:tc>
          <w:tcPr>
            <w:tcW w:w="40" w:type="dxa"/>
            <w:vAlign w:val="bottom"/>
          </w:tcPr>
          <w:p>
            <w:pPr>
              <w:spacing w:after="0"/>
              <w:rPr>
                <w:sz w:val="18"/>
                <w:szCs w:val="18"/>
                <w:color w:val="auto"/>
              </w:rPr>
            </w:pPr>
          </w:p>
        </w:tc>
      </w:tr>
      <w:tr>
        <w:trPr>
          <w:trHeight w:val="210"/>
        </w:trPr>
        <w:tc>
          <w:tcPr>
            <w:tcW w:w="8140" w:type="dxa"/>
            <w:vAlign w:val="bottom"/>
          </w:tcPr>
          <w:p>
            <w:pPr>
              <w:ind w:left="260"/>
              <w:spacing w:after="0"/>
              <w:rPr>
                <w:sz w:val="20"/>
                <w:szCs w:val="20"/>
                <w:color w:val="auto"/>
              </w:rPr>
            </w:pPr>
            <w:r>
              <w:rPr>
                <w:rFonts w:ascii="Arial" w:cs="Arial" w:eastAsia="Arial" w:hAnsi="Arial"/>
                <w:sz w:val="16"/>
                <w:szCs w:val="16"/>
                <w:color w:val="17385E"/>
              </w:rPr>
              <w:t>Current Liabilities of Discontinued Operations</w:t>
            </w:r>
          </w:p>
        </w:tc>
        <w:tc>
          <w:tcPr>
            <w:tcW w:w="380" w:type="dxa"/>
            <w:vAlign w:val="bottom"/>
          </w:tcPr>
          <w:p>
            <w:pPr>
              <w:spacing w:after="0"/>
              <w:rPr>
                <w:sz w:val="18"/>
                <w:szCs w:val="18"/>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8,487</w:t>
            </w:r>
          </w:p>
        </w:tc>
        <w:tc>
          <w:tcPr>
            <w:tcW w:w="40" w:type="dxa"/>
            <w:vAlign w:val="bottom"/>
          </w:tcPr>
          <w:p>
            <w:pPr>
              <w:spacing w:after="0"/>
              <w:rPr>
                <w:sz w:val="18"/>
                <w:szCs w:val="18"/>
                <w:color w:val="auto"/>
              </w:rPr>
            </w:pPr>
          </w:p>
        </w:tc>
      </w:tr>
      <w:tr>
        <w:trPr>
          <w:trHeight w:val="210"/>
        </w:trPr>
        <w:tc>
          <w:tcPr>
            <w:tcW w:w="8140" w:type="dxa"/>
            <w:vAlign w:val="bottom"/>
            <w:tcBorders>
              <w:top w:val="single" w:sz="8" w:color="A6A6A6"/>
              <w:bottom w:val="single" w:sz="8" w:color="A6A6A6"/>
            </w:tcBorders>
          </w:tcPr>
          <w:p>
            <w:pPr>
              <w:ind w:left="500"/>
              <w:spacing w:after="0"/>
              <w:rPr>
                <w:sz w:val="20"/>
                <w:szCs w:val="20"/>
                <w:color w:val="auto"/>
              </w:rPr>
            </w:pPr>
            <w:r>
              <w:rPr>
                <w:rFonts w:ascii="Arial" w:cs="Arial" w:eastAsia="Arial" w:hAnsi="Arial"/>
                <w:sz w:val="16"/>
                <w:szCs w:val="16"/>
                <w:color w:val="17385E"/>
              </w:rPr>
              <w:t>Total Current Liabilities</w:t>
            </w:r>
          </w:p>
        </w:tc>
        <w:tc>
          <w:tcPr>
            <w:tcW w:w="380" w:type="dxa"/>
            <w:vAlign w:val="bottom"/>
            <w:tcBorders>
              <w:top w:val="single" w:sz="8" w:color="004483"/>
              <w:bottom w:val="single" w:sz="8" w:color="A6A6A6"/>
            </w:tcBorders>
          </w:tcPr>
          <w:p>
            <w:pPr>
              <w:spacing w:after="0"/>
              <w:rPr>
                <w:sz w:val="18"/>
                <w:szCs w:val="18"/>
                <w:color w:val="auto"/>
              </w:rPr>
            </w:pPr>
          </w:p>
        </w:tc>
        <w:tc>
          <w:tcPr>
            <w:tcW w:w="9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163,085</w:t>
            </w:r>
          </w:p>
        </w:tc>
        <w:tc>
          <w:tcPr>
            <w:tcW w:w="120" w:type="dxa"/>
            <w:vAlign w:val="bottom"/>
          </w:tcPr>
          <w:p>
            <w:pPr>
              <w:spacing w:after="0"/>
              <w:rPr>
                <w:sz w:val="18"/>
                <w:szCs w:val="18"/>
                <w:color w:val="auto"/>
              </w:rPr>
            </w:pPr>
          </w:p>
        </w:tc>
        <w:tc>
          <w:tcPr>
            <w:tcW w:w="160" w:type="dxa"/>
            <w:vAlign w:val="bottom"/>
            <w:tcBorders>
              <w:top w:val="single" w:sz="8" w:color="A6A6A6"/>
              <w:bottom w:val="single" w:sz="8" w:color="A6A6A6"/>
            </w:tcBorders>
          </w:tcPr>
          <w:p>
            <w:pPr>
              <w:spacing w:after="0"/>
              <w:rPr>
                <w:sz w:val="18"/>
                <w:szCs w:val="18"/>
                <w:color w:val="auto"/>
              </w:rPr>
            </w:pPr>
          </w:p>
        </w:tc>
        <w:tc>
          <w:tcPr>
            <w:tcW w:w="20" w:type="dxa"/>
            <w:vAlign w:val="bottom"/>
            <w:tcBorders>
              <w:top w:val="single" w:sz="8" w:color="A6A6A6"/>
              <w:bottom w:val="single" w:sz="8" w:color="A6A6A6"/>
            </w:tcBorders>
          </w:tcPr>
          <w:p>
            <w:pPr>
              <w:spacing w:after="0"/>
              <w:rPr>
                <w:sz w:val="18"/>
                <w:szCs w:val="18"/>
                <w:color w:val="auto"/>
              </w:rPr>
            </w:pPr>
          </w:p>
        </w:tc>
        <w:tc>
          <w:tcPr>
            <w:tcW w:w="380" w:type="dxa"/>
            <w:vAlign w:val="bottom"/>
            <w:tcBorders>
              <w:top w:val="single" w:sz="8" w:color="004483"/>
              <w:bottom w:val="single" w:sz="8" w:color="A6A6A6"/>
            </w:tcBorders>
          </w:tcPr>
          <w:p>
            <w:pPr>
              <w:spacing w:after="0"/>
              <w:rPr>
                <w:sz w:val="18"/>
                <w:szCs w:val="18"/>
                <w:color w:val="auto"/>
              </w:rPr>
            </w:pPr>
          </w:p>
        </w:tc>
        <w:tc>
          <w:tcPr>
            <w:tcW w:w="98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169,697</w:t>
            </w:r>
          </w:p>
        </w:tc>
        <w:tc>
          <w:tcPr>
            <w:tcW w:w="40" w:type="dxa"/>
            <w:vAlign w:val="bottom"/>
          </w:tcPr>
          <w:p>
            <w:pPr>
              <w:spacing w:after="0"/>
              <w:rPr>
                <w:sz w:val="18"/>
                <w:szCs w:val="18"/>
                <w:color w:val="auto"/>
              </w:rPr>
            </w:pPr>
          </w:p>
        </w:tc>
      </w:tr>
      <w:tr>
        <w:trPr>
          <w:trHeight w:val="209"/>
        </w:trPr>
        <w:tc>
          <w:tcPr>
            <w:tcW w:w="8140" w:type="dxa"/>
            <w:vAlign w:val="bottom"/>
            <w:tcBorders>
              <w:bottom w:val="single" w:sz="8" w:color="A6A6A6"/>
            </w:tcBorders>
          </w:tcPr>
          <w:p>
            <w:pPr>
              <w:spacing w:after="0"/>
              <w:rPr>
                <w:sz w:val="20"/>
                <w:szCs w:val="20"/>
                <w:color w:val="auto"/>
              </w:rPr>
            </w:pPr>
            <w:r>
              <w:rPr>
                <w:rFonts w:ascii="Arial" w:cs="Arial" w:eastAsia="Arial" w:hAnsi="Arial"/>
                <w:sz w:val="16"/>
                <w:szCs w:val="16"/>
                <w:color w:val="17385E"/>
              </w:rPr>
              <w:t>Long-term Debt</w:t>
            </w:r>
          </w:p>
        </w:tc>
        <w:tc>
          <w:tcPr>
            <w:tcW w:w="38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1,252,716</w:t>
            </w:r>
          </w:p>
        </w:tc>
        <w:tc>
          <w:tcPr>
            <w:tcW w:w="12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1,567,315</w:t>
            </w:r>
          </w:p>
        </w:tc>
        <w:tc>
          <w:tcPr>
            <w:tcW w:w="40" w:type="dxa"/>
            <w:vAlign w:val="bottom"/>
          </w:tcPr>
          <w:p>
            <w:pPr>
              <w:spacing w:after="0"/>
              <w:rPr>
                <w:sz w:val="18"/>
                <w:szCs w:val="18"/>
                <w:color w:val="auto"/>
              </w:rPr>
            </w:pPr>
          </w:p>
        </w:tc>
      </w:tr>
      <w:tr>
        <w:trPr>
          <w:trHeight w:val="210"/>
        </w:trPr>
        <w:tc>
          <w:tcPr>
            <w:tcW w:w="8140" w:type="dxa"/>
            <w:vAlign w:val="bottom"/>
            <w:tcBorders>
              <w:bottom w:val="single" w:sz="8" w:color="A6A6A6"/>
            </w:tcBorders>
          </w:tcPr>
          <w:p>
            <w:pPr>
              <w:spacing w:after="0"/>
              <w:rPr>
                <w:sz w:val="20"/>
                <w:szCs w:val="20"/>
                <w:color w:val="auto"/>
              </w:rPr>
            </w:pPr>
            <w:r>
              <w:rPr>
                <w:rFonts w:ascii="Arial" w:cs="Arial" w:eastAsia="Arial" w:hAnsi="Arial"/>
                <w:sz w:val="16"/>
                <w:szCs w:val="16"/>
                <w:color w:val="17385E"/>
              </w:rPr>
              <w:t>Noncurrent Operating Lease Liabilities</w:t>
            </w:r>
          </w:p>
        </w:tc>
        <w:tc>
          <w:tcPr>
            <w:tcW w:w="38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37,419</w:t>
            </w:r>
          </w:p>
        </w:tc>
        <w:tc>
          <w:tcPr>
            <w:tcW w:w="12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40,239</w:t>
            </w:r>
          </w:p>
        </w:tc>
        <w:tc>
          <w:tcPr>
            <w:tcW w:w="40" w:type="dxa"/>
            <w:vAlign w:val="bottom"/>
          </w:tcPr>
          <w:p>
            <w:pPr>
              <w:spacing w:after="0"/>
              <w:rPr>
                <w:sz w:val="18"/>
                <w:szCs w:val="18"/>
                <w:color w:val="auto"/>
              </w:rPr>
            </w:pPr>
          </w:p>
        </w:tc>
      </w:tr>
      <w:tr>
        <w:trPr>
          <w:trHeight w:val="209"/>
        </w:trPr>
        <w:tc>
          <w:tcPr>
            <w:tcW w:w="8140" w:type="dxa"/>
            <w:vAlign w:val="bottom"/>
            <w:tcBorders>
              <w:bottom w:val="single" w:sz="8" w:color="A6A6A6"/>
            </w:tcBorders>
          </w:tcPr>
          <w:p>
            <w:pPr>
              <w:spacing w:after="0"/>
              <w:rPr>
                <w:sz w:val="20"/>
                <w:szCs w:val="20"/>
                <w:color w:val="auto"/>
              </w:rPr>
            </w:pPr>
            <w:r>
              <w:rPr>
                <w:rFonts w:ascii="Arial" w:cs="Arial" w:eastAsia="Arial" w:hAnsi="Arial"/>
                <w:sz w:val="16"/>
                <w:szCs w:val="16"/>
                <w:color w:val="17385E"/>
              </w:rPr>
              <w:t>Other Long-term Liabilities</w:t>
            </w:r>
          </w:p>
        </w:tc>
        <w:tc>
          <w:tcPr>
            <w:tcW w:w="38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41,586</w:t>
            </w:r>
          </w:p>
        </w:tc>
        <w:tc>
          <w:tcPr>
            <w:tcW w:w="12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33,832</w:t>
            </w:r>
          </w:p>
        </w:tc>
        <w:tc>
          <w:tcPr>
            <w:tcW w:w="40" w:type="dxa"/>
            <w:vAlign w:val="bottom"/>
          </w:tcPr>
          <w:p>
            <w:pPr>
              <w:spacing w:after="0"/>
              <w:rPr>
                <w:sz w:val="18"/>
                <w:szCs w:val="18"/>
                <w:color w:val="auto"/>
              </w:rPr>
            </w:pPr>
          </w:p>
        </w:tc>
      </w:tr>
      <w:tr>
        <w:trPr>
          <w:trHeight w:val="210"/>
        </w:trPr>
        <w:tc>
          <w:tcPr>
            <w:tcW w:w="8140" w:type="dxa"/>
            <w:vAlign w:val="bottom"/>
            <w:tcBorders>
              <w:bottom w:val="single" w:sz="8" w:color="A6A6A6"/>
            </w:tcBorders>
          </w:tcPr>
          <w:p>
            <w:pPr>
              <w:spacing w:after="0"/>
              <w:rPr>
                <w:sz w:val="20"/>
                <w:szCs w:val="20"/>
                <w:color w:val="auto"/>
              </w:rPr>
            </w:pPr>
            <w:r>
              <w:rPr>
                <w:rFonts w:ascii="Arial" w:cs="Arial" w:eastAsia="Arial" w:hAnsi="Arial"/>
                <w:sz w:val="16"/>
                <w:szCs w:val="16"/>
                <w:color w:val="17385E"/>
              </w:rPr>
              <w:t>Deferred Income Taxes</w:t>
            </w:r>
          </w:p>
        </w:tc>
        <w:tc>
          <w:tcPr>
            <w:tcW w:w="38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208,446</w:t>
            </w:r>
          </w:p>
        </w:tc>
        <w:tc>
          <w:tcPr>
            <w:tcW w:w="12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166,667</w:t>
            </w:r>
          </w:p>
        </w:tc>
        <w:tc>
          <w:tcPr>
            <w:tcW w:w="40" w:type="dxa"/>
            <w:vAlign w:val="bottom"/>
          </w:tcPr>
          <w:p>
            <w:pPr>
              <w:spacing w:after="0"/>
              <w:rPr>
                <w:sz w:val="18"/>
                <w:szCs w:val="18"/>
                <w:color w:val="auto"/>
              </w:rPr>
            </w:pPr>
          </w:p>
        </w:tc>
      </w:tr>
      <w:tr>
        <w:trPr>
          <w:trHeight w:val="210"/>
        </w:trPr>
        <w:tc>
          <w:tcPr>
            <w:tcW w:w="8140" w:type="dxa"/>
            <w:vAlign w:val="bottom"/>
          </w:tcPr>
          <w:p>
            <w:pPr>
              <w:spacing w:after="0"/>
              <w:rPr>
                <w:sz w:val="20"/>
                <w:szCs w:val="20"/>
                <w:color w:val="auto"/>
              </w:rPr>
            </w:pPr>
            <w:r>
              <w:rPr>
                <w:rFonts w:ascii="Arial" w:cs="Arial" w:eastAsia="Arial" w:hAnsi="Arial"/>
                <w:sz w:val="16"/>
                <w:szCs w:val="16"/>
                <w:color w:val="17385E"/>
              </w:rPr>
              <w:t>Liabilities of Discontinued Operations</w:t>
            </w:r>
          </w:p>
        </w:tc>
        <w:tc>
          <w:tcPr>
            <w:tcW w:w="380" w:type="dxa"/>
            <w:vAlign w:val="bottom"/>
          </w:tcPr>
          <w:p>
            <w:pPr>
              <w:spacing w:after="0"/>
              <w:rPr>
                <w:sz w:val="18"/>
                <w:szCs w:val="18"/>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15,427</w:t>
            </w:r>
          </w:p>
        </w:tc>
        <w:tc>
          <w:tcPr>
            <w:tcW w:w="40" w:type="dxa"/>
            <w:vAlign w:val="bottom"/>
          </w:tcPr>
          <w:p>
            <w:pPr>
              <w:spacing w:after="0"/>
              <w:rPr>
                <w:sz w:val="18"/>
                <w:szCs w:val="18"/>
                <w:color w:val="auto"/>
              </w:rPr>
            </w:pPr>
          </w:p>
        </w:tc>
      </w:tr>
      <w:tr>
        <w:trPr>
          <w:trHeight w:val="209"/>
        </w:trPr>
        <w:tc>
          <w:tcPr>
            <w:tcW w:w="8140" w:type="dxa"/>
            <w:vAlign w:val="bottom"/>
            <w:tcBorders>
              <w:top w:val="single" w:sz="8" w:color="A6A6A6"/>
              <w:bottom w:val="single" w:sz="8" w:color="A6A6A6"/>
            </w:tcBorders>
          </w:tcPr>
          <w:p>
            <w:pPr>
              <w:ind w:left="500"/>
              <w:spacing w:after="0"/>
              <w:rPr>
                <w:sz w:val="20"/>
                <w:szCs w:val="20"/>
                <w:color w:val="auto"/>
              </w:rPr>
            </w:pPr>
            <w:r>
              <w:rPr>
                <w:rFonts w:ascii="Arial" w:cs="Arial" w:eastAsia="Arial" w:hAnsi="Arial"/>
                <w:sz w:val="16"/>
                <w:szCs w:val="16"/>
                <w:color w:val="17385E"/>
              </w:rPr>
              <w:t>Total Liabilities</w:t>
            </w:r>
          </w:p>
        </w:tc>
        <w:tc>
          <w:tcPr>
            <w:tcW w:w="380" w:type="dxa"/>
            <w:vAlign w:val="bottom"/>
            <w:tcBorders>
              <w:top w:val="single" w:sz="8" w:color="004483"/>
              <w:bottom w:val="single" w:sz="8" w:color="004483"/>
            </w:tcBorders>
          </w:tcPr>
          <w:p>
            <w:pPr>
              <w:spacing w:after="0"/>
              <w:rPr>
                <w:sz w:val="18"/>
                <w:szCs w:val="18"/>
                <w:color w:val="auto"/>
              </w:rPr>
            </w:pPr>
          </w:p>
        </w:tc>
        <w:tc>
          <w:tcPr>
            <w:tcW w:w="9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color w:val="auto"/>
              </w:rPr>
              <w:t>1,703,252</w:t>
            </w:r>
          </w:p>
        </w:tc>
        <w:tc>
          <w:tcPr>
            <w:tcW w:w="120" w:type="dxa"/>
            <w:vAlign w:val="bottom"/>
          </w:tcPr>
          <w:p>
            <w:pPr>
              <w:spacing w:after="0"/>
              <w:rPr>
                <w:sz w:val="18"/>
                <w:szCs w:val="18"/>
                <w:color w:val="auto"/>
              </w:rPr>
            </w:pPr>
          </w:p>
        </w:tc>
        <w:tc>
          <w:tcPr>
            <w:tcW w:w="160" w:type="dxa"/>
            <w:vAlign w:val="bottom"/>
            <w:tcBorders>
              <w:top w:val="single" w:sz="8" w:color="A6A6A6"/>
              <w:bottom w:val="single" w:sz="8" w:color="A6A6A6"/>
            </w:tcBorders>
          </w:tcPr>
          <w:p>
            <w:pPr>
              <w:spacing w:after="0"/>
              <w:rPr>
                <w:sz w:val="18"/>
                <w:szCs w:val="18"/>
                <w:color w:val="auto"/>
              </w:rPr>
            </w:pPr>
          </w:p>
        </w:tc>
        <w:tc>
          <w:tcPr>
            <w:tcW w:w="20" w:type="dxa"/>
            <w:vAlign w:val="bottom"/>
            <w:tcBorders>
              <w:top w:val="single" w:sz="8" w:color="A6A6A6"/>
              <w:bottom w:val="single" w:sz="8" w:color="A6A6A6"/>
            </w:tcBorders>
          </w:tcPr>
          <w:p>
            <w:pPr>
              <w:spacing w:after="0"/>
              <w:rPr>
                <w:sz w:val="18"/>
                <w:szCs w:val="18"/>
                <w:color w:val="auto"/>
              </w:rPr>
            </w:pPr>
          </w:p>
        </w:tc>
        <w:tc>
          <w:tcPr>
            <w:tcW w:w="380" w:type="dxa"/>
            <w:vAlign w:val="bottom"/>
            <w:tcBorders>
              <w:top w:val="single" w:sz="8" w:color="004483"/>
              <w:bottom w:val="single" w:sz="8" w:color="004483"/>
            </w:tcBorders>
          </w:tcPr>
          <w:p>
            <w:pPr>
              <w:spacing w:after="0"/>
              <w:rPr>
                <w:sz w:val="18"/>
                <w:szCs w:val="18"/>
                <w:color w:val="auto"/>
              </w:rPr>
            </w:pPr>
          </w:p>
        </w:tc>
        <w:tc>
          <w:tcPr>
            <w:tcW w:w="9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color w:val="auto"/>
              </w:rPr>
              <w:t>1,993,177</w:t>
            </w:r>
          </w:p>
        </w:tc>
        <w:tc>
          <w:tcPr>
            <w:tcW w:w="40" w:type="dxa"/>
            <w:vAlign w:val="bottom"/>
          </w:tcPr>
          <w:p>
            <w:pPr>
              <w:spacing w:after="0"/>
              <w:rPr>
                <w:sz w:val="18"/>
                <w:szCs w:val="18"/>
                <w:color w:val="auto"/>
              </w:rPr>
            </w:pPr>
          </w:p>
        </w:tc>
      </w:tr>
      <w:tr>
        <w:trPr>
          <w:trHeight w:val="210"/>
        </w:trPr>
        <w:tc>
          <w:tcPr>
            <w:tcW w:w="8140" w:type="dxa"/>
            <w:vAlign w:val="bottom"/>
            <w:tcBorders>
              <w:bottom w:val="single" w:sz="8" w:color="A6A6A6"/>
            </w:tcBorders>
          </w:tcPr>
          <w:p>
            <w:pPr>
              <w:spacing w:after="0"/>
              <w:rPr>
                <w:sz w:val="20"/>
                <w:szCs w:val="20"/>
                <w:color w:val="auto"/>
              </w:rPr>
            </w:pPr>
            <w:r>
              <w:rPr>
                <w:rFonts w:ascii="Arial" w:cs="Arial" w:eastAsia="Arial" w:hAnsi="Arial"/>
                <w:sz w:val="16"/>
                <w:szCs w:val="16"/>
                <w:color w:val="17385E"/>
              </w:rPr>
              <w:t>Stockholders’ Equity –</w:t>
            </w:r>
          </w:p>
        </w:tc>
        <w:tc>
          <w:tcPr>
            <w:tcW w:w="38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8140" w:type="dxa"/>
            <w:vAlign w:val="bottom"/>
          </w:tcPr>
          <w:p>
            <w:pPr>
              <w:ind w:left="260"/>
              <w:spacing w:after="0"/>
              <w:rPr>
                <w:sz w:val="20"/>
                <w:szCs w:val="20"/>
                <w:color w:val="auto"/>
              </w:rPr>
            </w:pPr>
            <w:r>
              <w:rPr>
                <w:rFonts w:ascii="Arial" w:cs="Arial" w:eastAsia="Arial" w:hAnsi="Arial"/>
                <w:sz w:val="16"/>
                <w:szCs w:val="16"/>
                <w:color w:val="17385E"/>
              </w:rPr>
              <w:t>Preferred Stock, Par Value $0.01; Authorized 5,000,000 Shares; None Issued</w:t>
            </w:r>
          </w:p>
        </w:tc>
        <w:tc>
          <w:tcPr>
            <w:tcW w:w="380" w:type="dxa"/>
            <w:vAlign w:val="bottom"/>
          </w:tcPr>
          <w:p>
            <w:pPr>
              <w:spacing w:after="0"/>
              <w:rPr>
                <w:sz w:val="18"/>
                <w:szCs w:val="18"/>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03"/>
        </w:trPr>
        <w:tc>
          <w:tcPr>
            <w:tcW w:w="8140" w:type="dxa"/>
            <w:vAlign w:val="bottom"/>
            <w:tcBorders>
              <w:top w:val="single" w:sz="8" w:color="A6A6A6"/>
            </w:tcBorders>
          </w:tcPr>
          <w:p>
            <w:pPr>
              <w:ind w:left="260"/>
              <w:spacing w:after="0"/>
              <w:rPr>
                <w:sz w:val="20"/>
                <w:szCs w:val="20"/>
                <w:color w:val="auto"/>
              </w:rPr>
            </w:pPr>
            <w:r>
              <w:rPr>
                <w:rFonts w:ascii="Arial" w:cs="Arial" w:eastAsia="Arial" w:hAnsi="Arial"/>
                <w:sz w:val="16"/>
                <w:szCs w:val="16"/>
                <w:color w:val="17385E"/>
              </w:rPr>
              <w:t>Common Stock, Par Value $0.01; Authorized 100,000,000 Shares;</w:t>
            </w:r>
          </w:p>
        </w:tc>
        <w:tc>
          <w:tcPr>
            <w:tcW w:w="380" w:type="dxa"/>
            <w:vAlign w:val="bottom"/>
            <w:tcBorders>
              <w:top w:val="single" w:sz="8" w:color="A6A6A6"/>
            </w:tcBorders>
          </w:tcPr>
          <w:p>
            <w:pPr>
              <w:spacing w:after="0"/>
              <w:rPr>
                <w:sz w:val="17"/>
                <w:szCs w:val="17"/>
                <w:color w:val="auto"/>
              </w:rPr>
            </w:pPr>
          </w:p>
        </w:tc>
        <w:tc>
          <w:tcPr>
            <w:tcW w:w="960" w:type="dxa"/>
            <w:vAlign w:val="bottom"/>
            <w:tcBorders>
              <w:top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6A6A6"/>
            </w:tcBorders>
          </w:tcPr>
          <w:p>
            <w:pPr>
              <w:spacing w:after="0"/>
              <w:rPr>
                <w:sz w:val="17"/>
                <w:szCs w:val="17"/>
                <w:color w:val="auto"/>
              </w:rPr>
            </w:pPr>
          </w:p>
        </w:tc>
        <w:tc>
          <w:tcPr>
            <w:tcW w:w="20" w:type="dxa"/>
            <w:vAlign w:val="bottom"/>
            <w:tcBorders>
              <w:top w:val="single" w:sz="8" w:color="A6A6A6"/>
            </w:tcBorders>
          </w:tcPr>
          <w:p>
            <w:pPr>
              <w:spacing w:after="0"/>
              <w:rPr>
                <w:sz w:val="17"/>
                <w:szCs w:val="17"/>
                <w:color w:val="auto"/>
              </w:rPr>
            </w:pPr>
          </w:p>
        </w:tc>
        <w:tc>
          <w:tcPr>
            <w:tcW w:w="380" w:type="dxa"/>
            <w:vAlign w:val="bottom"/>
            <w:tcBorders>
              <w:top w:val="single" w:sz="8" w:color="A6A6A6"/>
            </w:tcBorders>
          </w:tcPr>
          <w:p>
            <w:pPr>
              <w:spacing w:after="0"/>
              <w:rPr>
                <w:sz w:val="17"/>
                <w:szCs w:val="17"/>
                <w:color w:val="auto"/>
              </w:rPr>
            </w:pPr>
          </w:p>
        </w:tc>
        <w:tc>
          <w:tcPr>
            <w:tcW w:w="980" w:type="dxa"/>
            <w:vAlign w:val="bottom"/>
            <w:tcBorders>
              <w:top w:val="single" w:sz="8" w:color="A6A6A6"/>
            </w:tcBorders>
          </w:tcPr>
          <w:p>
            <w:pPr>
              <w:spacing w:after="0"/>
              <w:rPr>
                <w:sz w:val="17"/>
                <w:szCs w:val="17"/>
                <w:color w:val="auto"/>
              </w:rPr>
            </w:pPr>
          </w:p>
        </w:tc>
        <w:tc>
          <w:tcPr>
            <w:tcW w:w="40" w:type="dxa"/>
            <w:vAlign w:val="bottom"/>
          </w:tcPr>
          <w:p>
            <w:pPr>
              <w:spacing w:after="0"/>
              <w:rPr>
                <w:sz w:val="17"/>
                <w:szCs w:val="17"/>
                <w:color w:val="auto"/>
              </w:rPr>
            </w:pPr>
          </w:p>
        </w:tc>
      </w:tr>
      <w:tr>
        <w:trPr>
          <w:trHeight w:val="209"/>
        </w:trPr>
        <w:tc>
          <w:tcPr>
            <w:tcW w:w="8140" w:type="dxa"/>
            <w:vAlign w:val="bottom"/>
            <w:tcBorders>
              <w:bottom w:val="single" w:sz="8" w:color="A6A6A6"/>
            </w:tcBorders>
          </w:tcPr>
          <w:p>
            <w:pPr>
              <w:ind w:left="380"/>
              <w:spacing w:after="0"/>
              <w:rPr>
                <w:sz w:val="20"/>
                <w:szCs w:val="20"/>
                <w:color w:val="auto"/>
              </w:rPr>
            </w:pPr>
            <w:r>
              <w:rPr>
                <w:rFonts w:ascii="Arial" w:cs="Arial" w:eastAsia="Arial" w:hAnsi="Arial"/>
                <w:sz w:val="16"/>
                <w:szCs w:val="16"/>
                <w:color w:val="17385E"/>
              </w:rPr>
              <w:t>Issued and Outstanding 41,816,942 and 41,649,041 Shares, respectively</w:t>
            </w:r>
          </w:p>
        </w:tc>
        <w:tc>
          <w:tcPr>
            <w:tcW w:w="38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418</w:t>
            </w:r>
          </w:p>
        </w:tc>
        <w:tc>
          <w:tcPr>
            <w:tcW w:w="12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416</w:t>
            </w:r>
          </w:p>
        </w:tc>
        <w:tc>
          <w:tcPr>
            <w:tcW w:w="40" w:type="dxa"/>
            <w:vAlign w:val="bottom"/>
          </w:tcPr>
          <w:p>
            <w:pPr>
              <w:spacing w:after="0"/>
              <w:rPr>
                <w:sz w:val="18"/>
                <w:szCs w:val="18"/>
                <w:color w:val="auto"/>
              </w:rPr>
            </w:pPr>
          </w:p>
        </w:tc>
      </w:tr>
      <w:tr>
        <w:trPr>
          <w:trHeight w:val="210"/>
        </w:trPr>
        <w:tc>
          <w:tcPr>
            <w:tcW w:w="8140" w:type="dxa"/>
            <w:vAlign w:val="bottom"/>
            <w:tcBorders>
              <w:bottom w:val="single" w:sz="8" w:color="A6A6A6"/>
            </w:tcBorders>
          </w:tcPr>
          <w:p>
            <w:pPr>
              <w:spacing w:after="0"/>
              <w:rPr>
                <w:sz w:val="20"/>
                <w:szCs w:val="20"/>
                <w:color w:val="auto"/>
              </w:rPr>
            </w:pPr>
            <w:r>
              <w:rPr>
                <w:rFonts w:ascii="Arial" w:cs="Arial" w:eastAsia="Arial" w:hAnsi="Arial"/>
                <w:sz w:val="16"/>
                <w:szCs w:val="16"/>
                <w:color w:val="17385E"/>
              </w:rPr>
              <w:t>Capital in Excess of Par Value</w:t>
            </w:r>
          </w:p>
        </w:tc>
        <w:tc>
          <w:tcPr>
            <w:tcW w:w="38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18,584</w:t>
            </w:r>
          </w:p>
        </w:tc>
        <w:tc>
          <w:tcPr>
            <w:tcW w:w="12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10,943</w:t>
            </w:r>
          </w:p>
        </w:tc>
        <w:tc>
          <w:tcPr>
            <w:tcW w:w="40" w:type="dxa"/>
            <w:vAlign w:val="bottom"/>
          </w:tcPr>
          <w:p>
            <w:pPr>
              <w:spacing w:after="0"/>
              <w:rPr>
                <w:sz w:val="18"/>
                <w:szCs w:val="18"/>
                <w:color w:val="auto"/>
              </w:rPr>
            </w:pPr>
          </w:p>
        </w:tc>
      </w:tr>
      <w:tr>
        <w:trPr>
          <w:trHeight w:val="209"/>
        </w:trPr>
        <w:tc>
          <w:tcPr>
            <w:tcW w:w="8140" w:type="dxa"/>
            <w:vAlign w:val="bottom"/>
          </w:tcPr>
          <w:p>
            <w:pPr>
              <w:spacing w:after="0"/>
              <w:rPr>
                <w:sz w:val="20"/>
                <w:szCs w:val="20"/>
                <w:color w:val="auto"/>
              </w:rPr>
            </w:pPr>
            <w:r>
              <w:rPr>
                <w:rFonts w:ascii="Arial" w:cs="Arial" w:eastAsia="Arial" w:hAnsi="Arial"/>
                <w:sz w:val="16"/>
                <w:szCs w:val="16"/>
                <w:color w:val="17385E"/>
              </w:rPr>
              <w:t>Accumulated Other Comprehensive Losses</w:t>
            </w:r>
          </w:p>
        </w:tc>
        <w:tc>
          <w:tcPr>
            <w:tcW w:w="3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(3,276)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(3,581)</w:t>
            </w:r>
          </w:p>
        </w:tc>
      </w:tr>
      <w:tr>
        <w:trPr>
          <w:trHeight w:val="210"/>
        </w:trPr>
        <w:tc>
          <w:tcPr>
            <w:tcW w:w="814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6"/>
                <w:szCs w:val="16"/>
                <w:color w:val="17385E"/>
              </w:rPr>
              <w:t>Retained Earnings</w:t>
            </w:r>
          </w:p>
        </w:tc>
        <w:tc>
          <w:tcPr>
            <w:tcW w:w="380" w:type="dxa"/>
            <w:vAlign w:val="bottom"/>
            <w:tcBorders>
              <w:top w:val="single" w:sz="8" w:color="A6A6A6"/>
              <w:bottom w:val="single" w:sz="8" w:color="004483"/>
            </w:tcBorders>
          </w:tcPr>
          <w:p>
            <w:pPr>
              <w:spacing w:after="0"/>
              <w:rPr>
                <w:sz w:val="18"/>
                <w:szCs w:val="18"/>
                <w:color w:val="auto"/>
              </w:rPr>
            </w:pPr>
          </w:p>
        </w:tc>
        <w:tc>
          <w:tcPr>
            <w:tcW w:w="96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1,152,305</w:t>
            </w:r>
          </w:p>
        </w:tc>
        <w:tc>
          <w:tcPr>
            <w:tcW w:w="120" w:type="dxa"/>
            <w:vAlign w:val="bottom"/>
          </w:tcPr>
          <w:p>
            <w:pPr>
              <w:spacing w:after="0"/>
              <w:rPr>
                <w:sz w:val="18"/>
                <w:szCs w:val="18"/>
                <w:color w:val="auto"/>
              </w:rPr>
            </w:pPr>
          </w:p>
        </w:tc>
        <w:tc>
          <w:tcPr>
            <w:tcW w:w="160" w:type="dxa"/>
            <w:vAlign w:val="bottom"/>
            <w:tcBorders>
              <w:top w:val="single" w:sz="8" w:color="A6A6A6"/>
              <w:bottom w:val="single" w:sz="8" w:color="A6A6A6"/>
            </w:tcBorders>
          </w:tcPr>
          <w:p>
            <w:pPr>
              <w:spacing w:after="0"/>
              <w:rPr>
                <w:sz w:val="18"/>
                <w:szCs w:val="18"/>
                <w:color w:val="auto"/>
              </w:rPr>
            </w:pPr>
          </w:p>
        </w:tc>
        <w:tc>
          <w:tcPr>
            <w:tcW w:w="20" w:type="dxa"/>
            <w:vAlign w:val="bottom"/>
            <w:tcBorders>
              <w:top w:val="single" w:sz="8" w:color="A6A6A6"/>
              <w:bottom w:val="single" w:sz="8" w:color="A6A6A6"/>
            </w:tcBorders>
          </w:tcPr>
          <w:p>
            <w:pPr>
              <w:spacing w:after="0"/>
              <w:rPr>
                <w:sz w:val="18"/>
                <w:szCs w:val="18"/>
                <w:color w:val="auto"/>
              </w:rPr>
            </w:pPr>
          </w:p>
        </w:tc>
        <w:tc>
          <w:tcPr>
            <w:tcW w:w="380" w:type="dxa"/>
            <w:vAlign w:val="bottom"/>
            <w:tcBorders>
              <w:top w:val="single" w:sz="8" w:color="A6A6A6"/>
              <w:bottom w:val="single" w:sz="8" w:color="004483"/>
            </w:tcBorders>
          </w:tcPr>
          <w:p>
            <w:pPr>
              <w:spacing w:after="0"/>
              <w:rPr>
                <w:sz w:val="18"/>
                <w:szCs w:val="18"/>
                <w:color w:val="auto"/>
              </w:rPr>
            </w:pPr>
          </w:p>
        </w:tc>
        <w:tc>
          <w:tcPr>
            <w:tcW w:w="9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960,065</w:t>
            </w:r>
          </w:p>
        </w:tc>
        <w:tc>
          <w:tcPr>
            <w:tcW w:w="40" w:type="dxa"/>
            <w:vAlign w:val="bottom"/>
          </w:tcPr>
          <w:p>
            <w:pPr>
              <w:spacing w:after="0"/>
              <w:rPr>
                <w:sz w:val="18"/>
                <w:szCs w:val="18"/>
                <w:color w:val="auto"/>
              </w:rPr>
            </w:pPr>
          </w:p>
        </w:tc>
      </w:tr>
      <w:tr>
        <w:trPr>
          <w:trHeight w:val="210"/>
        </w:trPr>
        <w:tc>
          <w:tcPr>
            <w:tcW w:w="8140" w:type="dxa"/>
            <w:vAlign w:val="bottom"/>
          </w:tcPr>
          <w:p>
            <w:pPr>
              <w:ind w:left="500"/>
              <w:spacing w:after="0"/>
              <w:rPr>
                <w:sz w:val="20"/>
                <w:szCs w:val="20"/>
                <w:color w:val="auto"/>
              </w:rPr>
            </w:pPr>
            <w:r>
              <w:rPr>
                <w:rFonts w:ascii="Arial" w:cs="Arial" w:eastAsia="Arial" w:hAnsi="Arial"/>
                <w:sz w:val="16"/>
                <w:szCs w:val="16"/>
                <w:color w:val="17385E"/>
              </w:rPr>
              <w:t>Total Stockholders’ Equity</w:t>
            </w:r>
          </w:p>
        </w:tc>
        <w:tc>
          <w:tcPr>
            <w:tcW w:w="380" w:type="dxa"/>
            <w:vAlign w:val="bottom"/>
            <w:tcBorders>
              <w:bottom w:val="single" w:sz="8" w:color="004483"/>
            </w:tcBorders>
          </w:tcPr>
          <w:p>
            <w:pPr>
              <w:spacing w:after="0"/>
              <w:rPr>
                <w:sz w:val="18"/>
                <w:szCs w:val="18"/>
                <w:color w:val="auto"/>
              </w:rPr>
            </w:pPr>
          </w:p>
        </w:tc>
        <w:tc>
          <w:tcPr>
            <w:tcW w:w="9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1,168,031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bottom w:val="single" w:sz="8" w:color="004483"/>
            </w:tcBorders>
          </w:tcPr>
          <w:p>
            <w:pPr>
              <w:spacing w:after="0"/>
              <w:rPr>
                <w:sz w:val="18"/>
                <w:szCs w:val="18"/>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967,843</w:t>
            </w:r>
          </w:p>
        </w:tc>
        <w:tc>
          <w:tcPr>
            <w:tcW w:w="40" w:type="dxa"/>
            <w:vAlign w:val="bottom"/>
          </w:tcPr>
          <w:p>
            <w:pPr>
              <w:spacing w:after="0"/>
              <w:rPr>
                <w:sz w:val="18"/>
                <w:szCs w:val="18"/>
                <w:color w:val="auto"/>
              </w:rPr>
            </w:pPr>
          </w:p>
        </w:tc>
      </w:tr>
      <w:tr>
        <w:trPr>
          <w:trHeight w:val="210"/>
        </w:trPr>
        <w:tc>
          <w:tcPr>
            <w:tcW w:w="8140" w:type="dxa"/>
            <w:vAlign w:val="bottom"/>
          </w:tcPr>
          <w:p>
            <w:pPr>
              <w:spacing w:after="0"/>
              <w:rPr>
                <w:sz w:val="18"/>
                <w:szCs w:val="18"/>
                <w:color w:val="auto"/>
              </w:rPr>
            </w:pPr>
          </w:p>
        </w:tc>
        <w:tc>
          <w:tcPr>
            <w:tcW w:w="380" w:type="dxa"/>
            <w:vAlign w:val="bottom"/>
            <w:tcBorders>
              <w:bottom w:val="single" w:sz="8" w:color="004483"/>
            </w:tcBorders>
          </w:tcPr>
          <w:p>
            <w:pPr>
              <w:jc w:val="right"/>
              <w:ind w:right="22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2,871,283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bottom w:val="single" w:sz="8" w:color="004483"/>
            </w:tcBorders>
          </w:tcPr>
          <w:p>
            <w:pPr>
              <w:spacing w:after="0"/>
              <w:rPr>
                <w:sz w:val="18"/>
                <w:szCs w:val="18"/>
                <w:color w:val="auto"/>
              </w:rPr>
            </w:pPr>
          </w:p>
        </w:tc>
        <w:tc>
          <w:tcPr>
            <w:tcW w:w="380" w:type="dxa"/>
            <w:vAlign w:val="bottom"/>
            <w:tcBorders>
              <w:bottom w:val="single" w:sz="8" w:color="004483"/>
            </w:tcBorders>
          </w:tcPr>
          <w:p>
            <w:pPr>
              <w:jc w:val="right"/>
              <w:ind w:right="269"/>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2,961,020</w:t>
            </w:r>
          </w:p>
        </w:tc>
        <w:tc>
          <w:tcPr>
            <w:tcW w:w="40" w:type="dxa"/>
            <w:vAlign w:val="bottom"/>
          </w:tcPr>
          <w:p>
            <w:pPr>
              <w:spacing w:after="0"/>
              <w:rPr>
                <w:sz w:val="18"/>
                <w:szCs w:val="18"/>
                <w:color w:val="auto"/>
              </w:rPr>
            </w:pPr>
          </w:p>
        </w:tc>
      </w:tr>
      <w:tr>
        <w:trPr>
          <w:trHeight w:val="20"/>
        </w:trPr>
        <w:tc>
          <w:tcPr>
            <w:tcW w:w="8140" w:type="dxa"/>
            <w:vAlign w:val="bottom"/>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96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unaudited consolidated financial statements.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EAGLE MATERIALS INC. AND SUBSIDIARIES CONSOLIDATED STATEMENTS OF CASH FLOWS (unaudited)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40" w:type="dxa"/>
            <w:vAlign w:val="bottom"/>
          </w:tcPr>
          <w:p>
            <w:pPr>
              <w:spacing w:after="0"/>
              <w:rPr>
                <w:sz w:val="19"/>
                <w:szCs w:val="19"/>
                <w:color w:val="auto"/>
              </w:rPr>
            </w:pPr>
          </w:p>
        </w:tc>
        <w:tc>
          <w:tcPr>
            <w:tcW w:w="360" w:type="dxa"/>
            <w:vAlign w:val="bottom"/>
            <w:shd w:val="clear" w:color="auto" w:fill="004483"/>
          </w:tcPr>
          <w:p>
            <w:pPr>
              <w:spacing w:after="0"/>
              <w:rPr>
                <w:sz w:val="19"/>
                <w:szCs w:val="19"/>
                <w:color w:val="auto"/>
              </w:rPr>
            </w:pPr>
          </w:p>
        </w:tc>
        <w:tc>
          <w:tcPr>
            <w:tcW w:w="2520" w:type="dxa"/>
            <w:vAlign w:val="bottom"/>
            <w:gridSpan w:val="4"/>
            <w:shd w:val="clear" w:color="auto" w:fill="004483"/>
          </w:tcPr>
          <w:p>
            <w:pPr>
              <w:jc w:val="right"/>
              <w:spacing w:after="0"/>
              <w:rPr>
                <w:sz w:val="20"/>
                <w:szCs w:val="20"/>
                <w:color w:val="auto"/>
              </w:rPr>
            </w:pPr>
            <w:r>
              <w:rPr>
                <w:rFonts w:ascii="Arial" w:cs="Arial" w:eastAsia="Arial" w:hAnsi="Arial"/>
                <w:sz w:val="13"/>
                <w:szCs w:val="13"/>
                <w:b w:val="1"/>
                <w:bCs w:val="1"/>
                <w:color w:val="FFFFFF"/>
                <w:w w:val="98"/>
              </w:rPr>
              <w:t>For the Six Months Ended September 30,</w:t>
            </w:r>
          </w:p>
        </w:tc>
        <w:tc>
          <w:tcPr>
            <w:tcW w:w="620" w:type="dxa"/>
            <w:vAlign w:val="bottom"/>
            <w:shd w:val="clear" w:color="auto" w:fill="004483"/>
          </w:tcPr>
          <w:p>
            <w:pPr>
              <w:spacing w:after="0"/>
              <w:rPr>
                <w:sz w:val="19"/>
                <w:szCs w:val="19"/>
                <w:color w:val="auto"/>
              </w:rPr>
            </w:pPr>
          </w:p>
        </w:tc>
        <w:tc>
          <w:tcPr>
            <w:tcW w:w="100" w:type="dxa"/>
            <w:vAlign w:val="bottom"/>
            <w:shd w:val="clear" w:color="auto" w:fill="004483"/>
          </w:tcPr>
          <w:p>
            <w:pPr>
              <w:spacing w:after="0"/>
              <w:rPr>
                <w:sz w:val="19"/>
                <w:szCs w:val="19"/>
                <w:color w:val="auto"/>
              </w:rPr>
            </w:pPr>
          </w:p>
        </w:tc>
      </w:tr>
      <w:tr>
        <w:trPr>
          <w:trHeight w:val="148"/>
        </w:trPr>
        <w:tc>
          <w:tcPr>
            <w:tcW w:w="7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2"/>
                <w:szCs w:val="12"/>
                <w:color w:val="auto"/>
              </w:rPr>
            </w:pPr>
          </w:p>
        </w:tc>
      </w:tr>
      <w:tr>
        <w:trPr>
          <w:trHeight w:val="149"/>
        </w:trPr>
        <w:tc>
          <w:tcPr>
            <w:tcW w:w="7640" w:type="dxa"/>
            <w:vAlign w:val="bottom"/>
            <w:tcBorders>
              <w:bottom w:val="single" w:sz="8" w:color="004483"/>
            </w:tcBorders>
          </w:tcPr>
          <w:p>
            <w:pPr>
              <w:spacing w:after="0"/>
              <w:rPr>
                <w:sz w:val="12"/>
                <w:szCs w:val="12"/>
                <w:color w:val="auto"/>
              </w:rPr>
            </w:pPr>
          </w:p>
        </w:tc>
        <w:tc>
          <w:tcPr>
            <w:tcW w:w="360" w:type="dxa"/>
            <w:vAlign w:val="bottom"/>
            <w:tcBorders>
              <w:bottom w:val="single" w:sz="8" w:color="004483"/>
            </w:tcBorders>
          </w:tcPr>
          <w:p>
            <w:pPr>
              <w:spacing w:after="0"/>
              <w:rPr>
                <w:sz w:val="12"/>
                <w:szCs w:val="12"/>
                <w:color w:val="auto"/>
              </w:rPr>
            </w:pPr>
          </w:p>
        </w:tc>
        <w:tc>
          <w:tcPr>
            <w:tcW w:w="2520" w:type="dxa"/>
            <w:vAlign w:val="bottom"/>
            <w:tcBorders>
              <w:bottom w:val="single" w:sz="8" w:color="004483"/>
            </w:tcBorders>
            <w:gridSpan w:val="4"/>
          </w:tcPr>
          <w:p>
            <w:pPr>
              <w:jc w:val="right"/>
              <w:ind w:right="524"/>
              <w:spacing w:after="0"/>
              <w:rPr>
                <w:sz w:val="20"/>
                <w:szCs w:val="20"/>
                <w:color w:val="auto"/>
              </w:rPr>
            </w:pPr>
            <w:r>
              <w:rPr>
                <w:rFonts w:ascii="Arial" w:cs="Arial" w:eastAsia="Arial" w:hAnsi="Arial"/>
                <w:sz w:val="13"/>
                <w:szCs w:val="13"/>
                <w:color w:val="auto"/>
              </w:rPr>
              <w:t>(dollars in thousands)</w:t>
            </w:r>
          </w:p>
        </w:tc>
        <w:tc>
          <w:tcPr>
            <w:tcW w:w="620" w:type="dxa"/>
            <w:vAlign w:val="bottom"/>
            <w:tcBorders>
              <w:bottom w:val="single" w:sz="8" w:color="004483"/>
            </w:tcBorders>
          </w:tcPr>
          <w:p>
            <w:pPr>
              <w:spacing w:after="0"/>
              <w:rPr>
                <w:sz w:val="12"/>
                <w:szCs w:val="12"/>
                <w:color w:val="auto"/>
              </w:rPr>
            </w:pPr>
          </w:p>
        </w:tc>
        <w:tc>
          <w:tcPr>
            <w:tcW w:w="100" w:type="dxa"/>
            <w:vAlign w:val="bottom"/>
          </w:tcPr>
          <w:p>
            <w:pPr>
              <w:spacing w:after="0"/>
              <w:rPr>
                <w:sz w:val="12"/>
                <w:szCs w:val="12"/>
                <w:color w:val="auto"/>
              </w:rPr>
            </w:pPr>
          </w:p>
        </w:tc>
      </w:tr>
      <w:tr>
        <w:trPr>
          <w:trHeight w:val="207"/>
        </w:trPr>
        <w:tc>
          <w:tcPr>
            <w:tcW w:w="7640" w:type="dxa"/>
            <w:vAlign w:val="bottom"/>
            <w:tcBorders>
              <w:bottom w:val="single" w:sz="8" w:color="A6A6A6"/>
            </w:tcBorders>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tcBorders>
              <w:bottom w:val="single" w:sz="8" w:color="A6A6A6"/>
            </w:tcBorders>
          </w:tcPr>
          <w:p>
            <w:pPr>
              <w:spacing w:after="0"/>
              <w:rPr>
                <w:sz w:val="17"/>
                <w:szCs w:val="17"/>
                <w:color w:val="auto"/>
              </w:rPr>
            </w:pPr>
          </w:p>
        </w:tc>
        <w:tc>
          <w:tcPr>
            <w:tcW w:w="124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1000" w:type="dxa"/>
            <w:vAlign w:val="bottom"/>
            <w:tcBorders>
              <w:bottom w:val="single" w:sz="8" w:color="A6A6A6"/>
            </w:tcBorders>
          </w:tcPr>
          <w:p>
            <w:pPr>
              <w:spacing w:after="0"/>
              <w:rPr>
                <w:sz w:val="17"/>
                <w:szCs w:val="17"/>
                <w:color w:val="auto"/>
              </w:rPr>
            </w:pPr>
          </w:p>
        </w:tc>
        <w:tc>
          <w:tcPr>
            <w:tcW w:w="62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7640" w:type="dxa"/>
            <w:vAlign w:val="bottom"/>
            <w:tcBorders>
              <w:bottom w:val="single" w:sz="8" w:color="A6A6A6"/>
            </w:tcBorders>
          </w:tcPr>
          <w:p>
            <w:pPr>
              <w:spacing w:after="0"/>
              <w:rPr>
                <w:sz w:val="20"/>
                <w:szCs w:val="20"/>
                <w:color w:val="auto"/>
              </w:rPr>
            </w:pPr>
            <w:r>
              <w:rPr>
                <w:rFonts w:ascii="Arial" w:cs="Arial" w:eastAsia="Arial" w:hAnsi="Arial"/>
                <w:sz w:val="16"/>
                <w:szCs w:val="16"/>
                <w:color w:val="17385E"/>
              </w:rPr>
              <w:t>Net Earnings</w:t>
            </w:r>
          </w:p>
        </w:tc>
        <w:tc>
          <w:tcPr>
            <w:tcW w:w="360" w:type="dxa"/>
            <w:vAlign w:val="bottom"/>
            <w:tcBorders>
              <w:bottom w:val="single" w:sz="8" w:color="A6A6A6"/>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192,240</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ind w:right="844"/>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113,097</w:t>
            </w:r>
          </w:p>
        </w:tc>
        <w:tc>
          <w:tcPr>
            <w:tcW w:w="100" w:type="dxa"/>
            <w:vAlign w:val="bottom"/>
          </w:tcPr>
          <w:p>
            <w:pPr>
              <w:spacing w:after="0"/>
              <w:rPr>
                <w:sz w:val="18"/>
                <w:szCs w:val="18"/>
                <w:color w:val="auto"/>
              </w:rPr>
            </w:pPr>
          </w:p>
        </w:tc>
      </w:tr>
      <w:tr>
        <w:trPr>
          <w:trHeight w:val="203"/>
        </w:trPr>
        <w:tc>
          <w:tcPr>
            <w:tcW w:w="7640" w:type="dxa"/>
            <w:vAlign w:val="bottom"/>
          </w:tcPr>
          <w:p>
            <w:pPr>
              <w:spacing w:after="0"/>
              <w:rPr>
                <w:sz w:val="20"/>
                <w:szCs w:val="20"/>
                <w:color w:val="auto"/>
              </w:rPr>
            </w:pPr>
            <w:r>
              <w:rPr>
                <w:rFonts w:ascii="Arial" w:cs="Arial" w:eastAsia="Arial" w:hAnsi="Arial"/>
                <w:sz w:val="16"/>
                <w:szCs w:val="16"/>
                <w:color w:val="17385E"/>
              </w:rPr>
              <w:t>Adjustments to Reconcile Net Earnings to Net Cash Provided</w:t>
            </w: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7640" w:type="dxa"/>
            <w:vAlign w:val="bottom"/>
            <w:tcBorders>
              <w:bottom w:val="single" w:sz="8" w:color="A6A6A6"/>
            </w:tcBorders>
          </w:tcPr>
          <w:p>
            <w:pPr>
              <w:spacing w:after="0"/>
              <w:rPr>
                <w:sz w:val="20"/>
                <w:szCs w:val="20"/>
                <w:color w:val="auto"/>
              </w:rPr>
            </w:pPr>
            <w:r>
              <w:rPr>
                <w:rFonts w:ascii="Arial" w:cs="Arial" w:eastAsia="Arial" w:hAnsi="Arial"/>
                <w:sz w:val="16"/>
                <w:szCs w:val="16"/>
                <w:color w:val="17385E"/>
              </w:rPr>
              <w:t>by Operating Activities, Net of Effect of Non-Cash Activity -</w:t>
            </w:r>
          </w:p>
        </w:tc>
        <w:tc>
          <w:tcPr>
            <w:tcW w:w="36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62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7640" w:type="dxa"/>
            <w:vAlign w:val="bottom"/>
            <w:tcBorders>
              <w:bottom w:val="single" w:sz="8" w:color="A6A6A6"/>
            </w:tcBorders>
          </w:tcPr>
          <w:p>
            <w:pPr>
              <w:ind w:left="260"/>
              <w:spacing w:after="0"/>
              <w:rPr>
                <w:sz w:val="20"/>
                <w:szCs w:val="20"/>
                <w:color w:val="auto"/>
              </w:rPr>
            </w:pPr>
            <w:r>
              <w:rPr>
                <w:rFonts w:ascii="Arial" w:cs="Arial" w:eastAsia="Arial" w:hAnsi="Arial"/>
                <w:sz w:val="16"/>
                <w:szCs w:val="16"/>
                <w:color w:val="17385E"/>
              </w:rPr>
              <w:t>Depreciation, Depletion and Amortization</w:t>
            </w:r>
          </w:p>
        </w:tc>
        <w:tc>
          <w:tcPr>
            <w:tcW w:w="36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64,199</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6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56,333</w:t>
            </w:r>
          </w:p>
        </w:tc>
        <w:tc>
          <w:tcPr>
            <w:tcW w:w="100" w:type="dxa"/>
            <w:vAlign w:val="bottom"/>
          </w:tcPr>
          <w:p>
            <w:pPr>
              <w:spacing w:after="0"/>
              <w:rPr>
                <w:sz w:val="18"/>
                <w:szCs w:val="18"/>
                <w:color w:val="auto"/>
              </w:rPr>
            </w:pPr>
          </w:p>
        </w:tc>
      </w:tr>
      <w:tr>
        <w:trPr>
          <w:trHeight w:val="209"/>
        </w:trPr>
        <w:tc>
          <w:tcPr>
            <w:tcW w:w="7640" w:type="dxa"/>
            <w:vAlign w:val="bottom"/>
            <w:tcBorders>
              <w:bottom w:val="single" w:sz="8" w:color="A6A6A6"/>
            </w:tcBorders>
          </w:tcPr>
          <w:p>
            <w:pPr>
              <w:ind w:left="260"/>
              <w:spacing w:after="0"/>
              <w:rPr>
                <w:sz w:val="20"/>
                <w:szCs w:val="20"/>
                <w:color w:val="auto"/>
              </w:rPr>
            </w:pPr>
            <w:r>
              <w:rPr>
                <w:rFonts w:ascii="Arial" w:cs="Arial" w:eastAsia="Arial" w:hAnsi="Arial"/>
                <w:sz w:val="16"/>
                <w:szCs w:val="16"/>
                <w:color w:val="17385E"/>
              </w:rPr>
              <w:t>Deferred Income Tax Provision</w:t>
            </w:r>
          </w:p>
        </w:tc>
        <w:tc>
          <w:tcPr>
            <w:tcW w:w="36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41,779</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6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7,520</w:t>
            </w:r>
          </w:p>
        </w:tc>
        <w:tc>
          <w:tcPr>
            <w:tcW w:w="100" w:type="dxa"/>
            <w:vAlign w:val="bottom"/>
          </w:tcPr>
          <w:p>
            <w:pPr>
              <w:spacing w:after="0"/>
              <w:rPr>
                <w:sz w:val="18"/>
                <w:szCs w:val="18"/>
                <w:color w:val="auto"/>
              </w:rPr>
            </w:pPr>
          </w:p>
        </w:tc>
      </w:tr>
      <w:tr>
        <w:trPr>
          <w:trHeight w:val="209"/>
        </w:trPr>
        <w:tc>
          <w:tcPr>
            <w:tcW w:w="7640" w:type="dxa"/>
            <w:vAlign w:val="bottom"/>
            <w:tcBorders>
              <w:bottom w:val="single" w:sz="8" w:color="A6A6A6"/>
            </w:tcBorders>
          </w:tcPr>
          <w:p>
            <w:pPr>
              <w:ind w:left="260"/>
              <w:spacing w:after="0"/>
              <w:rPr>
                <w:sz w:val="20"/>
                <w:szCs w:val="20"/>
                <w:color w:val="auto"/>
              </w:rPr>
            </w:pPr>
            <w:r>
              <w:rPr>
                <w:rFonts w:ascii="Arial" w:cs="Arial" w:eastAsia="Arial" w:hAnsi="Arial"/>
                <w:sz w:val="16"/>
                <w:szCs w:val="16"/>
                <w:color w:val="17385E"/>
              </w:rPr>
              <w:t>Stock Compensation Expense</w:t>
            </w:r>
          </w:p>
        </w:tc>
        <w:tc>
          <w:tcPr>
            <w:tcW w:w="36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8,275</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6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12,137</w:t>
            </w:r>
          </w:p>
        </w:tc>
        <w:tc>
          <w:tcPr>
            <w:tcW w:w="100" w:type="dxa"/>
            <w:vAlign w:val="bottom"/>
          </w:tcPr>
          <w:p>
            <w:pPr>
              <w:spacing w:after="0"/>
              <w:rPr>
                <w:sz w:val="18"/>
                <w:szCs w:val="18"/>
                <w:color w:val="auto"/>
              </w:rPr>
            </w:pPr>
          </w:p>
        </w:tc>
      </w:tr>
      <w:tr>
        <w:trPr>
          <w:trHeight w:val="209"/>
        </w:trPr>
        <w:tc>
          <w:tcPr>
            <w:tcW w:w="7640" w:type="dxa"/>
            <w:vAlign w:val="bottom"/>
          </w:tcPr>
          <w:p>
            <w:pPr>
              <w:ind w:left="260"/>
              <w:spacing w:after="0"/>
              <w:rPr>
                <w:sz w:val="20"/>
                <w:szCs w:val="20"/>
                <w:color w:val="auto"/>
              </w:rPr>
            </w:pPr>
            <w:r>
              <w:rPr>
                <w:rFonts w:ascii="Arial" w:cs="Arial" w:eastAsia="Arial" w:hAnsi="Arial"/>
                <w:sz w:val="16"/>
                <w:szCs w:val="16"/>
                <w:color w:val="17385E"/>
              </w:rPr>
              <w:t>Gain on Sale of Subsidiaries</w:t>
            </w:r>
          </w:p>
        </w:tc>
        <w:tc>
          <w:tcPr>
            <w:tcW w:w="3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(61,203)</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
        </w:trPr>
        <w:tc>
          <w:tcPr>
            <w:tcW w:w="7640" w:type="dxa"/>
            <w:vAlign w:val="bottom"/>
            <w:shd w:val="clear" w:color="auto" w:fill="A6A6A6"/>
          </w:tcPr>
          <w:p>
            <w:pPr>
              <w:spacing w:after="0" w:line="20" w:lineRule="exact"/>
              <w:rPr>
                <w:sz w:val="1"/>
                <w:szCs w:val="1"/>
                <w:color w:val="auto"/>
              </w:rPr>
            </w:pPr>
          </w:p>
        </w:tc>
        <w:tc>
          <w:tcPr>
            <w:tcW w:w="360" w:type="dxa"/>
            <w:vAlign w:val="bottom"/>
            <w:shd w:val="clear" w:color="auto" w:fill="A6A6A6"/>
          </w:tcPr>
          <w:p>
            <w:pPr>
              <w:spacing w:after="0" w:line="20" w:lineRule="exact"/>
              <w:rPr>
                <w:sz w:val="1"/>
                <w:szCs w:val="1"/>
                <w:color w:val="auto"/>
              </w:rPr>
            </w:pPr>
          </w:p>
        </w:tc>
        <w:tc>
          <w:tcPr>
            <w:tcW w:w="12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1000" w:type="dxa"/>
            <w:vAlign w:val="bottom"/>
            <w:shd w:val="clear" w:color="auto" w:fill="A6A6A6"/>
          </w:tcPr>
          <w:p>
            <w:pPr>
              <w:spacing w:after="0" w:line="20" w:lineRule="exact"/>
              <w:rPr>
                <w:sz w:val="1"/>
                <w:szCs w:val="1"/>
                <w:color w:val="auto"/>
              </w:rPr>
            </w:pPr>
          </w:p>
        </w:tc>
        <w:tc>
          <w:tcPr>
            <w:tcW w:w="6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640" w:type="dxa"/>
            <w:vAlign w:val="bottom"/>
          </w:tcPr>
          <w:p>
            <w:pPr>
              <w:ind w:left="260"/>
              <w:spacing w:after="0"/>
              <w:rPr>
                <w:sz w:val="20"/>
                <w:szCs w:val="20"/>
                <w:color w:val="auto"/>
              </w:rPr>
            </w:pPr>
            <w:r>
              <w:rPr>
                <w:rFonts w:ascii="Arial" w:cs="Arial" w:eastAsia="Arial" w:hAnsi="Arial"/>
                <w:sz w:val="16"/>
                <w:szCs w:val="16"/>
                <w:color w:val="17385E"/>
              </w:rPr>
              <w:t>Equity in Earnings of Unconsolidated Joint Venture</w:t>
            </w:r>
          </w:p>
        </w:tc>
        <w:tc>
          <w:tcPr>
            <w:tcW w:w="3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(18,373)</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(21,789)</w:t>
            </w:r>
          </w:p>
        </w:tc>
      </w:tr>
      <w:tr>
        <w:trPr>
          <w:trHeight w:val="210"/>
        </w:trPr>
        <w:tc>
          <w:tcPr>
            <w:tcW w:w="764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6"/>
                <w:szCs w:val="16"/>
                <w:color w:val="17385E"/>
              </w:rPr>
              <w:t>Distributions from Joint Venture</w:t>
            </w:r>
          </w:p>
        </w:tc>
        <w:tc>
          <w:tcPr>
            <w:tcW w:w="360" w:type="dxa"/>
            <w:vAlign w:val="bottom"/>
            <w:tcBorders>
              <w:top w:val="single" w:sz="8" w:color="A6A6A6"/>
              <w:bottom w:val="single" w:sz="8" w:color="A6A6A6"/>
            </w:tcBorders>
          </w:tcPr>
          <w:p>
            <w:pPr>
              <w:spacing w:after="0"/>
              <w:rPr>
                <w:sz w:val="18"/>
                <w:szCs w:val="18"/>
                <w:color w:val="auto"/>
              </w:rPr>
            </w:pPr>
          </w:p>
        </w:tc>
        <w:tc>
          <w:tcPr>
            <w:tcW w:w="12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18,000</w:t>
            </w:r>
          </w:p>
        </w:tc>
        <w:tc>
          <w:tcPr>
            <w:tcW w:w="100" w:type="dxa"/>
            <w:vAlign w:val="bottom"/>
          </w:tcPr>
          <w:p>
            <w:pPr>
              <w:spacing w:after="0"/>
              <w:rPr>
                <w:sz w:val="18"/>
                <w:szCs w:val="18"/>
                <w:color w:val="auto"/>
              </w:rPr>
            </w:pPr>
          </w:p>
        </w:tc>
        <w:tc>
          <w:tcPr>
            <w:tcW w:w="180" w:type="dxa"/>
            <w:vAlign w:val="bottom"/>
            <w:tcBorders>
              <w:top w:val="single" w:sz="8" w:color="A6A6A6"/>
              <w:bottom w:val="single" w:sz="8" w:color="A6A6A6"/>
            </w:tcBorders>
          </w:tcPr>
          <w:p>
            <w:pPr>
              <w:spacing w:after="0"/>
              <w:rPr>
                <w:sz w:val="18"/>
                <w:szCs w:val="18"/>
                <w:color w:val="auto"/>
              </w:rPr>
            </w:pPr>
          </w:p>
        </w:tc>
        <w:tc>
          <w:tcPr>
            <w:tcW w:w="1000" w:type="dxa"/>
            <w:vAlign w:val="bottom"/>
            <w:tcBorders>
              <w:top w:val="single" w:sz="8" w:color="A6A6A6"/>
              <w:bottom w:val="single" w:sz="8" w:color="A6A6A6"/>
            </w:tcBorders>
          </w:tcPr>
          <w:p>
            <w:pPr>
              <w:spacing w:after="0"/>
              <w:rPr>
                <w:sz w:val="18"/>
                <w:szCs w:val="18"/>
                <w:color w:val="auto"/>
              </w:rPr>
            </w:pPr>
          </w:p>
        </w:tc>
        <w:tc>
          <w:tcPr>
            <w:tcW w:w="6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tcPr>
          <w:p>
            <w:pPr>
              <w:spacing w:after="0"/>
              <w:rPr>
                <w:sz w:val="18"/>
                <w:szCs w:val="18"/>
                <w:color w:val="auto"/>
              </w:rPr>
            </w:pPr>
          </w:p>
        </w:tc>
      </w:tr>
      <w:tr>
        <w:trPr>
          <w:trHeight w:val="209"/>
        </w:trPr>
        <w:tc>
          <w:tcPr>
            <w:tcW w:w="7640" w:type="dxa"/>
            <w:vAlign w:val="bottom"/>
            <w:tcBorders>
              <w:bottom w:val="single" w:sz="8" w:color="A6A6A6"/>
            </w:tcBorders>
          </w:tcPr>
          <w:p>
            <w:pPr>
              <w:spacing w:after="0"/>
              <w:rPr>
                <w:sz w:val="20"/>
                <w:szCs w:val="20"/>
                <w:color w:val="auto"/>
              </w:rPr>
            </w:pPr>
            <w:r>
              <w:rPr>
                <w:rFonts w:ascii="Arial" w:cs="Arial" w:eastAsia="Arial" w:hAnsi="Arial"/>
                <w:sz w:val="16"/>
                <w:szCs w:val="16"/>
                <w:color w:val="17385E"/>
              </w:rPr>
              <w:t>Changes in Operating Assets and Liabilities:</w:t>
            </w:r>
          </w:p>
        </w:tc>
        <w:tc>
          <w:tcPr>
            <w:tcW w:w="36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62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640" w:type="dxa"/>
            <w:vAlign w:val="bottom"/>
          </w:tcPr>
          <w:p>
            <w:pPr>
              <w:ind w:left="260"/>
              <w:spacing w:after="0"/>
              <w:rPr>
                <w:sz w:val="20"/>
                <w:szCs w:val="20"/>
                <w:color w:val="auto"/>
              </w:rPr>
            </w:pPr>
            <w:r>
              <w:rPr>
                <w:rFonts w:ascii="Arial" w:cs="Arial" w:eastAsia="Arial" w:hAnsi="Arial"/>
                <w:sz w:val="16"/>
                <w:szCs w:val="16"/>
                <w:color w:val="17385E"/>
              </w:rPr>
              <w:t>Accounts and Notes Receivable</w:t>
            </w:r>
          </w:p>
        </w:tc>
        <w:tc>
          <w:tcPr>
            <w:tcW w:w="3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(27,746)</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(51,242)</w:t>
            </w:r>
          </w:p>
        </w:tc>
      </w:tr>
      <w:tr>
        <w:trPr>
          <w:trHeight w:val="209"/>
        </w:trPr>
        <w:tc>
          <w:tcPr>
            <w:tcW w:w="7640" w:type="dxa"/>
            <w:vAlign w:val="bottom"/>
            <w:tcBorders>
              <w:top w:val="single" w:sz="8" w:color="A6A6A6"/>
              <w:bottom w:val="single" w:sz="8" w:color="A6A6A6"/>
            </w:tcBorders>
          </w:tcPr>
          <w:p>
            <w:pPr>
              <w:ind w:left="260"/>
              <w:spacing w:after="0"/>
              <w:rPr>
                <w:sz w:val="20"/>
                <w:szCs w:val="20"/>
                <w:color w:val="auto"/>
              </w:rPr>
            </w:pPr>
            <w:r>
              <w:rPr>
                <w:rFonts w:ascii="Arial" w:cs="Arial" w:eastAsia="Arial" w:hAnsi="Arial"/>
                <w:sz w:val="16"/>
                <w:szCs w:val="16"/>
                <w:color w:val="17385E"/>
              </w:rPr>
              <w:t>Inventories</w:t>
            </w:r>
          </w:p>
        </w:tc>
        <w:tc>
          <w:tcPr>
            <w:tcW w:w="360" w:type="dxa"/>
            <w:vAlign w:val="bottom"/>
            <w:tcBorders>
              <w:top w:val="single" w:sz="8" w:color="A6A6A6"/>
              <w:bottom w:val="single" w:sz="8" w:color="A6A6A6"/>
            </w:tcBorders>
          </w:tcPr>
          <w:p>
            <w:pPr>
              <w:spacing w:after="0"/>
              <w:rPr>
                <w:sz w:val="18"/>
                <w:szCs w:val="18"/>
                <w:color w:val="auto"/>
              </w:rPr>
            </w:pPr>
          </w:p>
        </w:tc>
        <w:tc>
          <w:tcPr>
            <w:tcW w:w="12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38,645</w:t>
            </w:r>
          </w:p>
        </w:tc>
        <w:tc>
          <w:tcPr>
            <w:tcW w:w="100" w:type="dxa"/>
            <w:vAlign w:val="bottom"/>
          </w:tcPr>
          <w:p>
            <w:pPr>
              <w:spacing w:after="0"/>
              <w:rPr>
                <w:sz w:val="18"/>
                <w:szCs w:val="18"/>
                <w:color w:val="auto"/>
              </w:rPr>
            </w:pPr>
          </w:p>
        </w:tc>
        <w:tc>
          <w:tcPr>
            <w:tcW w:w="180" w:type="dxa"/>
            <w:vAlign w:val="bottom"/>
            <w:tcBorders>
              <w:top w:val="single" w:sz="8" w:color="A6A6A6"/>
              <w:bottom w:val="single" w:sz="8" w:color="A6A6A6"/>
            </w:tcBorders>
          </w:tcPr>
          <w:p>
            <w:pPr>
              <w:spacing w:after="0"/>
              <w:rPr>
                <w:sz w:val="18"/>
                <w:szCs w:val="18"/>
                <w:color w:val="auto"/>
              </w:rPr>
            </w:pPr>
          </w:p>
        </w:tc>
        <w:tc>
          <w:tcPr>
            <w:tcW w:w="1000" w:type="dxa"/>
            <w:vAlign w:val="bottom"/>
            <w:tcBorders>
              <w:top w:val="single" w:sz="8" w:color="A6A6A6"/>
              <w:bottom w:val="single" w:sz="8" w:color="A6A6A6"/>
            </w:tcBorders>
          </w:tcPr>
          <w:p>
            <w:pPr>
              <w:spacing w:after="0"/>
              <w:rPr>
                <w:sz w:val="18"/>
                <w:szCs w:val="18"/>
                <w:color w:val="auto"/>
              </w:rPr>
            </w:pPr>
          </w:p>
        </w:tc>
        <w:tc>
          <w:tcPr>
            <w:tcW w:w="6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35,562</w:t>
            </w:r>
          </w:p>
        </w:tc>
        <w:tc>
          <w:tcPr>
            <w:tcW w:w="100" w:type="dxa"/>
            <w:vAlign w:val="bottom"/>
          </w:tcPr>
          <w:p>
            <w:pPr>
              <w:spacing w:after="0"/>
              <w:rPr>
                <w:sz w:val="18"/>
                <w:szCs w:val="18"/>
                <w:color w:val="auto"/>
              </w:rPr>
            </w:pPr>
          </w:p>
        </w:tc>
      </w:tr>
      <w:tr>
        <w:trPr>
          <w:trHeight w:val="209"/>
        </w:trPr>
        <w:tc>
          <w:tcPr>
            <w:tcW w:w="7640" w:type="dxa"/>
            <w:vAlign w:val="bottom"/>
            <w:tcBorders>
              <w:bottom w:val="single" w:sz="8" w:color="A6A6A6"/>
            </w:tcBorders>
          </w:tcPr>
          <w:p>
            <w:pPr>
              <w:ind w:left="260"/>
              <w:spacing w:after="0"/>
              <w:rPr>
                <w:sz w:val="20"/>
                <w:szCs w:val="20"/>
                <w:color w:val="auto"/>
              </w:rPr>
            </w:pPr>
            <w:r>
              <w:rPr>
                <w:rFonts w:ascii="Arial" w:cs="Arial" w:eastAsia="Arial" w:hAnsi="Arial"/>
                <w:sz w:val="16"/>
                <w:szCs w:val="16"/>
                <w:color w:val="17385E"/>
              </w:rPr>
              <w:t>Accounts Payable and Accrued Liabilities</w:t>
            </w:r>
          </w:p>
        </w:tc>
        <w:tc>
          <w:tcPr>
            <w:tcW w:w="36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5,998</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6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18"/>
                <w:szCs w:val="18"/>
                <w:color w:val="auto"/>
              </w:rPr>
            </w:pPr>
          </w:p>
        </w:tc>
      </w:tr>
      <w:tr>
        <w:trPr>
          <w:trHeight w:val="210"/>
        </w:trPr>
        <w:tc>
          <w:tcPr>
            <w:tcW w:w="7640" w:type="dxa"/>
            <w:vAlign w:val="bottom"/>
          </w:tcPr>
          <w:p>
            <w:pPr>
              <w:ind w:left="260"/>
              <w:spacing w:after="0"/>
              <w:rPr>
                <w:sz w:val="20"/>
                <w:szCs w:val="20"/>
                <w:color w:val="auto"/>
              </w:rPr>
            </w:pPr>
            <w:r>
              <w:rPr>
                <w:rFonts w:ascii="Arial" w:cs="Arial" w:eastAsia="Arial" w:hAnsi="Arial"/>
                <w:sz w:val="16"/>
                <w:szCs w:val="16"/>
                <w:color w:val="17385E"/>
              </w:rPr>
              <w:t>Other Assets</w:t>
            </w:r>
          </w:p>
        </w:tc>
        <w:tc>
          <w:tcPr>
            <w:tcW w:w="3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(3,179)</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9,244</w:t>
            </w:r>
          </w:p>
        </w:tc>
        <w:tc>
          <w:tcPr>
            <w:tcW w:w="100" w:type="dxa"/>
            <w:vAlign w:val="bottom"/>
          </w:tcPr>
          <w:p>
            <w:pPr>
              <w:spacing w:after="0"/>
              <w:rPr>
                <w:sz w:val="18"/>
                <w:szCs w:val="18"/>
                <w:color w:val="auto"/>
              </w:rPr>
            </w:pPr>
          </w:p>
        </w:tc>
      </w:tr>
      <w:tr>
        <w:trPr>
          <w:trHeight w:val="209"/>
        </w:trPr>
        <w:tc>
          <w:tcPr>
            <w:tcW w:w="7640" w:type="dxa"/>
            <w:vAlign w:val="bottom"/>
            <w:tcBorders>
              <w:top w:val="single" w:sz="8" w:color="A6A6A6"/>
              <w:bottom w:val="single" w:sz="8" w:color="A6A6A6"/>
            </w:tcBorders>
          </w:tcPr>
          <w:p>
            <w:pPr>
              <w:ind w:left="260"/>
              <w:spacing w:after="0"/>
              <w:rPr>
                <w:sz w:val="20"/>
                <w:szCs w:val="20"/>
                <w:color w:val="auto"/>
              </w:rPr>
            </w:pPr>
            <w:r>
              <w:rPr>
                <w:rFonts w:ascii="Arial" w:cs="Arial" w:eastAsia="Arial" w:hAnsi="Arial"/>
                <w:sz w:val="16"/>
                <w:szCs w:val="16"/>
                <w:color w:val="17385E"/>
              </w:rPr>
              <w:t>Income Taxes Payable (Receivable)</w:t>
            </w:r>
          </w:p>
        </w:tc>
        <w:tc>
          <w:tcPr>
            <w:tcW w:w="360" w:type="dxa"/>
            <w:vAlign w:val="bottom"/>
            <w:tcBorders>
              <w:top w:val="single" w:sz="8" w:color="A6A6A6"/>
              <w:bottom w:val="single" w:sz="8" w:color="004483"/>
            </w:tcBorders>
          </w:tcPr>
          <w:p>
            <w:pPr>
              <w:spacing w:after="0"/>
              <w:rPr>
                <w:sz w:val="18"/>
                <w:szCs w:val="18"/>
                <w:color w:val="auto"/>
              </w:rPr>
            </w:pPr>
          </w:p>
        </w:tc>
        <w:tc>
          <w:tcPr>
            <w:tcW w:w="124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99,742</w:t>
            </w:r>
          </w:p>
        </w:tc>
        <w:tc>
          <w:tcPr>
            <w:tcW w:w="100" w:type="dxa"/>
            <w:vAlign w:val="bottom"/>
          </w:tcPr>
          <w:p>
            <w:pPr>
              <w:spacing w:after="0"/>
              <w:rPr>
                <w:sz w:val="18"/>
                <w:szCs w:val="18"/>
                <w:color w:val="auto"/>
              </w:rPr>
            </w:pPr>
          </w:p>
        </w:tc>
        <w:tc>
          <w:tcPr>
            <w:tcW w:w="180" w:type="dxa"/>
            <w:vAlign w:val="bottom"/>
            <w:tcBorders>
              <w:top w:val="single" w:sz="8" w:color="A6A6A6"/>
              <w:bottom w:val="single" w:sz="8" w:color="A6A6A6"/>
            </w:tcBorders>
          </w:tcPr>
          <w:p>
            <w:pPr>
              <w:spacing w:after="0"/>
              <w:rPr>
                <w:sz w:val="18"/>
                <w:szCs w:val="18"/>
                <w:color w:val="auto"/>
              </w:rPr>
            </w:pPr>
          </w:p>
        </w:tc>
        <w:tc>
          <w:tcPr>
            <w:tcW w:w="1000" w:type="dxa"/>
            <w:vAlign w:val="bottom"/>
            <w:tcBorders>
              <w:top w:val="single" w:sz="8" w:color="A6A6A6"/>
              <w:bottom w:val="single" w:sz="8" w:color="004483"/>
            </w:tcBorders>
          </w:tcPr>
          <w:p>
            <w:pPr>
              <w:spacing w:after="0"/>
              <w:rPr>
                <w:sz w:val="18"/>
                <w:szCs w:val="18"/>
                <w:color w:val="auto"/>
              </w:rPr>
            </w:pPr>
          </w:p>
        </w:tc>
        <w:tc>
          <w:tcPr>
            <w:tcW w:w="62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8,411</w:t>
            </w:r>
          </w:p>
        </w:tc>
        <w:tc>
          <w:tcPr>
            <w:tcW w:w="100" w:type="dxa"/>
            <w:vAlign w:val="bottom"/>
          </w:tcPr>
          <w:p>
            <w:pPr>
              <w:spacing w:after="0"/>
              <w:rPr>
                <w:sz w:val="18"/>
                <w:szCs w:val="18"/>
                <w:color w:val="auto"/>
              </w:rPr>
            </w:pPr>
          </w:p>
        </w:tc>
      </w:tr>
      <w:tr>
        <w:trPr>
          <w:trHeight w:val="209"/>
        </w:trPr>
        <w:tc>
          <w:tcPr>
            <w:tcW w:w="7640" w:type="dxa"/>
            <w:vAlign w:val="bottom"/>
            <w:tcBorders>
              <w:bottom w:val="single" w:sz="8" w:color="A6A6A6"/>
            </w:tcBorders>
          </w:tcPr>
          <w:p>
            <w:pPr>
              <w:ind w:left="500"/>
              <w:spacing w:after="0"/>
              <w:rPr>
                <w:sz w:val="20"/>
                <w:szCs w:val="20"/>
                <w:color w:val="auto"/>
              </w:rPr>
            </w:pPr>
            <w:r>
              <w:rPr>
                <w:rFonts w:ascii="Arial" w:cs="Arial" w:eastAsia="Arial" w:hAnsi="Arial"/>
                <w:sz w:val="16"/>
                <w:szCs w:val="16"/>
                <w:color w:val="17385E"/>
              </w:rPr>
              <w:t>Net Cash Provided by Operating Activities</w:t>
            </w:r>
          </w:p>
        </w:tc>
        <w:tc>
          <w:tcPr>
            <w:tcW w:w="360" w:type="dxa"/>
            <w:vAlign w:val="bottom"/>
            <w:tcBorders>
              <w:bottom w:val="single" w:sz="8" w:color="004483"/>
            </w:tcBorders>
          </w:tcPr>
          <w:p>
            <w:pPr>
              <w:spacing w:after="0"/>
              <w:rPr>
                <w:sz w:val="18"/>
                <w:szCs w:val="18"/>
                <w:color w:val="auto"/>
              </w:rPr>
            </w:pPr>
          </w:p>
        </w:tc>
        <w:tc>
          <w:tcPr>
            <w:tcW w:w="12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358,377</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00" w:type="dxa"/>
            <w:vAlign w:val="bottom"/>
            <w:tcBorders>
              <w:bottom w:val="single" w:sz="8" w:color="004483"/>
            </w:tcBorders>
          </w:tcPr>
          <w:p>
            <w:pPr>
              <w:spacing w:after="0"/>
              <w:rPr>
                <w:sz w:val="18"/>
                <w:szCs w:val="18"/>
                <w:color w:val="auto"/>
              </w:rPr>
            </w:pPr>
          </w:p>
        </w:tc>
        <w:tc>
          <w:tcPr>
            <w:tcW w:w="6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184,696</w:t>
            </w:r>
          </w:p>
        </w:tc>
        <w:tc>
          <w:tcPr>
            <w:tcW w:w="100" w:type="dxa"/>
            <w:vAlign w:val="bottom"/>
          </w:tcPr>
          <w:p>
            <w:pPr>
              <w:spacing w:after="0"/>
              <w:rPr>
                <w:sz w:val="18"/>
                <w:szCs w:val="18"/>
                <w:color w:val="auto"/>
              </w:rPr>
            </w:pPr>
          </w:p>
        </w:tc>
      </w:tr>
      <w:tr>
        <w:trPr>
          <w:trHeight w:val="210"/>
        </w:trPr>
        <w:tc>
          <w:tcPr>
            <w:tcW w:w="7640" w:type="dxa"/>
            <w:vAlign w:val="bottom"/>
            <w:tcBorders>
              <w:bottom w:val="single" w:sz="8" w:color="A6A6A6"/>
            </w:tcBorders>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62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640" w:type="dxa"/>
            <w:vAlign w:val="bottom"/>
          </w:tcPr>
          <w:p>
            <w:pPr>
              <w:ind w:left="260"/>
              <w:spacing w:after="0"/>
              <w:rPr>
                <w:sz w:val="20"/>
                <w:szCs w:val="20"/>
                <w:color w:val="auto"/>
              </w:rPr>
            </w:pPr>
            <w:r>
              <w:rPr>
                <w:rFonts w:ascii="Arial" w:cs="Arial" w:eastAsia="Arial" w:hAnsi="Arial"/>
                <w:sz w:val="16"/>
                <w:szCs w:val="16"/>
                <w:color w:val="17385E"/>
              </w:rPr>
              <w:t>Additions to Property, Plant, and Equipment</w:t>
            </w:r>
          </w:p>
        </w:tc>
        <w:tc>
          <w:tcPr>
            <w:tcW w:w="3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(40,676)</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(60,007)</w:t>
            </w:r>
          </w:p>
        </w:tc>
      </w:tr>
      <w:tr>
        <w:trPr>
          <w:trHeight w:val="20"/>
        </w:trPr>
        <w:tc>
          <w:tcPr>
            <w:tcW w:w="7640" w:type="dxa"/>
            <w:vAlign w:val="bottom"/>
            <w:shd w:val="clear" w:color="auto" w:fill="A6A6A6"/>
          </w:tcPr>
          <w:p>
            <w:pPr>
              <w:spacing w:after="0" w:line="20" w:lineRule="exact"/>
              <w:rPr>
                <w:sz w:val="1"/>
                <w:szCs w:val="1"/>
                <w:color w:val="auto"/>
              </w:rPr>
            </w:pPr>
          </w:p>
        </w:tc>
        <w:tc>
          <w:tcPr>
            <w:tcW w:w="360" w:type="dxa"/>
            <w:vAlign w:val="bottom"/>
            <w:shd w:val="clear" w:color="auto" w:fill="A6A6A6"/>
          </w:tcPr>
          <w:p>
            <w:pPr>
              <w:spacing w:after="0" w:line="20" w:lineRule="exact"/>
              <w:rPr>
                <w:sz w:val="1"/>
                <w:szCs w:val="1"/>
                <w:color w:val="auto"/>
              </w:rPr>
            </w:pPr>
          </w:p>
        </w:tc>
        <w:tc>
          <w:tcPr>
            <w:tcW w:w="12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1000" w:type="dxa"/>
            <w:vAlign w:val="bottom"/>
            <w:shd w:val="clear" w:color="auto" w:fill="A6A6A6"/>
          </w:tcPr>
          <w:p>
            <w:pPr>
              <w:spacing w:after="0" w:line="20" w:lineRule="exact"/>
              <w:rPr>
                <w:sz w:val="1"/>
                <w:szCs w:val="1"/>
                <w:color w:val="auto"/>
              </w:rPr>
            </w:pPr>
          </w:p>
        </w:tc>
        <w:tc>
          <w:tcPr>
            <w:tcW w:w="6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640" w:type="dxa"/>
            <w:vAlign w:val="bottom"/>
          </w:tcPr>
          <w:p>
            <w:pPr>
              <w:ind w:left="260"/>
              <w:spacing w:after="0"/>
              <w:rPr>
                <w:sz w:val="20"/>
                <w:szCs w:val="20"/>
                <w:color w:val="auto"/>
              </w:rPr>
            </w:pPr>
            <w:r>
              <w:rPr>
                <w:rFonts w:ascii="Arial" w:cs="Arial" w:eastAsia="Arial" w:hAnsi="Arial"/>
                <w:sz w:val="16"/>
                <w:szCs w:val="16"/>
                <w:color w:val="17385E"/>
              </w:rPr>
              <w:t>Acquisition Spending</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(30,872)</w:t>
            </w:r>
          </w:p>
        </w:tc>
      </w:tr>
      <w:tr>
        <w:trPr>
          <w:trHeight w:val="209"/>
        </w:trPr>
        <w:tc>
          <w:tcPr>
            <w:tcW w:w="7640" w:type="dxa"/>
            <w:vAlign w:val="bottom"/>
            <w:tcBorders>
              <w:top w:val="single" w:sz="8" w:color="A6A6A6"/>
              <w:bottom w:val="single" w:sz="8" w:color="A6A6A6"/>
            </w:tcBorders>
          </w:tcPr>
          <w:p>
            <w:pPr>
              <w:ind w:left="260"/>
              <w:spacing w:after="0"/>
              <w:rPr>
                <w:sz w:val="20"/>
                <w:szCs w:val="20"/>
                <w:color w:val="auto"/>
              </w:rPr>
            </w:pPr>
            <w:r>
              <w:rPr>
                <w:rFonts w:ascii="Arial" w:cs="Arial" w:eastAsia="Arial" w:hAnsi="Arial"/>
                <w:sz w:val="16"/>
                <w:szCs w:val="16"/>
                <w:color w:val="17385E"/>
              </w:rPr>
              <w:t>Proceeds from Sale of Businesses</w:t>
            </w:r>
          </w:p>
        </w:tc>
        <w:tc>
          <w:tcPr>
            <w:tcW w:w="360" w:type="dxa"/>
            <w:vAlign w:val="bottom"/>
            <w:tcBorders>
              <w:top w:val="single" w:sz="8" w:color="A6A6A6"/>
              <w:bottom w:val="single" w:sz="8" w:color="004483"/>
            </w:tcBorders>
          </w:tcPr>
          <w:p>
            <w:pPr>
              <w:spacing w:after="0"/>
              <w:rPr>
                <w:sz w:val="18"/>
                <w:szCs w:val="18"/>
                <w:color w:val="auto"/>
              </w:rPr>
            </w:pPr>
          </w:p>
        </w:tc>
        <w:tc>
          <w:tcPr>
            <w:tcW w:w="124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91,022</w:t>
            </w:r>
          </w:p>
        </w:tc>
        <w:tc>
          <w:tcPr>
            <w:tcW w:w="100" w:type="dxa"/>
            <w:vAlign w:val="bottom"/>
          </w:tcPr>
          <w:p>
            <w:pPr>
              <w:spacing w:after="0"/>
              <w:rPr>
                <w:sz w:val="18"/>
                <w:szCs w:val="18"/>
                <w:color w:val="auto"/>
              </w:rPr>
            </w:pPr>
          </w:p>
        </w:tc>
        <w:tc>
          <w:tcPr>
            <w:tcW w:w="180" w:type="dxa"/>
            <w:vAlign w:val="bottom"/>
            <w:tcBorders>
              <w:top w:val="single" w:sz="8" w:color="A6A6A6"/>
              <w:bottom w:val="single" w:sz="8" w:color="A6A6A6"/>
            </w:tcBorders>
          </w:tcPr>
          <w:p>
            <w:pPr>
              <w:spacing w:after="0"/>
              <w:rPr>
                <w:sz w:val="18"/>
                <w:szCs w:val="18"/>
                <w:color w:val="auto"/>
              </w:rPr>
            </w:pPr>
          </w:p>
        </w:tc>
        <w:tc>
          <w:tcPr>
            <w:tcW w:w="1000" w:type="dxa"/>
            <w:vAlign w:val="bottom"/>
            <w:tcBorders>
              <w:top w:val="single" w:sz="8" w:color="A6A6A6"/>
              <w:bottom w:val="single" w:sz="8" w:color="004483"/>
            </w:tcBorders>
          </w:tcPr>
          <w:p>
            <w:pPr>
              <w:spacing w:after="0"/>
              <w:rPr>
                <w:sz w:val="18"/>
                <w:szCs w:val="18"/>
                <w:color w:val="auto"/>
              </w:rPr>
            </w:pPr>
          </w:p>
        </w:tc>
        <w:tc>
          <w:tcPr>
            <w:tcW w:w="62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09"/>
        </w:trPr>
        <w:tc>
          <w:tcPr>
            <w:tcW w:w="7640" w:type="dxa"/>
            <w:vAlign w:val="bottom"/>
          </w:tcPr>
          <w:p>
            <w:pPr>
              <w:ind w:left="500"/>
              <w:spacing w:after="0"/>
              <w:rPr>
                <w:sz w:val="20"/>
                <w:szCs w:val="20"/>
                <w:color w:val="auto"/>
              </w:rPr>
            </w:pPr>
            <w:r>
              <w:rPr>
                <w:rFonts w:ascii="Arial" w:cs="Arial" w:eastAsia="Arial" w:hAnsi="Arial"/>
                <w:sz w:val="16"/>
                <w:szCs w:val="16"/>
                <w:color w:val="17385E"/>
              </w:rPr>
              <w:t>Net Cash Provided by (Used in) Investing Activities</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50,346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(90,879)</w:t>
            </w:r>
          </w:p>
        </w:tc>
      </w:tr>
      <w:tr>
        <w:trPr>
          <w:trHeight w:val="210"/>
        </w:trPr>
        <w:tc>
          <w:tcPr>
            <w:tcW w:w="764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tcBorders>
              <w:top w:val="single" w:sz="8" w:color="004483"/>
              <w:bottom w:val="single" w:sz="8" w:color="A6A6A6"/>
            </w:tcBorders>
          </w:tcPr>
          <w:p>
            <w:pPr>
              <w:spacing w:after="0"/>
              <w:rPr>
                <w:sz w:val="18"/>
                <w:szCs w:val="18"/>
                <w:color w:val="auto"/>
              </w:rPr>
            </w:pPr>
          </w:p>
        </w:tc>
        <w:tc>
          <w:tcPr>
            <w:tcW w:w="1240" w:type="dxa"/>
            <w:vAlign w:val="bottom"/>
            <w:tcBorders>
              <w:top w:val="single" w:sz="8" w:color="004483"/>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6A6A6"/>
              <w:bottom w:val="single" w:sz="8" w:color="A6A6A6"/>
            </w:tcBorders>
          </w:tcPr>
          <w:p>
            <w:pPr>
              <w:spacing w:after="0"/>
              <w:rPr>
                <w:sz w:val="18"/>
                <w:szCs w:val="18"/>
                <w:color w:val="auto"/>
              </w:rPr>
            </w:pPr>
          </w:p>
        </w:tc>
        <w:tc>
          <w:tcPr>
            <w:tcW w:w="1000" w:type="dxa"/>
            <w:vAlign w:val="bottom"/>
            <w:tcBorders>
              <w:top w:val="single" w:sz="8" w:color="004483"/>
              <w:bottom w:val="single" w:sz="8" w:color="A6A6A6"/>
            </w:tcBorders>
          </w:tcPr>
          <w:p>
            <w:pPr>
              <w:spacing w:after="0"/>
              <w:rPr>
                <w:sz w:val="18"/>
                <w:szCs w:val="18"/>
                <w:color w:val="auto"/>
              </w:rPr>
            </w:pPr>
          </w:p>
        </w:tc>
        <w:tc>
          <w:tcPr>
            <w:tcW w:w="620" w:type="dxa"/>
            <w:vAlign w:val="bottom"/>
            <w:tcBorders>
              <w:top w:val="single" w:sz="8" w:color="004483"/>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640" w:type="dxa"/>
            <w:vAlign w:val="bottom"/>
          </w:tcPr>
          <w:p>
            <w:pPr>
              <w:ind w:left="260"/>
              <w:spacing w:after="0"/>
              <w:rPr>
                <w:sz w:val="20"/>
                <w:szCs w:val="20"/>
                <w:color w:val="auto"/>
              </w:rPr>
            </w:pPr>
            <w:r>
              <w:rPr>
                <w:rFonts w:ascii="Arial" w:cs="Arial" w:eastAsia="Arial" w:hAnsi="Arial"/>
                <w:sz w:val="16"/>
                <w:szCs w:val="16"/>
                <w:color w:val="17385E"/>
              </w:rPr>
              <w:t>Increase (Decrease) in Credit Facility</w:t>
            </w:r>
          </w:p>
        </w:tc>
        <w:tc>
          <w:tcPr>
            <w:tcW w:w="3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(315,000)</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275,000</w:t>
            </w:r>
          </w:p>
        </w:tc>
        <w:tc>
          <w:tcPr>
            <w:tcW w:w="100" w:type="dxa"/>
            <w:vAlign w:val="bottom"/>
          </w:tcPr>
          <w:p>
            <w:pPr>
              <w:spacing w:after="0"/>
              <w:rPr>
                <w:sz w:val="18"/>
                <w:szCs w:val="18"/>
                <w:color w:val="auto"/>
              </w:rPr>
            </w:pPr>
          </w:p>
        </w:tc>
      </w:tr>
      <w:tr>
        <w:trPr>
          <w:trHeight w:val="20"/>
        </w:trPr>
        <w:tc>
          <w:tcPr>
            <w:tcW w:w="7640" w:type="dxa"/>
            <w:vAlign w:val="bottom"/>
            <w:shd w:val="clear" w:color="auto" w:fill="A6A6A6"/>
          </w:tcPr>
          <w:p>
            <w:pPr>
              <w:spacing w:after="0" w:line="20" w:lineRule="exact"/>
              <w:rPr>
                <w:sz w:val="1"/>
                <w:szCs w:val="1"/>
                <w:color w:val="auto"/>
              </w:rPr>
            </w:pPr>
          </w:p>
        </w:tc>
        <w:tc>
          <w:tcPr>
            <w:tcW w:w="360" w:type="dxa"/>
            <w:vAlign w:val="bottom"/>
            <w:shd w:val="clear" w:color="auto" w:fill="A6A6A6"/>
          </w:tcPr>
          <w:p>
            <w:pPr>
              <w:spacing w:after="0" w:line="20" w:lineRule="exact"/>
              <w:rPr>
                <w:sz w:val="1"/>
                <w:szCs w:val="1"/>
                <w:color w:val="auto"/>
              </w:rPr>
            </w:pPr>
          </w:p>
        </w:tc>
        <w:tc>
          <w:tcPr>
            <w:tcW w:w="12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1000" w:type="dxa"/>
            <w:vAlign w:val="bottom"/>
            <w:shd w:val="clear" w:color="auto" w:fill="A6A6A6"/>
          </w:tcPr>
          <w:p>
            <w:pPr>
              <w:spacing w:after="0" w:line="20" w:lineRule="exact"/>
              <w:rPr>
                <w:sz w:val="1"/>
                <w:szCs w:val="1"/>
                <w:color w:val="auto"/>
              </w:rPr>
            </w:pPr>
          </w:p>
        </w:tc>
        <w:tc>
          <w:tcPr>
            <w:tcW w:w="6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640" w:type="dxa"/>
            <w:vAlign w:val="bottom"/>
          </w:tcPr>
          <w:p>
            <w:pPr>
              <w:ind w:left="260"/>
              <w:spacing w:after="0"/>
              <w:rPr>
                <w:sz w:val="20"/>
                <w:szCs w:val="20"/>
                <w:color w:val="auto"/>
              </w:rPr>
            </w:pPr>
            <w:r>
              <w:rPr>
                <w:rFonts w:ascii="Arial" w:cs="Arial" w:eastAsia="Arial" w:hAnsi="Arial"/>
                <w:sz w:val="16"/>
                <w:szCs w:val="16"/>
                <w:color w:val="17385E"/>
              </w:rPr>
              <w:t>Dividends Paid to Stockholders</w:t>
            </w:r>
          </w:p>
        </w:tc>
        <w:tc>
          <w:tcPr>
            <w:tcW w:w="3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(4,163)</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(8,815)</w:t>
            </w:r>
          </w:p>
        </w:tc>
      </w:tr>
      <w:tr>
        <w:trPr>
          <w:trHeight w:val="20"/>
        </w:trPr>
        <w:tc>
          <w:tcPr>
            <w:tcW w:w="7640" w:type="dxa"/>
            <w:vAlign w:val="bottom"/>
            <w:shd w:val="clear" w:color="auto" w:fill="A6A6A6"/>
          </w:tcPr>
          <w:p>
            <w:pPr>
              <w:spacing w:after="0" w:line="20" w:lineRule="exact"/>
              <w:rPr>
                <w:sz w:val="1"/>
                <w:szCs w:val="1"/>
                <w:color w:val="auto"/>
              </w:rPr>
            </w:pPr>
          </w:p>
        </w:tc>
        <w:tc>
          <w:tcPr>
            <w:tcW w:w="360" w:type="dxa"/>
            <w:vAlign w:val="bottom"/>
            <w:shd w:val="clear" w:color="auto" w:fill="A6A6A6"/>
          </w:tcPr>
          <w:p>
            <w:pPr>
              <w:spacing w:after="0" w:line="20" w:lineRule="exact"/>
              <w:rPr>
                <w:sz w:val="1"/>
                <w:szCs w:val="1"/>
                <w:color w:val="auto"/>
              </w:rPr>
            </w:pPr>
          </w:p>
        </w:tc>
        <w:tc>
          <w:tcPr>
            <w:tcW w:w="12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1000" w:type="dxa"/>
            <w:vAlign w:val="bottom"/>
            <w:shd w:val="clear" w:color="auto" w:fill="A6A6A6"/>
          </w:tcPr>
          <w:p>
            <w:pPr>
              <w:spacing w:after="0" w:line="20" w:lineRule="exact"/>
              <w:rPr>
                <w:sz w:val="1"/>
                <w:szCs w:val="1"/>
                <w:color w:val="auto"/>
              </w:rPr>
            </w:pPr>
          </w:p>
        </w:tc>
        <w:tc>
          <w:tcPr>
            <w:tcW w:w="6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640" w:type="dxa"/>
            <w:vAlign w:val="bottom"/>
          </w:tcPr>
          <w:p>
            <w:pPr>
              <w:ind w:left="260"/>
              <w:spacing w:after="0"/>
              <w:rPr>
                <w:sz w:val="20"/>
                <w:szCs w:val="20"/>
                <w:color w:val="auto"/>
              </w:rPr>
            </w:pPr>
            <w:r>
              <w:rPr>
                <w:rFonts w:ascii="Arial" w:cs="Arial" w:eastAsia="Arial" w:hAnsi="Arial"/>
                <w:sz w:val="16"/>
                <w:szCs w:val="16"/>
                <w:color w:val="17385E"/>
              </w:rPr>
              <w:t>Purchase and Retirement of Common Stock</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w w:val="93"/>
              </w:rPr>
              <w:t>(313,887)</w:t>
            </w:r>
          </w:p>
        </w:tc>
      </w:tr>
      <w:tr>
        <w:trPr>
          <w:trHeight w:val="210"/>
        </w:trPr>
        <w:tc>
          <w:tcPr>
            <w:tcW w:w="7640" w:type="dxa"/>
            <w:vAlign w:val="bottom"/>
            <w:tcBorders>
              <w:top w:val="single" w:sz="8" w:color="A6A6A6"/>
              <w:bottom w:val="single" w:sz="8" w:color="A6A6A6"/>
            </w:tcBorders>
          </w:tcPr>
          <w:p>
            <w:pPr>
              <w:ind w:left="260"/>
              <w:spacing w:after="0"/>
              <w:rPr>
                <w:sz w:val="20"/>
                <w:szCs w:val="20"/>
                <w:color w:val="auto"/>
              </w:rPr>
            </w:pPr>
            <w:r>
              <w:rPr>
                <w:rFonts w:ascii="Arial" w:cs="Arial" w:eastAsia="Arial" w:hAnsi="Arial"/>
                <w:sz w:val="16"/>
                <w:szCs w:val="16"/>
                <w:color w:val="17385E"/>
              </w:rPr>
              <w:t>Proceeds from Stock Option Exercises</w:t>
            </w:r>
          </w:p>
        </w:tc>
        <w:tc>
          <w:tcPr>
            <w:tcW w:w="360" w:type="dxa"/>
            <w:vAlign w:val="bottom"/>
            <w:tcBorders>
              <w:top w:val="single" w:sz="8" w:color="A6A6A6"/>
              <w:bottom w:val="single" w:sz="8" w:color="A6A6A6"/>
            </w:tcBorders>
          </w:tcPr>
          <w:p>
            <w:pPr>
              <w:spacing w:after="0"/>
              <w:rPr>
                <w:sz w:val="18"/>
                <w:szCs w:val="18"/>
                <w:color w:val="auto"/>
              </w:rPr>
            </w:pPr>
          </w:p>
        </w:tc>
        <w:tc>
          <w:tcPr>
            <w:tcW w:w="12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498</w:t>
            </w:r>
          </w:p>
        </w:tc>
        <w:tc>
          <w:tcPr>
            <w:tcW w:w="100" w:type="dxa"/>
            <w:vAlign w:val="bottom"/>
          </w:tcPr>
          <w:p>
            <w:pPr>
              <w:spacing w:after="0"/>
              <w:rPr>
                <w:sz w:val="18"/>
                <w:szCs w:val="18"/>
                <w:color w:val="auto"/>
              </w:rPr>
            </w:pPr>
          </w:p>
        </w:tc>
        <w:tc>
          <w:tcPr>
            <w:tcW w:w="180" w:type="dxa"/>
            <w:vAlign w:val="bottom"/>
            <w:tcBorders>
              <w:top w:val="single" w:sz="8" w:color="A6A6A6"/>
              <w:bottom w:val="single" w:sz="8" w:color="A6A6A6"/>
            </w:tcBorders>
          </w:tcPr>
          <w:p>
            <w:pPr>
              <w:spacing w:after="0"/>
              <w:rPr>
                <w:sz w:val="18"/>
                <w:szCs w:val="18"/>
                <w:color w:val="auto"/>
              </w:rPr>
            </w:pPr>
          </w:p>
        </w:tc>
        <w:tc>
          <w:tcPr>
            <w:tcW w:w="1000" w:type="dxa"/>
            <w:vAlign w:val="bottom"/>
            <w:tcBorders>
              <w:top w:val="single" w:sz="8" w:color="A6A6A6"/>
              <w:bottom w:val="single" w:sz="8" w:color="A6A6A6"/>
            </w:tcBorders>
          </w:tcPr>
          <w:p>
            <w:pPr>
              <w:spacing w:after="0"/>
              <w:rPr>
                <w:sz w:val="18"/>
                <w:szCs w:val="18"/>
                <w:color w:val="auto"/>
              </w:rPr>
            </w:pPr>
          </w:p>
        </w:tc>
        <w:tc>
          <w:tcPr>
            <w:tcW w:w="6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1,767</w:t>
            </w:r>
          </w:p>
        </w:tc>
        <w:tc>
          <w:tcPr>
            <w:tcW w:w="100" w:type="dxa"/>
            <w:vAlign w:val="bottom"/>
          </w:tcPr>
          <w:p>
            <w:pPr>
              <w:spacing w:after="0"/>
              <w:rPr>
                <w:sz w:val="18"/>
                <w:szCs w:val="18"/>
                <w:color w:val="auto"/>
              </w:rPr>
            </w:pPr>
          </w:p>
        </w:tc>
      </w:tr>
      <w:tr>
        <w:trPr>
          <w:trHeight w:val="210"/>
        </w:trPr>
        <w:tc>
          <w:tcPr>
            <w:tcW w:w="7640" w:type="dxa"/>
            <w:vAlign w:val="bottom"/>
          </w:tcPr>
          <w:p>
            <w:pPr>
              <w:ind w:left="260"/>
              <w:spacing w:after="0"/>
              <w:rPr>
                <w:sz w:val="20"/>
                <w:szCs w:val="20"/>
                <w:color w:val="auto"/>
              </w:rPr>
            </w:pPr>
            <w:r>
              <w:rPr>
                <w:rFonts w:ascii="Arial" w:cs="Arial" w:eastAsia="Arial" w:hAnsi="Arial"/>
                <w:sz w:val="16"/>
                <w:szCs w:val="16"/>
                <w:color w:val="17385E"/>
              </w:rPr>
              <w:t>Payment of Debt Issuance Costs</w:t>
            </w:r>
          </w:p>
        </w:tc>
        <w:tc>
          <w:tcPr>
            <w:tcW w:w="3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(1,718)</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
        </w:trPr>
        <w:tc>
          <w:tcPr>
            <w:tcW w:w="7640" w:type="dxa"/>
            <w:vAlign w:val="bottom"/>
            <w:shd w:val="clear" w:color="auto" w:fill="A6A6A6"/>
          </w:tcPr>
          <w:p>
            <w:pPr>
              <w:spacing w:after="0" w:line="20" w:lineRule="exact"/>
              <w:rPr>
                <w:sz w:val="1"/>
                <w:szCs w:val="1"/>
                <w:color w:val="auto"/>
              </w:rPr>
            </w:pPr>
          </w:p>
        </w:tc>
        <w:tc>
          <w:tcPr>
            <w:tcW w:w="360" w:type="dxa"/>
            <w:vAlign w:val="bottom"/>
            <w:shd w:val="clear" w:color="auto" w:fill="A6A6A6"/>
          </w:tcPr>
          <w:p>
            <w:pPr>
              <w:spacing w:after="0" w:line="20" w:lineRule="exact"/>
              <w:rPr>
                <w:sz w:val="1"/>
                <w:szCs w:val="1"/>
                <w:color w:val="auto"/>
              </w:rPr>
            </w:pPr>
          </w:p>
        </w:tc>
        <w:tc>
          <w:tcPr>
            <w:tcW w:w="12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1000" w:type="dxa"/>
            <w:vAlign w:val="bottom"/>
            <w:shd w:val="clear" w:color="auto" w:fill="A6A6A6"/>
          </w:tcPr>
          <w:p>
            <w:pPr>
              <w:spacing w:after="0" w:line="20" w:lineRule="exact"/>
              <w:rPr>
                <w:sz w:val="1"/>
                <w:szCs w:val="1"/>
                <w:color w:val="auto"/>
              </w:rPr>
            </w:pPr>
          </w:p>
        </w:tc>
        <w:tc>
          <w:tcPr>
            <w:tcW w:w="6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640" w:type="dxa"/>
            <w:vAlign w:val="bottom"/>
          </w:tcPr>
          <w:p>
            <w:pPr>
              <w:ind w:left="260"/>
              <w:spacing w:after="0"/>
              <w:rPr>
                <w:sz w:val="20"/>
                <w:szCs w:val="20"/>
                <w:color w:val="auto"/>
              </w:rPr>
            </w:pPr>
            <w:r>
              <w:rPr>
                <w:rFonts w:ascii="Arial" w:cs="Arial" w:eastAsia="Arial" w:hAnsi="Arial"/>
                <w:sz w:val="16"/>
                <w:szCs w:val="16"/>
                <w:color w:val="17385E"/>
              </w:rPr>
              <w:t>Shares Redeemed to Settle Employee Taxes on Stock Compensation</w:t>
            </w:r>
          </w:p>
        </w:tc>
        <w:tc>
          <w:tcPr>
            <w:tcW w:w="3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(1,130)</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(2,799)</w:t>
            </w:r>
          </w:p>
        </w:tc>
      </w:tr>
      <w:tr>
        <w:trPr>
          <w:trHeight w:val="20"/>
        </w:trPr>
        <w:tc>
          <w:tcPr>
            <w:tcW w:w="7640" w:type="dxa"/>
            <w:vAlign w:val="bottom"/>
            <w:shd w:val="clear" w:color="auto" w:fill="A6A6A6"/>
          </w:tcPr>
          <w:p>
            <w:pPr>
              <w:spacing w:after="0" w:line="20" w:lineRule="exact"/>
              <w:rPr>
                <w:sz w:val="1"/>
                <w:szCs w:val="1"/>
                <w:color w:val="auto"/>
              </w:rPr>
            </w:pPr>
          </w:p>
        </w:tc>
        <w:tc>
          <w:tcPr>
            <w:tcW w:w="360" w:type="dxa"/>
            <w:vAlign w:val="bottom"/>
            <w:shd w:val="clear" w:color="auto" w:fill="004483"/>
          </w:tcPr>
          <w:p>
            <w:pPr>
              <w:spacing w:after="0" w:line="20" w:lineRule="exact"/>
              <w:rPr>
                <w:sz w:val="1"/>
                <w:szCs w:val="1"/>
                <w:color w:val="auto"/>
              </w:rPr>
            </w:pPr>
          </w:p>
        </w:tc>
        <w:tc>
          <w:tcPr>
            <w:tcW w:w="124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1000" w:type="dxa"/>
            <w:vAlign w:val="bottom"/>
            <w:shd w:val="clear" w:color="auto" w:fill="004483"/>
          </w:tcPr>
          <w:p>
            <w:pPr>
              <w:spacing w:after="0" w:line="20" w:lineRule="exact"/>
              <w:rPr>
                <w:sz w:val="1"/>
                <w:szCs w:val="1"/>
                <w:color w:val="auto"/>
              </w:rPr>
            </w:pPr>
          </w:p>
        </w:tc>
        <w:tc>
          <w:tcPr>
            <w:tcW w:w="62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640" w:type="dxa"/>
            <w:vAlign w:val="bottom"/>
          </w:tcPr>
          <w:p>
            <w:pPr>
              <w:ind w:left="500"/>
              <w:spacing w:after="0"/>
              <w:rPr>
                <w:sz w:val="20"/>
                <w:szCs w:val="20"/>
                <w:color w:val="auto"/>
              </w:rPr>
            </w:pPr>
            <w:r>
              <w:rPr>
                <w:rFonts w:ascii="Arial" w:cs="Arial" w:eastAsia="Arial" w:hAnsi="Arial"/>
                <w:sz w:val="16"/>
                <w:szCs w:val="16"/>
                <w:color w:val="17385E"/>
              </w:rPr>
              <w:t>Net Cash Used in Financing Activities</w:t>
            </w:r>
          </w:p>
        </w:tc>
        <w:tc>
          <w:tcPr>
            <w:tcW w:w="3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(321,513)</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(48,734)</w:t>
            </w:r>
          </w:p>
        </w:tc>
      </w:tr>
      <w:tr>
        <w:trPr>
          <w:trHeight w:val="210"/>
        </w:trPr>
        <w:tc>
          <w:tcPr>
            <w:tcW w:w="764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6"/>
                <w:szCs w:val="16"/>
                <w:b w:val="1"/>
                <w:bCs w:val="1"/>
                <w:color w:val="auto"/>
              </w:rPr>
              <w:t>NET INCREASE IN CASH, CASH EQUIVALENTS, AND RESTRICTED CASH</w:t>
            </w:r>
          </w:p>
        </w:tc>
        <w:tc>
          <w:tcPr>
            <w:tcW w:w="360" w:type="dxa"/>
            <w:vAlign w:val="bottom"/>
            <w:tcBorders>
              <w:top w:val="single" w:sz="8" w:color="004483"/>
              <w:bottom w:val="single" w:sz="8" w:color="A6A6A6"/>
            </w:tcBorders>
          </w:tcPr>
          <w:p>
            <w:pPr>
              <w:spacing w:after="0"/>
              <w:rPr>
                <w:sz w:val="18"/>
                <w:szCs w:val="18"/>
                <w:color w:val="auto"/>
              </w:rPr>
            </w:pPr>
          </w:p>
        </w:tc>
        <w:tc>
          <w:tcPr>
            <w:tcW w:w="124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87,210</w:t>
            </w:r>
          </w:p>
        </w:tc>
        <w:tc>
          <w:tcPr>
            <w:tcW w:w="100" w:type="dxa"/>
            <w:vAlign w:val="bottom"/>
          </w:tcPr>
          <w:p>
            <w:pPr>
              <w:spacing w:after="0"/>
              <w:rPr>
                <w:sz w:val="18"/>
                <w:szCs w:val="18"/>
                <w:color w:val="auto"/>
              </w:rPr>
            </w:pPr>
          </w:p>
        </w:tc>
        <w:tc>
          <w:tcPr>
            <w:tcW w:w="180" w:type="dxa"/>
            <w:vAlign w:val="bottom"/>
            <w:tcBorders>
              <w:top w:val="single" w:sz="8" w:color="A6A6A6"/>
              <w:bottom w:val="single" w:sz="8" w:color="A6A6A6"/>
            </w:tcBorders>
          </w:tcPr>
          <w:p>
            <w:pPr>
              <w:spacing w:after="0"/>
              <w:rPr>
                <w:sz w:val="18"/>
                <w:szCs w:val="18"/>
                <w:color w:val="auto"/>
              </w:rPr>
            </w:pPr>
          </w:p>
        </w:tc>
        <w:tc>
          <w:tcPr>
            <w:tcW w:w="1000" w:type="dxa"/>
            <w:vAlign w:val="bottom"/>
            <w:tcBorders>
              <w:top w:val="single" w:sz="8" w:color="004483"/>
              <w:bottom w:val="single" w:sz="8" w:color="A6A6A6"/>
            </w:tcBorders>
          </w:tcPr>
          <w:p>
            <w:pPr>
              <w:spacing w:after="0"/>
              <w:rPr>
                <w:sz w:val="18"/>
                <w:szCs w:val="18"/>
                <w:color w:val="auto"/>
              </w:rPr>
            </w:pPr>
          </w:p>
        </w:tc>
        <w:tc>
          <w:tcPr>
            <w:tcW w:w="62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45,083</w:t>
            </w:r>
          </w:p>
        </w:tc>
        <w:tc>
          <w:tcPr>
            <w:tcW w:w="100" w:type="dxa"/>
            <w:vAlign w:val="bottom"/>
          </w:tcPr>
          <w:p>
            <w:pPr>
              <w:spacing w:after="0"/>
              <w:rPr>
                <w:sz w:val="18"/>
                <w:szCs w:val="18"/>
                <w:color w:val="auto"/>
              </w:rPr>
            </w:pPr>
          </w:p>
        </w:tc>
      </w:tr>
      <w:tr>
        <w:trPr>
          <w:trHeight w:val="210"/>
        </w:trPr>
        <w:tc>
          <w:tcPr>
            <w:tcW w:w="7640" w:type="dxa"/>
            <w:vAlign w:val="bottom"/>
            <w:tcBorders>
              <w:bottom w:val="single" w:sz="8" w:color="A6A6A6"/>
            </w:tcBorders>
          </w:tcPr>
          <w:p>
            <w:pPr>
              <w:spacing w:after="0"/>
              <w:rPr>
                <w:sz w:val="20"/>
                <w:szCs w:val="20"/>
                <w:color w:val="auto"/>
              </w:rPr>
            </w:pPr>
            <w:r>
              <w:rPr>
                <w:rFonts w:ascii="Arial" w:cs="Arial" w:eastAsia="Arial" w:hAnsi="Arial"/>
                <w:sz w:val="16"/>
                <w:szCs w:val="16"/>
                <w:b w:val="1"/>
                <w:bCs w:val="1"/>
                <w:color w:val="auto"/>
              </w:rPr>
              <w:t>CASH, CASH EQUIVALENTS, AND RESTRICTED CASH AT BEGINNING OF PERIOD</w:t>
            </w:r>
          </w:p>
        </w:tc>
        <w:tc>
          <w:tcPr>
            <w:tcW w:w="360" w:type="dxa"/>
            <w:vAlign w:val="bottom"/>
            <w:tcBorders>
              <w:bottom w:val="single" w:sz="8" w:color="004483"/>
            </w:tcBorders>
          </w:tcPr>
          <w:p>
            <w:pPr>
              <w:spacing w:after="0"/>
              <w:rPr>
                <w:sz w:val="18"/>
                <w:szCs w:val="18"/>
                <w:color w:val="auto"/>
              </w:rPr>
            </w:pPr>
          </w:p>
        </w:tc>
        <w:tc>
          <w:tcPr>
            <w:tcW w:w="12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118,648</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00" w:type="dxa"/>
            <w:vAlign w:val="bottom"/>
            <w:tcBorders>
              <w:bottom w:val="single" w:sz="8" w:color="004483"/>
            </w:tcBorders>
          </w:tcPr>
          <w:p>
            <w:pPr>
              <w:spacing w:after="0"/>
              <w:rPr>
                <w:sz w:val="18"/>
                <w:szCs w:val="18"/>
                <w:color w:val="auto"/>
              </w:rPr>
            </w:pPr>
          </w:p>
        </w:tc>
        <w:tc>
          <w:tcPr>
            <w:tcW w:w="6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8,601</w:t>
            </w:r>
          </w:p>
        </w:tc>
        <w:tc>
          <w:tcPr>
            <w:tcW w:w="100" w:type="dxa"/>
            <w:vAlign w:val="bottom"/>
          </w:tcPr>
          <w:p>
            <w:pPr>
              <w:spacing w:after="0"/>
              <w:rPr>
                <w:sz w:val="18"/>
                <w:szCs w:val="18"/>
                <w:color w:val="auto"/>
              </w:rPr>
            </w:pPr>
          </w:p>
        </w:tc>
      </w:tr>
      <w:tr>
        <w:trPr>
          <w:trHeight w:val="210"/>
        </w:trPr>
        <w:tc>
          <w:tcPr>
            <w:tcW w:w="7640" w:type="dxa"/>
            <w:vAlign w:val="bottom"/>
          </w:tcPr>
          <w:p>
            <w:pPr>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360" w:type="dxa"/>
            <w:vAlign w:val="bottom"/>
            <w:tcBorders>
              <w:bottom w:val="single" w:sz="8" w:color="004483"/>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205,858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bottom w:val="single" w:sz="8" w:color="004483"/>
            </w:tcBorders>
          </w:tcPr>
          <w:p>
            <w:pPr>
              <w:jc w:val="right"/>
              <w:ind w:right="844"/>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53,684</w:t>
            </w:r>
          </w:p>
        </w:tc>
        <w:tc>
          <w:tcPr>
            <w:tcW w:w="100" w:type="dxa"/>
            <w:vAlign w:val="bottom"/>
          </w:tcPr>
          <w:p>
            <w:pPr>
              <w:spacing w:after="0"/>
              <w:rPr>
                <w:sz w:val="18"/>
                <w:szCs w:val="18"/>
                <w:color w:val="auto"/>
              </w:rPr>
            </w:pPr>
          </w:p>
        </w:tc>
      </w:tr>
      <w:tr>
        <w:trPr>
          <w:trHeight w:val="20"/>
        </w:trPr>
        <w:tc>
          <w:tcPr>
            <w:tcW w:w="7640" w:type="dxa"/>
            <w:vAlign w:val="bottom"/>
          </w:tcPr>
          <w:p>
            <w:pPr>
              <w:spacing w:after="0" w:line="20" w:lineRule="exact"/>
              <w:rPr>
                <w:sz w:val="1"/>
                <w:szCs w:val="1"/>
                <w:color w:val="auto"/>
              </w:rPr>
            </w:pPr>
          </w:p>
        </w:tc>
        <w:tc>
          <w:tcPr>
            <w:tcW w:w="360" w:type="dxa"/>
            <w:vAlign w:val="bottom"/>
            <w:tcBorders>
              <w:bottom w:val="single" w:sz="8" w:color="004483"/>
            </w:tcBorders>
          </w:tcPr>
          <w:p>
            <w:pPr>
              <w:spacing w:after="0" w:line="20" w:lineRule="exact"/>
              <w:rPr>
                <w:sz w:val="1"/>
                <w:szCs w:val="1"/>
                <w:color w:val="auto"/>
              </w:rPr>
            </w:pPr>
          </w:p>
        </w:tc>
        <w:tc>
          <w:tcPr>
            <w:tcW w:w="12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6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unaudited consolidated financial statements.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EAGLE MATERIALS INC. AND SUBSIDIARIES CONSOLIDATED STATEMENTS OF STOCKHOLDERS’ EQUITY (unaudited)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Capital in</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7"/>
              </w:rPr>
              <w:t>Accumulated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Common</w:t>
            </w:r>
          </w:p>
        </w:tc>
        <w:tc>
          <w:tcPr>
            <w:tcW w:w="2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Excess of</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4"/>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Comprehensive</w:t>
            </w:r>
          </w:p>
        </w:tc>
        <w:tc>
          <w:tcPr>
            <w:tcW w:w="220" w:type="dxa"/>
            <w:vAlign w:val="bottom"/>
          </w:tcPr>
          <w:p>
            <w:pPr>
              <w:spacing w:after="0"/>
              <w:rPr>
                <w:sz w:val="12"/>
                <w:szCs w:val="12"/>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4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Stock</w:t>
            </w:r>
          </w:p>
        </w:tc>
        <w:tc>
          <w:tcPr>
            <w:tcW w:w="24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Losses</w:t>
            </w:r>
          </w:p>
        </w:tc>
        <w:tc>
          <w:tcPr>
            <w:tcW w:w="2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80" w:type="dxa"/>
            <w:vAlign w:val="bottom"/>
            <w:tcBorders>
              <w:bottom w:val="single" w:sz="8" w:color="004483"/>
            </w:tcBorders>
          </w:tcPr>
          <w:p>
            <w:pPr>
              <w:spacing w:after="0"/>
              <w:rPr>
                <w:sz w:val="12"/>
                <w:szCs w:val="12"/>
                <w:color w:val="auto"/>
              </w:rPr>
            </w:pPr>
          </w:p>
        </w:tc>
        <w:tc>
          <w:tcPr>
            <w:tcW w:w="800" w:type="dxa"/>
            <w:vAlign w:val="bottom"/>
            <w:tcBorders>
              <w:bottom w:val="single" w:sz="8" w:color="004483"/>
            </w:tcBorders>
          </w:tcPr>
          <w:p>
            <w:pPr>
              <w:spacing w:after="0"/>
              <w:rPr>
                <w:sz w:val="12"/>
                <w:szCs w:val="12"/>
                <w:color w:val="auto"/>
              </w:rPr>
            </w:pPr>
          </w:p>
        </w:tc>
        <w:tc>
          <w:tcPr>
            <w:tcW w:w="240" w:type="dxa"/>
            <w:vAlign w:val="bottom"/>
            <w:tcBorders>
              <w:bottom w:val="single" w:sz="8" w:color="004483"/>
            </w:tcBorders>
          </w:tcPr>
          <w:p>
            <w:pPr>
              <w:spacing w:after="0"/>
              <w:rPr>
                <w:sz w:val="12"/>
                <w:szCs w:val="12"/>
                <w:color w:val="auto"/>
              </w:rPr>
            </w:pPr>
          </w:p>
        </w:tc>
        <w:tc>
          <w:tcPr>
            <w:tcW w:w="760" w:type="dxa"/>
            <w:vAlign w:val="bottom"/>
            <w:tcBorders>
              <w:bottom w:val="single" w:sz="8" w:color="004483"/>
            </w:tcBorders>
          </w:tcPr>
          <w:p>
            <w:pPr>
              <w:spacing w:after="0"/>
              <w:rPr>
                <w:sz w:val="12"/>
                <w:szCs w:val="12"/>
                <w:color w:val="auto"/>
              </w:rPr>
            </w:pPr>
          </w:p>
        </w:tc>
        <w:tc>
          <w:tcPr>
            <w:tcW w:w="100" w:type="dxa"/>
            <w:vAlign w:val="bottom"/>
            <w:tcBorders>
              <w:bottom w:val="single" w:sz="8" w:color="004483"/>
            </w:tcBorders>
          </w:tcPr>
          <w:p>
            <w:pPr>
              <w:spacing w:after="0"/>
              <w:rPr>
                <w:sz w:val="12"/>
                <w:szCs w:val="12"/>
                <w:color w:val="auto"/>
              </w:rPr>
            </w:pPr>
          </w:p>
        </w:tc>
        <w:tc>
          <w:tcPr>
            <w:tcW w:w="120" w:type="dxa"/>
            <w:vAlign w:val="bottom"/>
            <w:tcBorders>
              <w:bottom w:val="single" w:sz="8" w:color="004483"/>
            </w:tcBorders>
          </w:tcPr>
          <w:p>
            <w:pPr>
              <w:spacing w:after="0"/>
              <w:rPr>
                <w:sz w:val="12"/>
                <w:szCs w:val="12"/>
                <w:color w:val="auto"/>
              </w:rPr>
            </w:pPr>
          </w:p>
        </w:tc>
        <w:tc>
          <w:tcPr>
            <w:tcW w:w="240" w:type="dxa"/>
            <w:vAlign w:val="bottom"/>
            <w:tcBorders>
              <w:bottom w:val="single" w:sz="8" w:color="004483"/>
            </w:tcBorders>
          </w:tcPr>
          <w:p>
            <w:pPr>
              <w:spacing w:after="0"/>
              <w:rPr>
                <w:sz w:val="12"/>
                <w:szCs w:val="12"/>
                <w:color w:val="auto"/>
              </w:rPr>
            </w:pPr>
          </w:p>
        </w:tc>
        <w:tc>
          <w:tcPr>
            <w:tcW w:w="760" w:type="dxa"/>
            <w:vAlign w:val="bottom"/>
            <w:tcBorders>
              <w:bottom w:val="single" w:sz="8" w:color="004483"/>
            </w:tcBorders>
          </w:tcPr>
          <w:p>
            <w:pPr>
              <w:spacing w:after="0"/>
              <w:rPr>
                <w:sz w:val="12"/>
                <w:szCs w:val="12"/>
                <w:color w:val="auto"/>
              </w:rPr>
            </w:pPr>
          </w:p>
        </w:tc>
        <w:tc>
          <w:tcPr>
            <w:tcW w:w="120" w:type="dxa"/>
            <w:vAlign w:val="bottom"/>
            <w:tcBorders>
              <w:bottom w:val="single" w:sz="8" w:color="004483"/>
            </w:tcBorders>
          </w:tcPr>
          <w:p>
            <w:pPr>
              <w:spacing w:after="0"/>
              <w:rPr>
                <w:sz w:val="12"/>
                <w:szCs w:val="12"/>
                <w:color w:val="auto"/>
              </w:rPr>
            </w:pPr>
          </w:p>
        </w:tc>
        <w:tc>
          <w:tcPr>
            <w:tcW w:w="1240" w:type="dxa"/>
            <w:vAlign w:val="bottom"/>
            <w:tcBorders>
              <w:bottom w:val="single" w:sz="8" w:color="004483"/>
            </w:tcBorders>
            <w:gridSpan w:val="4"/>
          </w:tcPr>
          <w:p>
            <w:pPr>
              <w:jc w:val="right"/>
              <w:ind w:right="60"/>
              <w:spacing w:after="0"/>
              <w:rPr>
                <w:sz w:val="20"/>
                <w:szCs w:val="20"/>
                <w:color w:val="auto"/>
              </w:rPr>
            </w:pPr>
            <w:r>
              <w:rPr>
                <w:rFonts w:ascii="Arial" w:cs="Arial" w:eastAsia="Arial" w:hAnsi="Arial"/>
                <w:sz w:val="13"/>
                <w:szCs w:val="13"/>
                <w:color w:val="auto"/>
                <w:w w:val="93"/>
              </w:rPr>
              <w:t>(dollars in thousands)</w:t>
            </w:r>
          </w:p>
        </w:tc>
        <w:tc>
          <w:tcPr>
            <w:tcW w:w="120" w:type="dxa"/>
            <w:vAlign w:val="bottom"/>
            <w:tcBorders>
              <w:bottom w:val="single" w:sz="8" w:color="004483"/>
            </w:tcBorders>
          </w:tcPr>
          <w:p>
            <w:pPr>
              <w:spacing w:after="0"/>
              <w:rPr>
                <w:sz w:val="12"/>
                <w:szCs w:val="12"/>
                <w:color w:val="auto"/>
              </w:rPr>
            </w:pPr>
          </w:p>
        </w:tc>
        <w:tc>
          <w:tcPr>
            <w:tcW w:w="120" w:type="dxa"/>
            <w:vAlign w:val="bottom"/>
            <w:tcBorders>
              <w:bottom w:val="single" w:sz="8" w:color="004483"/>
            </w:tcBorders>
          </w:tcPr>
          <w:p>
            <w:pPr>
              <w:spacing w:after="0"/>
              <w:rPr>
                <w:sz w:val="12"/>
                <w:szCs w:val="12"/>
                <w:color w:val="auto"/>
              </w:rPr>
            </w:pPr>
          </w:p>
        </w:tc>
        <w:tc>
          <w:tcPr>
            <w:tcW w:w="880" w:type="dxa"/>
            <w:vAlign w:val="bottom"/>
            <w:tcBorders>
              <w:bottom w:val="single" w:sz="8" w:color="004483"/>
            </w:tcBorders>
          </w:tcPr>
          <w:p>
            <w:pPr>
              <w:spacing w:after="0"/>
              <w:rPr>
                <w:sz w:val="12"/>
                <w:szCs w:val="12"/>
                <w:color w:val="auto"/>
              </w:rPr>
            </w:pPr>
          </w:p>
        </w:tc>
        <w:tc>
          <w:tcPr>
            <w:tcW w:w="120" w:type="dxa"/>
            <w:vAlign w:val="bottom"/>
            <w:tcBorders>
              <w:bottom w:val="single" w:sz="8" w:color="004483"/>
            </w:tcBorders>
          </w:tcPr>
          <w:p>
            <w:pPr>
              <w:spacing w:after="0"/>
              <w:rPr>
                <w:sz w:val="12"/>
                <w:szCs w:val="12"/>
                <w:color w:val="auto"/>
              </w:rPr>
            </w:pPr>
          </w:p>
        </w:tc>
        <w:tc>
          <w:tcPr>
            <w:tcW w:w="120" w:type="dxa"/>
            <w:vAlign w:val="bottom"/>
            <w:tcBorders>
              <w:bottom w:val="single" w:sz="8" w:color="004483"/>
            </w:tcBorders>
          </w:tcPr>
          <w:p>
            <w:pPr>
              <w:spacing w:after="0"/>
              <w:rPr>
                <w:sz w:val="12"/>
                <w:szCs w:val="12"/>
                <w:color w:val="auto"/>
              </w:rPr>
            </w:pPr>
          </w:p>
        </w:tc>
        <w:tc>
          <w:tcPr>
            <w:tcW w:w="220" w:type="dxa"/>
            <w:vAlign w:val="bottom"/>
            <w:tcBorders>
              <w:bottom w:val="single" w:sz="8" w:color="004483"/>
            </w:tcBorders>
          </w:tcPr>
          <w:p>
            <w:pPr>
              <w:spacing w:after="0"/>
              <w:rPr>
                <w:sz w:val="12"/>
                <w:szCs w:val="12"/>
                <w:color w:val="auto"/>
              </w:rPr>
            </w:pPr>
          </w:p>
        </w:tc>
        <w:tc>
          <w:tcPr>
            <w:tcW w:w="800" w:type="dxa"/>
            <w:vAlign w:val="bottom"/>
            <w:tcBorders>
              <w:bottom w:val="single" w:sz="8" w:color="004483"/>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4380" w:type="dxa"/>
            <w:vAlign w:val="bottom"/>
          </w:tcPr>
          <w:p>
            <w:pPr>
              <w:spacing w:after="0"/>
              <w:rPr>
                <w:sz w:val="20"/>
                <w:szCs w:val="20"/>
                <w:color w:val="auto"/>
              </w:rPr>
            </w:pPr>
            <w:r>
              <w:rPr>
                <w:rFonts w:ascii="Arial" w:cs="Arial" w:eastAsia="Arial" w:hAnsi="Arial"/>
                <w:sz w:val="16"/>
                <w:szCs w:val="16"/>
                <w:b w:val="1"/>
                <w:bCs w:val="1"/>
                <w:color w:val="auto"/>
              </w:rPr>
              <w:t>Balance at March 31, 2019</w:t>
            </w:r>
          </w:p>
        </w:tc>
        <w:tc>
          <w:tcPr>
            <w:tcW w:w="104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34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1,212,352</w:t>
            </w:r>
          </w:p>
        </w:tc>
        <w:tc>
          <w:tcPr>
            <w:tcW w:w="12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(3,316)</w:t>
            </w:r>
          </w:p>
        </w:tc>
        <w:tc>
          <w:tcPr>
            <w:tcW w:w="12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1,209,487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8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6"/>
                <w:szCs w:val="16"/>
                <w:color w:val="17385E"/>
              </w:rPr>
              <w:t>Net Earnings</w:t>
            </w:r>
          </w:p>
        </w:tc>
        <w:tc>
          <w:tcPr>
            <w:tcW w:w="800" w:type="dxa"/>
            <w:vAlign w:val="bottom"/>
            <w:tcBorders>
              <w:top w:val="single" w:sz="8" w:color="A6A6A6"/>
              <w:bottom w:val="single" w:sz="8" w:color="A6A6A6"/>
            </w:tcBorders>
          </w:tcPr>
          <w:p>
            <w:pPr>
              <w:spacing w:after="0"/>
              <w:rPr>
                <w:sz w:val="18"/>
                <w:szCs w:val="18"/>
                <w:color w:val="auto"/>
              </w:rPr>
            </w:pPr>
          </w:p>
        </w:tc>
        <w:tc>
          <w:tcPr>
            <w:tcW w:w="240" w:type="dxa"/>
            <w:vAlign w:val="bottom"/>
            <w:tcBorders>
              <w:top w:val="single" w:sz="8" w:color="A6A6A6"/>
              <w:bottom w:val="single" w:sz="8" w:color="A6A6A6"/>
            </w:tcBorders>
          </w:tcPr>
          <w:p>
            <w:pPr>
              <w:spacing w:after="0"/>
              <w:rPr>
                <w:sz w:val="18"/>
                <w:szCs w:val="18"/>
                <w:color w:val="auto"/>
              </w:rPr>
            </w:pPr>
          </w:p>
        </w:tc>
        <w:tc>
          <w:tcPr>
            <w:tcW w:w="7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40" w:type="dxa"/>
            <w:vAlign w:val="bottom"/>
            <w:tcBorders>
              <w:top w:val="single" w:sz="8" w:color="A6A6A6"/>
              <w:bottom w:val="single" w:sz="8" w:color="A6A6A6"/>
            </w:tcBorders>
          </w:tcPr>
          <w:p>
            <w:pPr>
              <w:spacing w:after="0"/>
              <w:rPr>
                <w:sz w:val="18"/>
                <w:szCs w:val="18"/>
                <w:color w:val="auto"/>
              </w:rPr>
            </w:pPr>
          </w:p>
        </w:tc>
        <w:tc>
          <w:tcPr>
            <w:tcW w:w="7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20" w:type="dxa"/>
            <w:vAlign w:val="bottom"/>
            <w:tcBorders>
              <w:top w:val="single" w:sz="8" w:color="A6A6A6"/>
              <w:bottom w:val="single" w:sz="8" w:color="A6A6A6"/>
            </w:tcBorders>
          </w:tcPr>
          <w:p>
            <w:pPr>
              <w:spacing w:after="0"/>
              <w:rPr>
                <w:sz w:val="18"/>
                <w:szCs w:val="18"/>
                <w:color w:val="auto"/>
              </w:rPr>
            </w:pPr>
          </w:p>
        </w:tc>
        <w:tc>
          <w:tcPr>
            <w:tcW w:w="7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41,304</w:t>
            </w: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8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20" w:type="dxa"/>
            <w:vAlign w:val="bottom"/>
            <w:tcBorders>
              <w:top w:val="single" w:sz="8" w:color="A6A6A6"/>
              <w:bottom w:val="single" w:sz="8" w:color="A6A6A6"/>
            </w:tcBorders>
          </w:tcPr>
          <w:p>
            <w:pPr>
              <w:spacing w:after="0"/>
              <w:rPr>
                <w:sz w:val="18"/>
                <w:szCs w:val="18"/>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41,304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80" w:type="dxa"/>
            <w:vAlign w:val="bottom"/>
            <w:tcBorders>
              <w:bottom w:val="single" w:sz="8" w:color="A6A6A6"/>
            </w:tcBorders>
          </w:tcPr>
          <w:p>
            <w:pPr>
              <w:spacing w:after="0"/>
              <w:rPr>
                <w:sz w:val="20"/>
                <w:szCs w:val="20"/>
                <w:color w:val="auto"/>
              </w:rPr>
            </w:pPr>
            <w:r>
              <w:rPr>
                <w:rFonts w:ascii="Arial" w:cs="Arial" w:eastAsia="Arial" w:hAnsi="Arial"/>
                <w:sz w:val="16"/>
                <w:szCs w:val="16"/>
                <w:color w:val="17385E"/>
              </w:rPr>
              <w:t>Stock Option Exercises and Restricted Share Vesting</w:t>
            </w:r>
          </w:p>
        </w:tc>
        <w:tc>
          <w:tcPr>
            <w:tcW w:w="800" w:type="dxa"/>
            <w:vAlign w:val="bottom"/>
            <w:tcBorders>
              <w:bottom w:val="single" w:sz="8" w:color="A6A6A6"/>
            </w:tcBorders>
          </w:tcPr>
          <w:p>
            <w:pPr>
              <w:spacing w:after="0"/>
              <w:rPr>
                <w:sz w:val="18"/>
                <w:szCs w:val="18"/>
                <w:color w:val="auto"/>
              </w:rPr>
            </w:pPr>
          </w:p>
        </w:tc>
        <w:tc>
          <w:tcPr>
            <w:tcW w:w="24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4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396</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80" w:type="dxa"/>
            <w:vAlign w:val="bottom"/>
          </w:tcPr>
          <w:p>
            <w:pPr>
              <w:spacing w:after="0"/>
              <w:rPr>
                <w:sz w:val="20"/>
                <w:szCs w:val="20"/>
                <w:color w:val="auto"/>
              </w:rPr>
            </w:pPr>
            <w:r>
              <w:rPr>
                <w:rFonts w:ascii="Arial" w:cs="Arial" w:eastAsia="Arial" w:hAnsi="Arial"/>
                <w:sz w:val="16"/>
                <w:szCs w:val="16"/>
                <w:color w:val="17385E"/>
              </w:rPr>
              <w:t>Purchase and Retirement of Common Stock</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(7,748)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(190,584)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(198,355)</w:t>
            </w:r>
          </w:p>
        </w:tc>
        <w:tc>
          <w:tcPr>
            <w:tcW w:w="0" w:type="dxa"/>
            <w:vAlign w:val="bottom"/>
          </w:tcPr>
          <w:p>
            <w:pPr>
              <w:spacing w:after="0"/>
              <w:rPr>
                <w:sz w:val="1"/>
                <w:szCs w:val="1"/>
                <w:color w:val="auto"/>
              </w:rPr>
            </w:pPr>
          </w:p>
        </w:tc>
      </w:tr>
      <w:tr>
        <w:trPr>
          <w:trHeight w:val="20"/>
        </w:trPr>
        <w:tc>
          <w:tcPr>
            <w:tcW w:w="438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8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tcPr>
          <w:p>
            <w:pPr>
              <w:spacing w:after="0"/>
              <w:rPr>
                <w:sz w:val="20"/>
                <w:szCs w:val="20"/>
                <w:color w:val="auto"/>
              </w:rPr>
            </w:pPr>
            <w:r>
              <w:rPr>
                <w:rFonts w:ascii="Arial" w:cs="Arial" w:eastAsia="Arial" w:hAnsi="Arial"/>
                <w:sz w:val="16"/>
                <w:szCs w:val="16"/>
                <w:color w:val="17385E"/>
              </w:rPr>
              <w:t>Dividends to Stockholders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(4,316)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(4,316)</w:t>
            </w:r>
          </w:p>
        </w:tc>
        <w:tc>
          <w:tcPr>
            <w:tcW w:w="0" w:type="dxa"/>
            <w:vAlign w:val="bottom"/>
          </w:tcPr>
          <w:p>
            <w:pPr>
              <w:spacing w:after="0"/>
              <w:rPr>
                <w:sz w:val="1"/>
                <w:szCs w:val="1"/>
                <w:color w:val="auto"/>
              </w:rPr>
            </w:pPr>
          </w:p>
        </w:tc>
      </w:tr>
      <w:tr>
        <w:trPr>
          <w:trHeight w:val="209"/>
        </w:trPr>
        <w:tc>
          <w:tcPr>
            <w:tcW w:w="438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6"/>
                <w:szCs w:val="16"/>
                <w:color w:val="17385E"/>
              </w:rPr>
              <w:t>Stock Compensation Expense</w:t>
            </w:r>
          </w:p>
        </w:tc>
        <w:tc>
          <w:tcPr>
            <w:tcW w:w="800" w:type="dxa"/>
            <w:vAlign w:val="bottom"/>
            <w:tcBorders>
              <w:top w:val="single" w:sz="8" w:color="A6A6A6"/>
              <w:bottom w:val="single" w:sz="8" w:color="A6A6A6"/>
            </w:tcBorders>
          </w:tcPr>
          <w:p>
            <w:pPr>
              <w:spacing w:after="0"/>
              <w:rPr>
                <w:sz w:val="18"/>
                <w:szCs w:val="18"/>
                <w:color w:val="auto"/>
              </w:rPr>
            </w:pPr>
          </w:p>
        </w:tc>
        <w:tc>
          <w:tcPr>
            <w:tcW w:w="240" w:type="dxa"/>
            <w:vAlign w:val="bottom"/>
            <w:tcBorders>
              <w:top w:val="single" w:sz="8" w:color="A6A6A6"/>
              <w:bottom w:val="single" w:sz="8" w:color="A6A6A6"/>
            </w:tcBorders>
          </w:tcPr>
          <w:p>
            <w:pPr>
              <w:spacing w:after="0"/>
              <w:rPr>
                <w:sz w:val="18"/>
                <w:szCs w:val="18"/>
                <w:color w:val="auto"/>
              </w:rPr>
            </w:pPr>
          </w:p>
        </w:tc>
        <w:tc>
          <w:tcPr>
            <w:tcW w:w="7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40" w:type="dxa"/>
            <w:vAlign w:val="bottom"/>
            <w:tcBorders>
              <w:top w:val="single" w:sz="8" w:color="A6A6A6"/>
              <w:bottom w:val="single" w:sz="8" w:color="A6A6A6"/>
            </w:tcBorders>
          </w:tcPr>
          <w:p>
            <w:pPr>
              <w:spacing w:after="0"/>
              <w:rPr>
                <w:sz w:val="18"/>
                <w:szCs w:val="18"/>
                <w:color w:val="auto"/>
              </w:rPr>
            </w:pPr>
          </w:p>
        </w:tc>
        <w:tc>
          <w:tcPr>
            <w:tcW w:w="7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8,218</w:t>
            </w: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20" w:type="dxa"/>
            <w:vAlign w:val="bottom"/>
            <w:tcBorders>
              <w:top w:val="single" w:sz="8" w:color="A6A6A6"/>
              <w:bottom w:val="single" w:sz="8" w:color="A6A6A6"/>
            </w:tcBorders>
          </w:tcPr>
          <w:p>
            <w:pPr>
              <w:spacing w:after="0"/>
              <w:rPr>
                <w:sz w:val="18"/>
                <w:szCs w:val="18"/>
                <w:color w:val="auto"/>
              </w:rPr>
            </w:pPr>
          </w:p>
        </w:tc>
        <w:tc>
          <w:tcPr>
            <w:tcW w:w="7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8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20" w:type="dxa"/>
            <w:vAlign w:val="bottom"/>
            <w:tcBorders>
              <w:top w:val="single" w:sz="8" w:color="A6A6A6"/>
              <w:bottom w:val="single" w:sz="8" w:color="A6A6A6"/>
            </w:tcBorders>
          </w:tcPr>
          <w:p>
            <w:pPr>
              <w:spacing w:after="0"/>
              <w:rPr>
                <w:sz w:val="18"/>
                <w:szCs w:val="18"/>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8,219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80" w:type="dxa"/>
            <w:vAlign w:val="bottom"/>
          </w:tcPr>
          <w:p>
            <w:pPr>
              <w:spacing w:after="0"/>
              <w:rPr>
                <w:sz w:val="20"/>
                <w:szCs w:val="20"/>
                <w:color w:val="auto"/>
              </w:rPr>
            </w:pPr>
            <w:r>
              <w:rPr>
                <w:rFonts w:ascii="Arial" w:cs="Arial" w:eastAsia="Arial" w:hAnsi="Arial"/>
                <w:sz w:val="16"/>
                <w:szCs w:val="16"/>
                <w:color w:val="17385E"/>
              </w:rPr>
              <w:t>Shares Redeemed to Settle Employee Taxes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(866)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(866)</w:t>
            </w:r>
          </w:p>
        </w:tc>
        <w:tc>
          <w:tcPr>
            <w:tcW w:w="0" w:type="dxa"/>
            <w:vAlign w:val="bottom"/>
          </w:tcPr>
          <w:p>
            <w:pPr>
              <w:spacing w:after="0"/>
              <w:rPr>
                <w:sz w:val="1"/>
                <w:szCs w:val="1"/>
                <w:color w:val="auto"/>
              </w:rPr>
            </w:pPr>
          </w:p>
        </w:tc>
      </w:tr>
      <w:tr>
        <w:trPr>
          <w:trHeight w:val="20"/>
        </w:trPr>
        <w:tc>
          <w:tcPr>
            <w:tcW w:w="438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8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80" w:type="dxa"/>
            <w:vAlign w:val="bottom"/>
          </w:tcPr>
          <w:p>
            <w:pPr>
              <w:spacing w:after="0"/>
              <w:rPr>
                <w:sz w:val="20"/>
                <w:szCs w:val="20"/>
                <w:color w:val="auto"/>
              </w:rPr>
            </w:pPr>
            <w:r>
              <w:rPr>
                <w:rFonts w:ascii="Arial" w:cs="Arial" w:eastAsia="Arial" w:hAnsi="Arial"/>
                <w:sz w:val="16"/>
                <w:szCs w:val="16"/>
                <w:color w:val="17385E"/>
              </w:rPr>
              <w:t>Cumulative Effect of Change in Accounting for Leases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(636)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(636)</w:t>
            </w:r>
          </w:p>
        </w:tc>
        <w:tc>
          <w:tcPr>
            <w:tcW w:w="0" w:type="dxa"/>
            <w:vAlign w:val="bottom"/>
          </w:tcPr>
          <w:p>
            <w:pPr>
              <w:spacing w:after="0"/>
              <w:rPr>
                <w:sz w:val="1"/>
                <w:szCs w:val="1"/>
                <w:color w:val="auto"/>
              </w:rPr>
            </w:pPr>
          </w:p>
        </w:tc>
      </w:tr>
      <w:tr>
        <w:trPr>
          <w:trHeight w:val="209"/>
        </w:trPr>
        <w:tc>
          <w:tcPr>
            <w:tcW w:w="438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6"/>
                <w:szCs w:val="16"/>
                <w:color w:val="17385E"/>
              </w:rPr>
              <w:t>Unfunded Pension Liability, net of tax</w:t>
            </w:r>
          </w:p>
        </w:tc>
        <w:tc>
          <w:tcPr>
            <w:tcW w:w="800" w:type="dxa"/>
            <w:vAlign w:val="bottom"/>
            <w:tcBorders>
              <w:top w:val="single" w:sz="8" w:color="A6A6A6"/>
              <w:bottom w:val="single" w:sz="8" w:color="A6A6A6"/>
            </w:tcBorders>
          </w:tcPr>
          <w:p>
            <w:pPr>
              <w:spacing w:after="0"/>
              <w:rPr>
                <w:sz w:val="18"/>
                <w:szCs w:val="18"/>
                <w:color w:val="auto"/>
              </w:rPr>
            </w:pPr>
          </w:p>
        </w:tc>
        <w:tc>
          <w:tcPr>
            <w:tcW w:w="240" w:type="dxa"/>
            <w:vAlign w:val="bottom"/>
            <w:tcBorders>
              <w:top w:val="single" w:sz="8" w:color="A6A6A6"/>
              <w:bottom w:val="single" w:sz="8" w:color="004483"/>
            </w:tcBorders>
          </w:tcPr>
          <w:p>
            <w:pPr>
              <w:spacing w:after="0"/>
              <w:rPr>
                <w:sz w:val="18"/>
                <w:szCs w:val="18"/>
                <w:color w:val="auto"/>
              </w:rPr>
            </w:pPr>
          </w:p>
        </w:tc>
        <w:tc>
          <w:tcPr>
            <w:tcW w:w="76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40" w:type="dxa"/>
            <w:vAlign w:val="bottom"/>
            <w:tcBorders>
              <w:top w:val="single" w:sz="8" w:color="A6A6A6"/>
              <w:bottom w:val="single" w:sz="8" w:color="004483"/>
            </w:tcBorders>
          </w:tcPr>
          <w:p>
            <w:pPr>
              <w:spacing w:after="0"/>
              <w:rPr>
                <w:sz w:val="18"/>
                <w:szCs w:val="18"/>
                <w:color w:val="auto"/>
              </w:rPr>
            </w:pPr>
          </w:p>
        </w:tc>
        <w:tc>
          <w:tcPr>
            <w:tcW w:w="76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20" w:type="dxa"/>
            <w:vAlign w:val="bottom"/>
            <w:tcBorders>
              <w:top w:val="single" w:sz="8" w:color="A6A6A6"/>
              <w:bottom w:val="single" w:sz="8" w:color="004483"/>
            </w:tcBorders>
          </w:tcPr>
          <w:p>
            <w:pPr>
              <w:spacing w:after="0"/>
              <w:rPr>
                <w:sz w:val="18"/>
                <w:szCs w:val="18"/>
                <w:color w:val="auto"/>
              </w:rPr>
            </w:pPr>
          </w:p>
        </w:tc>
        <w:tc>
          <w:tcPr>
            <w:tcW w:w="7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120" w:type="dxa"/>
            <w:vAlign w:val="bottom"/>
            <w:tcBorders>
              <w:top w:val="single" w:sz="8" w:color="A6A6A6"/>
              <w:bottom w:val="single" w:sz="8" w:color="004483"/>
            </w:tcBorders>
          </w:tcPr>
          <w:p>
            <w:pPr>
              <w:spacing w:after="0"/>
              <w:rPr>
                <w:sz w:val="18"/>
                <w:szCs w:val="18"/>
                <w:color w:val="auto"/>
              </w:rPr>
            </w:pPr>
          </w:p>
        </w:tc>
        <w:tc>
          <w:tcPr>
            <w:tcW w:w="8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20" w:type="dxa"/>
            <w:vAlign w:val="bottom"/>
            <w:tcBorders>
              <w:top w:val="single" w:sz="8" w:color="A6A6A6"/>
              <w:bottom w:val="single" w:sz="8" w:color="004483"/>
            </w:tcBorders>
          </w:tcPr>
          <w:p>
            <w:pPr>
              <w:spacing w:after="0"/>
              <w:rPr>
                <w:sz w:val="18"/>
                <w:szCs w:val="18"/>
                <w:color w:val="auto"/>
              </w:rPr>
            </w:pPr>
          </w:p>
        </w:tc>
        <w:tc>
          <w:tcPr>
            <w:tcW w:w="8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80" w:type="dxa"/>
            <w:vAlign w:val="bottom"/>
            <w:tcBorders>
              <w:bottom w:val="single" w:sz="8" w:color="A6A6A6"/>
            </w:tcBorders>
          </w:tcPr>
          <w:p>
            <w:pPr>
              <w:spacing w:after="0"/>
              <w:rPr>
                <w:sz w:val="20"/>
                <w:szCs w:val="20"/>
                <w:color w:val="auto"/>
              </w:rPr>
            </w:pPr>
            <w:r>
              <w:rPr>
                <w:rFonts w:ascii="Arial" w:cs="Arial" w:eastAsia="Arial" w:hAnsi="Arial"/>
                <w:sz w:val="16"/>
                <w:szCs w:val="16"/>
                <w:b w:val="1"/>
                <w:bCs w:val="1"/>
                <w:color w:val="auto"/>
              </w:rPr>
              <w:t>Balance at June 30, 2019</w:t>
            </w:r>
          </w:p>
        </w:tc>
        <w:tc>
          <w:tcPr>
            <w:tcW w:w="800" w:type="dxa"/>
            <w:vAlign w:val="bottom"/>
            <w:tcBorders>
              <w:bottom w:val="single" w:sz="8" w:color="A6A6A6"/>
            </w:tcBorders>
          </w:tcPr>
          <w:p>
            <w:pPr>
              <w:spacing w:after="0"/>
              <w:rPr>
                <w:sz w:val="21"/>
                <w:szCs w:val="21"/>
                <w:color w:val="auto"/>
              </w:rPr>
            </w:pPr>
          </w:p>
        </w:tc>
        <w:tc>
          <w:tcPr>
            <w:tcW w:w="240" w:type="dxa"/>
            <w:vAlign w:val="bottom"/>
            <w:tcBorders>
              <w:bottom w:val="single" w:sz="8" w:color="004483"/>
            </w:tcBorders>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004483"/>
            </w:tcBorders>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004483"/>
            </w:tcBorders>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1,058,120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004483"/>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(3,283)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004483"/>
            </w:tcBorders>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1,055,266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380" w:type="dxa"/>
            <w:vAlign w:val="bottom"/>
            <w:tcBorders>
              <w:bottom w:val="single" w:sz="8" w:color="A6A6A6"/>
            </w:tcBorders>
          </w:tcPr>
          <w:p>
            <w:pPr>
              <w:spacing w:after="0"/>
              <w:rPr>
                <w:sz w:val="20"/>
                <w:szCs w:val="20"/>
                <w:color w:val="auto"/>
              </w:rPr>
            </w:pPr>
            <w:r>
              <w:rPr>
                <w:rFonts w:ascii="Arial" w:cs="Arial" w:eastAsia="Arial" w:hAnsi="Arial"/>
                <w:sz w:val="16"/>
                <w:szCs w:val="16"/>
                <w:color w:val="17385E"/>
              </w:rPr>
              <w:t>Net Earnings</w:t>
            </w:r>
          </w:p>
        </w:tc>
        <w:tc>
          <w:tcPr>
            <w:tcW w:w="800" w:type="dxa"/>
            <w:vAlign w:val="bottom"/>
            <w:tcBorders>
              <w:bottom w:val="single" w:sz="8" w:color="A6A6A6"/>
            </w:tcBorders>
          </w:tcPr>
          <w:p>
            <w:pPr>
              <w:spacing w:after="0"/>
              <w:rPr>
                <w:sz w:val="17"/>
                <w:szCs w:val="17"/>
                <w:color w:val="auto"/>
              </w:rPr>
            </w:pPr>
          </w:p>
        </w:tc>
        <w:tc>
          <w:tcPr>
            <w:tcW w:w="240" w:type="dxa"/>
            <w:vAlign w:val="bottom"/>
            <w:tcBorders>
              <w:bottom w:val="single" w:sz="8" w:color="A6A6A6"/>
            </w:tcBorders>
          </w:tcPr>
          <w:p>
            <w:pPr>
              <w:spacing w:after="0"/>
              <w:rPr>
                <w:sz w:val="17"/>
                <w:szCs w:val="17"/>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240" w:type="dxa"/>
            <w:vAlign w:val="bottom"/>
            <w:tcBorders>
              <w:bottom w:val="single" w:sz="8" w:color="A6A6A6"/>
            </w:tcBorders>
          </w:tcPr>
          <w:p>
            <w:pPr>
              <w:spacing w:after="0"/>
              <w:rPr>
                <w:sz w:val="17"/>
                <w:szCs w:val="17"/>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220" w:type="dxa"/>
            <w:vAlign w:val="bottom"/>
            <w:tcBorders>
              <w:bottom w:val="single" w:sz="8" w:color="A6A6A6"/>
            </w:tcBorders>
          </w:tcPr>
          <w:p>
            <w:pPr>
              <w:spacing w:after="0"/>
              <w:rPr>
                <w:sz w:val="17"/>
                <w:szCs w:val="17"/>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71,793</w:t>
            </w:r>
          </w:p>
        </w:tc>
        <w:tc>
          <w:tcPr>
            <w:tcW w:w="12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220" w:type="dxa"/>
            <w:vAlign w:val="bottom"/>
            <w:tcBorders>
              <w:bottom w:val="single" w:sz="8" w:color="A6A6A6"/>
            </w:tcBorders>
          </w:tcPr>
          <w:p>
            <w:pPr>
              <w:spacing w:after="0"/>
              <w:rPr>
                <w:sz w:val="17"/>
                <w:szCs w:val="17"/>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71,793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80" w:type="dxa"/>
            <w:vAlign w:val="bottom"/>
            <w:tcBorders>
              <w:bottom w:val="single" w:sz="8" w:color="A6A6A6"/>
            </w:tcBorders>
          </w:tcPr>
          <w:p>
            <w:pPr>
              <w:spacing w:after="0"/>
              <w:rPr>
                <w:sz w:val="20"/>
                <w:szCs w:val="20"/>
                <w:color w:val="auto"/>
              </w:rPr>
            </w:pPr>
            <w:r>
              <w:rPr>
                <w:rFonts w:ascii="Arial" w:cs="Arial" w:eastAsia="Arial" w:hAnsi="Arial"/>
                <w:sz w:val="16"/>
                <w:szCs w:val="16"/>
                <w:color w:val="17385E"/>
              </w:rPr>
              <w:t>Stock Option Exercises and Restricted Share Vesting</w:t>
            </w:r>
          </w:p>
        </w:tc>
        <w:tc>
          <w:tcPr>
            <w:tcW w:w="800" w:type="dxa"/>
            <w:vAlign w:val="bottom"/>
            <w:tcBorders>
              <w:bottom w:val="single" w:sz="8" w:color="A6A6A6"/>
            </w:tcBorders>
          </w:tcPr>
          <w:p>
            <w:pPr>
              <w:spacing w:after="0"/>
              <w:rPr>
                <w:sz w:val="18"/>
                <w:szCs w:val="18"/>
                <w:color w:val="auto"/>
              </w:rPr>
            </w:pPr>
          </w:p>
        </w:tc>
        <w:tc>
          <w:tcPr>
            <w:tcW w:w="24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4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1,371</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80" w:type="dxa"/>
            <w:vAlign w:val="bottom"/>
          </w:tcPr>
          <w:p>
            <w:pPr>
              <w:spacing w:after="0"/>
              <w:rPr>
                <w:sz w:val="20"/>
                <w:szCs w:val="20"/>
                <w:color w:val="auto"/>
              </w:rPr>
            </w:pPr>
            <w:r>
              <w:rPr>
                <w:rFonts w:ascii="Arial" w:cs="Arial" w:eastAsia="Arial" w:hAnsi="Arial"/>
                <w:sz w:val="16"/>
                <w:szCs w:val="16"/>
                <w:color w:val="17385E"/>
              </w:rPr>
              <w:t>Purchase and Retirement of Common Stock</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(366)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(115,153)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(115,532)</w:t>
            </w:r>
          </w:p>
        </w:tc>
        <w:tc>
          <w:tcPr>
            <w:tcW w:w="0" w:type="dxa"/>
            <w:vAlign w:val="bottom"/>
          </w:tcPr>
          <w:p>
            <w:pPr>
              <w:spacing w:after="0"/>
              <w:rPr>
                <w:sz w:val="1"/>
                <w:szCs w:val="1"/>
                <w:color w:val="auto"/>
              </w:rPr>
            </w:pPr>
          </w:p>
        </w:tc>
      </w:tr>
      <w:tr>
        <w:trPr>
          <w:trHeight w:val="20"/>
        </w:trPr>
        <w:tc>
          <w:tcPr>
            <w:tcW w:w="438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8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tcPr>
          <w:p>
            <w:pPr>
              <w:spacing w:after="0"/>
              <w:rPr>
                <w:sz w:val="20"/>
                <w:szCs w:val="20"/>
                <w:color w:val="auto"/>
              </w:rPr>
            </w:pPr>
            <w:r>
              <w:rPr>
                <w:rFonts w:ascii="Arial" w:cs="Arial" w:eastAsia="Arial" w:hAnsi="Arial"/>
                <w:sz w:val="16"/>
                <w:szCs w:val="16"/>
                <w:color w:val="17385E"/>
              </w:rPr>
              <w:t>Dividends to Stockholders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(4,163)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(4,163)</w:t>
            </w:r>
          </w:p>
        </w:tc>
        <w:tc>
          <w:tcPr>
            <w:tcW w:w="0" w:type="dxa"/>
            <w:vAlign w:val="bottom"/>
          </w:tcPr>
          <w:p>
            <w:pPr>
              <w:spacing w:after="0"/>
              <w:rPr>
                <w:sz w:val="1"/>
                <w:szCs w:val="1"/>
                <w:color w:val="auto"/>
              </w:rPr>
            </w:pPr>
          </w:p>
        </w:tc>
      </w:tr>
      <w:tr>
        <w:trPr>
          <w:trHeight w:val="210"/>
        </w:trPr>
        <w:tc>
          <w:tcPr>
            <w:tcW w:w="438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6"/>
                <w:szCs w:val="16"/>
                <w:color w:val="17385E"/>
              </w:rPr>
              <w:t>Stock Compensation Expense</w:t>
            </w:r>
          </w:p>
        </w:tc>
        <w:tc>
          <w:tcPr>
            <w:tcW w:w="800" w:type="dxa"/>
            <w:vAlign w:val="bottom"/>
            <w:tcBorders>
              <w:top w:val="single" w:sz="8" w:color="A6A6A6"/>
              <w:bottom w:val="single" w:sz="8" w:color="A6A6A6"/>
            </w:tcBorders>
          </w:tcPr>
          <w:p>
            <w:pPr>
              <w:spacing w:after="0"/>
              <w:rPr>
                <w:sz w:val="18"/>
                <w:szCs w:val="18"/>
                <w:color w:val="auto"/>
              </w:rPr>
            </w:pPr>
          </w:p>
        </w:tc>
        <w:tc>
          <w:tcPr>
            <w:tcW w:w="240" w:type="dxa"/>
            <w:vAlign w:val="bottom"/>
            <w:tcBorders>
              <w:top w:val="single" w:sz="8" w:color="A6A6A6"/>
              <w:bottom w:val="single" w:sz="8" w:color="A6A6A6"/>
            </w:tcBorders>
          </w:tcPr>
          <w:p>
            <w:pPr>
              <w:spacing w:after="0"/>
              <w:rPr>
                <w:sz w:val="18"/>
                <w:szCs w:val="18"/>
                <w:color w:val="auto"/>
              </w:rPr>
            </w:pPr>
          </w:p>
        </w:tc>
        <w:tc>
          <w:tcPr>
            <w:tcW w:w="7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40" w:type="dxa"/>
            <w:vAlign w:val="bottom"/>
            <w:tcBorders>
              <w:top w:val="single" w:sz="8" w:color="A6A6A6"/>
              <w:bottom w:val="single" w:sz="8" w:color="A6A6A6"/>
            </w:tcBorders>
          </w:tcPr>
          <w:p>
            <w:pPr>
              <w:spacing w:after="0"/>
              <w:rPr>
                <w:sz w:val="18"/>
                <w:szCs w:val="18"/>
                <w:color w:val="auto"/>
              </w:rPr>
            </w:pPr>
          </w:p>
        </w:tc>
        <w:tc>
          <w:tcPr>
            <w:tcW w:w="7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3,918</w:t>
            </w: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20" w:type="dxa"/>
            <w:vAlign w:val="bottom"/>
            <w:tcBorders>
              <w:top w:val="single" w:sz="8" w:color="A6A6A6"/>
              <w:bottom w:val="single" w:sz="8" w:color="A6A6A6"/>
            </w:tcBorders>
          </w:tcPr>
          <w:p>
            <w:pPr>
              <w:spacing w:after="0"/>
              <w:rPr>
                <w:sz w:val="18"/>
                <w:szCs w:val="18"/>
                <w:color w:val="auto"/>
              </w:rPr>
            </w:pPr>
          </w:p>
        </w:tc>
        <w:tc>
          <w:tcPr>
            <w:tcW w:w="7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8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20" w:type="dxa"/>
            <w:vAlign w:val="bottom"/>
            <w:tcBorders>
              <w:top w:val="single" w:sz="8" w:color="A6A6A6"/>
              <w:bottom w:val="single" w:sz="8" w:color="A6A6A6"/>
            </w:tcBorders>
          </w:tcPr>
          <w:p>
            <w:pPr>
              <w:spacing w:after="0"/>
              <w:rPr>
                <w:sz w:val="18"/>
                <w:szCs w:val="18"/>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3,918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80" w:type="dxa"/>
            <w:vAlign w:val="bottom"/>
          </w:tcPr>
          <w:p>
            <w:pPr>
              <w:spacing w:after="0"/>
              <w:rPr>
                <w:sz w:val="20"/>
                <w:szCs w:val="20"/>
                <w:color w:val="auto"/>
              </w:rPr>
            </w:pPr>
            <w:r>
              <w:rPr>
                <w:rFonts w:ascii="Arial" w:cs="Arial" w:eastAsia="Arial" w:hAnsi="Arial"/>
                <w:sz w:val="16"/>
                <w:szCs w:val="16"/>
                <w:color w:val="17385E"/>
              </w:rPr>
              <w:t>Shares Redeemed to Settle Employee Taxes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(1,933)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(1,933)</w:t>
            </w:r>
          </w:p>
        </w:tc>
        <w:tc>
          <w:tcPr>
            <w:tcW w:w="0" w:type="dxa"/>
            <w:vAlign w:val="bottom"/>
          </w:tcPr>
          <w:p>
            <w:pPr>
              <w:spacing w:after="0"/>
              <w:rPr>
                <w:sz w:val="1"/>
                <w:szCs w:val="1"/>
                <w:color w:val="auto"/>
              </w:rPr>
            </w:pPr>
          </w:p>
        </w:tc>
      </w:tr>
      <w:tr>
        <w:trPr>
          <w:trHeight w:val="209"/>
        </w:trPr>
        <w:tc>
          <w:tcPr>
            <w:tcW w:w="438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6"/>
                <w:szCs w:val="16"/>
                <w:color w:val="17385E"/>
              </w:rPr>
              <w:t>Unfunded Pension Liability, net of tax</w:t>
            </w:r>
          </w:p>
        </w:tc>
        <w:tc>
          <w:tcPr>
            <w:tcW w:w="800" w:type="dxa"/>
            <w:vAlign w:val="bottom"/>
            <w:tcBorders>
              <w:top w:val="single" w:sz="8" w:color="A6A6A6"/>
              <w:bottom w:val="single" w:sz="8" w:color="A6A6A6"/>
            </w:tcBorders>
          </w:tcPr>
          <w:p>
            <w:pPr>
              <w:spacing w:after="0"/>
              <w:rPr>
                <w:sz w:val="18"/>
                <w:szCs w:val="18"/>
                <w:color w:val="auto"/>
              </w:rPr>
            </w:pPr>
          </w:p>
        </w:tc>
        <w:tc>
          <w:tcPr>
            <w:tcW w:w="240" w:type="dxa"/>
            <w:vAlign w:val="bottom"/>
            <w:tcBorders>
              <w:top w:val="single" w:sz="8" w:color="A6A6A6"/>
              <w:bottom w:val="single" w:sz="8" w:color="004483"/>
            </w:tcBorders>
          </w:tcPr>
          <w:p>
            <w:pPr>
              <w:spacing w:after="0"/>
              <w:rPr>
                <w:sz w:val="18"/>
                <w:szCs w:val="18"/>
                <w:color w:val="auto"/>
              </w:rPr>
            </w:pPr>
          </w:p>
        </w:tc>
        <w:tc>
          <w:tcPr>
            <w:tcW w:w="76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40" w:type="dxa"/>
            <w:vAlign w:val="bottom"/>
            <w:tcBorders>
              <w:top w:val="single" w:sz="8" w:color="A6A6A6"/>
              <w:bottom w:val="single" w:sz="8" w:color="004483"/>
            </w:tcBorders>
          </w:tcPr>
          <w:p>
            <w:pPr>
              <w:spacing w:after="0"/>
              <w:rPr>
                <w:sz w:val="18"/>
                <w:szCs w:val="18"/>
                <w:color w:val="auto"/>
              </w:rPr>
            </w:pPr>
          </w:p>
        </w:tc>
        <w:tc>
          <w:tcPr>
            <w:tcW w:w="76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20" w:type="dxa"/>
            <w:vAlign w:val="bottom"/>
            <w:tcBorders>
              <w:top w:val="single" w:sz="8" w:color="A6A6A6"/>
              <w:bottom w:val="single" w:sz="8" w:color="004483"/>
            </w:tcBorders>
          </w:tcPr>
          <w:p>
            <w:pPr>
              <w:spacing w:after="0"/>
              <w:rPr>
                <w:sz w:val="18"/>
                <w:szCs w:val="18"/>
                <w:color w:val="auto"/>
              </w:rPr>
            </w:pPr>
          </w:p>
        </w:tc>
        <w:tc>
          <w:tcPr>
            <w:tcW w:w="7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120" w:type="dxa"/>
            <w:vAlign w:val="bottom"/>
            <w:tcBorders>
              <w:top w:val="single" w:sz="8" w:color="A6A6A6"/>
              <w:bottom w:val="single" w:sz="8" w:color="004483"/>
            </w:tcBorders>
          </w:tcPr>
          <w:p>
            <w:pPr>
              <w:spacing w:after="0"/>
              <w:rPr>
                <w:sz w:val="18"/>
                <w:szCs w:val="18"/>
                <w:color w:val="auto"/>
              </w:rPr>
            </w:pPr>
          </w:p>
        </w:tc>
        <w:tc>
          <w:tcPr>
            <w:tcW w:w="8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20" w:type="dxa"/>
            <w:vAlign w:val="bottom"/>
            <w:tcBorders>
              <w:top w:val="single" w:sz="8" w:color="A6A6A6"/>
              <w:bottom w:val="single" w:sz="8" w:color="004483"/>
            </w:tcBorders>
          </w:tcPr>
          <w:p>
            <w:pPr>
              <w:spacing w:after="0"/>
              <w:rPr>
                <w:sz w:val="18"/>
                <w:szCs w:val="18"/>
                <w:color w:val="auto"/>
              </w:rPr>
            </w:pPr>
          </w:p>
        </w:tc>
        <w:tc>
          <w:tcPr>
            <w:tcW w:w="8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80" w:type="dxa"/>
            <w:vAlign w:val="bottom"/>
            <w:tcBorders>
              <w:bottom w:val="single" w:sz="8" w:color="A6A6A6"/>
            </w:tcBorders>
          </w:tcPr>
          <w:p>
            <w:pPr>
              <w:spacing w:after="0"/>
              <w:rPr>
                <w:sz w:val="20"/>
                <w:szCs w:val="20"/>
                <w:color w:val="auto"/>
              </w:rPr>
            </w:pPr>
            <w:r>
              <w:rPr>
                <w:rFonts w:ascii="Arial" w:cs="Arial" w:eastAsia="Arial" w:hAnsi="Arial"/>
                <w:sz w:val="16"/>
                <w:szCs w:val="16"/>
                <w:b w:val="1"/>
                <w:bCs w:val="1"/>
                <w:color w:val="auto"/>
              </w:rPr>
              <w:t>Balance at September 30, 2019</w:t>
            </w:r>
          </w:p>
        </w:tc>
        <w:tc>
          <w:tcPr>
            <w:tcW w:w="800" w:type="dxa"/>
            <w:vAlign w:val="bottom"/>
            <w:tcBorders>
              <w:bottom w:val="single" w:sz="8" w:color="A6A6A6"/>
            </w:tcBorders>
          </w:tcPr>
          <w:p>
            <w:pPr>
              <w:spacing w:after="0"/>
              <w:rPr>
                <w:sz w:val="21"/>
                <w:szCs w:val="21"/>
                <w:color w:val="auto"/>
              </w:rPr>
            </w:pPr>
          </w:p>
        </w:tc>
        <w:tc>
          <w:tcPr>
            <w:tcW w:w="240" w:type="dxa"/>
            <w:vAlign w:val="bottom"/>
            <w:tcBorders>
              <w:bottom w:val="single" w:sz="8" w:color="004483"/>
            </w:tcBorders>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004483"/>
            </w:tcBorders>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2,990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004483"/>
            </w:tcBorders>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1,010,597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004483"/>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(3,248)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004483"/>
            </w:tcBorders>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1,010,755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4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Capital in</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7"/>
              </w:rPr>
              <w:t>Accumulated</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Common</w:t>
            </w:r>
          </w:p>
        </w:tc>
        <w:tc>
          <w:tcPr>
            <w:tcW w:w="2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Excess of</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4"/>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Comprehensive</w:t>
            </w:r>
          </w:p>
        </w:tc>
        <w:tc>
          <w:tcPr>
            <w:tcW w:w="220" w:type="dxa"/>
            <w:vAlign w:val="bottom"/>
          </w:tcPr>
          <w:p>
            <w:pPr>
              <w:spacing w:after="0"/>
              <w:rPr>
                <w:sz w:val="12"/>
                <w:szCs w:val="12"/>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4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Stock</w:t>
            </w:r>
          </w:p>
        </w:tc>
        <w:tc>
          <w:tcPr>
            <w:tcW w:w="24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Losses</w:t>
            </w:r>
          </w:p>
        </w:tc>
        <w:tc>
          <w:tcPr>
            <w:tcW w:w="2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80" w:type="dxa"/>
            <w:vAlign w:val="bottom"/>
            <w:tcBorders>
              <w:bottom w:val="single" w:sz="8" w:color="004483"/>
            </w:tcBorders>
          </w:tcPr>
          <w:p>
            <w:pPr>
              <w:spacing w:after="0"/>
              <w:rPr>
                <w:sz w:val="12"/>
                <w:szCs w:val="12"/>
                <w:color w:val="auto"/>
              </w:rPr>
            </w:pPr>
          </w:p>
        </w:tc>
        <w:tc>
          <w:tcPr>
            <w:tcW w:w="800" w:type="dxa"/>
            <w:vAlign w:val="bottom"/>
            <w:tcBorders>
              <w:bottom w:val="single" w:sz="8" w:color="004483"/>
            </w:tcBorders>
          </w:tcPr>
          <w:p>
            <w:pPr>
              <w:spacing w:after="0"/>
              <w:rPr>
                <w:sz w:val="12"/>
                <w:szCs w:val="12"/>
                <w:color w:val="auto"/>
              </w:rPr>
            </w:pPr>
          </w:p>
        </w:tc>
        <w:tc>
          <w:tcPr>
            <w:tcW w:w="240" w:type="dxa"/>
            <w:vAlign w:val="bottom"/>
            <w:tcBorders>
              <w:bottom w:val="single" w:sz="8" w:color="004483"/>
            </w:tcBorders>
          </w:tcPr>
          <w:p>
            <w:pPr>
              <w:spacing w:after="0"/>
              <w:rPr>
                <w:sz w:val="12"/>
                <w:szCs w:val="12"/>
                <w:color w:val="auto"/>
              </w:rPr>
            </w:pPr>
          </w:p>
        </w:tc>
        <w:tc>
          <w:tcPr>
            <w:tcW w:w="760" w:type="dxa"/>
            <w:vAlign w:val="bottom"/>
            <w:tcBorders>
              <w:bottom w:val="single" w:sz="8" w:color="004483"/>
            </w:tcBorders>
          </w:tcPr>
          <w:p>
            <w:pPr>
              <w:spacing w:after="0"/>
              <w:rPr>
                <w:sz w:val="12"/>
                <w:szCs w:val="12"/>
                <w:color w:val="auto"/>
              </w:rPr>
            </w:pPr>
          </w:p>
        </w:tc>
        <w:tc>
          <w:tcPr>
            <w:tcW w:w="100" w:type="dxa"/>
            <w:vAlign w:val="bottom"/>
            <w:tcBorders>
              <w:bottom w:val="single" w:sz="8" w:color="004483"/>
            </w:tcBorders>
          </w:tcPr>
          <w:p>
            <w:pPr>
              <w:spacing w:after="0"/>
              <w:rPr>
                <w:sz w:val="12"/>
                <w:szCs w:val="12"/>
                <w:color w:val="auto"/>
              </w:rPr>
            </w:pPr>
          </w:p>
        </w:tc>
        <w:tc>
          <w:tcPr>
            <w:tcW w:w="120" w:type="dxa"/>
            <w:vAlign w:val="bottom"/>
            <w:tcBorders>
              <w:bottom w:val="single" w:sz="8" w:color="004483"/>
            </w:tcBorders>
          </w:tcPr>
          <w:p>
            <w:pPr>
              <w:spacing w:after="0"/>
              <w:rPr>
                <w:sz w:val="12"/>
                <w:szCs w:val="12"/>
                <w:color w:val="auto"/>
              </w:rPr>
            </w:pPr>
          </w:p>
        </w:tc>
        <w:tc>
          <w:tcPr>
            <w:tcW w:w="240" w:type="dxa"/>
            <w:vAlign w:val="bottom"/>
            <w:tcBorders>
              <w:bottom w:val="single" w:sz="8" w:color="004483"/>
            </w:tcBorders>
          </w:tcPr>
          <w:p>
            <w:pPr>
              <w:spacing w:after="0"/>
              <w:rPr>
                <w:sz w:val="12"/>
                <w:szCs w:val="12"/>
                <w:color w:val="auto"/>
              </w:rPr>
            </w:pPr>
          </w:p>
        </w:tc>
        <w:tc>
          <w:tcPr>
            <w:tcW w:w="760" w:type="dxa"/>
            <w:vAlign w:val="bottom"/>
            <w:tcBorders>
              <w:bottom w:val="single" w:sz="8" w:color="004483"/>
            </w:tcBorders>
          </w:tcPr>
          <w:p>
            <w:pPr>
              <w:spacing w:after="0"/>
              <w:rPr>
                <w:sz w:val="12"/>
                <w:szCs w:val="12"/>
                <w:color w:val="auto"/>
              </w:rPr>
            </w:pPr>
          </w:p>
        </w:tc>
        <w:tc>
          <w:tcPr>
            <w:tcW w:w="120" w:type="dxa"/>
            <w:vAlign w:val="bottom"/>
            <w:tcBorders>
              <w:bottom w:val="single" w:sz="8" w:color="004483"/>
            </w:tcBorders>
          </w:tcPr>
          <w:p>
            <w:pPr>
              <w:spacing w:after="0"/>
              <w:rPr>
                <w:sz w:val="12"/>
                <w:szCs w:val="12"/>
                <w:color w:val="auto"/>
              </w:rPr>
            </w:pPr>
          </w:p>
        </w:tc>
        <w:tc>
          <w:tcPr>
            <w:tcW w:w="1240" w:type="dxa"/>
            <w:vAlign w:val="bottom"/>
            <w:tcBorders>
              <w:bottom w:val="single" w:sz="8" w:color="004483"/>
            </w:tcBorders>
            <w:gridSpan w:val="4"/>
          </w:tcPr>
          <w:p>
            <w:pPr>
              <w:jc w:val="right"/>
              <w:ind w:right="60"/>
              <w:spacing w:after="0"/>
              <w:rPr>
                <w:sz w:val="20"/>
                <w:szCs w:val="20"/>
                <w:color w:val="auto"/>
              </w:rPr>
            </w:pPr>
            <w:r>
              <w:rPr>
                <w:rFonts w:ascii="Arial" w:cs="Arial" w:eastAsia="Arial" w:hAnsi="Arial"/>
                <w:sz w:val="13"/>
                <w:szCs w:val="13"/>
                <w:color w:val="auto"/>
                <w:w w:val="93"/>
              </w:rPr>
              <w:t>(dollars in thousands)</w:t>
            </w:r>
          </w:p>
        </w:tc>
        <w:tc>
          <w:tcPr>
            <w:tcW w:w="120" w:type="dxa"/>
            <w:vAlign w:val="bottom"/>
            <w:tcBorders>
              <w:bottom w:val="single" w:sz="8" w:color="004483"/>
            </w:tcBorders>
          </w:tcPr>
          <w:p>
            <w:pPr>
              <w:spacing w:after="0"/>
              <w:rPr>
                <w:sz w:val="12"/>
                <w:szCs w:val="12"/>
                <w:color w:val="auto"/>
              </w:rPr>
            </w:pPr>
          </w:p>
        </w:tc>
        <w:tc>
          <w:tcPr>
            <w:tcW w:w="120" w:type="dxa"/>
            <w:vAlign w:val="bottom"/>
            <w:tcBorders>
              <w:bottom w:val="single" w:sz="8" w:color="004483"/>
            </w:tcBorders>
          </w:tcPr>
          <w:p>
            <w:pPr>
              <w:spacing w:after="0"/>
              <w:rPr>
                <w:sz w:val="12"/>
                <w:szCs w:val="12"/>
                <w:color w:val="auto"/>
              </w:rPr>
            </w:pPr>
          </w:p>
        </w:tc>
        <w:tc>
          <w:tcPr>
            <w:tcW w:w="880" w:type="dxa"/>
            <w:vAlign w:val="bottom"/>
            <w:tcBorders>
              <w:bottom w:val="single" w:sz="8" w:color="004483"/>
            </w:tcBorders>
          </w:tcPr>
          <w:p>
            <w:pPr>
              <w:spacing w:after="0"/>
              <w:rPr>
                <w:sz w:val="12"/>
                <w:szCs w:val="12"/>
                <w:color w:val="auto"/>
              </w:rPr>
            </w:pPr>
          </w:p>
        </w:tc>
        <w:tc>
          <w:tcPr>
            <w:tcW w:w="120" w:type="dxa"/>
            <w:vAlign w:val="bottom"/>
            <w:tcBorders>
              <w:bottom w:val="single" w:sz="8" w:color="004483"/>
            </w:tcBorders>
          </w:tcPr>
          <w:p>
            <w:pPr>
              <w:spacing w:after="0"/>
              <w:rPr>
                <w:sz w:val="12"/>
                <w:szCs w:val="12"/>
                <w:color w:val="auto"/>
              </w:rPr>
            </w:pPr>
          </w:p>
        </w:tc>
        <w:tc>
          <w:tcPr>
            <w:tcW w:w="120" w:type="dxa"/>
            <w:vAlign w:val="bottom"/>
            <w:tcBorders>
              <w:bottom w:val="single" w:sz="8" w:color="004483"/>
            </w:tcBorders>
          </w:tcPr>
          <w:p>
            <w:pPr>
              <w:spacing w:after="0"/>
              <w:rPr>
                <w:sz w:val="12"/>
                <w:szCs w:val="12"/>
                <w:color w:val="auto"/>
              </w:rPr>
            </w:pPr>
          </w:p>
        </w:tc>
        <w:tc>
          <w:tcPr>
            <w:tcW w:w="220" w:type="dxa"/>
            <w:vAlign w:val="bottom"/>
            <w:tcBorders>
              <w:bottom w:val="single" w:sz="8" w:color="004483"/>
            </w:tcBorders>
          </w:tcPr>
          <w:p>
            <w:pPr>
              <w:spacing w:after="0"/>
              <w:rPr>
                <w:sz w:val="12"/>
                <w:szCs w:val="12"/>
                <w:color w:val="auto"/>
              </w:rPr>
            </w:pPr>
          </w:p>
        </w:tc>
        <w:tc>
          <w:tcPr>
            <w:tcW w:w="800" w:type="dxa"/>
            <w:vAlign w:val="bottom"/>
            <w:tcBorders>
              <w:bottom w:val="single" w:sz="8" w:color="004483"/>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4380" w:type="dxa"/>
            <w:vAlign w:val="bottom"/>
          </w:tcPr>
          <w:p>
            <w:pPr>
              <w:spacing w:after="0"/>
              <w:rPr>
                <w:sz w:val="20"/>
                <w:szCs w:val="20"/>
                <w:color w:val="auto"/>
              </w:rPr>
            </w:pPr>
            <w:r>
              <w:rPr>
                <w:rFonts w:ascii="Arial" w:cs="Arial" w:eastAsia="Arial" w:hAnsi="Arial"/>
                <w:sz w:val="16"/>
                <w:szCs w:val="16"/>
                <w:b w:val="1"/>
                <w:bCs w:val="1"/>
                <w:color w:val="auto"/>
              </w:rPr>
              <w:t>Balance at March 31, 2020</w:t>
            </w:r>
          </w:p>
        </w:tc>
        <w:tc>
          <w:tcPr>
            <w:tcW w:w="104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10,943</w:t>
            </w:r>
          </w:p>
        </w:tc>
        <w:tc>
          <w:tcPr>
            <w:tcW w:w="120" w:type="dxa"/>
            <w:vAlign w:val="bottom"/>
          </w:tcPr>
          <w:p>
            <w:pPr>
              <w:spacing w:after="0"/>
              <w:rPr>
                <w:sz w:val="17"/>
                <w:szCs w:val="17"/>
                <w:color w:val="auto"/>
              </w:rPr>
            </w:pPr>
          </w:p>
        </w:tc>
        <w:tc>
          <w:tcPr>
            <w:tcW w:w="34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960,065</w:t>
            </w:r>
          </w:p>
        </w:tc>
        <w:tc>
          <w:tcPr>
            <w:tcW w:w="12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(3,581)</w:t>
            </w:r>
          </w:p>
        </w:tc>
        <w:tc>
          <w:tcPr>
            <w:tcW w:w="12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967,843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8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6"/>
                <w:szCs w:val="16"/>
                <w:color w:val="17385E"/>
              </w:rPr>
              <w:t>Net Earnings</w:t>
            </w:r>
          </w:p>
        </w:tc>
        <w:tc>
          <w:tcPr>
            <w:tcW w:w="800" w:type="dxa"/>
            <w:vAlign w:val="bottom"/>
            <w:tcBorders>
              <w:top w:val="single" w:sz="8" w:color="A6A6A6"/>
              <w:bottom w:val="single" w:sz="8" w:color="A6A6A6"/>
            </w:tcBorders>
          </w:tcPr>
          <w:p>
            <w:pPr>
              <w:spacing w:after="0"/>
              <w:rPr>
                <w:sz w:val="18"/>
                <w:szCs w:val="18"/>
                <w:color w:val="auto"/>
              </w:rPr>
            </w:pPr>
          </w:p>
        </w:tc>
        <w:tc>
          <w:tcPr>
            <w:tcW w:w="240" w:type="dxa"/>
            <w:vAlign w:val="bottom"/>
            <w:tcBorders>
              <w:top w:val="single" w:sz="8" w:color="A6A6A6"/>
              <w:bottom w:val="single" w:sz="8" w:color="A6A6A6"/>
            </w:tcBorders>
          </w:tcPr>
          <w:p>
            <w:pPr>
              <w:spacing w:after="0"/>
              <w:rPr>
                <w:sz w:val="18"/>
                <w:szCs w:val="18"/>
                <w:color w:val="auto"/>
              </w:rPr>
            </w:pPr>
          </w:p>
        </w:tc>
        <w:tc>
          <w:tcPr>
            <w:tcW w:w="7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40" w:type="dxa"/>
            <w:vAlign w:val="bottom"/>
            <w:tcBorders>
              <w:top w:val="single" w:sz="8" w:color="A6A6A6"/>
              <w:bottom w:val="single" w:sz="8" w:color="A6A6A6"/>
            </w:tcBorders>
          </w:tcPr>
          <w:p>
            <w:pPr>
              <w:spacing w:after="0"/>
              <w:rPr>
                <w:sz w:val="18"/>
                <w:szCs w:val="18"/>
                <w:color w:val="auto"/>
              </w:rPr>
            </w:pPr>
          </w:p>
        </w:tc>
        <w:tc>
          <w:tcPr>
            <w:tcW w:w="7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20" w:type="dxa"/>
            <w:vAlign w:val="bottom"/>
            <w:tcBorders>
              <w:top w:val="single" w:sz="8" w:color="A6A6A6"/>
              <w:bottom w:val="single" w:sz="8" w:color="A6A6A6"/>
            </w:tcBorders>
          </w:tcPr>
          <w:p>
            <w:pPr>
              <w:spacing w:after="0"/>
              <w:rPr>
                <w:sz w:val="18"/>
                <w:szCs w:val="18"/>
                <w:color w:val="auto"/>
              </w:rPr>
            </w:pPr>
          </w:p>
        </w:tc>
        <w:tc>
          <w:tcPr>
            <w:tcW w:w="7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96,206</w:t>
            </w: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8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20" w:type="dxa"/>
            <w:vAlign w:val="bottom"/>
            <w:tcBorders>
              <w:top w:val="single" w:sz="8" w:color="A6A6A6"/>
              <w:bottom w:val="single" w:sz="8" w:color="A6A6A6"/>
            </w:tcBorders>
          </w:tcPr>
          <w:p>
            <w:pPr>
              <w:spacing w:after="0"/>
              <w:rPr>
                <w:sz w:val="18"/>
                <w:szCs w:val="18"/>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96,206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80" w:type="dxa"/>
            <w:vAlign w:val="bottom"/>
            <w:tcBorders>
              <w:bottom w:val="single" w:sz="8" w:color="A6A6A6"/>
            </w:tcBorders>
          </w:tcPr>
          <w:p>
            <w:pPr>
              <w:spacing w:after="0"/>
              <w:rPr>
                <w:sz w:val="20"/>
                <w:szCs w:val="20"/>
                <w:color w:val="auto"/>
              </w:rPr>
            </w:pPr>
            <w:r>
              <w:rPr>
                <w:rFonts w:ascii="Arial" w:cs="Arial" w:eastAsia="Arial" w:hAnsi="Arial"/>
                <w:sz w:val="16"/>
                <w:szCs w:val="16"/>
                <w:color w:val="17385E"/>
              </w:rPr>
              <w:t>Stock Compensation Expense</w:t>
            </w:r>
          </w:p>
        </w:tc>
        <w:tc>
          <w:tcPr>
            <w:tcW w:w="800" w:type="dxa"/>
            <w:vAlign w:val="bottom"/>
            <w:tcBorders>
              <w:bottom w:val="single" w:sz="8" w:color="A6A6A6"/>
            </w:tcBorders>
          </w:tcPr>
          <w:p>
            <w:pPr>
              <w:spacing w:after="0"/>
              <w:rPr>
                <w:sz w:val="18"/>
                <w:szCs w:val="18"/>
                <w:color w:val="auto"/>
              </w:rPr>
            </w:pPr>
          </w:p>
        </w:tc>
        <w:tc>
          <w:tcPr>
            <w:tcW w:w="24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4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4,758</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4,760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Pr>
          <w:p>
            <w:pPr>
              <w:spacing w:after="0"/>
              <w:rPr>
                <w:sz w:val="20"/>
                <w:szCs w:val="20"/>
                <w:color w:val="auto"/>
              </w:rPr>
            </w:pPr>
            <w:r>
              <w:rPr>
                <w:rFonts w:ascii="Arial" w:cs="Arial" w:eastAsia="Arial" w:hAnsi="Arial"/>
                <w:sz w:val="16"/>
                <w:szCs w:val="16"/>
                <w:color w:val="17385E"/>
              </w:rPr>
              <w:t>Shares Redeemed to Settle Employee Taxes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(1,130)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(1,130)</w:t>
            </w:r>
          </w:p>
        </w:tc>
        <w:tc>
          <w:tcPr>
            <w:tcW w:w="0" w:type="dxa"/>
            <w:vAlign w:val="bottom"/>
          </w:tcPr>
          <w:p>
            <w:pPr>
              <w:spacing w:after="0"/>
              <w:rPr>
                <w:sz w:val="1"/>
                <w:szCs w:val="1"/>
                <w:color w:val="auto"/>
              </w:rPr>
            </w:pPr>
          </w:p>
        </w:tc>
      </w:tr>
      <w:tr>
        <w:trPr>
          <w:trHeight w:val="209"/>
        </w:trPr>
        <w:tc>
          <w:tcPr>
            <w:tcW w:w="438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6"/>
                <w:szCs w:val="16"/>
                <w:color w:val="17385E"/>
              </w:rPr>
              <w:t>Sale of Business with Unfunded Pension Liability</w:t>
            </w:r>
          </w:p>
        </w:tc>
        <w:tc>
          <w:tcPr>
            <w:tcW w:w="800" w:type="dxa"/>
            <w:vAlign w:val="bottom"/>
            <w:tcBorders>
              <w:top w:val="single" w:sz="8" w:color="A6A6A6"/>
              <w:bottom w:val="single" w:sz="8" w:color="A6A6A6"/>
            </w:tcBorders>
          </w:tcPr>
          <w:p>
            <w:pPr>
              <w:spacing w:after="0"/>
              <w:rPr>
                <w:sz w:val="18"/>
                <w:szCs w:val="18"/>
                <w:color w:val="auto"/>
              </w:rPr>
            </w:pPr>
          </w:p>
        </w:tc>
        <w:tc>
          <w:tcPr>
            <w:tcW w:w="240" w:type="dxa"/>
            <w:vAlign w:val="bottom"/>
            <w:tcBorders>
              <w:top w:val="single" w:sz="8" w:color="A6A6A6"/>
              <w:bottom w:val="single" w:sz="8" w:color="A6A6A6"/>
            </w:tcBorders>
          </w:tcPr>
          <w:p>
            <w:pPr>
              <w:spacing w:after="0"/>
              <w:rPr>
                <w:sz w:val="18"/>
                <w:szCs w:val="18"/>
                <w:color w:val="auto"/>
              </w:rPr>
            </w:pPr>
          </w:p>
        </w:tc>
        <w:tc>
          <w:tcPr>
            <w:tcW w:w="7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40" w:type="dxa"/>
            <w:vAlign w:val="bottom"/>
            <w:tcBorders>
              <w:top w:val="single" w:sz="8" w:color="A6A6A6"/>
              <w:bottom w:val="single" w:sz="8" w:color="A6A6A6"/>
            </w:tcBorders>
          </w:tcPr>
          <w:p>
            <w:pPr>
              <w:spacing w:after="0"/>
              <w:rPr>
                <w:sz w:val="18"/>
                <w:szCs w:val="18"/>
                <w:color w:val="auto"/>
              </w:rPr>
            </w:pPr>
          </w:p>
        </w:tc>
        <w:tc>
          <w:tcPr>
            <w:tcW w:w="7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20" w:type="dxa"/>
            <w:vAlign w:val="bottom"/>
            <w:tcBorders>
              <w:top w:val="single" w:sz="8" w:color="A6A6A6"/>
              <w:bottom w:val="single" w:sz="8" w:color="A6A6A6"/>
            </w:tcBorders>
          </w:tcPr>
          <w:p>
            <w:pPr>
              <w:spacing w:after="0"/>
              <w:rPr>
                <w:sz w:val="18"/>
                <w:szCs w:val="18"/>
                <w:color w:val="auto"/>
              </w:rPr>
            </w:pPr>
          </w:p>
        </w:tc>
        <w:tc>
          <w:tcPr>
            <w:tcW w:w="7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8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254</w:t>
            </w: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20" w:type="dxa"/>
            <w:vAlign w:val="bottom"/>
            <w:tcBorders>
              <w:top w:val="single" w:sz="8" w:color="A6A6A6"/>
              <w:bottom w:val="single" w:sz="8" w:color="A6A6A6"/>
            </w:tcBorders>
          </w:tcPr>
          <w:p>
            <w:pPr>
              <w:spacing w:after="0"/>
              <w:rPr>
                <w:sz w:val="18"/>
                <w:szCs w:val="18"/>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254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Pr>
          <w:p>
            <w:pPr>
              <w:spacing w:after="0"/>
              <w:rPr>
                <w:sz w:val="20"/>
                <w:szCs w:val="20"/>
                <w:color w:val="auto"/>
              </w:rPr>
            </w:pPr>
            <w:r>
              <w:rPr>
                <w:rFonts w:ascii="Arial" w:cs="Arial" w:eastAsia="Arial" w:hAnsi="Arial"/>
                <w:sz w:val="16"/>
                <w:szCs w:val="16"/>
                <w:color w:val="17385E"/>
              </w:rPr>
              <w:t>Unfunded Pension Liability, net of tax</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8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6"/>
                <w:szCs w:val="16"/>
                <w:b w:val="1"/>
                <w:bCs w:val="1"/>
                <w:color w:val="auto"/>
              </w:rPr>
              <w:t>Balance at June 30, 2020</w:t>
            </w:r>
          </w:p>
        </w:tc>
        <w:tc>
          <w:tcPr>
            <w:tcW w:w="800" w:type="dxa"/>
            <w:vAlign w:val="bottom"/>
            <w:tcBorders>
              <w:top w:val="single" w:sz="8" w:color="A6A6A6"/>
              <w:bottom w:val="single" w:sz="8" w:color="A6A6A6"/>
            </w:tcBorders>
          </w:tcPr>
          <w:p>
            <w:pPr>
              <w:spacing w:after="0"/>
              <w:rPr>
                <w:sz w:val="21"/>
                <w:szCs w:val="21"/>
                <w:color w:val="auto"/>
              </w:rPr>
            </w:pPr>
          </w:p>
        </w:tc>
        <w:tc>
          <w:tcPr>
            <w:tcW w:w="240" w:type="dxa"/>
            <w:vAlign w:val="bottom"/>
            <w:tcBorders>
              <w:top w:val="single" w:sz="8" w:color="004483"/>
              <w:bottom w:val="single" w:sz="8" w:color="004483"/>
            </w:tcBorders>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418</w:t>
            </w:r>
          </w:p>
        </w:tc>
        <w:tc>
          <w:tcPr>
            <w:tcW w:w="100" w:type="dxa"/>
            <w:vAlign w:val="bottom"/>
          </w:tcPr>
          <w:p>
            <w:pPr>
              <w:spacing w:after="0"/>
              <w:rPr>
                <w:sz w:val="21"/>
                <w:szCs w:val="21"/>
                <w:color w:val="auto"/>
              </w:rPr>
            </w:pPr>
          </w:p>
        </w:tc>
        <w:tc>
          <w:tcPr>
            <w:tcW w:w="120" w:type="dxa"/>
            <w:vAlign w:val="bottom"/>
            <w:tcBorders>
              <w:top w:val="single" w:sz="8" w:color="A6A6A6"/>
            </w:tcBorders>
          </w:tcPr>
          <w:p>
            <w:pPr>
              <w:spacing w:after="0"/>
              <w:rPr>
                <w:sz w:val="21"/>
                <w:szCs w:val="21"/>
                <w:color w:val="auto"/>
              </w:rPr>
            </w:pPr>
          </w:p>
        </w:tc>
        <w:tc>
          <w:tcPr>
            <w:tcW w:w="240" w:type="dxa"/>
            <w:vAlign w:val="bottom"/>
            <w:tcBorders>
              <w:top w:val="single" w:sz="8" w:color="004483"/>
              <w:bottom w:val="single" w:sz="8" w:color="004483"/>
            </w:tcBorders>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14,571</w:t>
            </w:r>
          </w:p>
        </w:tc>
        <w:tc>
          <w:tcPr>
            <w:tcW w:w="120" w:type="dxa"/>
            <w:vAlign w:val="bottom"/>
          </w:tcPr>
          <w:p>
            <w:pPr>
              <w:spacing w:after="0"/>
              <w:rPr>
                <w:sz w:val="21"/>
                <w:szCs w:val="21"/>
                <w:color w:val="auto"/>
              </w:rPr>
            </w:pPr>
          </w:p>
        </w:tc>
        <w:tc>
          <w:tcPr>
            <w:tcW w:w="120" w:type="dxa"/>
            <w:vAlign w:val="bottom"/>
            <w:tcBorders>
              <w:top w:val="single" w:sz="8" w:color="A6A6A6"/>
            </w:tcBorders>
          </w:tcPr>
          <w:p>
            <w:pPr>
              <w:spacing w:after="0"/>
              <w:rPr>
                <w:sz w:val="21"/>
                <w:szCs w:val="21"/>
                <w:color w:val="auto"/>
              </w:rPr>
            </w:pPr>
          </w:p>
        </w:tc>
        <w:tc>
          <w:tcPr>
            <w:tcW w:w="220" w:type="dxa"/>
            <w:vAlign w:val="bottom"/>
            <w:tcBorders>
              <w:top w:val="single" w:sz="8" w:color="004483"/>
              <w:bottom w:val="single" w:sz="8" w:color="004483"/>
            </w:tcBorders>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1,056,271</w:t>
            </w:r>
          </w:p>
        </w:tc>
        <w:tc>
          <w:tcPr>
            <w:tcW w:w="120" w:type="dxa"/>
            <w:vAlign w:val="bottom"/>
          </w:tcPr>
          <w:p>
            <w:pPr>
              <w:spacing w:after="0"/>
              <w:rPr>
                <w:sz w:val="21"/>
                <w:szCs w:val="21"/>
                <w:color w:val="auto"/>
              </w:rPr>
            </w:pPr>
          </w:p>
        </w:tc>
        <w:tc>
          <w:tcPr>
            <w:tcW w:w="120" w:type="dxa"/>
            <w:vAlign w:val="bottom"/>
            <w:tcBorders>
              <w:top w:val="single" w:sz="8" w:color="A6A6A6"/>
            </w:tcBorders>
          </w:tcPr>
          <w:p>
            <w:pPr>
              <w:spacing w:after="0"/>
              <w:rPr>
                <w:sz w:val="21"/>
                <w:szCs w:val="21"/>
                <w:color w:val="auto"/>
              </w:rPr>
            </w:pPr>
          </w:p>
        </w:tc>
        <w:tc>
          <w:tcPr>
            <w:tcW w:w="1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(3,302)</w:t>
            </w:r>
          </w:p>
        </w:tc>
        <w:tc>
          <w:tcPr>
            <w:tcW w:w="120" w:type="dxa"/>
            <w:vAlign w:val="bottom"/>
          </w:tcPr>
          <w:p>
            <w:pPr>
              <w:spacing w:after="0"/>
              <w:rPr>
                <w:sz w:val="21"/>
                <w:szCs w:val="21"/>
                <w:color w:val="auto"/>
              </w:rPr>
            </w:pPr>
          </w:p>
        </w:tc>
        <w:tc>
          <w:tcPr>
            <w:tcW w:w="120" w:type="dxa"/>
            <w:vAlign w:val="bottom"/>
            <w:tcBorders>
              <w:top w:val="single" w:sz="8" w:color="A6A6A6"/>
            </w:tcBorders>
          </w:tcPr>
          <w:p>
            <w:pPr>
              <w:spacing w:after="0"/>
              <w:rPr>
                <w:sz w:val="21"/>
                <w:szCs w:val="21"/>
                <w:color w:val="auto"/>
              </w:rPr>
            </w:pPr>
          </w:p>
        </w:tc>
        <w:tc>
          <w:tcPr>
            <w:tcW w:w="220" w:type="dxa"/>
            <w:vAlign w:val="bottom"/>
            <w:tcBorders>
              <w:top w:val="single" w:sz="8" w:color="004483"/>
              <w:bottom w:val="single" w:sz="8" w:color="004483"/>
            </w:tcBorders>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1,067,958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380" w:type="dxa"/>
            <w:vAlign w:val="bottom"/>
            <w:tcBorders>
              <w:bottom w:val="single" w:sz="8" w:color="A6A6A6"/>
            </w:tcBorders>
          </w:tcPr>
          <w:p>
            <w:pPr>
              <w:spacing w:after="0"/>
              <w:rPr>
                <w:sz w:val="20"/>
                <w:szCs w:val="20"/>
                <w:color w:val="auto"/>
              </w:rPr>
            </w:pPr>
            <w:r>
              <w:rPr>
                <w:rFonts w:ascii="Arial" w:cs="Arial" w:eastAsia="Arial" w:hAnsi="Arial"/>
                <w:sz w:val="16"/>
                <w:szCs w:val="16"/>
                <w:color w:val="17385E"/>
              </w:rPr>
              <w:t>Net Earnings</w:t>
            </w:r>
          </w:p>
        </w:tc>
        <w:tc>
          <w:tcPr>
            <w:tcW w:w="800" w:type="dxa"/>
            <w:vAlign w:val="bottom"/>
            <w:tcBorders>
              <w:bottom w:val="single" w:sz="8" w:color="A6A6A6"/>
            </w:tcBorders>
          </w:tcPr>
          <w:p>
            <w:pPr>
              <w:spacing w:after="0"/>
              <w:rPr>
                <w:sz w:val="17"/>
                <w:szCs w:val="17"/>
                <w:color w:val="auto"/>
              </w:rPr>
            </w:pPr>
          </w:p>
        </w:tc>
        <w:tc>
          <w:tcPr>
            <w:tcW w:w="240" w:type="dxa"/>
            <w:vAlign w:val="bottom"/>
            <w:tcBorders>
              <w:bottom w:val="single" w:sz="8" w:color="A6A6A6"/>
            </w:tcBorders>
          </w:tcPr>
          <w:p>
            <w:pPr>
              <w:spacing w:after="0"/>
              <w:rPr>
                <w:sz w:val="17"/>
                <w:szCs w:val="17"/>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240" w:type="dxa"/>
            <w:vAlign w:val="bottom"/>
            <w:tcBorders>
              <w:bottom w:val="single" w:sz="8" w:color="A6A6A6"/>
            </w:tcBorders>
          </w:tcPr>
          <w:p>
            <w:pPr>
              <w:spacing w:after="0"/>
              <w:rPr>
                <w:sz w:val="17"/>
                <w:szCs w:val="17"/>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220" w:type="dxa"/>
            <w:vAlign w:val="bottom"/>
            <w:tcBorders>
              <w:bottom w:val="single" w:sz="8" w:color="A6A6A6"/>
            </w:tcBorders>
          </w:tcPr>
          <w:p>
            <w:pPr>
              <w:spacing w:after="0"/>
              <w:rPr>
                <w:sz w:val="17"/>
                <w:szCs w:val="17"/>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96,034</w:t>
            </w:r>
          </w:p>
        </w:tc>
        <w:tc>
          <w:tcPr>
            <w:tcW w:w="12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220" w:type="dxa"/>
            <w:vAlign w:val="bottom"/>
            <w:tcBorders>
              <w:bottom w:val="single" w:sz="8" w:color="A6A6A6"/>
            </w:tcBorders>
          </w:tcPr>
          <w:p>
            <w:pPr>
              <w:spacing w:after="0"/>
              <w:rPr>
                <w:sz w:val="17"/>
                <w:szCs w:val="17"/>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96,034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80" w:type="dxa"/>
            <w:vAlign w:val="bottom"/>
            <w:tcBorders>
              <w:bottom w:val="single" w:sz="8" w:color="A6A6A6"/>
            </w:tcBorders>
          </w:tcPr>
          <w:p>
            <w:pPr>
              <w:spacing w:after="0"/>
              <w:rPr>
                <w:sz w:val="20"/>
                <w:szCs w:val="20"/>
                <w:color w:val="auto"/>
              </w:rPr>
            </w:pPr>
            <w:r>
              <w:rPr>
                <w:rFonts w:ascii="Arial" w:cs="Arial" w:eastAsia="Arial" w:hAnsi="Arial"/>
                <w:sz w:val="16"/>
                <w:szCs w:val="16"/>
                <w:color w:val="17385E"/>
              </w:rPr>
              <w:t>Stock Compensation Expense</w:t>
            </w:r>
          </w:p>
        </w:tc>
        <w:tc>
          <w:tcPr>
            <w:tcW w:w="800" w:type="dxa"/>
            <w:vAlign w:val="bottom"/>
            <w:tcBorders>
              <w:bottom w:val="single" w:sz="8" w:color="A6A6A6"/>
            </w:tcBorders>
          </w:tcPr>
          <w:p>
            <w:pPr>
              <w:spacing w:after="0"/>
              <w:rPr>
                <w:sz w:val="18"/>
                <w:szCs w:val="18"/>
                <w:color w:val="auto"/>
              </w:rPr>
            </w:pPr>
          </w:p>
        </w:tc>
        <w:tc>
          <w:tcPr>
            <w:tcW w:w="24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4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3,515</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3,515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Borders>
              <w:bottom w:val="single" w:sz="8" w:color="A6A6A6"/>
            </w:tcBorders>
          </w:tcPr>
          <w:p>
            <w:pPr>
              <w:spacing w:after="0"/>
              <w:rPr>
                <w:sz w:val="20"/>
                <w:szCs w:val="20"/>
                <w:color w:val="auto"/>
              </w:rPr>
            </w:pPr>
            <w:r>
              <w:rPr>
                <w:rFonts w:ascii="Arial" w:cs="Arial" w:eastAsia="Arial" w:hAnsi="Arial"/>
                <w:sz w:val="16"/>
                <w:szCs w:val="16"/>
                <w:color w:val="17385E"/>
              </w:rPr>
              <w:t>Stock Option Exercise</w:t>
            </w:r>
          </w:p>
        </w:tc>
        <w:tc>
          <w:tcPr>
            <w:tcW w:w="800" w:type="dxa"/>
            <w:vAlign w:val="bottom"/>
            <w:tcBorders>
              <w:bottom w:val="single" w:sz="8" w:color="A6A6A6"/>
            </w:tcBorders>
          </w:tcPr>
          <w:p>
            <w:pPr>
              <w:spacing w:after="0"/>
              <w:rPr>
                <w:sz w:val="18"/>
                <w:szCs w:val="18"/>
                <w:color w:val="auto"/>
              </w:rPr>
            </w:pPr>
          </w:p>
        </w:tc>
        <w:tc>
          <w:tcPr>
            <w:tcW w:w="24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4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498</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Pr>
          <w:p>
            <w:pPr>
              <w:spacing w:after="0"/>
              <w:rPr>
                <w:sz w:val="20"/>
                <w:szCs w:val="20"/>
                <w:color w:val="auto"/>
              </w:rPr>
            </w:pPr>
            <w:r>
              <w:rPr>
                <w:rFonts w:ascii="Arial" w:cs="Arial" w:eastAsia="Arial" w:hAnsi="Arial"/>
                <w:sz w:val="16"/>
                <w:szCs w:val="16"/>
                <w:color w:val="17385E"/>
              </w:rPr>
              <w:t>Unfunded Pension Liability, net of tax</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Borders>
              <w:top w:val="single" w:sz="8" w:color="A6A6A6"/>
            </w:tcBorders>
          </w:tcPr>
          <w:p>
            <w:pPr>
              <w:spacing w:after="0"/>
              <w:rPr>
                <w:sz w:val="20"/>
                <w:szCs w:val="20"/>
                <w:color w:val="auto"/>
              </w:rPr>
            </w:pPr>
            <w:r>
              <w:rPr>
                <w:rFonts w:ascii="Arial" w:cs="Arial" w:eastAsia="Arial" w:hAnsi="Arial"/>
                <w:sz w:val="16"/>
                <w:szCs w:val="16"/>
                <w:b w:val="1"/>
                <w:bCs w:val="1"/>
                <w:color w:val="auto"/>
              </w:rPr>
              <w:t>Balance at September 30, 2020</w:t>
            </w:r>
          </w:p>
        </w:tc>
        <w:tc>
          <w:tcPr>
            <w:tcW w:w="800" w:type="dxa"/>
            <w:vAlign w:val="bottom"/>
            <w:tcBorders>
              <w:top w:val="single" w:sz="8" w:color="A6A6A6"/>
            </w:tcBorders>
          </w:tcPr>
          <w:p>
            <w:pPr>
              <w:spacing w:after="0"/>
              <w:rPr>
                <w:sz w:val="18"/>
                <w:szCs w:val="18"/>
                <w:color w:val="auto"/>
              </w:rPr>
            </w:pPr>
          </w:p>
        </w:tc>
        <w:tc>
          <w:tcPr>
            <w:tcW w:w="240" w:type="dxa"/>
            <w:vAlign w:val="bottom"/>
            <w:tcBorders>
              <w:top w:val="single" w:sz="8" w:color="004483"/>
              <w:bottom w:val="single" w:sz="8" w:color="004483"/>
            </w:tcBorders>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418</w:t>
            </w:r>
          </w:p>
        </w:tc>
        <w:tc>
          <w:tcPr>
            <w:tcW w:w="100" w:type="dxa"/>
            <w:vAlign w:val="bottom"/>
          </w:tcPr>
          <w:p>
            <w:pPr>
              <w:spacing w:after="0"/>
              <w:rPr>
                <w:sz w:val="18"/>
                <w:szCs w:val="18"/>
                <w:color w:val="auto"/>
              </w:rPr>
            </w:pPr>
          </w:p>
        </w:tc>
        <w:tc>
          <w:tcPr>
            <w:tcW w:w="120" w:type="dxa"/>
            <w:vAlign w:val="bottom"/>
            <w:tcBorders>
              <w:top w:val="single" w:sz="8" w:color="A6A6A6"/>
            </w:tcBorders>
          </w:tcPr>
          <w:p>
            <w:pPr>
              <w:spacing w:after="0"/>
              <w:rPr>
                <w:sz w:val="18"/>
                <w:szCs w:val="18"/>
                <w:color w:val="auto"/>
              </w:rPr>
            </w:pPr>
          </w:p>
        </w:tc>
        <w:tc>
          <w:tcPr>
            <w:tcW w:w="240" w:type="dxa"/>
            <w:vAlign w:val="bottom"/>
            <w:tcBorders>
              <w:top w:val="single" w:sz="8" w:color="004483"/>
              <w:bottom w:val="single" w:sz="8" w:color="004483"/>
            </w:tcBorders>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18,584</w:t>
            </w:r>
          </w:p>
        </w:tc>
        <w:tc>
          <w:tcPr>
            <w:tcW w:w="120" w:type="dxa"/>
            <w:vAlign w:val="bottom"/>
          </w:tcPr>
          <w:p>
            <w:pPr>
              <w:spacing w:after="0"/>
              <w:rPr>
                <w:sz w:val="18"/>
                <w:szCs w:val="18"/>
                <w:color w:val="auto"/>
              </w:rPr>
            </w:pPr>
          </w:p>
        </w:tc>
        <w:tc>
          <w:tcPr>
            <w:tcW w:w="120" w:type="dxa"/>
            <w:vAlign w:val="bottom"/>
            <w:tcBorders>
              <w:top w:val="single" w:sz="8" w:color="A6A6A6"/>
            </w:tcBorders>
          </w:tcPr>
          <w:p>
            <w:pPr>
              <w:spacing w:after="0"/>
              <w:rPr>
                <w:sz w:val="18"/>
                <w:szCs w:val="18"/>
                <w:color w:val="auto"/>
              </w:rPr>
            </w:pPr>
          </w:p>
        </w:tc>
        <w:tc>
          <w:tcPr>
            <w:tcW w:w="220" w:type="dxa"/>
            <w:vAlign w:val="bottom"/>
            <w:tcBorders>
              <w:top w:val="single" w:sz="8" w:color="004483"/>
              <w:bottom w:val="single" w:sz="8" w:color="004483"/>
            </w:tcBorders>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1,152,305</w:t>
            </w:r>
          </w:p>
        </w:tc>
        <w:tc>
          <w:tcPr>
            <w:tcW w:w="120" w:type="dxa"/>
            <w:vAlign w:val="bottom"/>
          </w:tcPr>
          <w:p>
            <w:pPr>
              <w:spacing w:after="0"/>
              <w:rPr>
                <w:sz w:val="18"/>
                <w:szCs w:val="18"/>
                <w:color w:val="auto"/>
              </w:rPr>
            </w:pPr>
          </w:p>
        </w:tc>
        <w:tc>
          <w:tcPr>
            <w:tcW w:w="120" w:type="dxa"/>
            <w:vAlign w:val="bottom"/>
            <w:tcBorders>
              <w:top w:val="single" w:sz="8" w:color="A6A6A6"/>
            </w:tcBorders>
          </w:tcPr>
          <w:p>
            <w:pPr>
              <w:spacing w:after="0"/>
              <w:rPr>
                <w:sz w:val="18"/>
                <w:szCs w:val="18"/>
                <w:color w:val="auto"/>
              </w:rPr>
            </w:pPr>
          </w:p>
        </w:tc>
        <w:tc>
          <w:tcPr>
            <w:tcW w:w="1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(3,276)</w:t>
            </w:r>
          </w:p>
        </w:tc>
        <w:tc>
          <w:tcPr>
            <w:tcW w:w="120" w:type="dxa"/>
            <w:vAlign w:val="bottom"/>
          </w:tcPr>
          <w:p>
            <w:pPr>
              <w:spacing w:after="0"/>
              <w:rPr>
                <w:sz w:val="18"/>
                <w:szCs w:val="18"/>
                <w:color w:val="auto"/>
              </w:rPr>
            </w:pPr>
          </w:p>
        </w:tc>
        <w:tc>
          <w:tcPr>
            <w:tcW w:w="120" w:type="dxa"/>
            <w:vAlign w:val="bottom"/>
            <w:tcBorders>
              <w:top w:val="single" w:sz="8" w:color="A6A6A6"/>
            </w:tcBorders>
          </w:tcPr>
          <w:p>
            <w:pPr>
              <w:spacing w:after="0"/>
              <w:rPr>
                <w:sz w:val="18"/>
                <w:szCs w:val="18"/>
                <w:color w:val="auto"/>
              </w:rPr>
            </w:pPr>
          </w:p>
        </w:tc>
        <w:tc>
          <w:tcPr>
            <w:tcW w:w="220" w:type="dxa"/>
            <w:vAlign w:val="bottom"/>
            <w:tcBorders>
              <w:top w:val="single" w:sz="8" w:color="004483"/>
              <w:bottom w:val="single" w:sz="8" w:color="004483"/>
            </w:tcBorders>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1,168,031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004483"/>
            </w:tcBorders>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7" w:name="page8"/>
    <w:bookmarkEnd w:id="7"/>
    <w:p>
      <w:pPr>
        <w:spacing w:after="0"/>
        <w:rPr>
          <w:sz w:val="20"/>
          <w:szCs w:val="20"/>
          <w:color w:val="auto"/>
        </w:rPr>
      </w:pPr>
      <w:r>
        <w:rPr>
          <w:rFonts w:ascii="Arial" w:cs="Arial" w:eastAsia="Arial" w:hAnsi="Arial"/>
          <w:sz w:val="23"/>
          <w:szCs w:val="23"/>
          <w:b w:val="1"/>
          <w:bCs w:val="1"/>
          <w:color w:val="auto"/>
        </w:rPr>
        <w:t>Eagle Materials Inc. and Subsidiaries</w:t>
      </w:r>
    </w:p>
    <w:p>
      <w:pPr>
        <w:spacing w:after="0"/>
        <w:rPr>
          <w:sz w:val="20"/>
          <w:szCs w:val="20"/>
          <w:color w:val="auto"/>
        </w:rPr>
      </w:pPr>
      <w:r>
        <w:rPr>
          <w:rFonts w:ascii="Arial" w:cs="Arial" w:eastAsia="Arial" w:hAnsi="Arial"/>
          <w:sz w:val="23"/>
          <w:szCs w:val="23"/>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BASIS OF PRESENTATION</w:t>
      </w:r>
    </w:p>
    <w:p>
      <w:pPr>
        <w:spacing w:after="0" w:line="13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accompanying unaudited consolidated financial statements as of and for the three- and six-month periods ended September 30, 2020 include the accounts of Eagle Materials Inc. and its majority-owned subsidiaries (collectively, the Company, us, or we) and have been prepared by the Company, without audit, pursuant to the rules and regulations of the Securities and Exchange Commission. These unaudited consolidated financial statements should be read in conjunction with the audited consolidated financial statements and the notes thereto included in our Annual Report on Form 10-K filed with the Securities and Exchange Commission on May 22, 2020.</w:t>
      </w:r>
    </w:p>
    <w:p>
      <w:pPr>
        <w:spacing w:after="0" w:line="10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generally accepted accounting principles have been condensed or omitted pursuant to such rules and regulations, although we believe that the disclosures are adequate to make the information presented not misleading. In our opinion, all adjustments (consisting solely of normal recurring adjustments) necessary to present fairly the information in the following unaudited consolidated financial statements of the Company have been included. The results of operations for interim periods are not necessarily indicative of the results for the full year.</w:t>
      </w:r>
    </w:p>
    <w:p>
      <w:pPr>
        <w:spacing w:after="0" w:line="100"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and disclosures of contingent assets and liabilities at the date of the financial statements and the reported amounts of revenue and expenses during the reporting period. Actual results could differ from those estimates.</w:t>
      </w:r>
    </w:p>
    <w:p>
      <w:pPr>
        <w:spacing w:after="0" w:line="98"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We have been deemed an essential business with respect to the COVID-19 pandemic. While we have not yet experienced a material impact on our operations or financial position from this pandemic, there may be future effects on our business, both directly and indirectly, including with respect to customers, manufacturing operations, employees, suppliers, and the building materials and construction markets in general.</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Recent Accounting Pronouncements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w:t>
      </w:r>
    </w:p>
    <w:p>
      <w:pPr>
        <w:spacing w:after="0" w:line="13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 June 2016, the FASB issued ASU 2016-13, which is an update on the measurement of credit losses on financial instruments, which requires entities to use a forward-looking approach based on expected losses rather than the current model of incurred losses to estimate credit losses on certain types of financial instruments, including Accounts and Notes Receivable. The application of the forward-looking model may result in earlier recognition of allowances for losses than the current method. The adoption of this standard on April 1, 2020 did not have a material effect on our consolidated financial statements and disclosures.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PENDING ADOPTION</w:t>
      </w:r>
    </w:p>
    <w:p>
      <w:pPr>
        <w:spacing w:after="0" w:line="15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December 2019, the FASB issued ASU 2019-12 which simplifies the accounting for income taxes, eliminates certain exceptions within existing income tax guidance, and clarifies certain aspects of the current guidance to promote consistency among reporting entities. The updated standard is effective for public companies for fiscal years, and interim periods within those fiscal years, beginning after December 15, 2020, with early adoption permitted. We do not expect the adoption of this standard will have a material impact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24" w:right="359" w:bottom="1440" w:gutter="0" w:footer="0" w:header="0"/>
        </w:sectPr>
      </w:pPr>
    </w:p>
    <w:bookmarkStart w:id="8" w:name="page9"/>
    <w:bookmarkEnd w:id="8"/>
    <w:p>
      <w:pPr>
        <w:ind w:left="340" w:hanging="332"/>
        <w:spacing w:after="0"/>
        <w:tabs>
          <w:tab w:leader="none" w:pos="34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SUPPLEMENTAL CASH FLOW INFORMATION</w:t>
      </w:r>
    </w:p>
    <w:p>
      <w:pPr>
        <w:spacing w:after="0" w:line="134"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18"/>
          <w:szCs w:val="18"/>
          <w:color w:val="auto"/>
        </w:rPr>
        <w:t>Supplemental cash flow information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0" w:type="dxa"/>
            <w:vAlign w:val="bottom"/>
            <w:shd w:val="clear" w:color="auto" w:fill="004483"/>
          </w:tcPr>
          <w:p>
            <w:pPr>
              <w:spacing w:after="0"/>
              <w:rPr>
                <w:sz w:val="19"/>
                <w:szCs w:val="19"/>
                <w:color w:val="auto"/>
              </w:rPr>
            </w:pPr>
          </w:p>
        </w:tc>
        <w:tc>
          <w:tcPr>
            <w:tcW w:w="2700" w:type="dxa"/>
            <w:vAlign w:val="bottom"/>
            <w:gridSpan w:val="3"/>
            <w:shd w:val="clear" w:color="auto" w:fill="004483"/>
          </w:tcPr>
          <w:p>
            <w:pPr>
              <w:jc w:val="right"/>
              <w:ind w:right="59"/>
              <w:spacing w:after="0"/>
              <w:rPr>
                <w:sz w:val="20"/>
                <w:szCs w:val="20"/>
                <w:color w:val="auto"/>
              </w:rPr>
            </w:pPr>
            <w:r>
              <w:rPr>
                <w:rFonts w:ascii="Arial" w:cs="Arial" w:eastAsia="Arial" w:hAnsi="Arial"/>
                <w:sz w:val="13"/>
                <w:szCs w:val="13"/>
                <w:b w:val="1"/>
                <w:bCs w:val="1"/>
                <w:color w:val="FFFFFF"/>
              </w:rPr>
              <w:t>For the Six Months Ended September 30,</w:t>
            </w:r>
          </w:p>
        </w:tc>
        <w:tc>
          <w:tcPr>
            <w:tcW w:w="600" w:type="dxa"/>
            <w:vAlign w:val="bottom"/>
            <w:shd w:val="clear" w:color="auto" w:fill="004483"/>
          </w:tcPr>
          <w:p>
            <w:pPr>
              <w:spacing w:after="0"/>
              <w:rPr>
                <w:sz w:val="19"/>
                <w:szCs w:val="19"/>
                <w:color w:val="auto"/>
              </w:rPr>
            </w:pPr>
          </w:p>
        </w:tc>
        <w:tc>
          <w:tcPr>
            <w:tcW w:w="100" w:type="dxa"/>
            <w:vAlign w:val="bottom"/>
            <w:shd w:val="clear" w:color="auto" w:fill="004483"/>
          </w:tcPr>
          <w:p>
            <w:pPr>
              <w:spacing w:after="0"/>
              <w:rPr>
                <w:sz w:val="19"/>
                <w:szCs w:val="19"/>
                <w:color w:val="auto"/>
              </w:rPr>
            </w:pPr>
          </w:p>
        </w:tc>
      </w:tr>
      <w:tr>
        <w:trPr>
          <w:trHeight w:val="148"/>
        </w:trPr>
        <w:tc>
          <w:tcPr>
            <w:tcW w:w="59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2"/>
                <w:szCs w:val="12"/>
                <w:color w:val="auto"/>
              </w:rPr>
            </w:pPr>
          </w:p>
        </w:tc>
      </w:tr>
      <w:tr>
        <w:trPr>
          <w:trHeight w:val="149"/>
        </w:trPr>
        <w:tc>
          <w:tcPr>
            <w:tcW w:w="5960" w:type="dxa"/>
            <w:vAlign w:val="bottom"/>
            <w:tcBorders>
              <w:bottom w:val="single" w:sz="8" w:color="004483"/>
            </w:tcBorders>
          </w:tcPr>
          <w:p>
            <w:pPr>
              <w:spacing w:after="0"/>
              <w:rPr>
                <w:sz w:val="12"/>
                <w:szCs w:val="12"/>
                <w:color w:val="auto"/>
              </w:rPr>
            </w:pPr>
          </w:p>
        </w:tc>
        <w:tc>
          <w:tcPr>
            <w:tcW w:w="1480" w:type="dxa"/>
            <w:vAlign w:val="bottom"/>
            <w:tcBorders>
              <w:bottom w:val="single" w:sz="8" w:color="004483"/>
            </w:tcBorders>
          </w:tcPr>
          <w:p>
            <w:pPr>
              <w:spacing w:after="0"/>
              <w:rPr>
                <w:sz w:val="12"/>
                <w:szCs w:val="12"/>
                <w:color w:val="auto"/>
              </w:rPr>
            </w:pPr>
          </w:p>
        </w:tc>
        <w:tc>
          <w:tcPr>
            <w:tcW w:w="400" w:type="dxa"/>
            <w:vAlign w:val="bottom"/>
            <w:tcBorders>
              <w:bottom w:val="single" w:sz="8" w:color="004483"/>
            </w:tcBorders>
          </w:tcPr>
          <w:p>
            <w:pPr>
              <w:spacing w:after="0"/>
              <w:rPr>
                <w:sz w:val="12"/>
                <w:szCs w:val="12"/>
                <w:color w:val="auto"/>
              </w:rPr>
            </w:pPr>
          </w:p>
        </w:tc>
        <w:tc>
          <w:tcPr>
            <w:tcW w:w="2700" w:type="dxa"/>
            <w:vAlign w:val="bottom"/>
            <w:tcBorders>
              <w:bottom w:val="single" w:sz="8" w:color="004483"/>
            </w:tcBorders>
            <w:gridSpan w:val="3"/>
          </w:tcPr>
          <w:p>
            <w:pPr>
              <w:jc w:val="right"/>
              <w:ind w:right="639"/>
              <w:spacing w:after="0"/>
              <w:rPr>
                <w:sz w:val="20"/>
                <w:szCs w:val="20"/>
                <w:color w:val="auto"/>
              </w:rPr>
            </w:pPr>
            <w:r>
              <w:rPr>
                <w:rFonts w:ascii="Arial" w:cs="Arial" w:eastAsia="Arial" w:hAnsi="Arial"/>
                <w:sz w:val="13"/>
                <w:szCs w:val="13"/>
                <w:color w:val="auto"/>
              </w:rPr>
              <w:t>(dollars in thousands)</w:t>
            </w:r>
          </w:p>
        </w:tc>
        <w:tc>
          <w:tcPr>
            <w:tcW w:w="600" w:type="dxa"/>
            <w:vAlign w:val="bottom"/>
            <w:tcBorders>
              <w:bottom w:val="single" w:sz="8" w:color="004483"/>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960" w:type="dxa"/>
            <w:vAlign w:val="bottom"/>
            <w:tcBorders>
              <w:bottom w:val="single" w:sz="8" w:color="A6A6A6"/>
            </w:tcBorders>
          </w:tcPr>
          <w:p>
            <w:pPr>
              <w:spacing w:after="0"/>
              <w:rPr>
                <w:sz w:val="20"/>
                <w:szCs w:val="20"/>
                <w:color w:val="auto"/>
              </w:rPr>
            </w:pPr>
            <w:r>
              <w:rPr>
                <w:rFonts w:ascii="Arial" w:cs="Arial" w:eastAsia="Arial" w:hAnsi="Arial"/>
                <w:sz w:val="16"/>
                <w:szCs w:val="16"/>
                <w:b w:val="1"/>
                <w:bCs w:val="1"/>
                <w:color w:val="auto"/>
              </w:rPr>
              <w:t>Cash Payments:</w:t>
            </w:r>
          </w:p>
        </w:tc>
        <w:tc>
          <w:tcPr>
            <w:tcW w:w="148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spacing w:after="0"/>
              <w:rPr>
                <w:sz w:val="18"/>
                <w:szCs w:val="18"/>
                <w:color w:val="auto"/>
              </w:rPr>
            </w:pPr>
          </w:p>
        </w:tc>
        <w:tc>
          <w:tcPr>
            <w:tcW w:w="130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bottom w:val="single" w:sz="8" w:color="A6A6A6"/>
            </w:tcBorders>
          </w:tcPr>
          <w:p>
            <w:pPr>
              <w:spacing w:after="0"/>
              <w:rPr>
                <w:sz w:val="18"/>
                <w:szCs w:val="18"/>
                <w:color w:val="auto"/>
              </w:rPr>
            </w:pPr>
          </w:p>
        </w:tc>
        <w:tc>
          <w:tcPr>
            <w:tcW w:w="60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5960" w:type="dxa"/>
            <w:vAlign w:val="bottom"/>
            <w:tcBorders>
              <w:bottom w:val="single" w:sz="8" w:color="A6A6A6"/>
            </w:tcBorders>
          </w:tcPr>
          <w:p>
            <w:pPr>
              <w:ind w:left="140"/>
              <w:spacing w:after="0"/>
              <w:rPr>
                <w:sz w:val="20"/>
                <w:szCs w:val="20"/>
                <w:color w:val="auto"/>
              </w:rPr>
            </w:pPr>
            <w:r>
              <w:rPr>
                <w:rFonts w:ascii="Arial" w:cs="Arial" w:eastAsia="Arial" w:hAnsi="Arial"/>
                <w:sz w:val="16"/>
                <w:szCs w:val="16"/>
                <w:color w:val="auto"/>
              </w:rPr>
              <w:t>Interest</w:t>
            </w:r>
          </w:p>
        </w:tc>
        <w:tc>
          <w:tcPr>
            <w:tcW w:w="1880" w:type="dxa"/>
            <w:vAlign w:val="bottom"/>
            <w:tcBorders>
              <w:bottom w:val="single" w:sz="8" w:color="A6A6A6"/>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24,897</w:t>
            </w:r>
          </w:p>
        </w:tc>
        <w:tc>
          <w:tcPr>
            <w:tcW w:w="120" w:type="dxa"/>
            <w:vAlign w:val="bottom"/>
          </w:tcPr>
          <w:p>
            <w:pPr>
              <w:spacing w:after="0"/>
              <w:rPr>
                <w:sz w:val="19"/>
                <w:szCs w:val="19"/>
                <w:color w:val="auto"/>
              </w:rPr>
            </w:pPr>
          </w:p>
        </w:tc>
        <w:tc>
          <w:tcPr>
            <w:tcW w:w="1280" w:type="dxa"/>
            <w:vAlign w:val="bottom"/>
            <w:tcBorders>
              <w:bottom w:val="single" w:sz="8" w:color="A6A6A6"/>
            </w:tcBorders>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18,196</w:t>
            </w:r>
          </w:p>
        </w:tc>
        <w:tc>
          <w:tcPr>
            <w:tcW w:w="100" w:type="dxa"/>
            <w:vAlign w:val="bottom"/>
          </w:tcPr>
          <w:p>
            <w:pPr>
              <w:spacing w:after="0"/>
              <w:rPr>
                <w:sz w:val="19"/>
                <w:szCs w:val="19"/>
                <w:color w:val="auto"/>
              </w:rPr>
            </w:pPr>
          </w:p>
        </w:tc>
      </w:tr>
      <w:tr>
        <w:trPr>
          <w:trHeight w:val="223"/>
        </w:trPr>
        <w:tc>
          <w:tcPr>
            <w:tcW w:w="5960" w:type="dxa"/>
            <w:vAlign w:val="bottom"/>
            <w:tcBorders>
              <w:bottom w:val="single" w:sz="8" w:color="A6A6A6"/>
            </w:tcBorders>
          </w:tcPr>
          <w:p>
            <w:pPr>
              <w:ind w:left="140"/>
              <w:spacing w:after="0"/>
              <w:rPr>
                <w:sz w:val="20"/>
                <w:szCs w:val="20"/>
                <w:color w:val="auto"/>
              </w:rPr>
            </w:pPr>
            <w:r>
              <w:rPr>
                <w:rFonts w:ascii="Arial" w:cs="Arial" w:eastAsia="Arial" w:hAnsi="Arial"/>
                <w:sz w:val="16"/>
                <w:szCs w:val="16"/>
                <w:color w:val="auto"/>
              </w:rPr>
              <w:t>Income Taxes</w:t>
            </w:r>
          </w:p>
        </w:tc>
        <w:tc>
          <w:tcPr>
            <w:tcW w:w="1480" w:type="dxa"/>
            <w:vAlign w:val="bottom"/>
            <w:tcBorders>
              <w:bottom w:val="single" w:sz="8" w:color="A6A6A6"/>
            </w:tcBorders>
          </w:tcPr>
          <w:p>
            <w:pPr>
              <w:spacing w:after="0"/>
              <w:rPr>
                <w:sz w:val="19"/>
                <w:szCs w:val="19"/>
                <w:color w:val="auto"/>
              </w:rPr>
            </w:pPr>
          </w:p>
        </w:tc>
        <w:tc>
          <w:tcPr>
            <w:tcW w:w="400" w:type="dxa"/>
            <w:vAlign w:val="bottom"/>
            <w:tcBorders>
              <w:bottom w:val="single" w:sz="8" w:color="A6A6A6"/>
            </w:tcBorders>
          </w:tcPr>
          <w:p>
            <w:pPr>
              <w:spacing w:after="0"/>
              <w:rPr>
                <w:sz w:val="19"/>
                <w:szCs w:val="19"/>
                <w:color w:val="auto"/>
              </w:rPr>
            </w:pPr>
          </w:p>
        </w:tc>
        <w:tc>
          <w:tcPr>
            <w:tcW w:w="13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23,200</w:t>
            </w:r>
          </w:p>
        </w:tc>
        <w:tc>
          <w:tcPr>
            <w:tcW w:w="120" w:type="dxa"/>
            <w:vAlign w:val="bottom"/>
          </w:tcPr>
          <w:p>
            <w:pPr>
              <w:spacing w:after="0"/>
              <w:rPr>
                <w:sz w:val="19"/>
                <w:szCs w:val="19"/>
                <w:color w:val="auto"/>
              </w:rPr>
            </w:pPr>
          </w:p>
        </w:tc>
        <w:tc>
          <w:tcPr>
            <w:tcW w:w="1280" w:type="dxa"/>
            <w:vAlign w:val="bottom"/>
            <w:tcBorders>
              <w:bottom w:val="single" w:sz="8" w:color="A6A6A6"/>
            </w:tcBorders>
          </w:tcPr>
          <w:p>
            <w:pPr>
              <w:spacing w:after="0"/>
              <w:rPr>
                <w:sz w:val="19"/>
                <w:szCs w:val="19"/>
                <w:color w:val="auto"/>
              </w:rPr>
            </w:pPr>
          </w:p>
        </w:tc>
        <w:tc>
          <w:tcPr>
            <w:tcW w:w="6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19,643</w:t>
            </w:r>
          </w:p>
        </w:tc>
        <w:tc>
          <w:tcPr>
            <w:tcW w:w="100" w:type="dxa"/>
            <w:vAlign w:val="bottom"/>
          </w:tcPr>
          <w:p>
            <w:pPr>
              <w:spacing w:after="0"/>
              <w:rPr>
                <w:sz w:val="19"/>
                <w:szCs w:val="19"/>
                <w:color w:val="auto"/>
              </w:rPr>
            </w:pPr>
          </w:p>
        </w:tc>
      </w:tr>
      <w:tr>
        <w:trPr>
          <w:trHeight w:val="223"/>
        </w:trPr>
        <w:tc>
          <w:tcPr>
            <w:tcW w:w="5960" w:type="dxa"/>
            <w:vAlign w:val="bottom"/>
            <w:tcBorders>
              <w:bottom w:val="single" w:sz="8" w:color="A6A6A6"/>
            </w:tcBorders>
          </w:tcPr>
          <w:p>
            <w:pPr>
              <w:ind w:left="140"/>
              <w:spacing w:after="0"/>
              <w:rPr>
                <w:sz w:val="20"/>
                <w:szCs w:val="20"/>
                <w:color w:val="auto"/>
              </w:rPr>
            </w:pPr>
            <w:r>
              <w:rPr>
                <w:rFonts w:ascii="Arial" w:cs="Arial" w:eastAsia="Arial" w:hAnsi="Arial"/>
                <w:sz w:val="16"/>
                <w:szCs w:val="16"/>
                <w:color w:val="auto"/>
              </w:rPr>
              <w:t>Operating Cash Flows used for Operating Leases</w:t>
            </w:r>
          </w:p>
        </w:tc>
        <w:tc>
          <w:tcPr>
            <w:tcW w:w="1480" w:type="dxa"/>
            <w:vAlign w:val="bottom"/>
            <w:tcBorders>
              <w:bottom w:val="single" w:sz="8" w:color="A6A6A6"/>
            </w:tcBorders>
          </w:tcPr>
          <w:p>
            <w:pPr>
              <w:spacing w:after="0"/>
              <w:rPr>
                <w:sz w:val="19"/>
                <w:szCs w:val="19"/>
                <w:color w:val="auto"/>
              </w:rPr>
            </w:pPr>
          </w:p>
        </w:tc>
        <w:tc>
          <w:tcPr>
            <w:tcW w:w="400" w:type="dxa"/>
            <w:vAlign w:val="bottom"/>
            <w:tcBorders>
              <w:bottom w:val="single" w:sz="8" w:color="A6A6A6"/>
            </w:tcBorders>
          </w:tcPr>
          <w:p>
            <w:pPr>
              <w:spacing w:after="0"/>
              <w:rPr>
                <w:sz w:val="19"/>
                <w:szCs w:val="19"/>
                <w:color w:val="auto"/>
              </w:rPr>
            </w:pPr>
          </w:p>
        </w:tc>
        <w:tc>
          <w:tcPr>
            <w:tcW w:w="13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6,127</w:t>
            </w:r>
          </w:p>
        </w:tc>
        <w:tc>
          <w:tcPr>
            <w:tcW w:w="120" w:type="dxa"/>
            <w:vAlign w:val="bottom"/>
          </w:tcPr>
          <w:p>
            <w:pPr>
              <w:spacing w:after="0"/>
              <w:rPr>
                <w:sz w:val="19"/>
                <w:szCs w:val="19"/>
                <w:color w:val="auto"/>
              </w:rPr>
            </w:pPr>
          </w:p>
        </w:tc>
        <w:tc>
          <w:tcPr>
            <w:tcW w:w="1280" w:type="dxa"/>
            <w:vAlign w:val="bottom"/>
            <w:tcBorders>
              <w:bottom w:val="single" w:sz="8" w:color="A6A6A6"/>
            </w:tcBorders>
          </w:tcPr>
          <w:p>
            <w:pPr>
              <w:spacing w:after="0"/>
              <w:rPr>
                <w:sz w:val="19"/>
                <w:szCs w:val="19"/>
                <w:color w:val="auto"/>
              </w:rPr>
            </w:pPr>
          </w:p>
        </w:tc>
        <w:tc>
          <w:tcPr>
            <w:tcW w:w="6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7,861</w:t>
            </w:r>
          </w:p>
        </w:tc>
        <w:tc>
          <w:tcPr>
            <w:tcW w:w="100" w:type="dxa"/>
            <w:vAlign w:val="bottom"/>
          </w:tcPr>
          <w:p>
            <w:pPr>
              <w:spacing w:after="0"/>
              <w:rPr>
                <w:sz w:val="19"/>
                <w:szCs w:val="19"/>
                <w:color w:val="auto"/>
              </w:rPr>
            </w:pPr>
          </w:p>
        </w:tc>
      </w:tr>
      <w:tr>
        <w:trPr>
          <w:trHeight w:val="226"/>
        </w:trPr>
        <w:tc>
          <w:tcPr>
            <w:tcW w:w="5960" w:type="dxa"/>
            <w:vAlign w:val="bottom"/>
            <w:tcBorders>
              <w:bottom w:val="single" w:sz="8" w:color="A6A6A6"/>
            </w:tcBorders>
          </w:tcPr>
          <w:p>
            <w:pPr>
              <w:spacing w:after="0"/>
              <w:rPr>
                <w:sz w:val="19"/>
                <w:szCs w:val="19"/>
                <w:color w:val="auto"/>
              </w:rPr>
            </w:pPr>
          </w:p>
        </w:tc>
        <w:tc>
          <w:tcPr>
            <w:tcW w:w="1480" w:type="dxa"/>
            <w:vAlign w:val="bottom"/>
            <w:tcBorders>
              <w:bottom w:val="single" w:sz="8" w:color="A6A6A6"/>
            </w:tcBorders>
          </w:tcPr>
          <w:p>
            <w:pPr>
              <w:spacing w:after="0"/>
              <w:rPr>
                <w:sz w:val="19"/>
                <w:szCs w:val="19"/>
                <w:color w:val="auto"/>
              </w:rPr>
            </w:pPr>
          </w:p>
        </w:tc>
        <w:tc>
          <w:tcPr>
            <w:tcW w:w="400" w:type="dxa"/>
            <w:vAlign w:val="bottom"/>
            <w:tcBorders>
              <w:bottom w:val="single" w:sz="8" w:color="A6A6A6"/>
            </w:tcBorders>
          </w:tcPr>
          <w:p>
            <w:pPr>
              <w:spacing w:after="0"/>
              <w:rPr>
                <w:sz w:val="19"/>
                <w:szCs w:val="19"/>
                <w:color w:val="auto"/>
              </w:rPr>
            </w:pPr>
          </w:p>
        </w:tc>
        <w:tc>
          <w:tcPr>
            <w:tcW w:w="1300" w:type="dxa"/>
            <w:vAlign w:val="bottom"/>
            <w:tcBorders>
              <w:bottom w:val="single" w:sz="8" w:color="A6A6A6"/>
            </w:tcBorders>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bottom w:val="single" w:sz="8" w:color="A6A6A6"/>
            </w:tcBorders>
          </w:tcPr>
          <w:p>
            <w:pPr>
              <w:spacing w:after="0"/>
              <w:rPr>
                <w:sz w:val="19"/>
                <w:szCs w:val="19"/>
                <w:color w:val="auto"/>
              </w:rPr>
            </w:pPr>
          </w:p>
        </w:tc>
        <w:tc>
          <w:tcPr>
            <w:tcW w:w="600" w:type="dxa"/>
            <w:vAlign w:val="bottom"/>
            <w:tcBorders>
              <w:bottom w:val="single" w:sz="8" w:color="A6A6A6"/>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5960" w:type="dxa"/>
            <w:vAlign w:val="bottom"/>
            <w:tcBorders>
              <w:bottom w:val="single" w:sz="8" w:color="A6A6A6"/>
            </w:tcBorders>
          </w:tcPr>
          <w:p>
            <w:pPr>
              <w:spacing w:after="0"/>
              <w:rPr>
                <w:sz w:val="20"/>
                <w:szCs w:val="20"/>
                <w:color w:val="auto"/>
              </w:rPr>
            </w:pPr>
            <w:r>
              <w:rPr>
                <w:rFonts w:ascii="Arial" w:cs="Arial" w:eastAsia="Arial" w:hAnsi="Arial"/>
                <w:sz w:val="16"/>
                <w:szCs w:val="16"/>
                <w:b w:val="1"/>
                <w:bCs w:val="1"/>
                <w:color w:val="auto"/>
              </w:rPr>
              <w:t>Non-Cash Financing Activities:</w:t>
            </w:r>
          </w:p>
        </w:tc>
        <w:tc>
          <w:tcPr>
            <w:tcW w:w="148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spacing w:after="0"/>
              <w:rPr>
                <w:sz w:val="18"/>
                <w:szCs w:val="18"/>
                <w:color w:val="auto"/>
              </w:rPr>
            </w:pPr>
          </w:p>
        </w:tc>
        <w:tc>
          <w:tcPr>
            <w:tcW w:w="130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bottom w:val="single" w:sz="8" w:color="A6A6A6"/>
            </w:tcBorders>
          </w:tcPr>
          <w:p>
            <w:pPr>
              <w:spacing w:after="0"/>
              <w:rPr>
                <w:sz w:val="18"/>
                <w:szCs w:val="18"/>
                <w:color w:val="auto"/>
              </w:rPr>
            </w:pPr>
          </w:p>
        </w:tc>
        <w:tc>
          <w:tcPr>
            <w:tcW w:w="60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5960" w:type="dxa"/>
            <w:vAlign w:val="bottom"/>
            <w:tcBorders>
              <w:bottom w:val="single" w:sz="8" w:color="A6A6A6"/>
            </w:tcBorders>
          </w:tcPr>
          <w:p>
            <w:pPr>
              <w:ind w:left="140"/>
              <w:spacing w:after="0"/>
              <w:rPr>
                <w:sz w:val="20"/>
                <w:szCs w:val="20"/>
                <w:color w:val="auto"/>
              </w:rPr>
            </w:pPr>
            <w:r>
              <w:rPr>
                <w:rFonts w:ascii="Arial" w:cs="Arial" w:eastAsia="Arial" w:hAnsi="Arial"/>
                <w:sz w:val="16"/>
                <w:szCs w:val="16"/>
                <w:color w:val="auto"/>
              </w:rPr>
              <w:t>Property and Equipment Purchases Included in Accrued Liabilities</w:t>
            </w:r>
          </w:p>
        </w:tc>
        <w:tc>
          <w:tcPr>
            <w:tcW w:w="1880" w:type="dxa"/>
            <w:vAlign w:val="bottom"/>
            <w:tcBorders>
              <w:bottom w:val="single" w:sz="8" w:color="A6A6A6"/>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tcBorders>
              <w:bottom w:val="single" w:sz="8" w:color="A6A6A6"/>
            </w:tcBorders>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2,868</w:t>
            </w:r>
          </w:p>
        </w:tc>
        <w:tc>
          <w:tcPr>
            <w:tcW w:w="100" w:type="dxa"/>
            <w:vAlign w:val="bottom"/>
          </w:tcPr>
          <w:p>
            <w:pPr>
              <w:spacing w:after="0"/>
              <w:rPr>
                <w:sz w:val="18"/>
                <w:szCs w:val="18"/>
                <w:color w:val="auto"/>
              </w:rPr>
            </w:pPr>
          </w:p>
        </w:tc>
      </w:tr>
    </w:tbl>
    <w:p>
      <w:pPr>
        <w:spacing w:after="0" w:line="242" w:lineRule="exact"/>
        <w:rPr>
          <w:sz w:val="20"/>
          <w:szCs w:val="20"/>
          <w:color w:val="auto"/>
        </w:rPr>
      </w:pPr>
    </w:p>
    <w:p>
      <w:pPr>
        <w:ind w:right="5360" w:firstLine="8"/>
        <w:spacing w:after="0" w:line="373" w:lineRule="auto"/>
        <w:tabs>
          <w:tab w:leader="none" w:pos="33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DISCONTINUED OPERATIONS AND OTHER DISPOSITIONS </w:t>
      </w:r>
      <w:r>
        <w:rPr>
          <w:rFonts w:ascii="Arial" w:cs="Arial" w:eastAsia="Arial" w:hAnsi="Arial"/>
          <w:sz w:val="20"/>
          <w:szCs w:val="20"/>
          <w:i w:val="1"/>
          <w:iCs w:val="1"/>
          <w:color w:val="auto"/>
        </w:rPr>
        <w:t>Discontinued Operations</w:t>
      </w:r>
    </w:p>
    <w:p>
      <w:pPr>
        <w:ind w:right="60"/>
        <w:spacing w:after="0" w:line="267" w:lineRule="auto"/>
        <w:rPr>
          <w:sz w:val="20"/>
          <w:szCs w:val="20"/>
          <w:color w:val="auto"/>
        </w:rPr>
      </w:pPr>
      <w:r>
        <w:rPr>
          <w:rFonts w:ascii="Arial" w:cs="Arial" w:eastAsia="Arial" w:hAnsi="Arial"/>
          <w:sz w:val="18"/>
          <w:szCs w:val="18"/>
          <w:color w:val="auto"/>
        </w:rPr>
        <w:t>On May 30, 2019, the Company announced it was actively pursuing alternatives for its Oil and Gas Proppants business. On September 18, 2020, we sold our Oil and Gas Proppants business (the “Proppants Business”) to Smart Sand, Inc., a Delaware corporation (the “Purchaser”), pursuant to an Equity Purchase and Sale Agreement (the “Purchase Agreement”) between the Company and the Purchaser. The sale of this business excluded certain assets, namely real property and equipment in south Texas, real property in Illinois and certain other assets. The purchase price (the “Purchase Price”) paid by the Purchaser for the acquisition of the Proppants Business was $2.0 million paid in shares of common stock of the Purchaser. The shares delivered to the Company by the Purchaser are not registered under federal or state securities laws, and must be held at least six months, and possibly longer, before they can be sold. The shares were valued at the date of sale, and at September 30, 2020, using Level 1 inputs at the quoted market price of the shares, less a discount for the required holding period. The shares are classified as Prepaid and Other Assets in our Consolidated Balance Sheet at September 30, 2020. Shares representing $0.3 million of the Purchase Price are being held in escrow as a source of recovery for any indemnification claims by the Buyer.</w:t>
      </w:r>
    </w:p>
    <w:p>
      <w:pPr>
        <w:spacing w:after="0" w:line="100"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In connection with the execution of the Purchase Agreement, we also entered into a Loan and Security Agreement, dated September 18, 2020 (the “Loan and Security Agreement”), by and among the Company, as lender; the Purchaser, as borrower; and other parties thereto. Pursuant to the Loan and Security Agreement, the Company will loan the Purchaser up to $5.0 million for working capital and operating, maintenance, and administrative expenses of the Proppants Business during the one-year period following the closing. The Company has deposited the $5.0 million into an escrow account. Up to 50% of the amounts outstanding under the Loan and Security Agreement may be repaid by the Purchaser in shares of the Purchaser’s common stock. Borrowings under the Loan and Security Agreement will bear interest at a fixed rate of 6.00% per annum during the one-year period following the closing. Any amounts after the one-year period will bear interest at a fixed rate of 8.00% per annum and will mature on September 18, 2024. There were no outstanding borrowings at September 30, 2020. The $5.0 million in the escrow account at September 30, 2020 is classified as Restricted Cash on the Consolidated Balance Sheet.</w:t>
      </w:r>
    </w:p>
    <w:p>
      <w:pPr>
        <w:spacing w:after="0" w:line="10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sale of the Oil and Gas Proppants business, which was previously disclosed as a reportable segment, was determined to meet the discontinued operations accounting criteria. The sale resulted in a gain of approximately $9.2 million, which is included in Earnings (Loss) from Discontinued Operations on the Unaudited Consolidated Statement of Earnings. Certain expenses, which were previously included in the Oil and Gas Proppants operating segment, do not qualify for classification within discontinued operations and have been reclassified from the operating segment to continuing operations. These expenses primarily relate to lease agreements not included in the sale of the Proppants Business.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9" w:name="page10"/>
    <w:bookmarkEnd w:id="9"/>
    <w:p>
      <w:pPr>
        <w:ind w:right="540"/>
        <w:spacing w:after="0" w:line="277" w:lineRule="auto"/>
        <w:rPr>
          <w:sz w:val="20"/>
          <w:szCs w:val="20"/>
          <w:color w:val="auto"/>
        </w:rPr>
      </w:pPr>
      <w:r>
        <w:rPr>
          <w:rFonts w:ascii="Arial" w:cs="Arial" w:eastAsia="Arial" w:hAnsi="Arial"/>
          <w:sz w:val="18"/>
          <w:szCs w:val="18"/>
          <w:color w:val="auto"/>
        </w:rPr>
        <w:t>The following is a summary of operating results included in Earnings (Loss) from Discontinued Operations for the three and six months ended September 30, 2020 and 2019.</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shd w:val="clear" w:color="auto" w:fill="004483"/>
          </w:tcPr>
          <w:p>
            <w:pPr>
              <w:spacing w:after="0"/>
              <w:rPr>
                <w:sz w:val="19"/>
                <w:szCs w:val="19"/>
                <w:color w:val="auto"/>
              </w:rPr>
            </w:pPr>
          </w:p>
        </w:tc>
        <w:tc>
          <w:tcPr>
            <w:tcW w:w="2720" w:type="dxa"/>
            <w:vAlign w:val="bottom"/>
            <w:gridSpan w:val="6"/>
            <w:shd w:val="clear" w:color="auto" w:fill="004483"/>
          </w:tcPr>
          <w:p>
            <w:pPr>
              <w:jc w:val="right"/>
              <w:ind w:right="300"/>
              <w:spacing w:after="0"/>
              <w:rPr>
                <w:sz w:val="20"/>
                <w:szCs w:val="20"/>
                <w:color w:val="auto"/>
              </w:rPr>
            </w:pPr>
            <w:r>
              <w:rPr>
                <w:rFonts w:ascii="Arial" w:cs="Arial" w:eastAsia="Arial" w:hAnsi="Arial"/>
                <w:sz w:val="13"/>
                <w:szCs w:val="13"/>
                <w:b w:val="1"/>
                <w:bCs w:val="1"/>
                <w:color w:val="FFFFFF"/>
                <w:w w:val="89"/>
              </w:rPr>
              <w:t>For the Three Months Ended September 30,</w:t>
            </w:r>
          </w:p>
        </w:tc>
        <w:tc>
          <w:tcPr>
            <w:tcW w:w="140" w:type="dxa"/>
            <w:vAlign w:val="bottom"/>
          </w:tcPr>
          <w:p>
            <w:pPr>
              <w:spacing w:after="0"/>
              <w:rPr>
                <w:sz w:val="19"/>
                <w:szCs w:val="19"/>
                <w:color w:val="auto"/>
              </w:rPr>
            </w:pPr>
          </w:p>
        </w:tc>
        <w:tc>
          <w:tcPr>
            <w:tcW w:w="160" w:type="dxa"/>
            <w:vAlign w:val="bottom"/>
            <w:shd w:val="clear" w:color="auto" w:fill="004483"/>
          </w:tcPr>
          <w:p>
            <w:pPr>
              <w:spacing w:after="0"/>
              <w:rPr>
                <w:sz w:val="19"/>
                <w:szCs w:val="19"/>
                <w:color w:val="auto"/>
              </w:rPr>
            </w:pPr>
          </w:p>
        </w:tc>
        <w:tc>
          <w:tcPr>
            <w:tcW w:w="2720" w:type="dxa"/>
            <w:vAlign w:val="bottom"/>
            <w:gridSpan w:val="6"/>
            <w:shd w:val="clear" w:color="auto" w:fill="004483"/>
          </w:tcPr>
          <w:p>
            <w:pPr>
              <w:jc w:val="right"/>
              <w:ind w:right="400"/>
              <w:spacing w:after="0"/>
              <w:rPr>
                <w:sz w:val="20"/>
                <w:szCs w:val="20"/>
                <w:color w:val="auto"/>
              </w:rPr>
            </w:pPr>
            <w:r>
              <w:rPr>
                <w:rFonts w:ascii="Arial" w:cs="Arial" w:eastAsia="Arial" w:hAnsi="Arial"/>
                <w:sz w:val="13"/>
                <w:szCs w:val="13"/>
                <w:b w:val="1"/>
                <w:bCs w:val="1"/>
                <w:color w:val="FFFFFF"/>
                <w:w w:val="90"/>
              </w:rPr>
              <w:t>For the Six Months Ended September 30,</w:t>
            </w:r>
          </w:p>
        </w:tc>
      </w:tr>
      <w:tr>
        <w:trPr>
          <w:trHeight w:val="161"/>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4"/>
                <w:szCs w:val="14"/>
                <w:color w:val="auto"/>
              </w:rPr>
            </w:pPr>
          </w:p>
        </w:tc>
      </w:tr>
      <w:tr>
        <w:trPr>
          <w:trHeight w:val="149"/>
        </w:trPr>
        <w:tc>
          <w:tcPr>
            <w:tcW w:w="5240" w:type="dxa"/>
            <w:vAlign w:val="bottom"/>
            <w:tcBorders>
              <w:bottom w:val="single" w:sz="8" w:color="004483"/>
            </w:tcBorders>
          </w:tcPr>
          <w:p>
            <w:pPr>
              <w:spacing w:after="0"/>
              <w:rPr>
                <w:sz w:val="12"/>
                <w:szCs w:val="12"/>
                <w:color w:val="auto"/>
              </w:rPr>
            </w:pPr>
          </w:p>
        </w:tc>
        <w:tc>
          <w:tcPr>
            <w:tcW w:w="120" w:type="dxa"/>
            <w:vAlign w:val="bottom"/>
            <w:tcBorders>
              <w:bottom w:val="single" w:sz="8" w:color="004483"/>
            </w:tcBorders>
          </w:tcPr>
          <w:p>
            <w:pPr>
              <w:spacing w:after="0"/>
              <w:rPr>
                <w:sz w:val="12"/>
                <w:szCs w:val="12"/>
                <w:color w:val="auto"/>
              </w:rPr>
            </w:pPr>
          </w:p>
        </w:tc>
        <w:tc>
          <w:tcPr>
            <w:tcW w:w="140" w:type="dxa"/>
            <w:vAlign w:val="bottom"/>
            <w:tcBorders>
              <w:bottom w:val="single" w:sz="8" w:color="004483"/>
            </w:tcBorders>
          </w:tcPr>
          <w:p>
            <w:pPr>
              <w:spacing w:after="0"/>
              <w:rPr>
                <w:sz w:val="12"/>
                <w:szCs w:val="12"/>
                <w:color w:val="auto"/>
              </w:rPr>
            </w:pPr>
          </w:p>
        </w:tc>
        <w:tc>
          <w:tcPr>
            <w:tcW w:w="1120" w:type="dxa"/>
            <w:vAlign w:val="bottom"/>
            <w:tcBorders>
              <w:bottom w:val="single" w:sz="8" w:color="004483"/>
            </w:tcBorders>
          </w:tcPr>
          <w:p>
            <w:pPr>
              <w:spacing w:after="0"/>
              <w:rPr>
                <w:sz w:val="12"/>
                <w:szCs w:val="12"/>
                <w:color w:val="auto"/>
              </w:rPr>
            </w:pPr>
          </w:p>
        </w:tc>
        <w:tc>
          <w:tcPr>
            <w:tcW w:w="140" w:type="dxa"/>
            <w:vAlign w:val="bottom"/>
            <w:tcBorders>
              <w:bottom w:val="single" w:sz="8" w:color="004483"/>
            </w:tcBorders>
          </w:tcPr>
          <w:p>
            <w:pPr>
              <w:spacing w:after="0"/>
              <w:rPr>
                <w:sz w:val="12"/>
                <w:szCs w:val="12"/>
                <w:color w:val="auto"/>
              </w:rPr>
            </w:pPr>
          </w:p>
        </w:tc>
        <w:tc>
          <w:tcPr>
            <w:tcW w:w="100" w:type="dxa"/>
            <w:vAlign w:val="bottom"/>
            <w:tcBorders>
              <w:bottom w:val="single" w:sz="8" w:color="004483"/>
            </w:tcBorders>
          </w:tcPr>
          <w:p>
            <w:pPr>
              <w:spacing w:after="0"/>
              <w:rPr>
                <w:sz w:val="12"/>
                <w:szCs w:val="12"/>
                <w:color w:val="auto"/>
              </w:rPr>
            </w:pPr>
          </w:p>
        </w:tc>
        <w:tc>
          <w:tcPr>
            <w:tcW w:w="440" w:type="dxa"/>
            <w:vAlign w:val="bottom"/>
            <w:tcBorders>
              <w:bottom w:val="single" w:sz="8" w:color="004483"/>
            </w:tcBorders>
          </w:tcPr>
          <w:p>
            <w:pPr>
              <w:spacing w:after="0"/>
              <w:rPr>
                <w:sz w:val="12"/>
                <w:szCs w:val="12"/>
                <w:color w:val="auto"/>
              </w:rPr>
            </w:pPr>
          </w:p>
        </w:tc>
        <w:tc>
          <w:tcPr>
            <w:tcW w:w="2540" w:type="dxa"/>
            <w:vAlign w:val="bottom"/>
            <w:tcBorders>
              <w:bottom w:val="single" w:sz="8" w:color="004483"/>
            </w:tcBorders>
            <w:gridSpan w:val="6"/>
          </w:tcPr>
          <w:p>
            <w:pPr>
              <w:jc w:val="right"/>
              <w:ind w:right="1060"/>
              <w:spacing w:after="0"/>
              <w:rPr>
                <w:sz w:val="20"/>
                <w:szCs w:val="20"/>
                <w:color w:val="auto"/>
              </w:rPr>
            </w:pPr>
            <w:r>
              <w:rPr>
                <w:rFonts w:ascii="Arial" w:cs="Arial" w:eastAsia="Arial" w:hAnsi="Arial"/>
                <w:sz w:val="13"/>
                <w:szCs w:val="13"/>
                <w:color w:val="auto"/>
              </w:rPr>
              <w:t>(dollars in thousands)</w:t>
            </w:r>
          </w:p>
        </w:tc>
        <w:tc>
          <w:tcPr>
            <w:tcW w:w="20" w:type="dxa"/>
            <w:vAlign w:val="bottom"/>
            <w:tcBorders>
              <w:bottom w:val="single" w:sz="8" w:color="004483"/>
            </w:tcBorders>
          </w:tcPr>
          <w:p>
            <w:pPr>
              <w:spacing w:after="0"/>
              <w:rPr>
                <w:sz w:val="12"/>
                <w:szCs w:val="12"/>
                <w:color w:val="auto"/>
              </w:rPr>
            </w:pPr>
          </w:p>
        </w:tc>
        <w:tc>
          <w:tcPr>
            <w:tcW w:w="440" w:type="dxa"/>
            <w:vAlign w:val="bottom"/>
            <w:tcBorders>
              <w:bottom w:val="single" w:sz="8" w:color="004483"/>
            </w:tcBorders>
          </w:tcPr>
          <w:p>
            <w:pPr>
              <w:spacing w:after="0"/>
              <w:rPr>
                <w:sz w:val="12"/>
                <w:szCs w:val="12"/>
                <w:color w:val="auto"/>
              </w:rPr>
            </w:pPr>
          </w:p>
        </w:tc>
        <w:tc>
          <w:tcPr>
            <w:tcW w:w="840" w:type="dxa"/>
            <w:vAlign w:val="bottom"/>
            <w:tcBorders>
              <w:bottom w:val="single" w:sz="8" w:color="004483"/>
            </w:tcBorders>
          </w:tcPr>
          <w:p>
            <w:pPr>
              <w:spacing w:after="0"/>
              <w:rPr>
                <w:sz w:val="12"/>
                <w:szCs w:val="12"/>
                <w:color w:val="auto"/>
              </w:rPr>
            </w:pPr>
          </w:p>
        </w:tc>
        <w:tc>
          <w:tcPr>
            <w:tcW w:w="100" w:type="dxa"/>
            <w:vAlign w:val="bottom"/>
          </w:tcPr>
          <w:p>
            <w:pPr>
              <w:spacing w:after="0"/>
              <w:rPr>
                <w:sz w:val="12"/>
                <w:szCs w:val="12"/>
                <w:color w:val="auto"/>
              </w:rPr>
            </w:pPr>
          </w:p>
        </w:tc>
      </w:tr>
      <w:tr>
        <w:trPr>
          <w:trHeight w:val="206"/>
        </w:trPr>
        <w:tc>
          <w:tcPr>
            <w:tcW w:w="5240" w:type="dxa"/>
            <w:vAlign w:val="bottom"/>
          </w:tcPr>
          <w:p>
            <w:pPr>
              <w:ind w:left="260"/>
              <w:spacing w:after="0"/>
              <w:rPr>
                <w:sz w:val="20"/>
                <w:szCs w:val="20"/>
                <w:color w:val="auto"/>
              </w:rPr>
            </w:pPr>
            <w:r>
              <w:rPr>
                <w:rFonts w:ascii="Arial" w:cs="Arial" w:eastAsia="Arial" w:hAnsi="Arial"/>
                <w:sz w:val="16"/>
                <w:szCs w:val="16"/>
                <w:color w:val="17385E"/>
              </w:rPr>
              <w:t>Revenue</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17"/>
                <w:szCs w:val="17"/>
                <w:color w:val="auto"/>
              </w:rPr>
            </w:pPr>
          </w:p>
        </w:tc>
        <w:tc>
          <w:tcPr>
            <w:tcW w:w="540" w:type="dxa"/>
            <w:vAlign w:val="bottom"/>
            <w:gridSpan w:val="2"/>
          </w:tcPr>
          <w:p>
            <w:pPr>
              <w:jc w:val="right"/>
              <w:ind w:right="284"/>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13,957</w:t>
            </w:r>
          </w:p>
        </w:tc>
        <w:tc>
          <w:tcPr>
            <w:tcW w:w="100" w:type="dxa"/>
            <w:vAlign w:val="bottom"/>
          </w:tcPr>
          <w:p>
            <w:pPr>
              <w:spacing w:after="0"/>
              <w:rPr>
                <w:sz w:val="17"/>
                <w:szCs w:val="17"/>
                <w:color w:val="auto"/>
              </w:rPr>
            </w:pPr>
          </w:p>
        </w:tc>
        <w:tc>
          <w:tcPr>
            <w:tcW w:w="30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1,045</w:t>
            </w:r>
          </w:p>
        </w:tc>
        <w:tc>
          <w:tcPr>
            <w:tcW w:w="220" w:type="dxa"/>
            <w:vAlign w:val="bottom"/>
          </w:tcPr>
          <w:p>
            <w:pPr>
              <w:spacing w:after="0"/>
              <w:rPr>
                <w:sz w:val="17"/>
                <w:szCs w:val="17"/>
                <w:color w:val="auto"/>
              </w:rPr>
            </w:pPr>
          </w:p>
        </w:tc>
        <w:tc>
          <w:tcPr>
            <w:tcW w:w="460" w:type="dxa"/>
            <w:vAlign w:val="bottom"/>
            <w:gridSpan w:val="2"/>
          </w:tcPr>
          <w:p>
            <w:pPr>
              <w:jc w:val="right"/>
              <w:ind w:right="284"/>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29,189</w:t>
            </w:r>
          </w:p>
        </w:tc>
        <w:tc>
          <w:tcPr>
            <w:tcW w:w="100" w:type="dxa"/>
            <w:vAlign w:val="bottom"/>
          </w:tcPr>
          <w:p>
            <w:pPr>
              <w:spacing w:after="0"/>
              <w:rPr>
                <w:sz w:val="17"/>
                <w:szCs w:val="17"/>
                <w:color w:val="auto"/>
              </w:rPr>
            </w:pPr>
          </w:p>
        </w:tc>
      </w:tr>
      <w:tr>
        <w:trPr>
          <w:trHeight w:val="210"/>
        </w:trPr>
        <w:tc>
          <w:tcPr>
            <w:tcW w:w="5240" w:type="dxa"/>
            <w:vAlign w:val="bottom"/>
            <w:tcBorders>
              <w:top w:val="single" w:sz="8" w:color="A6A6A6"/>
              <w:bottom w:val="single" w:sz="8" w:color="A6A6A6"/>
            </w:tcBorders>
          </w:tcPr>
          <w:p>
            <w:pPr>
              <w:ind w:left="260"/>
              <w:spacing w:after="0"/>
              <w:rPr>
                <w:sz w:val="20"/>
                <w:szCs w:val="20"/>
                <w:color w:val="auto"/>
              </w:rPr>
            </w:pPr>
            <w:r>
              <w:rPr>
                <w:rFonts w:ascii="Arial" w:cs="Arial" w:eastAsia="Arial" w:hAnsi="Arial"/>
                <w:sz w:val="16"/>
                <w:szCs w:val="16"/>
                <w:color w:val="17385E"/>
              </w:rPr>
              <w:t>Cost of Goods Sold</w:t>
            </w:r>
          </w:p>
        </w:tc>
        <w:tc>
          <w:tcPr>
            <w:tcW w:w="120" w:type="dxa"/>
            <w:vAlign w:val="bottom"/>
          </w:tcPr>
          <w:p>
            <w:pPr>
              <w:spacing w:after="0"/>
              <w:rPr>
                <w:sz w:val="18"/>
                <w:szCs w:val="18"/>
                <w:color w:val="auto"/>
              </w:rPr>
            </w:pPr>
          </w:p>
        </w:tc>
        <w:tc>
          <w:tcPr>
            <w:tcW w:w="140" w:type="dxa"/>
            <w:vAlign w:val="bottom"/>
            <w:tcBorders>
              <w:top w:val="single" w:sz="8" w:color="A6A6A6"/>
              <w:bottom w:val="single" w:sz="8" w:color="004483"/>
            </w:tcBorders>
          </w:tcPr>
          <w:p>
            <w:pPr>
              <w:spacing w:after="0"/>
              <w:rPr>
                <w:sz w:val="18"/>
                <w:szCs w:val="18"/>
                <w:color w:val="auto"/>
              </w:rPr>
            </w:pPr>
          </w:p>
        </w:tc>
        <w:tc>
          <w:tcPr>
            <w:tcW w:w="112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1,065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6A6A6"/>
              <w:bottom w:val="single" w:sz="8" w:color="004483"/>
            </w:tcBorders>
          </w:tcPr>
          <w:p>
            <w:pPr>
              <w:spacing w:after="0"/>
              <w:rPr>
                <w:sz w:val="18"/>
                <w:szCs w:val="18"/>
                <w:color w:val="auto"/>
              </w:rPr>
            </w:pPr>
          </w:p>
        </w:tc>
        <w:tc>
          <w:tcPr>
            <w:tcW w:w="82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18,471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6A6A6"/>
              <w:bottom w:val="single" w:sz="8" w:color="004483"/>
            </w:tcBorders>
          </w:tcPr>
          <w:p>
            <w:pPr>
              <w:spacing w:after="0"/>
              <w:rPr>
                <w:sz w:val="18"/>
                <w:szCs w:val="18"/>
                <w:color w:val="auto"/>
              </w:rPr>
            </w:pPr>
          </w:p>
        </w:tc>
        <w:tc>
          <w:tcPr>
            <w:tcW w:w="11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3,415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top w:val="single" w:sz="8" w:color="A6A6A6"/>
              <w:bottom w:val="single" w:sz="8" w:color="004483"/>
            </w:tcBorders>
          </w:tcPr>
          <w:p>
            <w:pPr>
              <w:spacing w:after="0"/>
              <w:rPr>
                <w:sz w:val="18"/>
                <w:szCs w:val="18"/>
                <w:color w:val="auto"/>
              </w:rPr>
            </w:pPr>
          </w:p>
        </w:tc>
        <w:tc>
          <w:tcPr>
            <w:tcW w:w="84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36,468</w:t>
            </w:r>
          </w:p>
        </w:tc>
        <w:tc>
          <w:tcPr>
            <w:tcW w:w="100" w:type="dxa"/>
            <w:vAlign w:val="bottom"/>
          </w:tcPr>
          <w:p>
            <w:pPr>
              <w:spacing w:after="0"/>
              <w:rPr>
                <w:sz w:val="18"/>
                <w:szCs w:val="18"/>
                <w:color w:val="auto"/>
              </w:rPr>
            </w:pPr>
          </w:p>
        </w:tc>
      </w:tr>
      <w:tr>
        <w:trPr>
          <w:trHeight w:val="209"/>
        </w:trPr>
        <w:tc>
          <w:tcPr>
            <w:tcW w:w="5240" w:type="dxa"/>
            <w:vAlign w:val="bottom"/>
          </w:tcPr>
          <w:p>
            <w:pPr>
              <w:ind w:left="500"/>
              <w:spacing w:after="0"/>
              <w:rPr>
                <w:sz w:val="20"/>
                <w:szCs w:val="20"/>
                <w:color w:val="auto"/>
              </w:rPr>
            </w:pPr>
            <w:r>
              <w:rPr>
                <w:rFonts w:ascii="Arial" w:cs="Arial" w:eastAsia="Arial" w:hAnsi="Arial"/>
                <w:sz w:val="16"/>
                <w:szCs w:val="16"/>
                <w:color w:val="17385E"/>
              </w:rPr>
              <w:t>Gross Profit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(1,051)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(4,514)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(2,370)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(7,279)</w:t>
            </w:r>
          </w:p>
        </w:tc>
      </w:tr>
      <w:tr>
        <w:trPr>
          <w:trHeight w:val="209"/>
        </w:trPr>
        <w:tc>
          <w:tcPr>
            <w:tcW w:w="5240" w:type="dxa"/>
            <w:vAlign w:val="bottom"/>
            <w:tcBorders>
              <w:top w:val="single" w:sz="8" w:color="A6A6A6"/>
              <w:bottom w:val="single" w:sz="8" w:color="A6A6A6"/>
            </w:tcBorders>
          </w:tcPr>
          <w:p>
            <w:pPr>
              <w:ind w:left="260"/>
              <w:spacing w:after="0"/>
              <w:rPr>
                <w:sz w:val="20"/>
                <w:szCs w:val="20"/>
                <w:color w:val="auto"/>
              </w:rPr>
            </w:pPr>
            <w:r>
              <w:rPr>
                <w:rFonts w:ascii="Arial" w:cs="Arial" w:eastAsia="Arial" w:hAnsi="Arial"/>
                <w:sz w:val="16"/>
                <w:szCs w:val="16"/>
                <w:color w:val="17385E"/>
              </w:rPr>
              <w:t>Other Non-Operating Income</w:t>
            </w:r>
          </w:p>
        </w:tc>
        <w:tc>
          <w:tcPr>
            <w:tcW w:w="120" w:type="dxa"/>
            <w:vAlign w:val="bottom"/>
          </w:tcPr>
          <w:p>
            <w:pPr>
              <w:spacing w:after="0"/>
              <w:rPr>
                <w:sz w:val="18"/>
                <w:szCs w:val="18"/>
                <w:color w:val="auto"/>
              </w:rPr>
            </w:pPr>
          </w:p>
        </w:tc>
        <w:tc>
          <w:tcPr>
            <w:tcW w:w="140" w:type="dxa"/>
            <w:vAlign w:val="bottom"/>
            <w:tcBorders>
              <w:top w:val="single" w:sz="8" w:color="A6A6A6"/>
              <w:bottom w:val="single" w:sz="8" w:color="A6A6A6"/>
            </w:tcBorders>
          </w:tcPr>
          <w:p>
            <w:pPr>
              <w:spacing w:after="0"/>
              <w:rPr>
                <w:sz w:val="18"/>
                <w:szCs w:val="18"/>
                <w:color w:val="auto"/>
              </w:rPr>
            </w:pPr>
          </w:p>
        </w:tc>
        <w:tc>
          <w:tcPr>
            <w:tcW w:w="11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6A6A6"/>
              <w:bottom w:val="single" w:sz="8" w:color="A6A6A6"/>
            </w:tcBorders>
          </w:tcPr>
          <w:p>
            <w:pPr>
              <w:spacing w:after="0"/>
              <w:rPr>
                <w:sz w:val="18"/>
                <w:szCs w:val="18"/>
                <w:color w:val="auto"/>
              </w:rPr>
            </w:pPr>
          </w:p>
        </w:tc>
        <w:tc>
          <w:tcPr>
            <w:tcW w:w="8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357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6A6A6"/>
              <w:bottom w:val="single" w:sz="8" w:color="A6A6A6"/>
            </w:tcBorders>
          </w:tcPr>
          <w:p>
            <w:pPr>
              <w:spacing w:after="0"/>
              <w:rPr>
                <w:sz w:val="18"/>
                <w:szCs w:val="18"/>
                <w:color w:val="auto"/>
              </w:rPr>
            </w:pPr>
          </w:p>
        </w:tc>
        <w:tc>
          <w:tcPr>
            <w:tcW w:w="11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226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top w:val="single" w:sz="8" w:color="A6A6A6"/>
              <w:bottom w:val="single" w:sz="8" w:color="A6A6A6"/>
            </w:tcBorders>
          </w:tcPr>
          <w:p>
            <w:pPr>
              <w:spacing w:after="0"/>
              <w:rPr>
                <w:sz w:val="18"/>
                <w:szCs w:val="18"/>
                <w:color w:val="auto"/>
              </w:rPr>
            </w:pPr>
          </w:p>
        </w:tc>
        <w:tc>
          <w:tcPr>
            <w:tcW w:w="8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419</w:t>
            </w:r>
          </w:p>
        </w:tc>
        <w:tc>
          <w:tcPr>
            <w:tcW w:w="100" w:type="dxa"/>
            <w:vAlign w:val="bottom"/>
          </w:tcPr>
          <w:p>
            <w:pPr>
              <w:spacing w:after="0"/>
              <w:rPr>
                <w:sz w:val="18"/>
                <w:szCs w:val="18"/>
                <w:color w:val="auto"/>
              </w:rPr>
            </w:pPr>
          </w:p>
        </w:tc>
      </w:tr>
      <w:tr>
        <w:trPr>
          <w:trHeight w:val="209"/>
        </w:trPr>
        <w:tc>
          <w:tcPr>
            <w:tcW w:w="5240" w:type="dxa"/>
            <w:vAlign w:val="bottom"/>
            <w:tcBorders>
              <w:bottom w:val="single" w:sz="8" w:color="A6A6A6"/>
            </w:tcBorders>
          </w:tcPr>
          <w:p>
            <w:pPr>
              <w:ind w:left="260"/>
              <w:spacing w:after="0"/>
              <w:rPr>
                <w:sz w:val="20"/>
                <w:szCs w:val="20"/>
                <w:color w:val="auto"/>
              </w:rPr>
            </w:pPr>
            <w:r>
              <w:rPr>
                <w:rFonts w:ascii="Arial" w:cs="Arial" w:eastAsia="Arial" w:hAnsi="Arial"/>
                <w:sz w:val="16"/>
                <w:szCs w:val="16"/>
                <w:color w:val="17385E"/>
              </w:rPr>
              <w:t>Gain on Sale of Discontinued Operations</w:t>
            </w:r>
          </w:p>
        </w:tc>
        <w:tc>
          <w:tcPr>
            <w:tcW w:w="120" w:type="dxa"/>
            <w:vAlign w:val="bottom"/>
          </w:tcPr>
          <w:p>
            <w:pPr>
              <w:spacing w:after="0"/>
              <w:rPr>
                <w:sz w:val="18"/>
                <w:szCs w:val="18"/>
                <w:color w:val="auto"/>
              </w:rPr>
            </w:pPr>
          </w:p>
        </w:tc>
        <w:tc>
          <w:tcPr>
            <w:tcW w:w="14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9,230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004483"/>
            </w:tcBorders>
          </w:tcPr>
          <w:p>
            <w:pPr>
              <w:spacing w:after="0"/>
              <w:rPr>
                <w:sz w:val="18"/>
                <w:szCs w:val="18"/>
                <w:color w:val="auto"/>
              </w:rPr>
            </w:pPr>
          </w:p>
        </w:tc>
        <w:tc>
          <w:tcPr>
            <w:tcW w:w="8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004483"/>
            </w:tcBorders>
          </w:tcPr>
          <w:p>
            <w:pPr>
              <w:spacing w:after="0"/>
              <w:rPr>
                <w:sz w:val="18"/>
                <w:szCs w:val="18"/>
                <w:color w:val="auto"/>
              </w:rPr>
            </w:pPr>
          </w:p>
        </w:tc>
        <w:tc>
          <w:tcPr>
            <w:tcW w:w="1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9,230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bottom w:val="single" w:sz="8" w:color="004483"/>
            </w:tcBorders>
          </w:tcPr>
          <w:p>
            <w:pPr>
              <w:spacing w:after="0"/>
              <w:rPr>
                <w:sz w:val="18"/>
                <w:szCs w:val="18"/>
                <w:color w:val="auto"/>
              </w:rPr>
            </w:pPr>
          </w:p>
        </w:tc>
        <w:tc>
          <w:tcPr>
            <w:tcW w:w="8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09"/>
        </w:trPr>
        <w:tc>
          <w:tcPr>
            <w:tcW w:w="5240" w:type="dxa"/>
            <w:vAlign w:val="bottom"/>
          </w:tcPr>
          <w:p>
            <w:pPr>
              <w:ind w:left="260"/>
              <w:spacing w:after="0"/>
              <w:rPr>
                <w:sz w:val="20"/>
                <w:szCs w:val="20"/>
                <w:color w:val="auto"/>
              </w:rPr>
            </w:pPr>
            <w:r>
              <w:rPr>
                <w:rFonts w:ascii="Arial" w:cs="Arial" w:eastAsia="Arial" w:hAnsi="Arial"/>
                <w:sz w:val="16"/>
                <w:szCs w:val="16"/>
                <w:color w:val="17385E"/>
              </w:rPr>
              <w:t>Earnings (Loss) from Discontinued Operations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8,223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(4,157)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7,086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(6,860)</w:t>
            </w:r>
          </w:p>
        </w:tc>
      </w:tr>
      <w:tr>
        <w:trPr>
          <w:trHeight w:val="20"/>
        </w:trPr>
        <w:tc>
          <w:tcPr>
            <w:tcW w:w="52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112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A6A6A6"/>
          </w:tcPr>
          <w:p>
            <w:pPr>
              <w:spacing w:after="0" w:line="20" w:lineRule="exact"/>
              <w:rPr>
                <w:sz w:val="1"/>
                <w:szCs w:val="1"/>
                <w:color w:val="auto"/>
              </w:rPr>
            </w:pPr>
          </w:p>
        </w:tc>
        <w:tc>
          <w:tcPr>
            <w:tcW w:w="8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1100" w:type="dxa"/>
            <w:vAlign w:val="bottom"/>
            <w:shd w:val="clear" w:color="auto" w:fill="A6A6A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A6A6A6"/>
          </w:tcPr>
          <w:p>
            <w:pPr>
              <w:spacing w:after="0" w:line="20" w:lineRule="exact"/>
              <w:rPr>
                <w:sz w:val="1"/>
                <w:szCs w:val="1"/>
                <w:color w:val="auto"/>
              </w:rPr>
            </w:pPr>
          </w:p>
        </w:tc>
        <w:tc>
          <w:tcPr>
            <w:tcW w:w="8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240" w:type="dxa"/>
            <w:vAlign w:val="bottom"/>
          </w:tcPr>
          <w:p>
            <w:pPr>
              <w:ind w:left="260"/>
              <w:spacing w:after="0"/>
              <w:rPr>
                <w:sz w:val="20"/>
                <w:szCs w:val="20"/>
                <w:color w:val="auto"/>
              </w:rPr>
            </w:pPr>
            <w:r>
              <w:rPr>
                <w:rFonts w:ascii="Arial" w:cs="Arial" w:eastAsia="Arial" w:hAnsi="Arial"/>
                <w:sz w:val="16"/>
                <w:szCs w:val="16"/>
                <w:color w:val="17385E"/>
              </w:rPr>
              <w:t>Income Tax (Expense) Benefit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(2,060)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(1,808)</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1,560</w:t>
            </w:r>
          </w:p>
        </w:tc>
        <w:tc>
          <w:tcPr>
            <w:tcW w:w="100" w:type="dxa"/>
            <w:vAlign w:val="bottom"/>
          </w:tcPr>
          <w:p>
            <w:pPr>
              <w:spacing w:after="0"/>
              <w:rPr>
                <w:sz w:val="18"/>
                <w:szCs w:val="18"/>
                <w:color w:val="auto"/>
              </w:rPr>
            </w:pPr>
          </w:p>
        </w:tc>
      </w:tr>
      <w:tr>
        <w:trPr>
          <w:trHeight w:val="210"/>
        </w:trPr>
        <w:tc>
          <w:tcPr>
            <w:tcW w:w="5240" w:type="dxa"/>
            <w:vAlign w:val="bottom"/>
            <w:tcBorders>
              <w:top w:val="single" w:sz="8" w:color="A6A6A6"/>
            </w:tcBorders>
          </w:tcPr>
          <w:p>
            <w:pPr>
              <w:ind w:left="500"/>
              <w:spacing w:after="0"/>
              <w:rPr>
                <w:sz w:val="20"/>
                <w:szCs w:val="20"/>
                <w:color w:val="auto"/>
              </w:rPr>
            </w:pPr>
            <w:r>
              <w:rPr>
                <w:rFonts w:ascii="Arial" w:cs="Arial" w:eastAsia="Arial" w:hAnsi="Arial"/>
                <w:sz w:val="16"/>
                <w:szCs w:val="16"/>
                <w:b w:val="1"/>
                <w:bCs w:val="1"/>
                <w:color w:val="17385E"/>
              </w:rPr>
              <w:t>Net Earnings (Loss) from Discontinued Operations</w:t>
            </w:r>
          </w:p>
        </w:tc>
        <w:tc>
          <w:tcPr>
            <w:tcW w:w="120" w:type="dxa"/>
            <w:vAlign w:val="bottom"/>
          </w:tcPr>
          <w:p>
            <w:pPr>
              <w:spacing w:after="0"/>
              <w:rPr>
                <w:sz w:val="18"/>
                <w:szCs w:val="18"/>
                <w:color w:val="auto"/>
              </w:rPr>
            </w:pPr>
          </w:p>
        </w:tc>
        <w:tc>
          <w:tcPr>
            <w:tcW w:w="140" w:type="dxa"/>
            <w:vAlign w:val="bottom"/>
            <w:tcBorders>
              <w:top w:val="single" w:sz="8" w:color="17385E"/>
              <w:bottom w:val="single" w:sz="8" w:color="17385E"/>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17385E"/>
              <w:bottom w:val="single" w:sz="8" w:color="17385E"/>
            </w:tcBorders>
          </w:tcPr>
          <w:p>
            <w:pPr>
              <w:jc w:val="right"/>
              <w:spacing w:after="0"/>
              <w:rPr>
                <w:sz w:val="20"/>
                <w:szCs w:val="20"/>
                <w:color w:val="auto"/>
              </w:rPr>
            </w:pPr>
            <w:r>
              <w:rPr>
                <w:rFonts w:ascii="Arial" w:cs="Arial" w:eastAsia="Arial" w:hAnsi="Arial"/>
                <w:sz w:val="16"/>
                <w:szCs w:val="16"/>
                <w:b w:val="1"/>
                <w:bCs w:val="1"/>
                <w:color w:val="auto"/>
              </w:rPr>
              <w:t>6,163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17385E"/>
              <w:bottom w:val="single" w:sz="8" w:color="17385E"/>
            </w:tcBorders>
          </w:tcPr>
          <w:p>
            <w:pPr>
              <w:jc w:val="right"/>
              <w:ind w:right="284"/>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17385E"/>
              <w:bottom w:val="single" w:sz="8" w:color="17385E"/>
            </w:tcBorders>
          </w:tcPr>
          <w:p>
            <w:pPr>
              <w:jc w:val="right"/>
              <w:spacing w:after="0"/>
              <w:rPr>
                <w:sz w:val="20"/>
                <w:szCs w:val="20"/>
                <w:color w:val="auto"/>
              </w:rPr>
            </w:pPr>
            <w:r>
              <w:rPr>
                <w:rFonts w:ascii="Arial" w:cs="Arial" w:eastAsia="Arial" w:hAnsi="Arial"/>
                <w:sz w:val="16"/>
                <w:szCs w:val="16"/>
                <w:b w:val="1"/>
                <w:bCs w:val="1"/>
                <w:color w:val="auto"/>
              </w:rPr>
              <w:t>(3,271)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17385E"/>
              <w:bottom w:val="single" w:sz="8" w:color="17385E"/>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17385E"/>
              <w:bottom w:val="single" w:sz="8" w:color="17385E"/>
            </w:tcBorders>
          </w:tcPr>
          <w:p>
            <w:pPr>
              <w:jc w:val="right"/>
              <w:spacing w:after="0"/>
              <w:rPr>
                <w:sz w:val="20"/>
                <w:szCs w:val="20"/>
                <w:color w:val="auto"/>
              </w:rPr>
            </w:pPr>
            <w:r>
              <w:rPr>
                <w:rFonts w:ascii="Arial" w:cs="Arial" w:eastAsia="Arial" w:hAnsi="Arial"/>
                <w:sz w:val="16"/>
                <w:szCs w:val="16"/>
                <w:b w:val="1"/>
                <w:bCs w:val="1"/>
                <w:color w:val="auto"/>
              </w:rPr>
              <w:t>5,278</w:t>
            </w:r>
          </w:p>
        </w:tc>
        <w:tc>
          <w:tcPr>
            <w:tcW w:w="220" w:type="dxa"/>
            <w:vAlign w:val="bottom"/>
          </w:tcPr>
          <w:p>
            <w:pPr>
              <w:spacing w:after="0"/>
              <w:rPr>
                <w:sz w:val="18"/>
                <w:szCs w:val="18"/>
                <w:color w:val="auto"/>
              </w:rPr>
            </w:pPr>
          </w:p>
        </w:tc>
        <w:tc>
          <w:tcPr>
            <w:tcW w:w="20" w:type="dxa"/>
            <w:vAlign w:val="bottom"/>
            <w:tcBorders>
              <w:bottom w:val="single" w:sz="8" w:color="17385E"/>
            </w:tcBorders>
          </w:tcPr>
          <w:p>
            <w:pPr>
              <w:spacing w:after="0"/>
              <w:rPr>
                <w:sz w:val="18"/>
                <w:szCs w:val="18"/>
                <w:color w:val="auto"/>
              </w:rPr>
            </w:pPr>
          </w:p>
        </w:tc>
        <w:tc>
          <w:tcPr>
            <w:tcW w:w="440" w:type="dxa"/>
            <w:vAlign w:val="bottom"/>
            <w:tcBorders>
              <w:top w:val="single" w:sz="8" w:color="17385E"/>
              <w:bottom w:val="single" w:sz="8" w:color="17385E"/>
            </w:tcBorders>
          </w:tcPr>
          <w:p>
            <w:pPr>
              <w:jc w:val="right"/>
              <w:ind w:right="284"/>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17385E"/>
              <w:bottom w:val="single" w:sz="8" w:color="17385E"/>
            </w:tcBorders>
          </w:tcPr>
          <w:p>
            <w:pPr>
              <w:jc w:val="right"/>
              <w:spacing w:after="0"/>
              <w:rPr>
                <w:sz w:val="20"/>
                <w:szCs w:val="20"/>
                <w:color w:val="auto"/>
              </w:rPr>
            </w:pPr>
            <w:r>
              <w:rPr>
                <w:rFonts w:ascii="Arial" w:cs="Arial" w:eastAsia="Arial" w:hAnsi="Arial"/>
                <w:sz w:val="16"/>
                <w:szCs w:val="16"/>
                <w:b w:val="1"/>
                <w:bCs w:val="1"/>
                <w:color w:val="auto"/>
              </w:rPr>
              <w:t>(5,300)</w:t>
            </w:r>
          </w:p>
        </w:tc>
        <w:tc>
          <w:tcPr>
            <w:tcW w:w="100" w:type="dxa"/>
            <w:vAlign w:val="bottom"/>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17385E"/>
            </w:tcBorders>
          </w:tcPr>
          <w:p>
            <w:pPr>
              <w:spacing w:after="0" w:line="20" w:lineRule="exact"/>
              <w:rPr>
                <w:sz w:val="1"/>
                <w:szCs w:val="1"/>
                <w:color w:val="auto"/>
              </w:rPr>
            </w:pPr>
          </w:p>
        </w:tc>
        <w:tc>
          <w:tcPr>
            <w:tcW w:w="1120" w:type="dxa"/>
            <w:vAlign w:val="bottom"/>
            <w:tcBorders>
              <w:bottom w:val="single" w:sz="8" w:color="17385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17385E"/>
            </w:tcBorders>
          </w:tcPr>
          <w:p>
            <w:pPr>
              <w:spacing w:after="0" w:line="20" w:lineRule="exact"/>
              <w:rPr>
                <w:sz w:val="1"/>
                <w:szCs w:val="1"/>
                <w:color w:val="auto"/>
              </w:rPr>
            </w:pPr>
          </w:p>
        </w:tc>
        <w:tc>
          <w:tcPr>
            <w:tcW w:w="820" w:type="dxa"/>
            <w:vAlign w:val="bottom"/>
            <w:tcBorders>
              <w:bottom w:val="single" w:sz="8" w:color="17385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17385E"/>
            </w:tcBorders>
          </w:tcPr>
          <w:p>
            <w:pPr>
              <w:spacing w:after="0" w:line="20" w:lineRule="exact"/>
              <w:rPr>
                <w:sz w:val="1"/>
                <w:szCs w:val="1"/>
                <w:color w:val="auto"/>
              </w:rPr>
            </w:pPr>
          </w:p>
        </w:tc>
        <w:tc>
          <w:tcPr>
            <w:tcW w:w="1100" w:type="dxa"/>
            <w:vAlign w:val="bottom"/>
            <w:tcBorders>
              <w:bottom w:val="single" w:sz="8" w:color="17385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17385E"/>
            </w:tcBorders>
          </w:tcPr>
          <w:p>
            <w:pPr>
              <w:spacing w:after="0" w:line="20" w:lineRule="exact"/>
              <w:rPr>
                <w:sz w:val="1"/>
                <w:szCs w:val="1"/>
                <w:color w:val="auto"/>
              </w:rPr>
            </w:pPr>
          </w:p>
        </w:tc>
        <w:tc>
          <w:tcPr>
            <w:tcW w:w="840" w:type="dxa"/>
            <w:vAlign w:val="bottom"/>
            <w:tcBorders>
              <w:bottom w:val="single" w:sz="8" w:color="17385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significant components of our Consolidated Statements of Cash Flows for discontinued operations for the six months ended September 30, 2020 and 2019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20" w:type="dxa"/>
            <w:vAlign w:val="bottom"/>
          </w:tcPr>
          <w:p>
            <w:pPr>
              <w:spacing w:after="0"/>
              <w:rPr>
                <w:sz w:val="19"/>
                <w:szCs w:val="19"/>
                <w:color w:val="auto"/>
              </w:rPr>
            </w:pPr>
          </w:p>
        </w:tc>
        <w:tc>
          <w:tcPr>
            <w:tcW w:w="440" w:type="dxa"/>
            <w:vAlign w:val="bottom"/>
            <w:shd w:val="clear" w:color="auto" w:fill="004483"/>
          </w:tcPr>
          <w:p>
            <w:pPr>
              <w:spacing w:after="0"/>
              <w:rPr>
                <w:sz w:val="19"/>
                <w:szCs w:val="19"/>
                <w:color w:val="auto"/>
              </w:rPr>
            </w:pPr>
          </w:p>
        </w:tc>
        <w:tc>
          <w:tcPr>
            <w:tcW w:w="2780" w:type="dxa"/>
            <w:vAlign w:val="bottom"/>
            <w:gridSpan w:val="3"/>
            <w:shd w:val="clear" w:color="auto" w:fill="004483"/>
          </w:tcPr>
          <w:p>
            <w:pPr>
              <w:jc w:val="center"/>
              <w:ind w:left="87"/>
              <w:spacing w:after="0"/>
              <w:rPr>
                <w:sz w:val="20"/>
                <w:szCs w:val="20"/>
                <w:color w:val="auto"/>
              </w:rPr>
            </w:pPr>
            <w:r>
              <w:rPr>
                <w:rFonts w:ascii="Arial" w:cs="Arial" w:eastAsia="Arial" w:hAnsi="Arial"/>
                <w:sz w:val="13"/>
                <w:szCs w:val="13"/>
                <w:b w:val="1"/>
                <w:bCs w:val="1"/>
                <w:color w:val="FFFFFF"/>
                <w:w w:val="87"/>
              </w:rPr>
              <w:t>For the Six Months Ended September 30,</w:t>
            </w:r>
          </w:p>
        </w:tc>
        <w:tc>
          <w:tcPr>
            <w:tcW w:w="600" w:type="dxa"/>
            <w:vAlign w:val="bottom"/>
            <w:shd w:val="clear" w:color="auto" w:fill="004483"/>
          </w:tcPr>
          <w:p>
            <w:pPr>
              <w:spacing w:after="0"/>
              <w:rPr>
                <w:sz w:val="19"/>
                <w:szCs w:val="19"/>
                <w:color w:val="auto"/>
              </w:rPr>
            </w:pPr>
          </w:p>
        </w:tc>
        <w:tc>
          <w:tcPr>
            <w:tcW w:w="100" w:type="dxa"/>
            <w:vAlign w:val="bottom"/>
            <w:shd w:val="clear" w:color="auto" w:fill="004483"/>
          </w:tcPr>
          <w:p>
            <w:pPr>
              <w:spacing w:after="0"/>
              <w:rPr>
                <w:sz w:val="19"/>
                <w:szCs w:val="19"/>
                <w:color w:val="auto"/>
              </w:rPr>
            </w:pPr>
          </w:p>
        </w:tc>
      </w:tr>
      <w:tr>
        <w:trPr>
          <w:trHeight w:val="148"/>
        </w:trPr>
        <w:tc>
          <w:tcPr>
            <w:tcW w:w="7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2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2"/>
                <w:szCs w:val="12"/>
                <w:color w:val="auto"/>
              </w:rPr>
            </w:pPr>
          </w:p>
        </w:tc>
      </w:tr>
      <w:tr>
        <w:trPr>
          <w:trHeight w:val="149"/>
        </w:trPr>
        <w:tc>
          <w:tcPr>
            <w:tcW w:w="7320" w:type="dxa"/>
            <w:vAlign w:val="bottom"/>
            <w:tcBorders>
              <w:bottom w:val="single" w:sz="8" w:color="004483"/>
            </w:tcBorders>
          </w:tcPr>
          <w:p>
            <w:pPr>
              <w:spacing w:after="0"/>
              <w:rPr>
                <w:sz w:val="12"/>
                <w:szCs w:val="12"/>
                <w:color w:val="auto"/>
              </w:rPr>
            </w:pPr>
          </w:p>
        </w:tc>
        <w:tc>
          <w:tcPr>
            <w:tcW w:w="440" w:type="dxa"/>
            <w:vAlign w:val="bottom"/>
            <w:tcBorders>
              <w:bottom w:val="single" w:sz="8" w:color="004483"/>
            </w:tcBorders>
          </w:tcPr>
          <w:p>
            <w:pPr>
              <w:spacing w:after="0"/>
              <w:rPr>
                <w:sz w:val="12"/>
                <w:szCs w:val="12"/>
                <w:color w:val="auto"/>
              </w:rPr>
            </w:pPr>
          </w:p>
        </w:tc>
        <w:tc>
          <w:tcPr>
            <w:tcW w:w="2780" w:type="dxa"/>
            <w:vAlign w:val="bottom"/>
            <w:tcBorders>
              <w:bottom w:val="single" w:sz="8" w:color="004483"/>
            </w:tcBorders>
            <w:gridSpan w:val="3"/>
          </w:tcPr>
          <w:p>
            <w:pPr>
              <w:jc w:val="center"/>
              <w:ind w:left="67"/>
              <w:spacing w:after="0"/>
              <w:rPr>
                <w:sz w:val="20"/>
                <w:szCs w:val="20"/>
                <w:color w:val="auto"/>
              </w:rPr>
            </w:pPr>
            <w:r>
              <w:rPr>
                <w:rFonts w:ascii="Arial" w:cs="Arial" w:eastAsia="Arial" w:hAnsi="Arial"/>
                <w:sz w:val="13"/>
                <w:szCs w:val="13"/>
                <w:color w:val="auto"/>
                <w:w w:val="86"/>
              </w:rPr>
              <w:t>(dollars in thousands)</w:t>
            </w:r>
          </w:p>
        </w:tc>
        <w:tc>
          <w:tcPr>
            <w:tcW w:w="600" w:type="dxa"/>
            <w:vAlign w:val="bottom"/>
            <w:tcBorders>
              <w:bottom w:val="single" w:sz="8" w:color="004483"/>
            </w:tcBorders>
          </w:tcPr>
          <w:p>
            <w:pPr>
              <w:spacing w:after="0"/>
              <w:rPr>
                <w:sz w:val="12"/>
                <w:szCs w:val="12"/>
                <w:color w:val="auto"/>
              </w:rPr>
            </w:pPr>
          </w:p>
        </w:tc>
        <w:tc>
          <w:tcPr>
            <w:tcW w:w="100" w:type="dxa"/>
            <w:vAlign w:val="bottom"/>
          </w:tcPr>
          <w:p>
            <w:pPr>
              <w:spacing w:after="0"/>
              <w:rPr>
                <w:sz w:val="12"/>
                <w:szCs w:val="12"/>
                <w:color w:val="auto"/>
              </w:rPr>
            </w:pPr>
          </w:p>
        </w:tc>
      </w:tr>
      <w:tr>
        <w:trPr>
          <w:trHeight w:val="207"/>
        </w:trPr>
        <w:tc>
          <w:tcPr>
            <w:tcW w:w="7320" w:type="dxa"/>
            <w:vAlign w:val="bottom"/>
            <w:tcBorders>
              <w:bottom w:val="single" w:sz="8" w:color="A6A6A6"/>
            </w:tcBorders>
          </w:tcPr>
          <w:p>
            <w:pPr>
              <w:ind w:left="260"/>
              <w:spacing w:after="0"/>
              <w:rPr>
                <w:sz w:val="20"/>
                <w:szCs w:val="20"/>
                <w:color w:val="auto"/>
              </w:rPr>
            </w:pPr>
            <w:r>
              <w:rPr>
                <w:rFonts w:ascii="Arial" w:cs="Arial" w:eastAsia="Arial" w:hAnsi="Arial"/>
                <w:sz w:val="16"/>
                <w:szCs w:val="16"/>
                <w:color w:val="17385E"/>
              </w:rPr>
              <w:t>Depreciation and Amortization</w:t>
            </w:r>
          </w:p>
        </w:tc>
        <w:tc>
          <w:tcPr>
            <w:tcW w:w="440" w:type="dxa"/>
            <w:vAlign w:val="bottom"/>
            <w:tcBorders>
              <w:bottom w:val="single" w:sz="8" w:color="A6A6A6"/>
            </w:tcBorders>
          </w:tcPr>
          <w:p>
            <w:pPr>
              <w:jc w:val="right"/>
              <w:ind w:right="28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7"/>
                <w:szCs w:val="17"/>
                <w:color w:val="auto"/>
              </w:rPr>
            </w:pPr>
          </w:p>
        </w:tc>
        <w:tc>
          <w:tcPr>
            <w:tcW w:w="1360" w:type="dxa"/>
            <w:vAlign w:val="bottom"/>
            <w:tcBorders>
              <w:bottom w:val="single" w:sz="8" w:color="A6A6A6"/>
            </w:tcBorders>
          </w:tcPr>
          <w:p>
            <w:pPr>
              <w:jc w:val="right"/>
              <w:ind w:right="101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7,642</w:t>
            </w:r>
          </w:p>
        </w:tc>
        <w:tc>
          <w:tcPr>
            <w:tcW w:w="100" w:type="dxa"/>
            <w:vAlign w:val="bottom"/>
          </w:tcPr>
          <w:p>
            <w:pPr>
              <w:spacing w:after="0"/>
              <w:rPr>
                <w:sz w:val="17"/>
                <w:szCs w:val="17"/>
                <w:color w:val="auto"/>
              </w:rPr>
            </w:pPr>
          </w:p>
        </w:tc>
      </w:tr>
      <w:tr>
        <w:trPr>
          <w:trHeight w:val="209"/>
        </w:trPr>
        <w:tc>
          <w:tcPr>
            <w:tcW w:w="7320" w:type="dxa"/>
            <w:vAlign w:val="bottom"/>
          </w:tcPr>
          <w:p>
            <w:pPr>
              <w:ind w:left="260"/>
              <w:spacing w:after="0"/>
              <w:rPr>
                <w:sz w:val="20"/>
                <w:szCs w:val="20"/>
                <w:color w:val="auto"/>
              </w:rPr>
            </w:pPr>
            <w:r>
              <w:rPr>
                <w:rFonts w:ascii="Arial" w:cs="Arial" w:eastAsia="Arial" w:hAnsi="Arial"/>
                <w:sz w:val="16"/>
                <w:szCs w:val="16"/>
                <w:color w:val="17385E"/>
              </w:rPr>
              <w:t>Gain on Sale</w:t>
            </w:r>
          </w:p>
        </w:tc>
        <w:tc>
          <w:tcPr>
            <w:tcW w:w="4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6"/>
                <w:szCs w:val="16"/>
                <w:color w:val="auto"/>
              </w:rPr>
              <w:t>(9,230)</w:t>
            </w:r>
          </w:p>
        </w:tc>
        <w:tc>
          <w:tcPr>
            <w:tcW w:w="13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9"/>
        </w:trPr>
        <w:tc>
          <w:tcPr>
            <w:tcW w:w="7320" w:type="dxa"/>
            <w:vAlign w:val="bottom"/>
            <w:tcBorders>
              <w:top w:val="single" w:sz="8" w:color="A6A6A6"/>
              <w:bottom w:val="single" w:sz="8" w:color="A6A6A6"/>
            </w:tcBorders>
          </w:tcPr>
          <w:p>
            <w:pPr>
              <w:ind w:left="260"/>
              <w:spacing w:after="0"/>
              <w:rPr>
                <w:sz w:val="20"/>
                <w:szCs w:val="20"/>
                <w:color w:val="auto"/>
              </w:rPr>
            </w:pPr>
            <w:r>
              <w:rPr>
                <w:rFonts w:ascii="Arial" w:cs="Arial" w:eastAsia="Arial" w:hAnsi="Arial"/>
                <w:sz w:val="16"/>
                <w:szCs w:val="16"/>
                <w:color w:val="17385E"/>
              </w:rPr>
              <w:t>Net Change in Inventory</w:t>
            </w:r>
          </w:p>
        </w:tc>
        <w:tc>
          <w:tcPr>
            <w:tcW w:w="440" w:type="dxa"/>
            <w:vAlign w:val="bottom"/>
            <w:tcBorders>
              <w:top w:val="single" w:sz="8" w:color="A6A6A6"/>
              <w:bottom w:val="single" w:sz="8" w:color="A6A6A6"/>
            </w:tcBorders>
          </w:tcPr>
          <w:p>
            <w:pPr>
              <w:spacing w:after="0"/>
              <w:rPr>
                <w:sz w:val="18"/>
                <w:szCs w:val="18"/>
                <w:color w:val="auto"/>
              </w:rPr>
            </w:pPr>
          </w:p>
        </w:tc>
        <w:tc>
          <w:tcPr>
            <w:tcW w:w="13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60" w:type="dxa"/>
            <w:vAlign w:val="bottom"/>
            <w:tcBorders>
              <w:top w:val="single" w:sz="8" w:color="A6A6A6"/>
              <w:bottom w:val="single" w:sz="8" w:color="A6A6A6"/>
            </w:tcBorders>
          </w:tcPr>
          <w:p>
            <w:pPr>
              <w:spacing w:after="0"/>
              <w:rPr>
                <w:sz w:val="18"/>
                <w:szCs w:val="18"/>
                <w:color w:val="auto"/>
              </w:rPr>
            </w:pPr>
          </w:p>
        </w:tc>
        <w:tc>
          <w:tcPr>
            <w:tcW w:w="6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1,892</w:t>
            </w:r>
          </w:p>
        </w:tc>
        <w:tc>
          <w:tcPr>
            <w:tcW w:w="100" w:type="dxa"/>
            <w:vAlign w:val="bottom"/>
          </w:tcPr>
          <w:p>
            <w:pPr>
              <w:spacing w:after="0"/>
              <w:rPr>
                <w:sz w:val="18"/>
                <w:szCs w:val="18"/>
                <w:color w:val="auto"/>
              </w:rPr>
            </w:pPr>
          </w:p>
        </w:tc>
      </w:tr>
      <w:tr>
        <w:trPr>
          <w:trHeight w:val="209"/>
        </w:trPr>
        <w:tc>
          <w:tcPr>
            <w:tcW w:w="7320" w:type="dxa"/>
            <w:vAlign w:val="bottom"/>
            <w:tcBorders>
              <w:bottom w:val="single" w:sz="8" w:color="A6A6A6"/>
            </w:tcBorders>
          </w:tcPr>
          <w:p>
            <w:pPr>
              <w:ind w:left="260"/>
              <w:spacing w:after="0"/>
              <w:rPr>
                <w:sz w:val="20"/>
                <w:szCs w:val="20"/>
                <w:color w:val="auto"/>
              </w:rPr>
            </w:pPr>
            <w:r>
              <w:rPr>
                <w:rFonts w:ascii="Arial" w:cs="Arial" w:eastAsia="Arial" w:hAnsi="Arial"/>
                <w:sz w:val="16"/>
                <w:szCs w:val="16"/>
                <w:color w:val="17385E"/>
              </w:rPr>
              <w:t>Capital Expenditures</w:t>
            </w:r>
          </w:p>
        </w:tc>
        <w:tc>
          <w:tcPr>
            <w:tcW w:w="440" w:type="dxa"/>
            <w:vAlign w:val="bottom"/>
            <w:tcBorders>
              <w:bottom w:val="single" w:sz="8" w:color="A6A6A6"/>
            </w:tcBorders>
          </w:tcPr>
          <w:p>
            <w:pPr>
              <w:spacing w:after="0"/>
              <w:rPr>
                <w:sz w:val="18"/>
                <w:szCs w:val="18"/>
                <w:color w:val="auto"/>
              </w:rPr>
            </w:pPr>
          </w:p>
        </w:tc>
        <w:tc>
          <w:tcPr>
            <w:tcW w:w="13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60" w:type="dxa"/>
            <w:vAlign w:val="bottom"/>
            <w:tcBorders>
              <w:bottom w:val="single" w:sz="8" w:color="A6A6A6"/>
            </w:tcBorders>
          </w:tcPr>
          <w:p>
            <w:pPr>
              <w:spacing w:after="0"/>
              <w:rPr>
                <w:sz w:val="18"/>
                <w:szCs w:val="18"/>
                <w:color w:val="auto"/>
              </w:rPr>
            </w:pPr>
          </w:p>
        </w:tc>
        <w:tc>
          <w:tcPr>
            <w:tcW w:w="6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assets and liabilities attributable to discontinued operations, which were included in our balance sheet 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shd w:val="clear" w:color="auto" w:fill="004483"/>
          </w:tcPr>
          <w:p>
            <w:pPr>
              <w:spacing w:after="0"/>
              <w:rPr>
                <w:sz w:val="19"/>
                <w:szCs w:val="19"/>
                <w:color w:val="auto"/>
              </w:rPr>
            </w:pPr>
          </w:p>
        </w:tc>
        <w:tc>
          <w:tcPr>
            <w:tcW w:w="1660" w:type="dxa"/>
            <w:vAlign w:val="bottom"/>
            <w:gridSpan w:val="2"/>
            <w:shd w:val="clear" w:color="auto" w:fill="004483"/>
          </w:tcPr>
          <w:p>
            <w:pPr>
              <w:jc w:val="right"/>
              <w:ind w:right="140"/>
              <w:spacing w:after="0"/>
              <w:rPr>
                <w:sz w:val="20"/>
                <w:szCs w:val="20"/>
                <w:color w:val="auto"/>
              </w:rPr>
            </w:pPr>
            <w:r>
              <w:rPr>
                <w:rFonts w:ascii="Arial" w:cs="Arial" w:eastAsia="Arial" w:hAnsi="Arial"/>
                <w:sz w:val="13"/>
                <w:szCs w:val="13"/>
                <w:b w:val="1"/>
                <w:bCs w:val="1"/>
                <w:color w:val="FFFFFF"/>
              </w:rPr>
              <w:t>March 31,</w:t>
            </w:r>
          </w:p>
        </w:tc>
      </w:tr>
      <w:tr>
        <w:trPr>
          <w:trHeight w:val="161"/>
        </w:trPr>
        <w:tc>
          <w:tcPr>
            <w:tcW w:w="9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4"/>
                <w:szCs w:val="14"/>
                <w:color w:val="auto"/>
              </w:rPr>
            </w:pPr>
          </w:p>
        </w:tc>
      </w:tr>
      <w:tr>
        <w:trPr>
          <w:trHeight w:val="149"/>
        </w:trPr>
        <w:tc>
          <w:tcPr>
            <w:tcW w:w="9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tcPr>
          <w:p>
            <w:pPr>
              <w:jc w:val="right"/>
              <w:ind w:right="440"/>
              <w:spacing w:after="0"/>
              <w:rPr>
                <w:sz w:val="20"/>
                <w:szCs w:val="20"/>
                <w:color w:val="auto"/>
              </w:rPr>
            </w:pPr>
            <w:r>
              <w:rPr>
                <w:rFonts w:ascii="Arial" w:cs="Arial" w:eastAsia="Arial" w:hAnsi="Arial"/>
                <w:sz w:val="13"/>
                <w:szCs w:val="13"/>
                <w:color w:val="auto"/>
                <w:w w:val="96"/>
              </w:rPr>
              <w:t>(dollars in thousands)</w:t>
            </w:r>
          </w:p>
        </w:tc>
      </w:tr>
      <w:tr>
        <w:trPr>
          <w:trHeight w:val="207"/>
        </w:trPr>
        <w:tc>
          <w:tcPr>
            <w:tcW w:w="9400" w:type="dxa"/>
            <w:vAlign w:val="bottom"/>
            <w:tcBorders>
              <w:top w:val="single" w:sz="8" w:color="004483"/>
              <w:bottom w:val="single" w:sz="8" w:color="A6A6A6"/>
            </w:tcBorders>
          </w:tcPr>
          <w:p>
            <w:pPr>
              <w:spacing w:after="0"/>
              <w:rPr>
                <w:sz w:val="20"/>
                <w:szCs w:val="20"/>
                <w:color w:val="auto"/>
              </w:rPr>
            </w:pPr>
            <w:r>
              <w:rPr>
                <w:rFonts w:ascii="Arial" w:cs="Arial" w:eastAsia="Arial" w:hAnsi="Arial"/>
                <w:sz w:val="16"/>
                <w:szCs w:val="16"/>
                <w:b w:val="1"/>
                <w:bCs w:val="1"/>
                <w:color w:val="auto"/>
              </w:rPr>
              <w:t>ASSETS</w:t>
            </w:r>
          </w:p>
        </w:tc>
        <w:tc>
          <w:tcPr>
            <w:tcW w:w="20" w:type="dxa"/>
            <w:vAlign w:val="bottom"/>
            <w:tcBorders>
              <w:top w:val="single" w:sz="8" w:color="004483"/>
              <w:bottom w:val="single" w:sz="8" w:color="A6A6A6"/>
            </w:tcBorders>
          </w:tcPr>
          <w:p>
            <w:pPr>
              <w:spacing w:after="0"/>
              <w:rPr>
                <w:sz w:val="17"/>
                <w:szCs w:val="17"/>
                <w:color w:val="auto"/>
              </w:rPr>
            </w:pPr>
          </w:p>
        </w:tc>
        <w:tc>
          <w:tcPr>
            <w:tcW w:w="160" w:type="dxa"/>
            <w:vAlign w:val="bottom"/>
            <w:tcBorders>
              <w:top w:val="single" w:sz="8" w:color="004483"/>
              <w:bottom w:val="single" w:sz="8" w:color="A6A6A6"/>
            </w:tcBorders>
          </w:tcPr>
          <w:p>
            <w:pPr>
              <w:spacing w:after="0"/>
              <w:rPr>
                <w:sz w:val="17"/>
                <w:szCs w:val="17"/>
                <w:color w:val="auto"/>
              </w:rPr>
            </w:pPr>
          </w:p>
        </w:tc>
        <w:tc>
          <w:tcPr>
            <w:tcW w:w="1540" w:type="dxa"/>
            <w:vAlign w:val="bottom"/>
            <w:tcBorders>
              <w:top w:val="single" w:sz="8" w:color="004483"/>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9400" w:type="dxa"/>
            <w:vAlign w:val="bottom"/>
            <w:tcBorders>
              <w:bottom w:val="single" w:sz="8" w:color="A6A6A6"/>
            </w:tcBorders>
          </w:tcPr>
          <w:p>
            <w:pPr>
              <w:spacing w:after="0"/>
              <w:rPr>
                <w:sz w:val="20"/>
                <w:szCs w:val="20"/>
                <w:color w:val="auto"/>
              </w:rPr>
            </w:pPr>
            <w:r>
              <w:rPr>
                <w:rFonts w:ascii="Arial" w:cs="Arial" w:eastAsia="Arial" w:hAnsi="Arial"/>
                <w:sz w:val="16"/>
                <w:szCs w:val="16"/>
                <w:color w:val="004483"/>
              </w:rPr>
              <w:t>Accounts and Notes Receivable</w:t>
            </w:r>
          </w:p>
        </w:tc>
        <w:tc>
          <w:tcPr>
            <w:tcW w:w="180" w:type="dxa"/>
            <w:vAlign w:val="bottom"/>
            <w:tcBorders>
              <w:bottom w:val="single" w:sz="8" w:color="A6A6A6"/>
            </w:tcBorders>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9,019</w:t>
            </w:r>
          </w:p>
        </w:tc>
        <w:tc>
          <w:tcPr>
            <w:tcW w:w="120" w:type="dxa"/>
            <w:vAlign w:val="bottom"/>
          </w:tcPr>
          <w:p>
            <w:pPr>
              <w:spacing w:after="0"/>
              <w:rPr>
                <w:sz w:val="18"/>
                <w:szCs w:val="18"/>
                <w:color w:val="auto"/>
              </w:rPr>
            </w:pPr>
          </w:p>
        </w:tc>
      </w:tr>
      <w:tr>
        <w:trPr>
          <w:trHeight w:val="210"/>
        </w:trPr>
        <w:tc>
          <w:tcPr>
            <w:tcW w:w="9400" w:type="dxa"/>
            <w:vAlign w:val="bottom"/>
          </w:tcPr>
          <w:p>
            <w:pPr>
              <w:spacing w:after="0"/>
              <w:rPr>
                <w:sz w:val="20"/>
                <w:szCs w:val="20"/>
                <w:color w:val="auto"/>
              </w:rPr>
            </w:pPr>
            <w:r>
              <w:rPr>
                <w:rFonts w:ascii="Arial" w:cs="Arial" w:eastAsia="Arial" w:hAnsi="Arial"/>
                <w:sz w:val="16"/>
                <w:szCs w:val="16"/>
                <w:color w:val="004483"/>
              </w:rPr>
              <w:t>Allowance for Doubtful Accounts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6"/>
                <w:szCs w:val="16"/>
                <w:color w:val="auto"/>
              </w:rPr>
              <w:t>(3,041)</w:t>
            </w:r>
          </w:p>
        </w:tc>
      </w:tr>
      <w:tr>
        <w:trPr>
          <w:trHeight w:val="210"/>
        </w:trPr>
        <w:tc>
          <w:tcPr>
            <w:tcW w:w="940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6"/>
                <w:szCs w:val="16"/>
                <w:color w:val="004483"/>
              </w:rPr>
              <w:t>Inventories</w:t>
            </w:r>
          </w:p>
        </w:tc>
        <w:tc>
          <w:tcPr>
            <w:tcW w:w="20" w:type="dxa"/>
            <w:vAlign w:val="bottom"/>
            <w:tcBorders>
              <w:top w:val="single" w:sz="8" w:color="A6A6A6"/>
              <w:bottom w:val="single" w:sz="8" w:color="A6A6A6"/>
            </w:tcBorders>
          </w:tcPr>
          <w:p>
            <w:pPr>
              <w:spacing w:after="0"/>
              <w:rPr>
                <w:sz w:val="18"/>
                <w:szCs w:val="18"/>
                <w:color w:val="auto"/>
              </w:rPr>
            </w:pPr>
          </w:p>
        </w:tc>
        <w:tc>
          <w:tcPr>
            <w:tcW w:w="160" w:type="dxa"/>
            <w:vAlign w:val="bottom"/>
            <w:tcBorders>
              <w:top w:val="single" w:sz="8" w:color="A6A6A6"/>
              <w:bottom w:val="single" w:sz="8" w:color="A6A6A6"/>
            </w:tcBorders>
          </w:tcPr>
          <w:p>
            <w:pPr>
              <w:spacing w:after="0"/>
              <w:rPr>
                <w:sz w:val="18"/>
                <w:szCs w:val="18"/>
                <w:color w:val="auto"/>
              </w:rPr>
            </w:pPr>
          </w:p>
        </w:tc>
        <w:tc>
          <w:tcPr>
            <w:tcW w:w="15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387</w:t>
            </w:r>
          </w:p>
        </w:tc>
        <w:tc>
          <w:tcPr>
            <w:tcW w:w="120" w:type="dxa"/>
            <w:vAlign w:val="bottom"/>
          </w:tcPr>
          <w:p>
            <w:pPr>
              <w:spacing w:after="0"/>
              <w:rPr>
                <w:sz w:val="18"/>
                <w:szCs w:val="18"/>
                <w:color w:val="auto"/>
              </w:rPr>
            </w:pPr>
          </w:p>
        </w:tc>
      </w:tr>
      <w:tr>
        <w:trPr>
          <w:trHeight w:val="209"/>
        </w:trPr>
        <w:tc>
          <w:tcPr>
            <w:tcW w:w="9400" w:type="dxa"/>
            <w:vAlign w:val="bottom"/>
            <w:tcBorders>
              <w:bottom w:val="single" w:sz="8" w:color="A6A6A6"/>
            </w:tcBorders>
          </w:tcPr>
          <w:p>
            <w:pPr>
              <w:spacing w:after="0"/>
              <w:rPr>
                <w:sz w:val="20"/>
                <w:szCs w:val="20"/>
                <w:color w:val="auto"/>
              </w:rPr>
            </w:pPr>
            <w:r>
              <w:rPr>
                <w:rFonts w:ascii="Arial" w:cs="Arial" w:eastAsia="Arial" w:hAnsi="Arial"/>
                <w:sz w:val="16"/>
                <w:szCs w:val="16"/>
                <w:color w:val="004483"/>
              </w:rPr>
              <w:t>Prepaid and Other Assets</w:t>
            </w:r>
          </w:p>
        </w:tc>
        <w:tc>
          <w:tcPr>
            <w:tcW w:w="20" w:type="dxa"/>
            <w:vAlign w:val="bottom"/>
            <w:tcBorders>
              <w:bottom w:val="single" w:sz="8" w:color="A6A6A6"/>
            </w:tcBorders>
          </w:tcPr>
          <w:p>
            <w:pPr>
              <w:spacing w:after="0"/>
              <w:rPr>
                <w:sz w:val="18"/>
                <w:szCs w:val="18"/>
                <w:color w:val="auto"/>
              </w:rPr>
            </w:pPr>
          </w:p>
        </w:tc>
        <w:tc>
          <w:tcPr>
            <w:tcW w:w="160" w:type="dxa"/>
            <w:vAlign w:val="bottom"/>
            <w:tcBorders>
              <w:bottom w:val="single" w:sz="8" w:color="004483"/>
            </w:tcBorders>
          </w:tcPr>
          <w:p>
            <w:pPr>
              <w:spacing w:after="0"/>
              <w:rPr>
                <w:sz w:val="18"/>
                <w:szCs w:val="18"/>
                <w:color w:val="auto"/>
              </w:rPr>
            </w:pPr>
          </w:p>
        </w:tc>
        <w:tc>
          <w:tcPr>
            <w:tcW w:w="15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727</w:t>
            </w:r>
          </w:p>
        </w:tc>
        <w:tc>
          <w:tcPr>
            <w:tcW w:w="120" w:type="dxa"/>
            <w:vAlign w:val="bottom"/>
          </w:tcPr>
          <w:p>
            <w:pPr>
              <w:spacing w:after="0"/>
              <w:rPr>
                <w:sz w:val="18"/>
                <w:szCs w:val="18"/>
                <w:color w:val="auto"/>
              </w:rPr>
            </w:pPr>
          </w:p>
        </w:tc>
      </w:tr>
      <w:tr>
        <w:trPr>
          <w:trHeight w:val="210"/>
        </w:trPr>
        <w:tc>
          <w:tcPr>
            <w:tcW w:w="9400" w:type="dxa"/>
            <w:vAlign w:val="bottom"/>
            <w:tcBorders>
              <w:bottom w:val="single" w:sz="8" w:color="A6A6A6"/>
            </w:tcBorders>
          </w:tcPr>
          <w:p>
            <w:pPr>
              <w:ind w:left="260"/>
              <w:spacing w:after="0"/>
              <w:rPr>
                <w:sz w:val="20"/>
                <w:szCs w:val="20"/>
                <w:color w:val="auto"/>
              </w:rPr>
            </w:pPr>
            <w:r>
              <w:rPr>
                <w:rFonts w:ascii="Arial" w:cs="Arial" w:eastAsia="Arial" w:hAnsi="Arial"/>
                <w:sz w:val="16"/>
                <w:szCs w:val="16"/>
                <w:color w:val="004483"/>
              </w:rPr>
              <w:t>Total Current Assets</w:t>
            </w:r>
          </w:p>
        </w:tc>
        <w:tc>
          <w:tcPr>
            <w:tcW w:w="20" w:type="dxa"/>
            <w:vAlign w:val="bottom"/>
            <w:tcBorders>
              <w:bottom w:val="single" w:sz="8" w:color="A6A6A6"/>
            </w:tcBorders>
          </w:tcPr>
          <w:p>
            <w:pPr>
              <w:spacing w:after="0"/>
              <w:rPr>
                <w:sz w:val="18"/>
                <w:szCs w:val="18"/>
                <w:color w:val="auto"/>
              </w:rPr>
            </w:pPr>
          </w:p>
        </w:tc>
        <w:tc>
          <w:tcPr>
            <w:tcW w:w="160" w:type="dxa"/>
            <w:vAlign w:val="bottom"/>
            <w:tcBorders>
              <w:bottom w:val="single" w:sz="8" w:color="004483"/>
            </w:tcBorders>
          </w:tcPr>
          <w:p>
            <w:pPr>
              <w:spacing w:after="0"/>
              <w:rPr>
                <w:sz w:val="18"/>
                <w:szCs w:val="18"/>
                <w:color w:val="auto"/>
              </w:rPr>
            </w:pPr>
          </w:p>
        </w:tc>
        <w:tc>
          <w:tcPr>
            <w:tcW w:w="15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7,092</w:t>
            </w:r>
          </w:p>
        </w:tc>
        <w:tc>
          <w:tcPr>
            <w:tcW w:w="120" w:type="dxa"/>
            <w:vAlign w:val="bottom"/>
          </w:tcPr>
          <w:p>
            <w:pPr>
              <w:spacing w:after="0"/>
              <w:rPr>
                <w:sz w:val="18"/>
                <w:szCs w:val="18"/>
                <w:color w:val="auto"/>
              </w:rPr>
            </w:pPr>
          </w:p>
        </w:tc>
      </w:tr>
      <w:tr>
        <w:trPr>
          <w:trHeight w:val="210"/>
        </w:trPr>
        <w:tc>
          <w:tcPr>
            <w:tcW w:w="9400" w:type="dxa"/>
            <w:vAlign w:val="bottom"/>
            <w:tcBorders>
              <w:bottom w:val="single" w:sz="8" w:color="A6A6A6"/>
            </w:tcBorders>
          </w:tcPr>
          <w:p>
            <w:pPr>
              <w:spacing w:after="0"/>
              <w:rPr>
                <w:sz w:val="20"/>
                <w:szCs w:val="20"/>
                <w:color w:val="auto"/>
              </w:rPr>
            </w:pPr>
            <w:r>
              <w:rPr>
                <w:rFonts w:ascii="Arial" w:cs="Arial" w:eastAsia="Arial" w:hAnsi="Arial"/>
                <w:sz w:val="16"/>
                <w:szCs w:val="16"/>
                <w:color w:val="004483"/>
              </w:rPr>
              <w:t>Property, Plant, and Equipment, net</w:t>
            </w:r>
          </w:p>
        </w:tc>
        <w:tc>
          <w:tcPr>
            <w:tcW w:w="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15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5,692</w:t>
            </w:r>
          </w:p>
        </w:tc>
        <w:tc>
          <w:tcPr>
            <w:tcW w:w="120" w:type="dxa"/>
            <w:vAlign w:val="bottom"/>
          </w:tcPr>
          <w:p>
            <w:pPr>
              <w:spacing w:after="0"/>
              <w:rPr>
                <w:sz w:val="18"/>
                <w:szCs w:val="18"/>
                <w:color w:val="auto"/>
              </w:rPr>
            </w:pPr>
          </w:p>
        </w:tc>
      </w:tr>
      <w:tr>
        <w:trPr>
          <w:trHeight w:val="209"/>
        </w:trPr>
        <w:tc>
          <w:tcPr>
            <w:tcW w:w="9400" w:type="dxa"/>
            <w:vAlign w:val="bottom"/>
            <w:tcBorders>
              <w:bottom w:val="single" w:sz="8" w:color="A6A6A6"/>
            </w:tcBorders>
          </w:tcPr>
          <w:p>
            <w:pPr>
              <w:spacing w:after="0"/>
              <w:rPr>
                <w:sz w:val="20"/>
                <w:szCs w:val="20"/>
                <w:color w:val="auto"/>
              </w:rPr>
            </w:pPr>
            <w:r>
              <w:rPr>
                <w:rFonts w:ascii="Arial" w:cs="Arial" w:eastAsia="Arial" w:hAnsi="Arial"/>
                <w:sz w:val="16"/>
                <w:szCs w:val="16"/>
                <w:color w:val="004483"/>
              </w:rPr>
              <w:t>Operating Lease Right-of-Use Assets</w:t>
            </w:r>
          </w:p>
        </w:tc>
        <w:tc>
          <w:tcPr>
            <w:tcW w:w="20" w:type="dxa"/>
            <w:vAlign w:val="bottom"/>
            <w:tcBorders>
              <w:bottom w:val="single" w:sz="8" w:color="A6A6A6"/>
            </w:tcBorders>
          </w:tcPr>
          <w:p>
            <w:pPr>
              <w:spacing w:after="0"/>
              <w:rPr>
                <w:sz w:val="18"/>
                <w:szCs w:val="18"/>
                <w:color w:val="auto"/>
              </w:rPr>
            </w:pPr>
          </w:p>
        </w:tc>
        <w:tc>
          <w:tcPr>
            <w:tcW w:w="160" w:type="dxa"/>
            <w:vAlign w:val="bottom"/>
            <w:tcBorders>
              <w:bottom w:val="single" w:sz="8" w:color="004483"/>
            </w:tcBorders>
          </w:tcPr>
          <w:p>
            <w:pPr>
              <w:spacing w:after="0"/>
              <w:rPr>
                <w:sz w:val="18"/>
                <w:szCs w:val="18"/>
                <w:color w:val="auto"/>
              </w:rPr>
            </w:pPr>
          </w:p>
        </w:tc>
        <w:tc>
          <w:tcPr>
            <w:tcW w:w="15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1,047</w:t>
            </w:r>
          </w:p>
        </w:tc>
        <w:tc>
          <w:tcPr>
            <w:tcW w:w="120" w:type="dxa"/>
            <w:vAlign w:val="bottom"/>
          </w:tcPr>
          <w:p>
            <w:pPr>
              <w:spacing w:after="0"/>
              <w:rPr>
                <w:sz w:val="18"/>
                <w:szCs w:val="18"/>
                <w:color w:val="auto"/>
              </w:rPr>
            </w:pPr>
          </w:p>
        </w:tc>
      </w:tr>
      <w:tr>
        <w:trPr>
          <w:trHeight w:val="210"/>
        </w:trPr>
        <w:tc>
          <w:tcPr>
            <w:tcW w:w="9400" w:type="dxa"/>
            <w:vAlign w:val="bottom"/>
            <w:tcBorders>
              <w:bottom w:val="single" w:sz="8" w:color="A6A6A6"/>
            </w:tcBorders>
          </w:tcPr>
          <w:p>
            <w:pPr>
              <w:ind w:left="260"/>
              <w:spacing w:after="0"/>
              <w:rPr>
                <w:sz w:val="20"/>
                <w:szCs w:val="20"/>
                <w:color w:val="auto"/>
              </w:rPr>
            </w:pPr>
            <w:r>
              <w:rPr>
                <w:rFonts w:ascii="Arial" w:cs="Arial" w:eastAsia="Arial" w:hAnsi="Arial"/>
                <w:sz w:val="16"/>
                <w:szCs w:val="16"/>
                <w:color w:val="004483"/>
              </w:rPr>
              <w:t>Total Noncurrent Assets</w:t>
            </w:r>
          </w:p>
        </w:tc>
        <w:tc>
          <w:tcPr>
            <w:tcW w:w="20" w:type="dxa"/>
            <w:vAlign w:val="bottom"/>
            <w:tcBorders>
              <w:bottom w:val="single" w:sz="8" w:color="A6A6A6"/>
            </w:tcBorders>
          </w:tcPr>
          <w:p>
            <w:pPr>
              <w:spacing w:after="0"/>
              <w:rPr>
                <w:sz w:val="18"/>
                <w:szCs w:val="18"/>
                <w:color w:val="auto"/>
              </w:rPr>
            </w:pPr>
          </w:p>
        </w:tc>
        <w:tc>
          <w:tcPr>
            <w:tcW w:w="160" w:type="dxa"/>
            <w:vAlign w:val="bottom"/>
            <w:tcBorders>
              <w:bottom w:val="single" w:sz="8" w:color="004483"/>
            </w:tcBorders>
          </w:tcPr>
          <w:p>
            <w:pPr>
              <w:spacing w:after="0"/>
              <w:rPr>
                <w:sz w:val="18"/>
                <w:szCs w:val="18"/>
                <w:color w:val="auto"/>
              </w:rPr>
            </w:pPr>
          </w:p>
        </w:tc>
        <w:tc>
          <w:tcPr>
            <w:tcW w:w="15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6,739</w:t>
            </w:r>
          </w:p>
        </w:tc>
        <w:tc>
          <w:tcPr>
            <w:tcW w:w="120" w:type="dxa"/>
            <w:vAlign w:val="bottom"/>
          </w:tcPr>
          <w:p>
            <w:pPr>
              <w:spacing w:after="0"/>
              <w:rPr>
                <w:sz w:val="18"/>
                <w:szCs w:val="18"/>
                <w:color w:val="auto"/>
              </w:rPr>
            </w:pPr>
          </w:p>
        </w:tc>
      </w:tr>
      <w:tr>
        <w:trPr>
          <w:trHeight w:val="250"/>
        </w:trPr>
        <w:tc>
          <w:tcPr>
            <w:tcW w:w="9400" w:type="dxa"/>
            <w:vAlign w:val="bottom"/>
            <w:tcBorders>
              <w:bottom w:val="single" w:sz="8" w:color="A6A6A6"/>
            </w:tcBorders>
          </w:tcPr>
          <w:p>
            <w:pPr>
              <w:spacing w:after="0"/>
              <w:rPr>
                <w:sz w:val="21"/>
                <w:szCs w:val="21"/>
                <w:color w:val="auto"/>
              </w:rPr>
            </w:pPr>
          </w:p>
        </w:tc>
        <w:tc>
          <w:tcPr>
            <w:tcW w:w="20" w:type="dxa"/>
            <w:vAlign w:val="bottom"/>
            <w:tcBorders>
              <w:bottom w:val="single" w:sz="8" w:color="A6A6A6"/>
            </w:tcBorders>
          </w:tcPr>
          <w:p>
            <w:pPr>
              <w:spacing w:after="0"/>
              <w:rPr>
                <w:sz w:val="21"/>
                <w:szCs w:val="21"/>
                <w:color w:val="auto"/>
              </w:rPr>
            </w:pPr>
          </w:p>
        </w:tc>
        <w:tc>
          <w:tcPr>
            <w:tcW w:w="160" w:type="dxa"/>
            <w:vAlign w:val="bottom"/>
            <w:tcBorders>
              <w:bottom w:val="single" w:sz="8" w:color="004483"/>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15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13,831</w:t>
            </w:r>
          </w:p>
        </w:tc>
        <w:tc>
          <w:tcPr>
            <w:tcW w:w="120" w:type="dxa"/>
            <w:vAlign w:val="bottom"/>
          </w:tcPr>
          <w:p>
            <w:pPr>
              <w:spacing w:after="0"/>
              <w:rPr>
                <w:sz w:val="21"/>
                <w:szCs w:val="21"/>
                <w:color w:val="auto"/>
              </w:rPr>
            </w:pPr>
          </w:p>
        </w:tc>
      </w:tr>
      <w:tr>
        <w:trPr>
          <w:trHeight w:val="199"/>
        </w:trPr>
        <w:tc>
          <w:tcPr>
            <w:tcW w:w="9400" w:type="dxa"/>
            <w:vAlign w:val="bottom"/>
            <w:tcBorders>
              <w:bottom w:val="single" w:sz="8" w:color="A6A6A6"/>
            </w:tcBorders>
          </w:tcPr>
          <w:p>
            <w:pPr>
              <w:spacing w:after="0"/>
              <w:rPr>
                <w:sz w:val="17"/>
                <w:szCs w:val="17"/>
                <w:color w:val="auto"/>
              </w:rPr>
            </w:pPr>
          </w:p>
        </w:tc>
        <w:tc>
          <w:tcPr>
            <w:tcW w:w="20" w:type="dxa"/>
            <w:vAlign w:val="bottom"/>
            <w:tcBorders>
              <w:bottom w:val="single" w:sz="8" w:color="A6A6A6"/>
            </w:tcBorders>
          </w:tcPr>
          <w:p>
            <w:pPr>
              <w:spacing w:after="0"/>
              <w:rPr>
                <w:sz w:val="17"/>
                <w:szCs w:val="17"/>
                <w:color w:val="auto"/>
              </w:rPr>
            </w:pPr>
          </w:p>
        </w:tc>
        <w:tc>
          <w:tcPr>
            <w:tcW w:w="160" w:type="dxa"/>
            <w:vAlign w:val="bottom"/>
            <w:tcBorders>
              <w:bottom w:val="single" w:sz="8" w:color="A6A6A6"/>
            </w:tcBorders>
          </w:tcPr>
          <w:p>
            <w:pPr>
              <w:spacing w:after="0"/>
              <w:rPr>
                <w:sz w:val="17"/>
                <w:szCs w:val="17"/>
                <w:color w:val="auto"/>
              </w:rPr>
            </w:pPr>
          </w:p>
        </w:tc>
        <w:tc>
          <w:tcPr>
            <w:tcW w:w="1540" w:type="dxa"/>
            <w:vAlign w:val="bottom"/>
            <w:tcBorders>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r>
      <w:tr>
        <w:trPr>
          <w:trHeight w:val="207"/>
        </w:trPr>
        <w:tc>
          <w:tcPr>
            <w:tcW w:w="9400" w:type="dxa"/>
            <w:vAlign w:val="bottom"/>
            <w:tcBorders>
              <w:bottom w:val="single" w:sz="8" w:color="A6A6A6"/>
            </w:tcBorders>
          </w:tcPr>
          <w:p>
            <w:pPr>
              <w:spacing w:after="0"/>
              <w:rPr>
                <w:sz w:val="20"/>
                <w:szCs w:val="20"/>
                <w:color w:val="auto"/>
              </w:rPr>
            </w:pPr>
            <w:r>
              <w:rPr>
                <w:rFonts w:ascii="Arial" w:cs="Arial" w:eastAsia="Arial" w:hAnsi="Arial"/>
                <w:sz w:val="16"/>
                <w:szCs w:val="16"/>
                <w:b w:val="1"/>
                <w:bCs w:val="1"/>
                <w:color w:val="auto"/>
              </w:rPr>
              <w:t>LIABILITIES</w:t>
            </w:r>
          </w:p>
        </w:tc>
        <w:tc>
          <w:tcPr>
            <w:tcW w:w="20" w:type="dxa"/>
            <w:vAlign w:val="bottom"/>
            <w:tcBorders>
              <w:bottom w:val="single" w:sz="8" w:color="A6A6A6"/>
            </w:tcBorders>
          </w:tcPr>
          <w:p>
            <w:pPr>
              <w:spacing w:after="0"/>
              <w:rPr>
                <w:sz w:val="17"/>
                <w:szCs w:val="17"/>
                <w:color w:val="auto"/>
              </w:rPr>
            </w:pPr>
          </w:p>
        </w:tc>
        <w:tc>
          <w:tcPr>
            <w:tcW w:w="160" w:type="dxa"/>
            <w:vAlign w:val="bottom"/>
            <w:tcBorders>
              <w:bottom w:val="single" w:sz="8" w:color="A6A6A6"/>
            </w:tcBorders>
          </w:tcPr>
          <w:p>
            <w:pPr>
              <w:spacing w:after="0"/>
              <w:rPr>
                <w:sz w:val="17"/>
                <w:szCs w:val="17"/>
                <w:color w:val="auto"/>
              </w:rPr>
            </w:pPr>
          </w:p>
        </w:tc>
        <w:tc>
          <w:tcPr>
            <w:tcW w:w="1540" w:type="dxa"/>
            <w:vAlign w:val="bottom"/>
            <w:tcBorders>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9400" w:type="dxa"/>
            <w:vAlign w:val="bottom"/>
            <w:tcBorders>
              <w:bottom w:val="single" w:sz="8" w:color="A6A6A6"/>
            </w:tcBorders>
          </w:tcPr>
          <w:p>
            <w:pPr>
              <w:spacing w:after="0"/>
              <w:rPr>
                <w:sz w:val="20"/>
                <w:szCs w:val="20"/>
                <w:color w:val="auto"/>
              </w:rPr>
            </w:pPr>
            <w:r>
              <w:rPr>
                <w:rFonts w:ascii="Arial" w:cs="Arial" w:eastAsia="Arial" w:hAnsi="Arial"/>
                <w:sz w:val="16"/>
                <w:szCs w:val="16"/>
                <w:color w:val="004483"/>
              </w:rPr>
              <w:t>Accounts Payable</w:t>
            </w:r>
          </w:p>
        </w:tc>
        <w:tc>
          <w:tcPr>
            <w:tcW w:w="180" w:type="dxa"/>
            <w:vAlign w:val="bottom"/>
            <w:tcBorders>
              <w:bottom w:val="single" w:sz="8" w:color="A6A6A6"/>
            </w:tcBorders>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2,014</w:t>
            </w:r>
          </w:p>
        </w:tc>
        <w:tc>
          <w:tcPr>
            <w:tcW w:w="120" w:type="dxa"/>
            <w:vAlign w:val="bottom"/>
          </w:tcPr>
          <w:p>
            <w:pPr>
              <w:spacing w:after="0"/>
              <w:rPr>
                <w:sz w:val="18"/>
                <w:szCs w:val="18"/>
                <w:color w:val="auto"/>
              </w:rPr>
            </w:pPr>
          </w:p>
        </w:tc>
      </w:tr>
      <w:tr>
        <w:trPr>
          <w:trHeight w:val="210"/>
        </w:trPr>
        <w:tc>
          <w:tcPr>
            <w:tcW w:w="9400" w:type="dxa"/>
            <w:vAlign w:val="bottom"/>
            <w:tcBorders>
              <w:bottom w:val="single" w:sz="8" w:color="A6A6A6"/>
            </w:tcBorders>
          </w:tcPr>
          <w:p>
            <w:pPr>
              <w:spacing w:after="0"/>
              <w:rPr>
                <w:sz w:val="20"/>
                <w:szCs w:val="20"/>
                <w:color w:val="auto"/>
              </w:rPr>
            </w:pPr>
            <w:r>
              <w:rPr>
                <w:rFonts w:ascii="Arial" w:cs="Arial" w:eastAsia="Arial" w:hAnsi="Arial"/>
                <w:sz w:val="16"/>
                <w:szCs w:val="16"/>
                <w:color w:val="004483"/>
              </w:rPr>
              <w:t>Accrued Liabilities</w:t>
            </w:r>
          </w:p>
        </w:tc>
        <w:tc>
          <w:tcPr>
            <w:tcW w:w="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15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2,851</w:t>
            </w:r>
          </w:p>
        </w:tc>
        <w:tc>
          <w:tcPr>
            <w:tcW w:w="120" w:type="dxa"/>
            <w:vAlign w:val="bottom"/>
          </w:tcPr>
          <w:p>
            <w:pPr>
              <w:spacing w:after="0"/>
              <w:rPr>
                <w:sz w:val="18"/>
                <w:szCs w:val="18"/>
                <w:color w:val="auto"/>
              </w:rPr>
            </w:pPr>
          </w:p>
        </w:tc>
      </w:tr>
      <w:tr>
        <w:trPr>
          <w:trHeight w:val="209"/>
        </w:trPr>
        <w:tc>
          <w:tcPr>
            <w:tcW w:w="9400" w:type="dxa"/>
            <w:vAlign w:val="bottom"/>
            <w:tcBorders>
              <w:bottom w:val="single" w:sz="8" w:color="A6A6A6"/>
            </w:tcBorders>
          </w:tcPr>
          <w:p>
            <w:pPr>
              <w:spacing w:after="0"/>
              <w:rPr>
                <w:sz w:val="20"/>
                <w:szCs w:val="20"/>
                <w:color w:val="auto"/>
              </w:rPr>
            </w:pPr>
            <w:r>
              <w:rPr>
                <w:rFonts w:ascii="Arial" w:cs="Arial" w:eastAsia="Arial" w:hAnsi="Arial"/>
                <w:sz w:val="16"/>
                <w:szCs w:val="16"/>
                <w:color w:val="004483"/>
              </w:rPr>
              <w:t>Operating Lease Liabilities</w:t>
            </w:r>
          </w:p>
        </w:tc>
        <w:tc>
          <w:tcPr>
            <w:tcW w:w="20" w:type="dxa"/>
            <w:vAlign w:val="bottom"/>
            <w:tcBorders>
              <w:bottom w:val="single" w:sz="8" w:color="A6A6A6"/>
            </w:tcBorders>
          </w:tcPr>
          <w:p>
            <w:pPr>
              <w:spacing w:after="0"/>
              <w:rPr>
                <w:sz w:val="18"/>
                <w:szCs w:val="18"/>
                <w:color w:val="auto"/>
              </w:rPr>
            </w:pPr>
          </w:p>
        </w:tc>
        <w:tc>
          <w:tcPr>
            <w:tcW w:w="160" w:type="dxa"/>
            <w:vAlign w:val="bottom"/>
            <w:tcBorders>
              <w:bottom w:val="single" w:sz="8" w:color="004483"/>
            </w:tcBorders>
          </w:tcPr>
          <w:p>
            <w:pPr>
              <w:spacing w:after="0"/>
              <w:rPr>
                <w:sz w:val="18"/>
                <w:szCs w:val="18"/>
                <w:color w:val="auto"/>
              </w:rPr>
            </w:pPr>
          </w:p>
        </w:tc>
        <w:tc>
          <w:tcPr>
            <w:tcW w:w="15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3,622</w:t>
            </w:r>
          </w:p>
        </w:tc>
        <w:tc>
          <w:tcPr>
            <w:tcW w:w="120" w:type="dxa"/>
            <w:vAlign w:val="bottom"/>
          </w:tcPr>
          <w:p>
            <w:pPr>
              <w:spacing w:after="0"/>
              <w:rPr>
                <w:sz w:val="18"/>
                <w:szCs w:val="18"/>
                <w:color w:val="auto"/>
              </w:rPr>
            </w:pPr>
          </w:p>
        </w:tc>
      </w:tr>
      <w:tr>
        <w:trPr>
          <w:trHeight w:val="210"/>
        </w:trPr>
        <w:tc>
          <w:tcPr>
            <w:tcW w:w="9400" w:type="dxa"/>
            <w:vAlign w:val="bottom"/>
            <w:tcBorders>
              <w:bottom w:val="single" w:sz="8" w:color="A6A6A6"/>
            </w:tcBorders>
          </w:tcPr>
          <w:p>
            <w:pPr>
              <w:ind w:left="260"/>
              <w:spacing w:after="0"/>
              <w:rPr>
                <w:sz w:val="20"/>
                <w:szCs w:val="20"/>
                <w:color w:val="auto"/>
              </w:rPr>
            </w:pPr>
            <w:r>
              <w:rPr>
                <w:rFonts w:ascii="Arial" w:cs="Arial" w:eastAsia="Arial" w:hAnsi="Arial"/>
                <w:sz w:val="16"/>
                <w:szCs w:val="16"/>
                <w:color w:val="004483"/>
              </w:rPr>
              <w:t>Total Current Liabilities</w:t>
            </w:r>
          </w:p>
        </w:tc>
        <w:tc>
          <w:tcPr>
            <w:tcW w:w="20" w:type="dxa"/>
            <w:vAlign w:val="bottom"/>
            <w:tcBorders>
              <w:bottom w:val="single" w:sz="8" w:color="A6A6A6"/>
            </w:tcBorders>
          </w:tcPr>
          <w:p>
            <w:pPr>
              <w:spacing w:after="0"/>
              <w:rPr>
                <w:sz w:val="18"/>
                <w:szCs w:val="18"/>
                <w:color w:val="auto"/>
              </w:rPr>
            </w:pPr>
          </w:p>
        </w:tc>
        <w:tc>
          <w:tcPr>
            <w:tcW w:w="160" w:type="dxa"/>
            <w:vAlign w:val="bottom"/>
            <w:tcBorders>
              <w:bottom w:val="single" w:sz="8" w:color="004483"/>
            </w:tcBorders>
          </w:tcPr>
          <w:p>
            <w:pPr>
              <w:spacing w:after="0"/>
              <w:rPr>
                <w:sz w:val="18"/>
                <w:szCs w:val="18"/>
                <w:color w:val="auto"/>
              </w:rPr>
            </w:pPr>
          </w:p>
        </w:tc>
        <w:tc>
          <w:tcPr>
            <w:tcW w:w="15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8,487</w:t>
            </w:r>
          </w:p>
        </w:tc>
        <w:tc>
          <w:tcPr>
            <w:tcW w:w="120" w:type="dxa"/>
            <w:vAlign w:val="bottom"/>
          </w:tcPr>
          <w:p>
            <w:pPr>
              <w:spacing w:after="0"/>
              <w:rPr>
                <w:sz w:val="18"/>
                <w:szCs w:val="18"/>
                <w:color w:val="auto"/>
              </w:rPr>
            </w:pPr>
          </w:p>
        </w:tc>
      </w:tr>
      <w:tr>
        <w:trPr>
          <w:trHeight w:val="209"/>
        </w:trPr>
        <w:tc>
          <w:tcPr>
            <w:tcW w:w="9400" w:type="dxa"/>
            <w:vAlign w:val="bottom"/>
            <w:tcBorders>
              <w:bottom w:val="single" w:sz="8" w:color="A6A6A6"/>
            </w:tcBorders>
          </w:tcPr>
          <w:p>
            <w:pPr>
              <w:spacing w:after="0"/>
              <w:rPr>
                <w:sz w:val="20"/>
                <w:szCs w:val="20"/>
                <w:color w:val="auto"/>
              </w:rPr>
            </w:pPr>
            <w:r>
              <w:rPr>
                <w:rFonts w:ascii="Arial" w:cs="Arial" w:eastAsia="Arial" w:hAnsi="Arial"/>
                <w:sz w:val="16"/>
                <w:szCs w:val="16"/>
                <w:color w:val="004483"/>
              </w:rPr>
              <w:t>Noncurrent Operating Lease Liabilities</w:t>
            </w:r>
          </w:p>
        </w:tc>
        <w:tc>
          <w:tcPr>
            <w:tcW w:w="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15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9,570</w:t>
            </w:r>
          </w:p>
        </w:tc>
        <w:tc>
          <w:tcPr>
            <w:tcW w:w="120" w:type="dxa"/>
            <w:vAlign w:val="bottom"/>
          </w:tcPr>
          <w:p>
            <w:pPr>
              <w:spacing w:after="0"/>
              <w:rPr>
                <w:sz w:val="18"/>
                <w:szCs w:val="18"/>
                <w:color w:val="auto"/>
              </w:rPr>
            </w:pPr>
          </w:p>
        </w:tc>
      </w:tr>
      <w:tr>
        <w:trPr>
          <w:trHeight w:val="210"/>
        </w:trPr>
        <w:tc>
          <w:tcPr>
            <w:tcW w:w="9400" w:type="dxa"/>
            <w:vAlign w:val="bottom"/>
            <w:tcBorders>
              <w:bottom w:val="single" w:sz="8" w:color="A6A6A6"/>
            </w:tcBorders>
          </w:tcPr>
          <w:p>
            <w:pPr>
              <w:spacing w:after="0"/>
              <w:rPr>
                <w:sz w:val="20"/>
                <w:szCs w:val="20"/>
                <w:color w:val="auto"/>
              </w:rPr>
            </w:pPr>
            <w:r>
              <w:rPr>
                <w:rFonts w:ascii="Arial" w:cs="Arial" w:eastAsia="Arial" w:hAnsi="Arial"/>
                <w:sz w:val="16"/>
                <w:szCs w:val="16"/>
                <w:color w:val="004483"/>
              </w:rPr>
              <w:t>Other Long-term Liabilities</w:t>
            </w:r>
          </w:p>
        </w:tc>
        <w:tc>
          <w:tcPr>
            <w:tcW w:w="20" w:type="dxa"/>
            <w:vAlign w:val="bottom"/>
            <w:tcBorders>
              <w:bottom w:val="single" w:sz="8" w:color="A6A6A6"/>
            </w:tcBorders>
          </w:tcPr>
          <w:p>
            <w:pPr>
              <w:spacing w:after="0"/>
              <w:rPr>
                <w:sz w:val="18"/>
                <w:szCs w:val="18"/>
                <w:color w:val="auto"/>
              </w:rPr>
            </w:pPr>
          </w:p>
        </w:tc>
        <w:tc>
          <w:tcPr>
            <w:tcW w:w="160" w:type="dxa"/>
            <w:vAlign w:val="bottom"/>
            <w:tcBorders>
              <w:bottom w:val="single" w:sz="8" w:color="004483"/>
            </w:tcBorders>
          </w:tcPr>
          <w:p>
            <w:pPr>
              <w:spacing w:after="0"/>
              <w:rPr>
                <w:sz w:val="18"/>
                <w:szCs w:val="18"/>
                <w:color w:val="auto"/>
              </w:rPr>
            </w:pPr>
          </w:p>
        </w:tc>
        <w:tc>
          <w:tcPr>
            <w:tcW w:w="15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5,857</w:t>
            </w:r>
          </w:p>
        </w:tc>
        <w:tc>
          <w:tcPr>
            <w:tcW w:w="120" w:type="dxa"/>
            <w:vAlign w:val="bottom"/>
          </w:tcPr>
          <w:p>
            <w:pPr>
              <w:spacing w:after="0"/>
              <w:rPr>
                <w:sz w:val="18"/>
                <w:szCs w:val="18"/>
                <w:color w:val="auto"/>
              </w:rPr>
            </w:pPr>
          </w:p>
        </w:tc>
      </w:tr>
      <w:tr>
        <w:trPr>
          <w:trHeight w:val="210"/>
        </w:trPr>
        <w:tc>
          <w:tcPr>
            <w:tcW w:w="9400" w:type="dxa"/>
            <w:vAlign w:val="bottom"/>
            <w:tcBorders>
              <w:bottom w:val="single" w:sz="8" w:color="A6A6A6"/>
            </w:tcBorders>
          </w:tcPr>
          <w:p>
            <w:pPr>
              <w:ind w:left="260"/>
              <w:spacing w:after="0"/>
              <w:rPr>
                <w:sz w:val="20"/>
                <w:szCs w:val="20"/>
                <w:color w:val="auto"/>
              </w:rPr>
            </w:pPr>
            <w:r>
              <w:rPr>
                <w:rFonts w:ascii="Arial" w:cs="Arial" w:eastAsia="Arial" w:hAnsi="Arial"/>
                <w:sz w:val="16"/>
                <w:szCs w:val="16"/>
                <w:color w:val="004483"/>
              </w:rPr>
              <w:t>Total Noncurrent Liabilities</w:t>
            </w:r>
          </w:p>
        </w:tc>
        <w:tc>
          <w:tcPr>
            <w:tcW w:w="20" w:type="dxa"/>
            <w:vAlign w:val="bottom"/>
            <w:tcBorders>
              <w:bottom w:val="single" w:sz="8" w:color="A6A6A6"/>
            </w:tcBorders>
          </w:tcPr>
          <w:p>
            <w:pPr>
              <w:spacing w:after="0"/>
              <w:rPr>
                <w:sz w:val="18"/>
                <w:szCs w:val="18"/>
                <w:color w:val="auto"/>
              </w:rPr>
            </w:pPr>
          </w:p>
        </w:tc>
        <w:tc>
          <w:tcPr>
            <w:tcW w:w="160" w:type="dxa"/>
            <w:vAlign w:val="bottom"/>
            <w:tcBorders>
              <w:bottom w:val="single" w:sz="8" w:color="004483"/>
            </w:tcBorders>
          </w:tcPr>
          <w:p>
            <w:pPr>
              <w:spacing w:after="0"/>
              <w:rPr>
                <w:sz w:val="18"/>
                <w:szCs w:val="18"/>
                <w:color w:val="auto"/>
              </w:rPr>
            </w:pPr>
          </w:p>
        </w:tc>
        <w:tc>
          <w:tcPr>
            <w:tcW w:w="15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15,427</w:t>
            </w:r>
          </w:p>
        </w:tc>
        <w:tc>
          <w:tcPr>
            <w:tcW w:w="120" w:type="dxa"/>
            <w:vAlign w:val="bottom"/>
          </w:tcPr>
          <w:p>
            <w:pPr>
              <w:spacing w:after="0"/>
              <w:rPr>
                <w:sz w:val="18"/>
                <w:szCs w:val="18"/>
                <w:color w:val="auto"/>
              </w:rPr>
            </w:pPr>
          </w:p>
        </w:tc>
      </w:tr>
      <w:tr>
        <w:trPr>
          <w:trHeight w:val="210"/>
        </w:trPr>
        <w:tc>
          <w:tcPr>
            <w:tcW w:w="9400" w:type="dxa"/>
            <w:vAlign w:val="bottom"/>
          </w:tcPr>
          <w:p>
            <w:pPr>
              <w:spacing w:after="0"/>
              <w:rPr>
                <w:sz w:val="18"/>
                <w:szCs w:val="18"/>
                <w:color w:val="auto"/>
              </w:rPr>
            </w:pPr>
          </w:p>
        </w:tc>
        <w:tc>
          <w:tcPr>
            <w:tcW w:w="20" w:type="dxa"/>
            <w:vAlign w:val="bottom"/>
            <w:tcBorders>
              <w:bottom w:val="single" w:sz="8" w:color="004483"/>
            </w:tcBorders>
          </w:tcPr>
          <w:p>
            <w:pPr>
              <w:spacing w:after="0"/>
              <w:rPr>
                <w:sz w:val="18"/>
                <w:szCs w:val="18"/>
                <w:color w:val="auto"/>
              </w:rPr>
            </w:pPr>
          </w:p>
        </w:tc>
        <w:tc>
          <w:tcPr>
            <w:tcW w:w="160" w:type="dxa"/>
            <w:vAlign w:val="bottom"/>
            <w:tcBorders>
              <w:bottom w:val="single" w:sz="8" w:color="004483"/>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15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23,914</w:t>
            </w:r>
          </w:p>
        </w:tc>
        <w:tc>
          <w:tcPr>
            <w:tcW w:w="120" w:type="dxa"/>
            <w:vAlign w:val="bottom"/>
          </w:tcPr>
          <w:p>
            <w:pPr>
              <w:spacing w:after="0"/>
              <w:rPr>
                <w:sz w:val="18"/>
                <w:szCs w:val="18"/>
                <w:color w:val="auto"/>
              </w:rPr>
            </w:pPr>
          </w:p>
        </w:tc>
      </w:tr>
      <w:tr>
        <w:trPr>
          <w:trHeight w:val="20"/>
        </w:trPr>
        <w:tc>
          <w:tcPr>
            <w:tcW w:w="9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154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Other Dispositions</w:t>
      </w:r>
    </w:p>
    <w:p>
      <w:pPr>
        <w:spacing w:after="0" w:line="149"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color w:val="auto"/>
        </w:rPr>
        <w:t>On April 17, 2020, we sold our Western Aggregates LLC (Western) and Mathews Readymix LLC (Mathews) businesses to Teichert, Inc. for an aggregate purchase price of approximately $93.5 million, subject to certain post-closing adjustments. This sale resulted in a gain of approximately $52.0 million. Western and Mathews were part of our Concrete and Aggregates operating segment, and their results of operations were included in our financial statements for the period from April 1, 2020 through April 17, 2020.</w:t>
      </w:r>
    </w:p>
    <w:p>
      <w:pPr>
        <w:spacing w:after="0" w:line="9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At the date of sale, assets and liabilities included on our balance sheet related to Western and Mathews were approximately $43.8 million and $2.3 million, respectively.</w:t>
      </w:r>
    </w:p>
    <w:p>
      <w:pPr>
        <w:spacing w:after="0" w:line="8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Revenue and Operating Earnings from Western and Mathews, collectively, for the three and six months ended September 30, 2020 and 2019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40" w:type="dxa"/>
            <w:vAlign w:val="bottom"/>
            <w:shd w:val="clear" w:color="auto" w:fill="004483"/>
          </w:tcPr>
          <w:p>
            <w:pPr>
              <w:spacing w:after="0"/>
              <w:rPr>
                <w:sz w:val="19"/>
                <w:szCs w:val="19"/>
                <w:color w:val="auto"/>
              </w:rPr>
            </w:pPr>
          </w:p>
        </w:tc>
        <w:tc>
          <w:tcPr>
            <w:tcW w:w="2720" w:type="dxa"/>
            <w:vAlign w:val="bottom"/>
            <w:gridSpan w:val="5"/>
            <w:shd w:val="clear" w:color="auto" w:fill="004483"/>
          </w:tcPr>
          <w:p>
            <w:pPr>
              <w:ind w:left="60"/>
              <w:spacing w:after="0"/>
              <w:rPr>
                <w:sz w:val="20"/>
                <w:szCs w:val="20"/>
                <w:color w:val="auto"/>
              </w:rPr>
            </w:pPr>
            <w:r>
              <w:rPr>
                <w:rFonts w:ascii="Arial" w:cs="Arial" w:eastAsia="Arial" w:hAnsi="Arial"/>
                <w:sz w:val="13"/>
                <w:szCs w:val="13"/>
                <w:b w:val="1"/>
                <w:bCs w:val="1"/>
                <w:color w:val="FFFFFF"/>
                <w:w w:val="98"/>
              </w:rPr>
              <w:t>For the Three Months Ended September 30,</w:t>
            </w:r>
          </w:p>
        </w:tc>
        <w:tc>
          <w:tcPr>
            <w:tcW w:w="140" w:type="dxa"/>
            <w:vAlign w:val="bottom"/>
          </w:tcPr>
          <w:p>
            <w:pPr>
              <w:spacing w:after="0"/>
              <w:rPr>
                <w:sz w:val="19"/>
                <w:szCs w:val="19"/>
                <w:color w:val="auto"/>
              </w:rPr>
            </w:pPr>
          </w:p>
        </w:tc>
        <w:tc>
          <w:tcPr>
            <w:tcW w:w="160" w:type="dxa"/>
            <w:vAlign w:val="bottom"/>
            <w:shd w:val="clear" w:color="auto" w:fill="004483"/>
          </w:tcPr>
          <w:p>
            <w:pPr>
              <w:spacing w:after="0"/>
              <w:rPr>
                <w:sz w:val="19"/>
                <w:szCs w:val="19"/>
                <w:color w:val="auto"/>
              </w:rPr>
            </w:pPr>
          </w:p>
        </w:tc>
        <w:tc>
          <w:tcPr>
            <w:tcW w:w="2720" w:type="dxa"/>
            <w:vAlign w:val="bottom"/>
            <w:gridSpan w:val="5"/>
            <w:shd w:val="clear" w:color="auto" w:fill="004483"/>
          </w:tcPr>
          <w:p>
            <w:pPr>
              <w:ind w:left="100"/>
              <w:spacing w:after="0"/>
              <w:rPr>
                <w:sz w:val="20"/>
                <w:szCs w:val="20"/>
                <w:color w:val="auto"/>
              </w:rPr>
            </w:pPr>
            <w:r>
              <w:rPr>
                <w:rFonts w:ascii="Arial" w:cs="Arial" w:eastAsia="Arial" w:hAnsi="Arial"/>
                <w:sz w:val="13"/>
                <w:szCs w:val="13"/>
                <w:b w:val="1"/>
                <w:bCs w:val="1"/>
                <w:color w:val="FFFFFF"/>
              </w:rPr>
              <w:t>For the Six Months Ended September 30,</w:t>
            </w:r>
          </w:p>
        </w:tc>
      </w:tr>
      <w:tr>
        <w:trPr>
          <w:trHeight w:val="161"/>
        </w:trPr>
        <w:tc>
          <w:tcPr>
            <w:tcW w:w="34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4"/>
                <w:szCs w:val="14"/>
                <w:color w:val="auto"/>
              </w:rPr>
            </w:pPr>
          </w:p>
        </w:tc>
      </w:tr>
      <w:tr>
        <w:trPr>
          <w:trHeight w:val="149"/>
        </w:trPr>
        <w:tc>
          <w:tcPr>
            <w:tcW w:w="3440" w:type="dxa"/>
            <w:vAlign w:val="bottom"/>
            <w:tcBorders>
              <w:bottom w:val="single" w:sz="8" w:color="004483"/>
            </w:tcBorders>
          </w:tcPr>
          <w:p>
            <w:pPr>
              <w:spacing w:after="0"/>
              <w:rPr>
                <w:sz w:val="12"/>
                <w:szCs w:val="12"/>
                <w:color w:val="auto"/>
              </w:rPr>
            </w:pPr>
          </w:p>
        </w:tc>
        <w:tc>
          <w:tcPr>
            <w:tcW w:w="1920" w:type="dxa"/>
            <w:vAlign w:val="bottom"/>
            <w:tcBorders>
              <w:bottom w:val="single" w:sz="8" w:color="004483"/>
            </w:tcBorders>
          </w:tcPr>
          <w:p>
            <w:pPr>
              <w:spacing w:after="0"/>
              <w:rPr>
                <w:sz w:val="12"/>
                <w:szCs w:val="12"/>
                <w:color w:val="auto"/>
              </w:rPr>
            </w:pPr>
          </w:p>
        </w:tc>
        <w:tc>
          <w:tcPr>
            <w:tcW w:w="140" w:type="dxa"/>
            <w:vAlign w:val="bottom"/>
            <w:tcBorders>
              <w:bottom w:val="single" w:sz="8" w:color="004483"/>
            </w:tcBorders>
          </w:tcPr>
          <w:p>
            <w:pPr>
              <w:spacing w:after="0"/>
              <w:rPr>
                <w:sz w:val="12"/>
                <w:szCs w:val="12"/>
                <w:color w:val="auto"/>
              </w:rPr>
            </w:pPr>
          </w:p>
        </w:tc>
        <w:tc>
          <w:tcPr>
            <w:tcW w:w="1120" w:type="dxa"/>
            <w:vAlign w:val="bottom"/>
            <w:tcBorders>
              <w:bottom w:val="single" w:sz="8" w:color="004483"/>
            </w:tcBorders>
          </w:tcPr>
          <w:p>
            <w:pPr>
              <w:spacing w:after="0"/>
              <w:rPr>
                <w:sz w:val="12"/>
                <w:szCs w:val="12"/>
                <w:color w:val="auto"/>
              </w:rPr>
            </w:pPr>
          </w:p>
        </w:tc>
        <w:tc>
          <w:tcPr>
            <w:tcW w:w="120" w:type="dxa"/>
            <w:vAlign w:val="bottom"/>
            <w:tcBorders>
              <w:bottom w:val="single" w:sz="8" w:color="004483"/>
            </w:tcBorders>
          </w:tcPr>
          <w:p>
            <w:pPr>
              <w:spacing w:after="0"/>
              <w:rPr>
                <w:sz w:val="12"/>
                <w:szCs w:val="12"/>
                <w:color w:val="auto"/>
              </w:rPr>
            </w:pPr>
          </w:p>
        </w:tc>
        <w:tc>
          <w:tcPr>
            <w:tcW w:w="580" w:type="dxa"/>
            <w:vAlign w:val="bottom"/>
            <w:tcBorders>
              <w:bottom w:val="single" w:sz="8" w:color="004483"/>
            </w:tcBorders>
          </w:tcPr>
          <w:p>
            <w:pPr>
              <w:spacing w:after="0"/>
              <w:rPr>
                <w:sz w:val="12"/>
                <w:szCs w:val="12"/>
                <w:color w:val="auto"/>
              </w:rPr>
            </w:pPr>
          </w:p>
        </w:tc>
        <w:tc>
          <w:tcPr>
            <w:tcW w:w="2400" w:type="dxa"/>
            <w:vAlign w:val="bottom"/>
            <w:tcBorders>
              <w:bottom w:val="single" w:sz="8" w:color="004483"/>
            </w:tcBorders>
            <w:gridSpan w:val="6"/>
          </w:tcPr>
          <w:p>
            <w:pPr>
              <w:ind w:left="380"/>
              <w:spacing w:after="0"/>
              <w:rPr>
                <w:sz w:val="20"/>
                <w:szCs w:val="20"/>
                <w:color w:val="auto"/>
              </w:rPr>
            </w:pPr>
            <w:r>
              <w:rPr>
                <w:rFonts w:ascii="Arial" w:cs="Arial" w:eastAsia="Arial" w:hAnsi="Arial"/>
                <w:sz w:val="13"/>
                <w:szCs w:val="13"/>
                <w:color w:val="auto"/>
              </w:rPr>
              <w:t>(dollars in thousands)</w:t>
            </w:r>
          </w:p>
        </w:tc>
        <w:tc>
          <w:tcPr>
            <w:tcW w:w="580" w:type="dxa"/>
            <w:vAlign w:val="bottom"/>
            <w:tcBorders>
              <w:bottom w:val="single" w:sz="8" w:color="004483"/>
            </w:tcBorders>
          </w:tcPr>
          <w:p>
            <w:pPr>
              <w:spacing w:after="0"/>
              <w:rPr>
                <w:sz w:val="12"/>
                <w:szCs w:val="12"/>
                <w:color w:val="auto"/>
              </w:rPr>
            </w:pPr>
          </w:p>
        </w:tc>
        <w:tc>
          <w:tcPr>
            <w:tcW w:w="840" w:type="dxa"/>
            <w:vAlign w:val="bottom"/>
            <w:tcBorders>
              <w:bottom w:val="single" w:sz="8" w:color="004483"/>
            </w:tcBorders>
          </w:tcPr>
          <w:p>
            <w:pPr>
              <w:spacing w:after="0"/>
              <w:rPr>
                <w:sz w:val="12"/>
                <w:szCs w:val="12"/>
                <w:color w:val="auto"/>
              </w:rPr>
            </w:pPr>
          </w:p>
        </w:tc>
        <w:tc>
          <w:tcPr>
            <w:tcW w:w="100" w:type="dxa"/>
            <w:vAlign w:val="bottom"/>
          </w:tcPr>
          <w:p>
            <w:pPr>
              <w:spacing w:after="0"/>
              <w:rPr>
                <w:sz w:val="12"/>
                <w:szCs w:val="12"/>
                <w:color w:val="auto"/>
              </w:rPr>
            </w:pPr>
          </w:p>
        </w:tc>
      </w:tr>
      <w:tr>
        <w:trPr>
          <w:trHeight w:val="220"/>
        </w:trPr>
        <w:tc>
          <w:tcPr>
            <w:tcW w:w="3440" w:type="dxa"/>
            <w:vAlign w:val="bottom"/>
            <w:tcBorders>
              <w:bottom w:val="single" w:sz="8" w:color="A6A6A6"/>
            </w:tcBorders>
          </w:tcPr>
          <w:p>
            <w:pPr>
              <w:ind w:left="260"/>
              <w:spacing w:after="0"/>
              <w:rPr>
                <w:sz w:val="20"/>
                <w:szCs w:val="20"/>
                <w:color w:val="auto"/>
              </w:rPr>
            </w:pPr>
            <w:r>
              <w:rPr>
                <w:rFonts w:ascii="Arial" w:cs="Arial" w:eastAsia="Arial" w:hAnsi="Arial"/>
                <w:sz w:val="16"/>
                <w:szCs w:val="16"/>
                <w:color w:val="17385E"/>
              </w:rPr>
              <w:t>Revenue</w:t>
            </w:r>
          </w:p>
        </w:tc>
        <w:tc>
          <w:tcPr>
            <w:tcW w:w="2060" w:type="dxa"/>
            <w:vAlign w:val="bottom"/>
            <w:tcBorders>
              <w:bottom w:val="single" w:sz="8" w:color="A6A6A6"/>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580" w:type="dxa"/>
            <w:vAlign w:val="bottom"/>
            <w:tcBorders>
              <w:bottom w:val="single" w:sz="8" w:color="A6A6A6"/>
            </w:tcBorders>
          </w:tcPr>
          <w:p>
            <w:pPr>
              <w:jc w:val="right"/>
              <w:ind w:right="2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9,575</w:t>
            </w:r>
          </w:p>
        </w:tc>
        <w:tc>
          <w:tcPr>
            <w:tcW w:w="100" w:type="dxa"/>
            <w:vAlign w:val="bottom"/>
          </w:tcPr>
          <w:p>
            <w:pPr>
              <w:spacing w:after="0"/>
              <w:rPr>
                <w:sz w:val="19"/>
                <w:szCs w:val="19"/>
                <w:color w:val="auto"/>
              </w:rPr>
            </w:pPr>
          </w:p>
        </w:tc>
        <w:tc>
          <w:tcPr>
            <w:tcW w:w="300" w:type="dxa"/>
            <w:vAlign w:val="bottom"/>
            <w:tcBorders>
              <w:bottom w:val="single" w:sz="8" w:color="A6A6A6"/>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1,692</w:t>
            </w:r>
          </w:p>
        </w:tc>
        <w:tc>
          <w:tcPr>
            <w:tcW w:w="100" w:type="dxa"/>
            <w:vAlign w:val="bottom"/>
          </w:tcPr>
          <w:p>
            <w:pPr>
              <w:spacing w:after="0"/>
              <w:rPr>
                <w:sz w:val="19"/>
                <w:szCs w:val="19"/>
                <w:color w:val="auto"/>
              </w:rPr>
            </w:pPr>
          </w:p>
        </w:tc>
        <w:tc>
          <w:tcPr>
            <w:tcW w:w="580" w:type="dxa"/>
            <w:vAlign w:val="bottom"/>
            <w:tcBorders>
              <w:bottom w:val="single" w:sz="8" w:color="A6A6A6"/>
            </w:tcBorders>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17,376</w:t>
            </w:r>
          </w:p>
        </w:tc>
        <w:tc>
          <w:tcPr>
            <w:tcW w:w="100" w:type="dxa"/>
            <w:vAlign w:val="bottom"/>
          </w:tcPr>
          <w:p>
            <w:pPr>
              <w:spacing w:after="0"/>
              <w:rPr>
                <w:sz w:val="19"/>
                <w:szCs w:val="19"/>
                <w:color w:val="auto"/>
              </w:rPr>
            </w:pPr>
          </w:p>
        </w:tc>
      </w:tr>
      <w:tr>
        <w:trPr>
          <w:trHeight w:val="223"/>
        </w:trPr>
        <w:tc>
          <w:tcPr>
            <w:tcW w:w="3440" w:type="dxa"/>
            <w:vAlign w:val="bottom"/>
            <w:tcBorders>
              <w:bottom w:val="single" w:sz="8" w:color="A6A6A6"/>
            </w:tcBorders>
          </w:tcPr>
          <w:p>
            <w:pPr>
              <w:ind w:left="260"/>
              <w:spacing w:after="0"/>
              <w:rPr>
                <w:sz w:val="20"/>
                <w:szCs w:val="20"/>
                <w:color w:val="auto"/>
              </w:rPr>
            </w:pPr>
            <w:r>
              <w:rPr>
                <w:rFonts w:ascii="Arial" w:cs="Arial" w:eastAsia="Arial" w:hAnsi="Arial"/>
                <w:sz w:val="16"/>
                <w:szCs w:val="16"/>
                <w:color w:val="17385E"/>
              </w:rPr>
              <w:t>Operating Earnings</w:t>
            </w:r>
          </w:p>
        </w:tc>
        <w:tc>
          <w:tcPr>
            <w:tcW w:w="2060" w:type="dxa"/>
            <w:vAlign w:val="bottom"/>
            <w:tcBorders>
              <w:bottom w:val="single" w:sz="8" w:color="A6A6A6"/>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580" w:type="dxa"/>
            <w:vAlign w:val="bottom"/>
            <w:tcBorders>
              <w:bottom w:val="single" w:sz="8" w:color="A6A6A6"/>
            </w:tcBorders>
          </w:tcPr>
          <w:p>
            <w:pPr>
              <w:jc w:val="right"/>
              <w:ind w:right="2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1,530</w:t>
            </w:r>
          </w:p>
        </w:tc>
        <w:tc>
          <w:tcPr>
            <w:tcW w:w="100" w:type="dxa"/>
            <w:vAlign w:val="bottom"/>
          </w:tcPr>
          <w:p>
            <w:pPr>
              <w:spacing w:after="0"/>
              <w:rPr>
                <w:sz w:val="19"/>
                <w:szCs w:val="19"/>
                <w:color w:val="auto"/>
              </w:rPr>
            </w:pPr>
          </w:p>
        </w:tc>
        <w:tc>
          <w:tcPr>
            <w:tcW w:w="300" w:type="dxa"/>
            <w:vAlign w:val="bottom"/>
            <w:tcBorders>
              <w:bottom w:val="single" w:sz="8" w:color="A6A6A6"/>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9"/>
                <w:szCs w:val="19"/>
                <w:color w:val="auto"/>
              </w:rPr>
            </w:pPr>
          </w:p>
        </w:tc>
        <w:tc>
          <w:tcPr>
            <w:tcW w:w="580" w:type="dxa"/>
            <w:vAlign w:val="bottom"/>
            <w:tcBorders>
              <w:bottom w:val="single" w:sz="8" w:color="A6A6A6"/>
            </w:tcBorders>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2,513</w:t>
            </w:r>
          </w:p>
        </w:tc>
        <w:tc>
          <w:tcPr>
            <w:tcW w:w="100" w:type="dxa"/>
            <w:vAlign w:val="bottom"/>
          </w:tcPr>
          <w:p>
            <w:pPr>
              <w:spacing w:after="0"/>
              <w:rPr>
                <w:sz w:val="19"/>
                <w:szCs w:val="19"/>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 ACQUISITION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Kosmos Acquisition</w:t>
      </w:r>
    </w:p>
    <w:p>
      <w:pPr>
        <w:spacing w:after="0" w:line="153" w:lineRule="exact"/>
        <w:rPr>
          <w:sz w:val="20"/>
          <w:szCs w:val="20"/>
          <w:color w:val="auto"/>
        </w:rPr>
      </w:pPr>
    </w:p>
    <w:p>
      <w:pPr>
        <w:ind w:right="200"/>
        <w:spacing w:after="0" w:line="267" w:lineRule="auto"/>
        <w:rPr>
          <w:sz w:val="20"/>
          <w:szCs w:val="20"/>
          <w:color w:val="auto"/>
        </w:rPr>
      </w:pPr>
      <w:r>
        <w:rPr>
          <w:rFonts w:ascii="Arial" w:cs="Arial" w:eastAsia="Arial" w:hAnsi="Arial"/>
          <w:sz w:val="18"/>
          <w:szCs w:val="18"/>
          <w:color w:val="auto"/>
        </w:rPr>
        <w:t>On March 6, 2020, we acquired the assets of Kosmos Cement Company (Kosmos), a joint venture between CEMEX S.A.B. de C.V. and Buzzi Unicem S.p.A. (the Kosmos Acquisition). The Kosmos Acquisition included (i) a cement plant located in Louisville, Kentucky, (ii) a limestone quarry located in Battletown, Kentucky, (iii) cement distribution terminals located in Indianapolis, Indiana; Cincinnati, Ohio; Pittsburgh, Pennsylvania; Charleston, West Virginia; Ceredo, West Virginia; Mt. Vernon, Indiana; and Lexington, Kentucky, and (iv) certain other properties and assets used by Kosmos in connection with the foregoing (collectively, the Kosmos Business). We assumed certain liabilities and obligations of Kosmos relating to the Kosmos Business, including contractual obligations, reclamation obligations and various other liabilities arising out of or relating to the Kosmos Business. The Kosmos Business is included in the Cement segment of our Heavy Materials sector.</w:t>
      </w:r>
    </w:p>
    <w:p>
      <w:pPr>
        <w:spacing w:after="0" w:line="102"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The purchase price of the Kosmos Acquisition was approximately $669 million. We funded the payment of the Kosmos Acquisition primarily through a Term Loan borrowing with the remainder paid using cash on hand. See Footnote (N) for a description of the loan terms.</w:t>
      </w:r>
    </w:p>
    <w:p>
      <w:pPr>
        <w:spacing w:after="0" w:line="95"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u w:val="single" w:color="auto"/>
          <w:color w:val="auto"/>
        </w:rPr>
        <w:t>Recording of Assets Acquired and Liabilities Assumed:</w:t>
      </w:r>
      <w:r>
        <w:rPr>
          <w:rFonts w:ascii="Arial" w:cs="Arial" w:eastAsia="Arial" w:hAnsi="Arial"/>
          <w:sz w:val="18"/>
          <w:szCs w:val="18"/>
          <w:color w:val="auto"/>
        </w:rPr>
        <w:t xml:space="preserve"> The Kosmos Acquisition was accounted for using the acquisition method of accounting which requires, among other things, that assets acquired and liabilities assumed be recognized at their fair values as of the acquisition date. The Company engaged a third party to perform appraisal valuation services to support the Company’s preliminary estimate of the fair value of certain assets acquired in the Kosmos Acquisition.</w:t>
      </w:r>
    </w:p>
    <w:p>
      <w:pPr>
        <w:spacing w:after="0" w:line="98" w:lineRule="exact"/>
        <w:rPr>
          <w:sz w:val="20"/>
          <w:szCs w:val="20"/>
          <w:color w:val="auto"/>
        </w:rPr>
      </w:pPr>
    </w:p>
    <w:p>
      <w:pPr>
        <w:ind w:right="40"/>
        <w:spacing w:after="0" w:line="288" w:lineRule="auto"/>
        <w:rPr>
          <w:sz w:val="20"/>
          <w:szCs w:val="20"/>
          <w:color w:val="auto"/>
        </w:rPr>
      </w:pPr>
      <w:r>
        <w:rPr>
          <w:rFonts w:ascii="Arial" w:cs="Arial" w:eastAsia="Arial" w:hAnsi="Arial"/>
          <w:sz w:val="17"/>
          <w:szCs w:val="17"/>
          <w:color w:val="auto"/>
        </w:rPr>
        <w:t>The preparation of the valuation of the assets acquired and liabilities assumed in the Kosmos Acquisition requires the use of significant assumptions and estimates. Critical estimates with respect to the valuation of property, plant, and equipment include, but are not limited to, replacement cost, condition, and estimated remaining useful lives of property and equipment. Critical estimates related to intangible and other assets include future expected cash flows, including projected revenues and expenses, customer attrition, and applicable discount rates. These estimates are based on assumptions that we believe to be reasonable. However, actual results may differ from these estimates.</w:t>
      </w:r>
    </w:p>
    <w:p>
      <w:pPr>
        <w:spacing w:after="0" w:line="8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has determined preliminary fair values of the assets acquired and liabilities assumed in the Kosmos Acquisition. These values are subject to change during the measurement period as we perform additional reviews of the asset retirement obligation.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sectPr>
      </w:pPr>
    </w:p>
    <w:bookmarkStart w:id="11" w:name="page12"/>
    <w:bookmarkEnd w:id="11"/>
    <w:p>
      <w:pPr>
        <w:ind w:right="220"/>
        <w:spacing w:after="0" w:line="277" w:lineRule="auto"/>
        <w:rPr>
          <w:sz w:val="20"/>
          <w:szCs w:val="20"/>
          <w:color w:val="auto"/>
        </w:rPr>
      </w:pPr>
      <w:r>
        <w:rPr>
          <w:rFonts w:ascii="Arial" w:cs="Arial" w:eastAsia="Arial" w:hAnsi="Arial"/>
          <w:sz w:val="18"/>
          <w:szCs w:val="18"/>
          <w:color w:val="auto"/>
        </w:rPr>
        <w:t>The following table summarizes the provisional allocation of the purchase price to assets acquired and liabilities assumed as of September 30, 2020:</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3"/>
                <w:szCs w:val="13"/>
                <w:color w:val="auto"/>
              </w:rPr>
              <w:t>(dollars in thousands)</w:t>
            </w:r>
          </w:p>
        </w:tc>
      </w:tr>
      <w:tr>
        <w:trPr>
          <w:trHeight w:val="207"/>
        </w:trPr>
        <w:tc>
          <w:tcPr>
            <w:tcW w:w="8900" w:type="dxa"/>
            <w:vAlign w:val="bottom"/>
            <w:tcBorders>
              <w:top w:val="single" w:sz="8" w:color="004483"/>
              <w:bottom w:val="single" w:sz="8" w:color="A6A6A6"/>
            </w:tcBorders>
          </w:tcPr>
          <w:p>
            <w:pPr>
              <w:spacing w:after="0"/>
              <w:rPr>
                <w:sz w:val="20"/>
                <w:szCs w:val="20"/>
                <w:color w:val="auto"/>
              </w:rPr>
            </w:pPr>
            <w:r>
              <w:rPr>
                <w:rFonts w:ascii="Arial" w:cs="Arial" w:eastAsia="Arial" w:hAnsi="Arial"/>
                <w:sz w:val="16"/>
                <w:szCs w:val="16"/>
                <w:b w:val="1"/>
                <w:bCs w:val="1"/>
                <w:color w:val="004483"/>
              </w:rPr>
              <w:t>Inventories</w:t>
            </w:r>
          </w:p>
        </w:tc>
        <w:tc>
          <w:tcPr>
            <w:tcW w:w="600" w:type="dxa"/>
            <w:vAlign w:val="bottom"/>
            <w:tcBorders>
              <w:top w:val="single" w:sz="8" w:color="004483"/>
              <w:bottom w:val="single" w:sz="8" w:color="A6A6A6"/>
            </w:tcBorders>
          </w:tcPr>
          <w:p>
            <w:pPr>
              <w:jc w:val="right"/>
              <w:ind w:right="444"/>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28,568</w:t>
            </w:r>
          </w:p>
        </w:tc>
        <w:tc>
          <w:tcPr>
            <w:tcW w:w="40" w:type="dxa"/>
            <w:vAlign w:val="bottom"/>
          </w:tcPr>
          <w:p>
            <w:pPr>
              <w:spacing w:after="0"/>
              <w:rPr>
                <w:sz w:val="17"/>
                <w:szCs w:val="17"/>
                <w:color w:val="auto"/>
              </w:rPr>
            </w:pPr>
          </w:p>
        </w:tc>
      </w:tr>
      <w:tr>
        <w:trPr>
          <w:trHeight w:val="210"/>
        </w:trPr>
        <w:tc>
          <w:tcPr>
            <w:tcW w:w="8900" w:type="dxa"/>
            <w:vAlign w:val="bottom"/>
            <w:tcBorders>
              <w:bottom w:val="single" w:sz="8" w:color="A6A6A6"/>
            </w:tcBorders>
          </w:tcPr>
          <w:p>
            <w:pPr>
              <w:spacing w:after="0"/>
              <w:rPr>
                <w:sz w:val="20"/>
                <w:szCs w:val="20"/>
                <w:color w:val="auto"/>
              </w:rPr>
            </w:pPr>
            <w:r>
              <w:rPr>
                <w:rFonts w:ascii="Arial" w:cs="Arial" w:eastAsia="Arial" w:hAnsi="Arial"/>
                <w:sz w:val="16"/>
                <w:szCs w:val="16"/>
                <w:b w:val="1"/>
                <w:bCs w:val="1"/>
                <w:color w:val="004483"/>
              </w:rPr>
              <w:t>Property, Plant, and Equipment</w:t>
            </w:r>
          </w:p>
        </w:tc>
        <w:tc>
          <w:tcPr>
            <w:tcW w:w="600" w:type="dxa"/>
            <w:vAlign w:val="bottom"/>
            <w:tcBorders>
              <w:bottom w:val="single" w:sz="8" w:color="A6A6A6"/>
            </w:tcBorders>
          </w:tcPr>
          <w:p>
            <w:pPr>
              <w:spacing w:after="0"/>
              <w:rPr>
                <w:sz w:val="18"/>
                <w:szCs w:val="18"/>
                <w:color w:val="auto"/>
              </w:rPr>
            </w:pPr>
          </w:p>
        </w:tc>
        <w:tc>
          <w:tcPr>
            <w:tcW w:w="16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476,942</w:t>
            </w:r>
          </w:p>
        </w:tc>
        <w:tc>
          <w:tcPr>
            <w:tcW w:w="40" w:type="dxa"/>
            <w:vAlign w:val="bottom"/>
          </w:tcPr>
          <w:p>
            <w:pPr>
              <w:spacing w:after="0"/>
              <w:rPr>
                <w:sz w:val="18"/>
                <w:szCs w:val="18"/>
                <w:color w:val="auto"/>
              </w:rPr>
            </w:pPr>
          </w:p>
        </w:tc>
      </w:tr>
      <w:tr>
        <w:trPr>
          <w:trHeight w:val="209"/>
        </w:trPr>
        <w:tc>
          <w:tcPr>
            <w:tcW w:w="8900" w:type="dxa"/>
            <w:vAlign w:val="bottom"/>
            <w:tcBorders>
              <w:bottom w:val="single" w:sz="8" w:color="A6A6A6"/>
            </w:tcBorders>
          </w:tcPr>
          <w:p>
            <w:pPr>
              <w:spacing w:after="0"/>
              <w:rPr>
                <w:sz w:val="20"/>
                <w:szCs w:val="20"/>
                <w:color w:val="auto"/>
              </w:rPr>
            </w:pPr>
            <w:r>
              <w:rPr>
                <w:rFonts w:ascii="Arial" w:cs="Arial" w:eastAsia="Arial" w:hAnsi="Arial"/>
                <w:sz w:val="16"/>
                <w:szCs w:val="16"/>
                <w:b w:val="1"/>
                <w:bCs w:val="1"/>
                <w:color w:val="004483"/>
              </w:rPr>
              <w:t>Intangible Assets</w:t>
            </w:r>
          </w:p>
        </w:tc>
        <w:tc>
          <w:tcPr>
            <w:tcW w:w="600" w:type="dxa"/>
            <w:vAlign w:val="bottom"/>
            <w:tcBorders>
              <w:bottom w:val="single" w:sz="8" w:color="A6A6A6"/>
            </w:tcBorders>
          </w:tcPr>
          <w:p>
            <w:pPr>
              <w:spacing w:after="0"/>
              <w:rPr>
                <w:sz w:val="18"/>
                <w:szCs w:val="18"/>
                <w:color w:val="auto"/>
              </w:rPr>
            </w:pPr>
          </w:p>
        </w:tc>
        <w:tc>
          <w:tcPr>
            <w:tcW w:w="16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38,300</w:t>
            </w:r>
          </w:p>
        </w:tc>
        <w:tc>
          <w:tcPr>
            <w:tcW w:w="40" w:type="dxa"/>
            <w:vAlign w:val="bottom"/>
          </w:tcPr>
          <w:p>
            <w:pPr>
              <w:spacing w:after="0"/>
              <w:rPr>
                <w:sz w:val="18"/>
                <w:szCs w:val="18"/>
                <w:color w:val="auto"/>
              </w:rPr>
            </w:pPr>
          </w:p>
        </w:tc>
      </w:tr>
      <w:tr>
        <w:trPr>
          <w:trHeight w:val="210"/>
        </w:trPr>
        <w:tc>
          <w:tcPr>
            <w:tcW w:w="8900" w:type="dxa"/>
            <w:vAlign w:val="bottom"/>
            <w:tcBorders>
              <w:bottom w:val="single" w:sz="8" w:color="A6A6A6"/>
            </w:tcBorders>
          </w:tcPr>
          <w:p>
            <w:pPr>
              <w:spacing w:after="0"/>
              <w:rPr>
                <w:sz w:val="20"/>
                <w:szCs w:val="20"/>
                <w:color w:val="auto"/>
              </w:rPr>
            </w:pPr>
            <w:r>
              <w:rPr>
                <w:rFonts w:ascii="Arial" w:cs="Arial" w:eastAsia="Arial" w:hAnsi="Arial"/>
                <w:sz w:val="16"/>
                <w:szCs w:val="16"/>
                <w:b w:val="1"/>
                <w:bCs w:val="1"/>
                <w:color w:val="004483"/>
              </w:rPr>
              <w:t>Lease Right-of-Use Assets</w:t>
            </w:r>
          </w:p>
        </w:tc>
        <w:tc>
          <w:tcPr>
            <w:tcW w:w="600" w:type="dxa"/>
            <w:vAlign w:val="bottom"/>
            <w:tcBorders>
              <w:bottom w:val="single" w:sz="8" w:color="A6A6A6"/>
            </w:tcBorders>
          </w:tcPr>
          <w:p>
            <w:pPr>
              <w:spacing w:after="0"/>
              <w:rPr>
                <w:sz w:val="18"/>
                <w:szCs w:val="18"/>
                <w:color w:val="auto"/>
              </w:rPr>
            </w:pPr>
          </w:p>
        </w:tc>
        <w:tc>
          <w:tcPr>
            <w:tcW w:w="16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4,478</w:t>
            </w:r>
          </w:p>
        </w:tc>
        <w:tc>
          <w:tcPr>
            <w:tcW w:w="40" w:type="dxa"/>
            <w:vAlign w:val="bottom"/>
          </w:tcPr>
          <w:p>
            <w:pPr>
              <w:spacing w:after="0"/>
              <w:rPr>
                <w:sz w:val="18"/>
                <w:szCs w:val="18"/>
                <w:color w:val="auto"/>
              </w:rPr>
            </w:pPr>
          </w:p>
        </w:tc>
      </w:tr>
      <w:tr>
        <w:trPr>
          <w:trHeight w:val="209"/>
        </w:trPr>
        <w:tc>
          <w:tcPr>
            <w:tcW w:w="8900" w:type="dxa"/>
            <w:vAlign w:val="bottom"/>
          </w:tcPr>
          <w:p>
            <w:pPr>
              <w:spacing w:after="0"/>
              <w:rPr>
                <w:sz w:val="20"/>
                <w:szCs w:val="20"/>
                <w:color w:val="auto"/>
              </w:rPr>
            </w:pPr>
            <w:r>
              <w:rPr>
                <w:rFonts w:ascii="Arial" w:cs="Arial" w:eastAsia="Arial" w:hAnsi="Arial"/>
                <w:sz w:val="16"/>
                <w:szCs w:val="16"/>
                <w:b w:val="1"/>
                <w:bCs w:val="1"/>
                <w:color w:val="004483"/>
              </w:rPr>
              <w:t>Lease Obligations</w:t>
            </w:r>
          </w:p>
        </w:tc>
        <w:tc>
          <w:tcPr>
            <w:tcW w:w="6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(4,478)</w:t>
            </w:r>
          </w:p>
        </w:tc>
      </w:tr>
      <w:tr>
        <w:trPr>
          <w:trHeight w:val="20"/>
        </w:trPr>
        <w:tc>
          <w:tcPr>
            <w:tcW w:w="8900" w:type="dxa"/>
            <w:vAlign w:val="bottom"/>
            <w:shd w:val="clear" w:color="auto" w:fill="A6A6A6"/>
          </w:tcPr>
          <w:p>
            <w:pPr>
              <w:spacing w:after="0" w:line="20" w:lineRule="exact"/>
              <w:rPr>
                <w:sz w:val="1"/>
                <w:szCs w:val="1"/>
                <w:color w:val="auto"/>
              </w:rPr>
            </w:pPr>
          </w:p>
        </w:tc>
        <w:tc>
          <w:tcPr>
            <w:tcW w:w="600" w:type="dxa"/>
            <w:vAlign w:val="bottom"/>
            <w:shd w:val="clear" w:color="auto" w:fill="A6A6A6"/>
          </w:tcPr>
          <w:p>
            <w:pPr>
              <w:spacing w:after="0" w:line="20" w:lineRule="exact"/>
              <w:rPr>
                <w:sz w:val="1"/>
                <w:szCs w:val="1"/>
                <w:color w:val="auto"/>
              </w:rPr>
            </w:pPr>
          </w:p>
        </w:tc>
        <w:tc>
          <w:tcPr>
            <w:tcW w:w="1640" w:type="dxa"/>
            <w:vAlign w:val="bottom"/>
            <w:shd w:val="clear" w:color="auto" w:fill="A6A6A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8900" w:type="dxa"/>
            <w:vAlign w:val="bottom"/>
          </w:tcPr>
          <w:p>
            <w:pPr>
              <w:spacing w:after="0"/>
              <w:rPr>
                <w:sz w:val="20"/>
                <w:szCs w:val="20"/>
                <w:color w:val="auto"/>
              </w:rPr>
            </w:pPr>
            <w:r>
              <w:rPr>
                <w:rFonts w:ascii="Arial" w:cs="Arial" w:eastAsia="Arial" w:hAnsi="Arial"/>
                <w:sz w:val="16"/>
                <w:szCs w:val="16"/>
                <w:b w:val="1"/>
                <w:bCs w:val="1"/>
                <w:color w:val="004483"/>
              </w:rPr>
              <w:t>Long-term Liabilities</w:t>
            </w:r>
          </w:p>
        </w:tc>
        <w:tc>
          <w:tcPr>
            <w:tcW w:w="6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(4,000)</w:t>
            </w:r>
          </w:p>
        </w:tc>
      </w:tr>
      <w:tr>
        <w:trPr>
          <w:trHeight w:val="210"/>
        </w:trPr>
        <w:tc>
          <w:tcPr>
            <w:tcW w:w="890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6"/>
                <w:szCs w:val="16"/>
                <w:b w:val="1"/>
                <w:bCs w:val="1"/>
                <w:color w:val="004483"/>
              </w:rPr>
              <w:t>Total Net Assets</w:t>
            </w:r>
          </w:p>
        </w:tc>
        <w:tc>
          <w:tcPr>
            <w:tcW w:w="600" w:type="dxa"/>
            <w:vAlign w:val="bottom"/>
            <w:tcBorders>
              <w:top w:val="single" w:sz="8" w:color="004483"/>
              <w:bottom w:val="single" w:sz="8" w:color="A6A6A6"/>
            </w:tcBorders>
          </w:tcPr>
          <w:p>
            <w:pPr>
              <w:spacing w:after="0"/>
              <w:rPr>
                <w:sz w:val="18"/>
                <w:szCs w:val="18"/>
                <w:color w:val="auto"/>
              </w:rPr>
            </w:pPr>
          </w:p>
        </w:tc>
        <w:tc>
          <w:tcPr>
            <w:tcW w:w="164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539,810</w:t>
            </w:r>
          </w:p>
        </w:tc>
        <w:tc>
          <w:tcPr>
            <w:tcW w:w="40" w:type="dxa"/>
            <w:vAlign w:val="bottom"/>
          </w:tcPr>
          <w:p>
            <w:pPr>
              <w:spacing w:after="0"/>
              <w:rPr>
                <w:sz w:val="18"/>
                <w:szCs w:val="18"/>
                <w:color w:val="auto"/>
              </w:rPr>
            </w:pPr>
          </w:p>
        </w:tc>
      </w:tr>
      <w:tr>
        <w:trPr>
          <w:trHeight w:val="209"/>
        </w:trPr>
        <w:tc>
          <w:tcPr>
            <w:tcW w:w="8900" w:type="dxa"/>
            <w:vAlign w:val="bottom"/>
            <w:tcBorders>
              <w:bottom w:val="single" w:sz="8" w:color="A6A6A6"/>
            </w:tcBorders>
          </w:tcPr>
          <w:p>
            <w:pPr>
              <w:spacing w:after="0"/>
              <w:rPr>
                <w:sz w:val="20"/>
                <w:szCs w:val="20"/>
                <w:color w:val="auto"/>
              </w:rPr>
            </w:pPr>
            <w:r>
              <w:rPr>
                <w:rFonts w:ascii="Arial" w:cs="Arial" w:eastAsia="Arial" w:hAnsi="Arial"/>
                <w:sz w:val="16"/>
                <w:szCs w:val="16"/>
                <w:b w:val="1"/>
                <w:bCs w:val="1"/>
                <w:color w:val="004483"/>
              </w:rPr>
              <w:t>Goodwill</w:t>
            </w:r>
          </w:p>
        </w:tc>
        <w:tc>
          <w:tcPr>
            <w:tcW w:w="600" w:type="dxa"/>
            <w:vAlign w:val="bottom"/>
            <w:tcBorders>
              <w:bottom w:val="single" w:sz="8" w:color="004483"/>
            </w:tcBorders>
          </w:tcPr>
          <w:p>
            <w:pPr>
              <w:spacing w:after="0"/>
              <w:rPr>
                <w:sz w:val="18"/>
                <w:szCs w:val="18"/>
                <w:color w:val="auto"/>
              </w:rPr>
            </w:pPr>
          </w:p>
        </w:tc>
        <w:tc>
          <w:tcPr>
            <w:tcW w:w="16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129,127</w:t>
            </w:r>
          </w:p>
        </w:tc>
        <w:tc>
          <w:tcPr>
            <w:tcW w:w="40" w:type="dxa"/>
            <w:vAlign w:val="bottom"/>
          </w:tcPr>
          <w:p>
            <w:pPr>
              <w:spacing w:after="0"/>
              <w:rPr>
                <w:sz w:val="18"/>
                <w:szCs w:val="18"/>
                <w:color w:val="auto"/>
              </w:rPr>
            </w:pPr>
          </w:p>
        </w:tc>
      </w:tr>
      <w:tr>
        <w:trPr>
          <w:trHeight w:val="210"/>
        </w:trPr>
        <w:tc>
          <w:tcPr>
            <w:tcW w:w="8900" w:type="dxa"/>
            <w:vAlign w:val="bottom"/>
          </w:tcPr>
          <w:p>
            <w:pPr>
              <w:ind w:left="260"/>
              <w:spacing w:after="0"/>
              <w:rPr>
                <w:sz w:val="20"/>
                <w:szCs w:val="20"/>
                <w:color w:val="auto"/>
              </w:rPr>
            </w:pPr>
            <w:r>
              <w:rPr>
                <w:rFonts w:ascii="Arial" w:cs="Arial" w:eastAsia="Arial" w:hAnsi="Arial"/>
                <w:sz w:val="16"/>
                <w:szCs w:val="16"/>
                <w:b w:val="1"/>
                <w:bCs w:val="1"/>
                <w:color w:val="auto"/>
              </w:rPr>
              <w:t>Total Estimated Purchase Price</w:t>
            </w:r>
          </w:p>
        </w:tc>
        <w:tc>
          <w:tcPr>
            <w:tcW w:w="600" w:type="dxa"/>
            <w:vAlign w:val="bottom"/>
            <w:tcBorders>
              <w:bottom w:val="single" w:sz="8" w:color="004483"/>
            </w:tcBorders>
          </w:tcPr>
          <w:p>
            <w:pPr>
              <w:jc w:val="right"/>
              <w:ind w:right="444"/>
              <w:spacing w:after="0"/>
              <w:rPr>
                <w:sz w:val="20"/>
                <w:szCs w:val="20"/>
                <w:color w:val="auto"/>
              </w:rPr>
            </w:pPr>
            <w:r>
              <w:rPr>
                <w:rFonts w:ascii="Arial" w:cs="Arial" w:eastAsia="Arial" w:hAnsi="Arial"/>
                <w:sz w:val="15"/>
                <w:szCs w:val="15"/>
                <w:b w:val="1"/>
                <w:bCs w:val="1"/>
                <w:color w:val="auto"/>
                <w:w w:val="71"/>
              </w:rPr>
              <w:t>$</w:t>
            </w:r>
          </w:p>
        </w:tc>
        <w:tc>
          <w:tcPr>
            <w:tcW w:w="16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668,937</w:t>
            </w:r>
          </w:p>
        </w:tc>
        <w:tc>
          <w:tcPr>
            <w:tcW w:w="40" w:type="dxa"/>
            <w:vAlign w:val="bottom"/>
          </w:tcPr>
          <w:p>
            <w:pPr>
              <w:spacing w:after="0"/>
              <w:rPr>
                <w:sz w:val="18"/>
                <w:szCs w:val="18"/>
                <w:color w:val="auto"/>
              </w:rPr>
            </w:pPr>
          </w:p>
        </w:tc>
      </w:tr>
      <w:tr>
        <w:trPr>
          <w:trHeight w:val="20"/>
        </w:trPr>
        <w:tc>
          <w:tcPr>
            <w:tcW w:w="8900" w:type="dxa"/>
            <w:vAlign w:val="bottom"/>
          </w:tcPr>
          <w:p>
            <w:pPr>
              <w:spacing w:after="0" w:line="20" w:lineRule="exact"/>
              <w:rPr>
                <w:sz w:val="1"/>
                <w:szCs w:val="1"/>
                <w:color w:val="auto"/>
              </w:rPr>
            </w:pPr>
          </w:p>
        </w:tc>
        <w:tc>
          <w:tcPr>
            <w:tcW w:w="600" w:type="dxa"/>
            <w:vAlign w:val="bottom"/>
            <w:tcBorders>
              <w:bottom w:val="single" w:sz="8" w:color="004483"/>
            </w:tcBorders>
          </w:tcPr>
          <w:p>
            <w:pPr>
              <w:spacing w:after="0" w:line="20" w:lineRule="exact"/>
              <w:rPr>
                <w:sz w:val="1"/>
                <w:szCs w:val="1"/>
                <w:color w:val="auto"/>
              </w:rPr>
            </w:pPr>
          </w:p>
        </w:tc>
        <w:tc>
          <w:tcPr>
            <w:tcW w:w="1640" w:type="dxa"/>
            <w:vAlign w:val="bottom"/>
            <w:tcBorders>
              <w:bottom w:val="single" w:sz="8" w:color="004483"/>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60"/>
        <w:spacing w:after="0" w:line="271" w:lineRule="auto"/>
        <w:rPr>
          <w:sz w:val="20"/>
          <w:szCs w:val="20"/>
          <w:color w:val="auto"/>
        </w:rPr>
      </w:pPr>
      <w:r>
        <w:rPr>
          <w:rFonts w:ascii="Arial" w:cs="Arial" w:eastAsia="Arial" w:hAnsi="Arial"/>
          <w:sz w:val="18"/>
          <w:szCs w:val="18"/>
          <w:color w:val="auto"/>
        </w:rPr>
        <w:t>During the quarter ended June 30, 2020, we completed the valuation of inventories, intangible assets, lease right-of-use assets, and lease obligations. These final values, which are disclosed in the above table, resulted in minor changes from the amounts disclosed in our fiscal 2020 Form 10-K.</w:t>
      </w:r>
    </w:p>
    <w:p>
      <w:pPr>
        <w:spacing w:after="0" w:line="95" w:lineRule="exact"/>
        <w:rPr>
          <w:sz w:val="20"/>
          <w:szCs w:val="20"/>
          <w:color w:val="auto"/>
        </w:rPr>
      </w:pPr>
    </w:p>
    <w:p>
      <w:pPr>
        <w:jc w:val="both"/>
        <w:ind w:right="100"/>
        <w:spacing w:after="0" w:line="271" w:lineRule="auto"/>
        <w:rPr>
          <w:sz w:val="20"/>
          <w:szCs w:val="20"/>
          <w:color w:val="auto"/>
        </w:rPr>
      </w:pPr>
      <w:r>
        <w:rPr>
          <w:rFonts w:ascii="Arial" w:cs="Arial" w:eastAsia="Arial" w:hAnsi="Arial"/>
          <w:sz w:val="18"/>
          <w:szCs w:val="18"/>
          <w:color w:val="auto"/>
        </w:rPr>
        <w:t>Goodwill represents the excess purchase price over the fair values of assets acquired and liabilities assumed. The Goodwill was generated by the availability of co-product sales and the opportunity associated with the expansion of our Cement business to the eastern region of the United States. All of the Goodwill generated by the transaction will be deductible for income tax purposes.</w:t>
      </w:r>
    </w:p>
    <w:p>
      <w:pPr>
        <w:spacing w:after="0" w:line="9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 is a summary of the fair value estimates of the identifiable intangible assets (dollars in thousands) and their weighted-average useful lives:</w:t>
      </w:r>
    </w:p>
    <w:p>
      <w:pPr>
        <w:sectPr>
          <w:pgSz w:w="11900" w:h="16838" w:orient="portrait"/>
          <w:cols w:equalWidth="0" w:num="1">
            <w:col w:w="11240"/>
          </w:cols>
          <w:pgMar w:left="320" w:top="503" w:right="339" w:bottom="1440" w:gutter="0" w:footer="0" w:header="0"/>
        </w:sect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980" w:type="dxa"/>
            <w:vAlign w:val="bottom"/>
            <w:tcBorders>
              <w:bottom w:val="single" w:sz="8" w:color="004483"/>
            </w:tcBorders>
          </w:tcPr>
          <w:p>
            <w:pPr>
              <w:spacing w:after="0"/>
              <w:rPr>
                <w:sz w:val="13"/>
                <w:szCs w:val="13"/>
                <w:color w:val="auto"/>
              </w:rPr>
            </w:pPr>
          </w:p>
        </w:tc>
        <w:tc>
          <w:tcPr>
            <w:tcW w:w="424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Weighted-Average Life</w:t>
            </w:r>
          </w:p>
        </w:tc>
      </w:tr>
      <w:tr>
        <w:trPr>
          <w:trHeight w:val="207"/>
        </w:trPr>
        <w:tc>
          <w:tcPr>
            <w:tcW w:w="4980" w:type="dxa"/>
            <w:vAlign w:val="bottom"/>
            <w:tcBorders>
              <w:bottom w:val="single" w:sz="8" w:color="A6A6A6"/>
            </w:tcBorders>
          </w:tcPr>
          <w:p>
            <w:pPr>
              <w:spacing w:after="0"/>
              <w:rPr>
                <w:sz w:val="20"/>
                <w:szCs w:val="20"/>
                <w:color w:val="auto"/>
              </w:rPr>
            </w:pPr>
            <w:r>
              <w:rPr>
                <w:rFonts w:ascii="Arial" w:cs="Arial" w:eastAsia="Arial" w:hAnsi="Arial"/>
                <w:sz w:val="16"/>
                <w:szCs w:val="16"/>
                <w:b w:val="1"/>
                <w:bCs w:val="1"/>
                <w:color w:val="004483"/>
              </w:rPr>
              <w:t>Permits</w:t>
            </w:r>
          </w:p>
        </w:tc>
        <w:tc>
          <w:tcPr>
            <w:tcW w:w="42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20</w:t>
            </w:r>
          </w:p>
        </w:tc>
      </w:tr>
      <w:tr>
        <w:trPr>
          <w:trHeight w:val="209"/>
        </w:trPr>
        <w:tc>
          <w:tcPr>
            <w:tcW w:w="4980" w:type="dxa"/>
            <w:vAlign w:val="bottom"/>
            <w:tcBorders>
              <w:bottom w:val="single" w:sz="8" w:color="A6A6A6"/>
            </w:tcBorders>
          </w:tcPr>
          <w:p>
            <w:pPr>
              <w:spacing w:after="0"/>
              <w:rPr>
                <w:sz w:val="20"/>
                <w:szCs w:val="20"/>
                <w:color w:val="auto"/>
              </w:rPr>
            </w:pPr>
            <w:r>
              <w:rPr>
                <w:rFonts w:ascii="Arial" w:cs="Arial" w:eastAsia="Arial" w:hAnsi="Arial"/>
                <w:sz w:val="16"/>
                <w:szCs w:val="16"/>
                <w:b w:val="1"/>
                <w:bCs w:val="1"/>
                <w:color w:val="004483"/>
              </w:rPr>
              <w:t>Customer Relationships</w:t>
            </w:r>
          </w:p>
        </w:tc>
        <w:tc>
          <w:tcPr>
            <w:tcW w:w="42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w:t>
            </w:r>
          </w:p>
        </w:tc>
      </w:tr>
      <w:tr>
        <w:trPr>
          <w:trHeight w:val="209"/>
        </w:trPr>
        <w:tc>
          <w:tcPr>
            <w:tcW w:w="4980" w:type="dxa"/>
            <w:vAlign w:val="bottom"/>
            <w:tcBorders>
              <w:bottom w:val="single" w:sz="8" w:color="A6A6A6"/>
            </w:tcBorders>
          </w:tcPr>
          <w:p>
            <w:pPr>
              <w:spacing w:after="0"/>
              <w:rPr>
                <w:sz w:val="20"/>
                <w:szCs w:val="20"/>
                <w:color w:val="auto"/>
              </w:rPr>
            </w:pPr>
            <w:r>
              <w:rPr>
                <w:rFonts w:ascii="Arial" w:cs="Arial" w:eastAsia="Arial" w:hAnsi="Arial"/>
                <w:sz w:val="16"/>
                <w:szCs w:val="16"/>
                <w:b w:val="1"/>
                <w:bCs w:val="1"/>
                <w:color w:val="004483"/>
              </w:rPr>
              <w:t>Trade Name and Technology</w:t>
            </w:r>
          </w:p>
        </w:tc>
        <w:tc>
          <w:tcPr>
            <w:tcW w:w="42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w:t>
            </w:r>
          </w:p>
        </w:tc>
      </w:tr>
      <w:tr>
        <w:trPr>
          <w:trHeight w:val="207"/>
        </w:trPr>
        <w:tc>
          <w:tcPr>
            <w:tcW w:w="4980" w:type="dxa"/>
            <w:vAlign w:val="bottom"/>
          </w:tcPr>
          <w:p>
            <w:pPr>
              <w:ind w:left="260"/>
              <w:spacing w:after="0"/>
              <w:rPr>
                <w:sz w:val="20"/>
                <w:szCs w:val="20"/>
                <w:color w:val="auto"/>
              </w:rPr>
            </w:pPr>
            <w:r>
              <w:rPr>
                <w:rFonts w:ascii="Arial" w:cs="Arial" w:eastAsia="Arial" w:hAnsi="Arial"/>
                <w:sz w:val="16"/>
                <w:szCs w:val="16"/>
                <w:b w:val="1"/>
                <w:bCs w:val="1"/>
                <w:color w:val="auto"/>
              </w:rPr>
              <w:t>Total Intangible Assets</w:t>
            </w:r>
          </w:p>
        </w:tc>
        <w:tc>
          <w:tcPr>
            <w:tcW w:w="42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jc w:val="right"/>
        <w:ind w:right="120"/>
        <w:spacing w:after="0"/>
        <w:rPr>
          <w:sz w:val="20"/>
          <w:szCs w:val="20"/>
          <w:color w:val="auto"/>
        </w:rPr>
      </w:pPr>
      <w:r>
        <w:rPr>
          <w:rFonts w:ascii="Arial" w:cs="Arial" w:eastAsia="Arial" w:hAnsi="Arial"/>
          <w:sz w:val="13"/>
          <w:szCs w:val="13"/>
          <w:b w:val="1"/>
          <w:bCs w:val="1"/>
          <w:color w:val="auto"/>
        </w:rPr>
        <w:t>Estimated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2540</wp:posOffset>
            </wp:positionV>
            <wp:extent cx="11398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1" w:lineRule="exact"/>
        <w:rPr>
          <w:sz w:val="20"/>
          <w:szCs w:val="20"/>
          <w:color w:val="auto"/>
        </w:rPr>
      </w:pPr>
    </w:p>
    <w:p>
      <w:pPr>
        <w:ind w:left="1248" w:hanging="1248"/>
        <w:spacing w:after="0"/>
        <w:tabs>
          <w:tab w:leader="none" w:pos="1248" w:val="left"/>
        </w:tabs>
        <w:numPr>
          <w:ilvl w:val="0"/>
          <w:numId w:val="6"/>
        </w:numPr>
        <w:rPr>
          <w:rFonts w:ascii="Arial" w:cs="Arial" w:eastAsia="Arial" w:hAnsi="Arial"/>
          <w:sz w:val="14"/>
          <w:szCs w:val="14"/>
          <w:color w:val="auto"/>
        </w:rPr>
      </w:pPr>
      <w:r>
        <w:rPr>
          <w:rFonts w:ascii="Arial" w:cs="Arial" w:eastAsia="Arial" w:hAnsi="Arial"/>
          <w:sz w:val="14"/>
          <w:szCs w:val="14"/>
          <w:color w:val="auto"/>
        </w:rPr>
        <w:t>1,500</w:t>
      </w:r>
    </w:p>
    <w:p>
      <w:pPr>
        <w:spacing w:after="0" w:line="68" w:lineRule="exact"/>
        <w:rPr>
          <w:rFonts w:ascii="Arial" w:cs="Arial" w:eastAsia="Arial" w:hAnsi="Arial"/>
          <w:sz w:val="14"/>
          <w:szCs w:val="14"/>
          <w:color w:val="auto"/>
        </w:rPr>
      </w:pPr>
    </w:p>
    <w:p>
      <w:pPr>
        <w:ind w:left="1168"/>
        <w:spacing w:after="0"/>
        <w:rPr>
          <w:rFonts w:ascii="Arial" w:cs="Arial" w:eastAsia="Arial" w:hAnsi="Arial"/>
          <w:sz w:val="14"/>
          <w:szCs w:val="14"/>
          <w:color w:val="auto"/>
        </w:rPr>
      </w:pPr>
      <w:r>
        <w:rPr>
          <w:rFonts w:ascii="Arial" w:cs="Arial" w:eastAsia="Arial" w:hAnsi="Arial"/>
          <w:sz w:val="14"/>
          <w:szCs w:val="14"/>
          <w:color w:val="auto"/>
        </w:rPr>
        <w:t>35,300</w:t>
      </w:r>
    </w:p>
    <w:p>
      <w:pPr>
        <w:spacing w:after="0" w:line="68" w:lineRule="exact"/>
        <w:rPr>
          <w:rFonts w:ascii="Arial" w:cs="Arial" w:eastAsia="Arial" w:hAnsi="Arial"/>
          <w:sz w:val="14"/>
          <w:szCs w:val="14"/>
          <w:color w:val="auto"/>
        </w:rPr>
      </w:pPr>
    </w:p>
    <w:p>
      <w:pPr>
        <w:ind w:left="1248"/>
        <w:spacing w:after="0"/>
        <w:rPr>
          <w:rFonts w:ascii="Arial" w:cs="Arial" w:eastAsia="Arial" w:hAnsi="Arial"/>
          <w:sz w:val="14"/>
          <w:szCs w:val="14"/>
          <w:color w:val="auto"/>
        </w:rPr>
      </w:pPr>
      <w:r>
        <w:rPr>
          <w:rFonts w:ascii="Arial" w:cs="Arial" w:eastAsia="Arial" w:hAnsi="Arial"/>
          <w:sz w:val="14"/>
          <w:szCs w:val="14"/>
          <w:color w:val="auto"/>
        </w:rPr>
        <w:t>1,500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32385</wp:posOffset>
            </wp:positionV>
            <wp:extent cx="11398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39825" cy="8890"/>
                    </a:xfrm>
                    <a:prstGeom prst="rect">
                      <a:avLst/>
                    </a:prstGeom>
                    <a:noFill/>
                  </pic:spPr>
                </pic:pic>
              </a:graphicData>
            </a:graphic>
          </wp:anchor>
        </w:drawing>
        <w:drawing>
          <wp:anchor simplePos="0" relativeHeight="251657728" behindDoc="1" locked="0" layoutInCell="0" allowOverlap="1">
            <wp:simplePos x="0" y="0"/>
            <wp:positionH relativeFrom="column">
              <wp:posOffset>-111125</wp:posOffset>
            </wp:positionH>
            <wp:positionV relativeFrom="paragraph">
              <wp:posOffset>-112395</wp:posOffset>
            </wp:positionV>
            <wp:extent cx="11398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39825" cy="8255"/>
                    </a:xfrm>
                    <a:prstGeom prst="rect">
                      <a:avLst/>
                    </a:prstGeom>
                    <a:noFill/>
                  </pic:spPr>
                </pic:pic>
              </a:graphicData>
            </a:graphic>
          </wp:anchor>
        </w:drawing>
        <w:drawing>
          <wp:anchor simplePos="0" relativeHeight="251657728" behindDoc="1" locked="0" layoutInCell="0" allowOverlap="1">
            <wp:simplePos x="0" y="0"/>
            <wp:positionH relativeFrom="column">
              <wp:posOffset>-111125</wp:posOffset>
            </wp:positionH>
            <wp:positionV relativeFrom="paragraph">
              <wp:posOffset>-258445</wp:posOffset>
            </wp:positionV>
            <wp:extent cx="11398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45" w:lineRule="exact"/>
        <w:rPr>
          <w:sz w:val="20"/>
          <w:szCs w:val="20"/>
          <w:color w:val="auto"/>
        </w:rPr>
      </w:pPr>
    </w:p>
    <w:p>
      <w:pPr>
        <w:ind w:left="1168" w:hanging="1168"/>
        <w:spacing w:after="0"/>
        <w:tabs>
          <w:tab w:leader="none" w:pos="1168" w:val="left"/>
        </w:tabs>
        <w:numPr>
          <w:ilvl w:val="0"/>
          <w:numId w:val="7"/>
        </w:numPr>
        <w:rPr>
          <w:rFonts w:ascii="Arial" w:cs="Arial" w:eastAsia="Arial" w:hAnsi="Arial"/>
          <w:sz w:val="14"/>
          <w:szCs w:val="14"/>
          <w:b w:val="1"/>
          <w:bCs w:val="1"/>
          <w:color w:val="auto"/>
        </w:rPr>
      </w:pPr>
      <w:r>
        <w:rPr>
          <w:rFonts w:ascii="Arial" w:cs="Arial" w:eastAsia="Arial" w:hAnsi="Arial"/>
          <w:sz w:val="14"/>
          <w:szCs w:val="14"/>
          <w:b w:val="1"/>
          <w:bCs w:val="1"/>
          <w:color w:val="auto"/>
        </w:rPr>
        <w:t>38,300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1028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52070</wp:posOffset>
            </wp:positionV>
            <wp:extent cx="10287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2">
            <w:col w:w="9220" w:space="292"/>
            <w:col w:w="1728"/>
          </w:cols>
          <w:pgMar w:left="320" w:top="503" w:right="339" w:bottom="1440" w:gutter="0" w:footer="0" w:header="0"/>
          <w:type w:val="continuous"/>
        </w:sectPr>
      </w:pPr>
    </w:p>
    <w:p>
      <w:pPr>
        <w:spacing w:after="0" w:line="88"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Actual and pro forma impact of Kosmos Acquisition:</w:t>
      </w:r>
      <w:r>
        <w:rPr>
          <w:rFonts w:ascii="Arial" w:cs="Arial" w:eastAsia="Arial" w:hAnsi="Arial"/>
          <w:sz w:val="18"/>
          <w:szCs w:val="18"/>
          <w:color w:val="auto"/>
        </w:rPr>
        <w:t xml:space="preserve"> The following table presents the net sales and Operating Earnings related to the Kosmos Acquisition that has been included in our Consolidated Statement of Earnings for the three and six months ended September 30, 2020:</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2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0" w:type="dxa"/>
            <w:vAlign w:val="bottom"/>
            <w:shd w:val="clear" w:color="auto" w:fill="004483"/>
          </w:tcPr>
          <w:p>
            <w:pPr>
              <w:spacing w:after="0"/>
              <w:rPr>
                <w:sz w:val="17"/>
                <w:szCs w:val="17"/>
                <w:color w:val="auto"/>
              </w:rPr>
            </w:pPr>
          </w:p>
        </w:tc>
        <w:tc>
          <w:tcPr>
            <w:tcW w:w="2000" w:type="dxa"/>
            <w:vAlign w:val="bottom"/>
            <w:gridSpan w:val="2"/>
            <w:shd w:val="clear" w:color="auto" w:fill="004483"/>
          </w:tcPr>
          <w:p>
            <w:pPr>
              <w:ind w:left="20"/>
              <w:spacing w:after="0"/>
              <w:rPr>
                <w:sz w:val="20"/>
                <w:szCs w:val="20"/>
                <w:color w:val="auto"/>
              </w:rPr>
            </w:pPr>
            <w:r>
              <w:rPr>
                <w:rFonts w:ascii="Arial" w:cs="Arial" w:eastAsia="Arial" w:hAnsi="Arial"/>
                <w:sz w:val="13"/>
                <w:szCs w:val="13"/>
                <w:b w:val="1"/>
                <w:bCs w:val="1"/>
                <w:color w:val="FFFFFF"/>
              </w:rPr>
              <w:t>For the Three Months Ended</w:t>
            </w:r>
          </w:p>
        </w:tc>
        <w:tc>
          <w:tcPr>
            <w:tcW w:w="140" w:type="dxa"/>
            <w:vAlign w:val="bottom"/>
            <w:shd w:val="clear" w:color="auto" w:fill="004483"/>
          </w:tcPr>
          <w:p>
            <w:pPr>
              <w:spacing w:after="0"/>
              <w:rPr>
                <w:sz w:val="17"/>
                <w:szCs w:val="17"/>
                <w:color w:val="auto"/>
              </w:rPr>
            </w:pPr>
          </w:p>
        </w:tc>
        <w:tc>
          <w:tcPr>
            <w:tcW w:w="1700" w:type="dxa"/>
            <w:vAlign w:val="bottom"/>
            <w:shd w:val="clear" w:color="auto" w:fill="004483"/>
          </w:tcPr>
          <w:p>
            <w:pPr>
              <w:jc w:val="right"/>
              <w:ind w:right="145"/>
              <w:spacing w:after="0"/>
              <w:rPr>
                <w:sz w:val="20"/>
                <w:szCs w:val="20"/>
                <w:color w:val="auto"/>
              </w:rPr>
            </w:pPr>
            <w:r>
              <w:rPr>
                <w:rFonts w:ascii="Arial" w:cs="Arial" w:eastAsia="Arial" w:hAnsi="Arial"/>
                <w:sz w:val="13"/>
                <w:szCs w:val="13"/>
                <w:b w:val="1"/>
                <w:bCs w:val="1"/>
                <w:color w:val="FFFFFF"/>
                <w:w w:val="91"/>
              </w:rPr>
              <w:t>For the Six Months Ended</w:t>
            </w:r>
          </w:p>
        </w:tc>
        <w:tc>
          <w:tcPr>
            <w:tcW w:w="120" w:type="dxa"/>
            <w:vAlign w:val="bottom"/>
            <w:shd w:val="clear" w:color="auto" w:fill="004483"/>
          </w:tcPr>
          <w:p>
            <w:pPr>
              <w:spacing w:after="0"/>
              <w:rPr>
                <w:sz w:val="17"/>
                <w:szCs w:val="17"/>
                <w:color w:val="auto"/>
              </w:rPr>
            </w:pPr>
          </w:p>
        </w:tc>
      </w:tr>
      <w:tr>
        <w:trPr>
          <w:trHeight w:val="178"/>
        </w:trPr>
        <w:tc>
          <w:tcPr>
            <w:tcW w:w="42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00" w:type="dxa"/>
            <w:vAlign w:val="bottom"/>
            <w:shd w:val="clear" w:color="auto" w:fill="004483"/>
          </w:tcPr>
          <w:p>
            <w:pPr>
              <w:spacing w:after="0"/>
              <w:rPr>
                <w:sz w:val="15"/>
                <w:szCs w:val="15"/>
                <w:color w:val="auto"/>
              </w:rPr>
            </w:pPr>
          </w:p>
        </w:tc>
        <w:tc>
          <w:tcPr>
            <w:tcW w:w="3840" w:type="dxa"/>
            <w:vAlign w:val="bottom"/>
            <w:gridSpan w:val="4"/>
            <w:shd w:val="clear" w:color="auto" w:fill="004483"/>
          </w:tcPr>
          <w:p>
            <w:pPr>
              <w:jc w:val="right"/>
              <w:ind w:right="1385"/>
              <w:spacing w:after="0"/>
              <w:rPr>
                <w:sz w:val="20"/>
                <w:szCs w:val="20"/>
                <w:color w:val="auto"/>
              </w:rPr>
            </w:pPr>
            <w:r>
              <w:rPr>
                <w:rFonts w:ascii="Arial" w:cs="Arial" w:eastAsia="Arial" w:hAnsi="Arial"/>
                <w:sz w:val="13"/>
                <w:szCs w:val="13"/>
                <w:b w:val="1"/>
                <w:bCs w:val="1"/>
                <w:color w:val="FFFFFF"/>
              </w:rPr>
              <w:t>September 30, 2020</w:t>
            </w:r>
          </w:p>
        </w:tc>
        <w:tc>
          <w:tcPr>
            <w:tcW w:w="120" w:type="dxa"/>
            <w:vAlign w:val="bottom"/>
            <w:shd w:val="clear" w:color="auto" w:fill="004483"/>
          </w:tcPr>
          <w:p>
            <w:pPr>
              <w:spacing w:after="0"/>
              <w:rPr>
                <w:sz w:val="15"/>
                <w:szCs w:val="15"/>
                <w:color w:val="auto"/>
              </w:rPr>
            </w:pPr>
          </w:p>
        </w:tc>
      </w:tr>
      <w:tr>
        <w:trPr>
          <w:trHeight w:val="149"/>
        </w:trPr>
        <w:tc>
          <w:tcPr>
            <w:tcW w:w="4280" w:type="dxa"/>
            <w:vAlign w:val="bottom"/>
            <w:tcBorders>
              <w:bottom w:val="single" w:sz="8" w:color="004483"/>
            </w:tcBorders>
          </w:tcPr>
          <w:p>
            <w:pPr>
              <w:spacing w:after="0"/>
              <w:rPr>
                <w:sz w:val="12"/>
                <w:szCs w:val="12"/>
                <w:color w:val="auto"/>
              </w:rPr>
            </w:pPr>
          </w:p>
        </w:tc>
        <w:tc>
          <w:tcPr>
            <w:tcW w:w="2900" w:type="dxa"/>
            <w:vAlign w:val="bottom"/>
            <w:tcBorders>
              <w:bottom w:val="single" w:sz="8" w:color="004483"/>
            </w:tcBorders>
          </w:tcPr>
          <w:p>
            <w:pPr>
              <w:spacing w:after="0"/>
              <w:rPr>
                <w:sz w:val="12"/>
                <w:szCs w:val="12"/>
                <w:color w:val="auto"/>
              </w:rPr>
            </w:pPr>
          </w:p>
        </w:tc>
        <w:tc>
          <w:tcPr>
            <w:tcW w:w="100" w:type="dxa"/>
            <w:vAlign w:val="bottom"/>
            <w:tcBorders>
              <w:bottom w:val="single" w:sz="8" w:color="004483"/>
            </w:tcBorders>
          </w:tcPr>
          <w:p>
            <w:pPr>
              <w:spacing w:after="0"/>
              <w:rPr>
                <w:sz w:val="12"/>
                <w:szCs w:val="12"/>
                <w:color w:val="auto"/>
              </w:rPr>
            </w:pPr>
          </w:p>
        </w:tc>
        <w:tc>
          <w:tcPr>
            <w:tcW w:w="3840" w:type="dxa"/>
            <w:vAlign w:val="bottom"/>
            <w:tcBorders>
              <w:bottom w:val="single" w:sz="8" w:color="004483"/>
            </w:tcBorders>
            <w:gridSpan w:val="4"/>
          </w:tcPr>
          <w:p>
            <w:pPr>
              <w:jc w:val="right"/>
              <w:ind w:right="1365"/>
              <w:spacing w:after="0"/>
              <w:rPr>
                <w:sz w:val="20"/>
                <w:szCs w:val="20"/>
                <w:color w:val="auto"/>
              </w:rPr>
            </w:pPr>
            <w:r>
              <w:rPr>
                <w:rFonts w:ascii="Arial" w:cs="Arial" w:eastAsia="Arial" w:hAnsi="Arial"/>
                <w:sz w:val="13"/>
                <w:szCs w:val="13"/>
                <w:color w:val="auto"/>
              </w:rPr>
              <w:t>(dollars in thousands)</w:t>
            </w:r>
          </w:p>
        </w:tc>
        <w:tc>
          <w:tcPr>
            <w:tcW w:w="120" w:type="dxa"/>
            <w:vAlign w:val="bottom"/>
          </w:tcPr>
          <w:p>
            <w:pPr>
              <w:spacing w:after="0"/>
              <w:rPr>
                <w:sz w:val="12"/>
                <w:szCs w:val="12"/>
                <w:color w:val="auto"/>
              </w:rPr>
            </w:pPr>
          </w:p>
        </w:tc>
      </w:tr>
      <w:tr>
        <w:trPr>
          <w:trHeight w:val="207"/>
        </w:trPr>
        <w:tc>
          <w:tcPr>
            <w:tcW w:w="4280" w:type="dxa"/>
            <w:vAlign w:val="bottom"/>
            <w:tcBorders>
              <w:bottom w:val="single" w:sz="8" w:color="A6A6A6"/>
            </w:tcBorders>
          </w:tcPr>
          <w:p>
            <w:pPr>
              <w:spacing w:after="0"/>
              <w:rPr>
                <w:sz w:val="20"/>
                <w:szCs w:val="20"/>
                <w:color w:val="auto"/>
              </w:rPr>
            </w:pPr>
            <w:r>
              <w:rPr>
                <w:rFonts w:ascii="Arial" w:cs="Arial" w:eastAsia="Arial" w:hAnsi="Arial"/>
                <w:sz w:val="16"/>
                <w:szCs w:val="16"/>
                <w:b w:val="1"/>
                <w:bCs w:val="1"/>
                <w:color w:val="004483"/>
              </w:rPr>
              <w:t>Revenue</w:t>
            </w:r>
          </w:p>
        </w:tc>
        <w:tc>
          <w:tcPr>
            <w:tcW w:w="3000" w:type="dxa"/>
            <w:vAlign w:val="bottom"/>
            <w:tcBorders>
              <w:bottom w:val="single" w:sz="8" w:color="A6A6A6"/>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50,018</w:t>
            </w:r>
          </w:p>
        </w:tc>
        <w:tc>
          <w:tcPr>
            <w:tcW w:w="280" w:type="dxa"/>
            <w:vAlign w:val="bottom"/>
          </w:tcPr>
          <w:p>
            <w:pPr>
              <w:spacing w:after="0"/>
              <w:rPr>
                <w:sz w:val="17"/>
                <w:szCs w:val="17"/>
                <w:color w:val="auto"/>
              </w:rPr>
            </w:pPr>
          </w:p>
        </w:tc>
        <w:tc>
          <w:tcPr>
            <w:tcW w:w="14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97,573</w:t>
            </w:r>
          </w:p>
        </w:tc>
        <w:tc>
          <w:tcPr>
            <w:tcW w:w="120" w:type="dxa"/>
            <w:vAlign w:val="bottom"/>
          </w:tcPr>
          <w:p>
            <w:pPr>
              <w:spacing w:after="0"/>
              <w:rPr>
                <w:sz w:val="17"/>
                <w:szCs w:val="17"/>
                <w:color w:val="auto"/>
              </w:rPr>
            </w:pPr>
          </w:p>
        </w:tc>
      </w:tr>
      <w:tr>
        <w:trPr>
          <w:trHeight w:val="210"/>
        </w:trPr>
        <w:tc>
          <w:tcPr>
            <w:tcW w:w="4280" w:type="dxa"/>
            <w:vAlign w:val="bottom"/>
            <w:tcBorders>
              <w:bottom w:val="single" w:sz="8" w:color="A6A6A6"/>
            </w:tcBorders>
          </w:tcPr>
          <w:p>
            <w:pPr>
              <w:spacing w:after="0"/>
              <w:rPr>
                <w:sz w:val="20"/>
                <w:szCs w:val="20"/>
                <w:color w:val="auto"/>
              </w:rPr>
            </w:pPr>
            <w:r>
              <w:rPr>
                <w:rFonts w:ascii="Arial" w:cs="Arial" w:eastAsia="Arial" w:hAnsi="Arial"/>
                <w:sz w:val="16"/>
                <w:szCs w:val="16"/>
                <w:b w:val="1"/>
                <w:bCs w:val="1"/>
                <w:color w:val="004483"/>
              </w:rPr>
              <w:t>Operating Earnings</w:t>
            </w:r>
          </w:p>
        </w:tc>
        <w:tc>
          <w:tcPr>
            <w:tcW w:w="3000" w:type="dxa"/>
            <w:vAlign w:val="bottom"/>
            <w:tcBorders>
              <w:bottom w:val="single" w:sz="8" w:color="A6A6A6"/>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14,410</w:t>
            </w:r>
          </w:p>
        </w:tc>
        <w:tc>
          <w:tcPr>
            <w:tcW w:w="280" w:type="dxa"/>
            <w:vAlign w:val="bottom"/>
          </w:tcPr>
          <w:p>
            <w:pPr>
              <w:spacing w:after="0"/>
              <w:rPr>
                <w:sz w:val="18"/>
                <w:szCs w:val="18"/>
                <w:color w:val="auto"/>
              </w:rPr>
            </w:pPr>
          </w:p>
        </w:tc>
        <w:tc>
          <w:tcPr>
            <w:tcW w:w="14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24,970</w:t>
            </w:r>
          </w:p>
        </w:tc>
        <w:tc>
          <w:tcPr>
            <w:tcW w:w="120" w:type="dxa"/>
            <w:vAlign w:val="bottom"/>
          </w:tcPr>
          <w:p>
            <w:pPr>
              <w:spacing w:after="0"/>
              <w:rPr>
                <w:sz w:val="18"/>
                <w:szCs w:val="18"/>
                <w:color w:val="auto"/>
              </w:rPr>
            </w:pPr>
          </w:p>
        </w:tc>
      </w:tr>
    </w:tbl>
    <w:p>
      <w:pPr>
        <w:spacing w:after="0" w:line="242"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Operating Earnings shown above for the three and six months ended September 30, 2020 was affected by approximately $5.4 million and $10.7 million related to depreciation and amortization, respectively. Additionally, Operating Earnings for the six months ended September 30, 2020 was affected by approximately $3.7 million, related to the recording of acquired inventory at fair value. There was no effect on the quarter ended September 30, 2020 as all of the acquired inventory was sold in the fiscal first quarter.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type w:val="continuous"/>
        </w:sectPr>
      </w:pPr>
    </w:p>
    <w:bookmarkStart w:id="12" w:name="page13"/>
    <w:bookmarkEnd w:id="12"/>
    <w:p>
      <w:pPr>
        <w:ind w:right="140"/>
        <w:spacing w:after="0" w:line="268" w:lineRule="auto"/>
        <w:rPr>
          <w:sz w:val="20"/>
          <w:szCs w:val="20"/>
          <w:color w:val="auto"/>
        </w:rPr>
      </w:pPr>
      <w:r>
        <w:rPr>
          <w:rFonts w:ascii="Arial" w:cs="Arial" w:eastAsia="Arial" w:hAnsi="Arial"/>
          <w:sz w:val="18"/>
          <w:szCs w:val="18"/>
          <w:color w:val="auto"/>
        </w:rPr>
        <w:t>The unaudited pro forma results presented below include the effects of the Kosmos Acquisition as if it had been consummated as of April 1, 2019. The pro forma results include estimates for depreciation from the fair value adjustments to acquired Property and Equipment, amortization for acquired Intangible Assets, the Inventory step-up to fair value, and interest expense associated with debt used to fund the Kosmos Acquisition. To better reflect the combined operating results, approximately $5.6 million of material nonrecurring charges directly related to the Kosmos Acquisition have been excluded from pro forma Net Income.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shd w:val="clear" w:color="auto" w:fill="004483"/>
          </w:tcPr>
          <w:p>
            <w:pPr>
              <w:spacing w:after="0"/>
              <w:rPr>
                <w:sz w:val="17"/>
                <w:szCs w:val="17"/>
                <w:color w:val="auto"/>
              </w:rPr>
            </w:pPr>
          </w:p>
        </w:tc>
        <w:tc>
          <w:tcPr>
            <w:tcW w:w="2000" w:type="dxa"/>
            <w:vAlign w:val="bottom"/>
            <w:gridSpan w:val="2"/>
            <w:shd w:val="clear" w:color="auto" w:fill="004483"/>
          </w:tcPr>
          <w:p>
            <w:pPr>
              <w:ind w:left="20"/>
              <w:spacing w:after="0"/>
              <w:rPr>
                <w:sz w:val="20"/>
                <w:szCs w:val="20"/>
                <w:color w:val="auto"/>
              </w:rPr>
            </w:pPr>
            <w:r>
              <w:rPr>
                <w:rFonts w:ascii="Arial" w:cs="Arial" w:eastAsia="Arial" w:hAnsi="Arial"/>
                <w:sz w:val="13"/>
                <w:szCs w:val="13"/>
                <w:b w:val="1"/>
                <w:bCs w:val="1"/>
                <w:color w:val="FFFFFF"/>
              </w:rPr>
              <w:t>For the Three Months Ended</w:t>
            </w:r>
          </w:p>
        </w:tc>
        <w:tc>
          <w:tcPr>
            <w:tcW w:w="180" w:type="dxa"/>
            <w:vAlign w:val="bottom"/>
            <w:shd w:val="clear" w:color="auto" w:fill="004483"/>
          </w:tcPr>
          <w:p>
            <w:pPr>
              <w:spacing w:after="0"/>
              <w:rPr>
                <w:sz w:val="17"/>
                <w:szCs w:val="17"/>
                <w:color w:val="auto"/>
              </w:rPr>
            </w:pPr>
          </w:p>
        </w:tc>
        <w:tc>
          <w:tcPr>
            <w:tcW w:w="1660" w:type="dxa"/>
            <w:vAlign w:val="bottom"/>
            <w:shd w:val="clear" w:color="auto" w:fill="004483"/>
          </w:tcPr>
          <w:p>
            <w:pPr>
              <w:jc w:val="right"/>
              <w:ind w:right="143"/>
              <w:spacing w:after="0"/>
              <w:rPr>
                <w:sz w:val="20"/>
                <w:szCs w:val="20"/>
                <w:color w:val="auto"/>
              </w:rPr>
            </w:pPr>
            <w:r>
              <w:rPr>
                <w:rFonts w:ascii="Arial" w:cs="Arial" w:eastAsia="Arial" w:hAnsi="Arial"/>
                <w:sz w:val="13"/>
                <w:szCs w:val="13"/>
                <w:b w:val="1"/>
                <w:bCs w:val="1"/>
                <w:color w:val="FFFFFF"/>
                <w:w w:val="88"/>
              </w:rPr>
              <w:t>For the Six Months Ended</w:t>
            </w:r>
          </w:p>
        </w:tc>
        <w:tc>
          <w:tcPr>
            <w:tcW w:w="120" w:type="dxa"/>
            <w:vAlign w:val="bottom"/>
            <w:shd w:val="clear" w:color="auto" w:fill="004483"/>
          </w:tcPr>
          <w:p>
            <w:pPr>
              <w:spacing w:after="0"/>
              <w:rPr>
                <w:sz w:val="17"/>
                <w:szCs w:val="17"/>
                <w:color w:val="auto"/>
              </w:rPr>
            </w:pPr>
          </w:p>
        </w:tc>
      </w:tr>
      <w:tr>
        <w:trPr>
          <w:trHeight w:val="178"/>
        </w:trPr>
        <w:tc>
          <w:tcPr>
            <w:tcW w:w="56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shd w:val="clear" w:color="auto" w:fill="004483"/>
          </w:tcPr>
          <w:p>
            <w:pPr>
              <w:spacing w:after="0"/>
              <w:rPr>
                <w:sz w:val="15"/>
                <w:szCs w:val="15"/>
                <w:color w:val="auto"/>
              </w:rPr>
            </w:pPr>
          </w:p>
        </w:tc>
        <w:tc>
          <w:tcPr>
            <w:tcW w:w="3840" w:type="dxa"/>
            <w:vAlign w:val="bottom"/>
            <w:gridSpan w:val="4"/>
            <w:shd w:val="clear" w:color="auto" w:fill="004483"/>
          </w:tcPr>
          <w:p>
            <w:pPr>
              <w:jc w:val="center"/>
              <w:ind w:right="43"/>
              <w:spacing w:after="0"/>
              <w:rPr>
                <w:sz w:val="20"/>
                <w:szCs w:val="20"/>
                <w:color w:val="auto"/>
              </w:rPr>
            </w:pPr>
            <w:r>
              <w:rPr>
                <w:rFonts w:ascii="Arial" w:cs="Arial" w:eastAsia="Arial" w:hAnsi="Arial"/>
                <w:sz w:val="13"/>
                <w:szCs w:val="13"/>
                <w:b w:val="1"/>
                <w:bCs w:val="1"/>
                <w:color w:val="FFFFFF"/>
                <w:w w:val="85"/>
              </w:rPr>
              <w:t>September 30, 2019</w:t>
            </w:r>
          </w:p>
        </w:tc>
        <w:tc>
          <w:tcPr>
            <w:tcW w:w="120" w:type="dxa"/>
            <w:vAlign w:val="bottom"/>
            <w:shd w:val="clear" w:color="auto" w:fill="004483"/>
          </w:tcPr>
          <w:p>
            <w:pPr>
              <w:spacing w:after="0"/>
              <w:rPr>
                <w:sz w:val="15"/>
                <w:szCs w:val="15"/>
                <w:color w:val="auto"/>
              </w:rPr>
            </w:pPr>
          </w:p>
        </w:tc>
      </w:tr>
      <w:tr>
        <w:trPr>
          <w:trHeight w:val="148"/>
        </w:trPr>
        <w:tc>
          <w:tcPr>
            <w:tcW w:w="56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gridSpan w:val="3"/>
          </w:tcPr>
          <w:p>
            <w:pPr>
              <w:jc w:val="center"/>
              <w:ind w:left="1468"/>
              <w:spacing w:after="0" w:line="148" w:lineRule="exact"/>
              <w:rPr>
                <w:sz w:val="20"/>
                <w:szCs w:val="20"/>
                <w:color w:val="auto"/>
              </w:rPr>
            </w:pPr>
            <w:r>
              <w:rPr>
                <w:rFonts w:ascii="Arial" w:cs="Arial" w:eastAsia="Arial" w:hAnsi="Arial"/>
                <w:sz w:val="13"/>
                <w:szCs w:val="13"/>
                <w:b w:val="1"/>
                <w:bCs w:val="1"/>
                <w:color w:val="auto"/>
                <w:w w:val="88"/>
              </w:rPr>
              <w:t>Unaudited</w:t>
            </w: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56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960" w:type="dxa"/>
            <w:vAlign w:val="bottom"/>
            <w:gridSpan w:val="5"/>
          </w:tcPr>
          <w:p>
            <w:pPr>
              <w:jc w:val="center"/>
              <w:ind w:right="240"/>
              <w:spacing w:after="0"/>
              <w:rPr>
                <w:sz w:val="20"/>
                <w:szCs w:val="20"/>
                <w:color w:val="auto"/>
              </w:rPr>
            </w:pPr>
            <w:r>
              <w:rPr>
                <w:rFonts w:ascii="Arial" w:cs="Arial" w:eastAsia="Arial" w:hAnsi="Arial"/>
                <w:sz w:val="13"/>
                <w:szCs w:val="13"/>
                <w:color w:val="auto"/>
                <w:w w:val="85"/>
              </w:rPr>
              <w:t>(dollars in thousands, except per share data)</w:t>
            </w:r>
          </w:p>
        </w:tc>
      </w:tr>
      <w:tr>
        <w:trPr>
          <w:trHeight w:val="207"/>
        </w:trPr>
        <w:tc>
          <w:tcPr>
            <w:tcW w:w="5600" w:type="dxa"/>
            <w:vAlign w:val="bottom"/>
            <w:tcBorders>
              <w:top w:val="single" w:sz="8" w:color="004483"/>
              <w:bottom w:val="single" w:sz="8" w:color="A6A6A6"/>
            </w:tcBorders>
          </w:tcPr>
          <w:p>
            <w:pPr>
              <w:spacing w:after="0"/>
              <w:rPr>
                <w:sz w:val="20"/>
                <w:szCs w:val="20"/>
                <w:color w:val="auto"/>
              </w:rPr>
            </w:pPr>
            <w:r>
              <w:rPr>
                <w:rFonts w:ascii="Arial" w:cs="Arial" w:eastAsia="Arial" w:hAnsi="Arial"/>
                <w:sz w:val="16"/>
                <w:szCs w:val="16"/>
                <w:b w:val="1"/>
                <w:bCs w:val="1"/>
                <w:color w:val="004483"/>
              </w:rPr>
              <w:t>Revenue</w:t>
            </w:r>
          </w:p>
        </w:tc>
        <w:tc>
          <w:tcPr>
            <w:tcW w:w="1680" w:type="dxa"/>
            <w:vAlign w:val="bottom"/>
            <w:tcBorders>
              <w:top w:val="single" w:sz="8" w:color="004483"/>
              <w:bottom w:val="single" w:sz="8" w:color="A6A6A6"/>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461,402</w:t>
            </w:r>
          </w:p>
        </w:tc>
        <w:tc>
          <w:tcPr>
            <w:tcW w:w="280" w:type="dxa"/>
            <w:vAlign w:val="bottom"/>
            <w:tcBorders>
              <w:top w:val="single" w:sz="8" w:color="004483"/>
            </w:tcBorders>
          </w:tcPr>
          <w:p>
            <w:pPr>
              <w:spacing w:after="0"/>
              <w:rPr>
                <w:sz w:val="17"/>
                <w:szCs w:val="17"/>
                <w:color w:val="auto"/>
              </w:rPr>
            </w:pPr>
          </w:p>
        </w:tc>
        <w:tc>
          <w:tcPr>
            <w:tcW w:w="180" w:type="dxa"/>
            <w:vAlign w:val="bottom"/>
            <w:tcBorders>
              <w:top w:val="single" w:sz="8" w:color="004483"/>
              <w:bottom w:val="single" w:sz="8" w:color="A6A6A6"/>
            </w:tcBorders>
          </w:tcPr>
          <w:p>
            <w:pPr>
              <w:jc w:val="right"/>
              <w:ind w:right="24"/>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861,168</w:t>
            </w:r>
          </w:p>
        </w:tc>
        <w:tc>
          <w:tcPr>
            <w:tcW w:w="120" w:type="dxa"/>
            <w:vAlign w:val="bottom"/>
          </w:tcPr>
          <w:p>
            <w:pPr>
              <w:spacing w:after="0"/>
              <w:rPr>
                <w:sz w:val="17"/>
                <w:szCs w:val="17"/>
                <w:color w:val="auto"/>
              </w:rPr>
            </w:pPr>
          </w:p>
        </w:tc>
      </w:tr>
      <w:tr>
        <w:trPr>
          <w:trHeight w:val="210"/>
        </w:trPr>
        <w:tc>
          <w:tcPr>
            <w:tcW w:w="5600" w:type="dxa"/>
            <w:vAlign w:val="bottom"/>
            <w:tcBorders>
              <w:bottom w:val="single" w:sz="8" w:color="A6A6A6"/>
            </w:tcBorders>
          </w:tcPr>
          <w:p>
            <w:pPr>
              <w:spacing w:after="0"/>
              <w:rPr>
                <w:sz w:val="20"/>
                <w:szCs w:val="20"/>
                <w:color w:val="auto"/>
              </w:rPr>
            </w:pPr>
            <w:r>
              <w:rPr>
                <w:rFonts w:ascii="Arial" w:cs="Arial" w:eastAsia="Arial" w:hAnsi="Arial"/>
                <w:sz w:val="16"/>
                <w:szCs w:val="16"/>
                <w:b w:val="1"/>
                <w:bCs w:val="1"/>
                <w:color w:val="004483"/>
              </w:rPr>
              <w:t>Net Earnings from Continuing Operations</w:t>
            </w:r>
          </w:p>
        </w:tc>
        <w:tc>
          <w:tcPr>
            <w:tcW w:w="1680" w:type="dxa"/>
            <w:vAlign w:val="bottom"/>
            <w:tcBorders>
              <w:bottom w:val="single" w:sz="8" w:color="A6A6A6"/>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71,700</w:t>
            </w:r>
          </w:p>
        </w:tc>
        <w:tc>
          <w:tcPr>
            <w:tcW w:w="280" w:type="dxa"/>
            <w:vAlign w:val="bottom"/>
          </w:tcPr>
          <w:p>
            <w:pPr>
              <w:spacing w:after="0"/>
              <w:rPr>
                <w:sz w:val="18"/>
                <w:szCs w:val="18"/>
                <w:color w:val="auto"/>
              </w:rPr>
            </w:pPr>
          </w:p>
        </w:tc>
        <w:tc>
          <w:tcPr>
            <w:tcW w:w="180" w:type="dxa"/>
            <w:vAlign w:val="bottom"/>
            <w:tcBorders>
              <w:bottom w:val="single" w:sz="8" w:color="A6A6A6"/>
            </w:tcBorders>
          </w:tcPr>
          <w:p>
            <w:pPr>
              <w:jc w:val="right"/>
              <w:ind w:right="24"/>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108,269</w:t>
            </w:r>
          </w:p>
        </w:tc>
        <w:tc>
          <w:tcPr>
            <w:tcW w:w="120" w:type="dxa"/>
            <w:vAlign w:val="bottom"/>
          </w:tcPr>
          <w:p>
            <w:pPr>
              <w:spacing w:after="0"/>
              <w:rPr>
                <w:sz w:val="18"/>
                <w:szCs w:val="18"/>
                <w:color w:val="auto"/>
              </w:rPr>
            </w:pPr>
          </w:p>
        </w:tc>
      </w:tr>
      <w:tr>
        <w:trPr>
          <w:trHeight w:val="209"/>
        </w:trPr>
        <w:tc>
          <w:tcPr>
            <w:tcW w:w="5600" w:type="dxa"/>
            <w:vAlign w:val="bottom"/>
            <w:tcBorders>
              <w:bottom w:val="single" w:sz="8" w:color="A6A6A6"/>
            </w:tcBorders>
          </w:tcPr>
          <w:p>
            <w:pPr>
              <w:spacing w:after="0"/>
              <w:rPr>
                <w:sz w:val="20"/>
                <w:szCs w:val="20"/>
                <w:color w:val="auto"/>
              </w:rPr>
            </w:pPr>
            <w:r>
              <w:rPr>
                <w:rFonts w:ascii="Arial" w:cs="Arial" w:eastAsia="Arial" w:hAnsi="Arial"/>
                <w:sz w:val="16"/>
                <w:szCs w:val="16"/>
                <w:b w:val="1"/>
                <w:bCs w:val="1"/>
                <w:color w:val="004483"/>
              </w:rPr>
              <w:t>Earnings per share from Continuing Operations – basic</w:t>
            </w:r>
          </w:p>
        </w:tc>
        <w:tc>
          <w:tcPr>
            <w:tcW w:w="1680" w:type="dxa"/>
            <w:vAlign w:val="bottom"/>
            <w:tcBorders>
              <w:bottom w:val="single" w:sz="8" w:color="A6A6A6"/>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1.72</w:t>
            </w:r>
          </w:p>
        </w:tc>
        <w:tc>
          <w:tcPr>
            <w:tcW w:w="280" w:type="dxa"/>
            <w:vAlign w:val="bottom"/>
          </w:tcPr>
          <w:p>
            <w:pPr>
              <w:spacing w:after="0"/>
              <w:rPr>
                <w:sz w:val="18"/>
                <w:szCs w:val="18"/>
                <w:color w:val="auto"/>
              </w:rPr>
            </w:pPr>
          </w:p>
        </w:tc>
        <w:tc>
          <w:tcPr>
            <w:tcW w:w="180" w:type="dxa"/>
            <w:vAlign w:val="bottom"/>
            <w:tcBorders>
              <w:bottom w:val="single" w:sz="8" w:color="A6A6A6"/>
            </w:tcBorders>
          </w:tcPr>
          <w:p>
            <w:pPr>
              <w:jc w:val="right"/>
              <w:ind w:right="24"/>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18"/>
                <w:szCs w:val="18"/>
                <w:color w:val="auto"/>
              </w:rPr>
            </w:pPr>
          </w:p>
        </w:tc>
      </w:tr>
      <w:tr>
        <w:trPr>
          <w:trHeight w:val="209"/>
        </w:trPr>
        <w:tc>
          <w:tcPr>
            <w:tcW w:w="5600" w:type="dxa"/>
            <w:vAlign w:val="bottom"/>
            <w:tcBorders>
              <w:bottom w:val="single" w:sz="8" w:color="A6A6A6"/>
            </w:tcBorders>
          </w:tcPr>
          <w:p>
            <w:pPr>
              <w:spacing w:after="0"/>
              <w:rPr>
                <w:sz w:val="20"/>
                <w:szCs w:val="20"/>
                <w:color w:val="auto"/>
              </w:rPr>
            </w:pPr>
            <w:r>
              <w:rPr>
                <w:rFonts w:ascii="Arial" w:cs="Arial" w:eastAsia="Arial" w:hAnsi="Arial"/>
                <w:sz w:val="16"/>
                <w:szCs w:val="16"/>
                <w:b w:val="1"/>
                <w:bCs w:val="1"/>
                <w:color w:val="004483"/>
              </w:rPr>
              <w:t>Earnings per share from Continuing Operations – diluted</w:t>
            </w:r>
          </w:p>
        </w:tc>
        <w:tc>
          <w:tcPr>
            <w:tcW w:w="1680" w:type="dxa"/>
            <w:vAlign w:val="bottom"/>
            <w:tcBorders>
              <w:bottom w:val="single" w:sz="8" w:color="A6A6A6"/>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1.71</w:t>
            </w:r>
          </w:p>
        </w:tc>
        <w:tc>
          <w:tcPr>
            <w:tcW w:w="280" w:type="dxa"/>
            <w:vAlign w:val="bottom"/>
          </w:tcPr>
          <w:p>
            <w:pPr>
              <w:spacing w:after="0"/>
              <w:rPr>
                <w:sz w:val="18"/>
                <w:szCs w:val="18"/>
                <w:color w:val="auto"/>
              </w:rPr>
            </w:pPr>
          </w:p>
        </w:tc>
        <w:tc>
          <w:tcPr>
            <w:tcW w:w="180" w:type="dxa"/>
            <w:vAlign w:val="bottom"/>
            <w:tcBorders>
              <w:bottom w:val="single" w:sz="8" w:color="A6A6A6"/>
            </w:tcBorders>
          </w:tcPr>
          <w:p>
            <w:pPr>
              <w:jc w:val="right"/>
              <w:ind w:right="24"/>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2.52</w:t>
            </w:r>
          </w:p>
        </w:tc>
        <w:tc>
          <w:tcPr>
            <w:tcW w:w="120" w:type="dxa"/>
            <w:vAlign w:val="bottom"/>
          </w:tcPr>
          <w:p>
            <w:pPr>
              <w:spacing w:after="0"/>
              <w:rPr>
                <w:sz w:val="18"/>
                <w:szCs w:val="18"/>
                <w:color w:val="auto"/>
              </w:rPr>
            </w:pPr>
          </w:p>
        </w:tc>
      </w:tr>
    </w:tbl>
    <w:p>
      <w:pPr>
        <w:spacing w:after="0" w:line="242"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The pro forma results do not include any anticipated synergies or other expected benefits of the Kosmos Acquisition. Accordingly, the unaudited pro forma results are not necessarily indicative of either future results of operations or results that might have been achieved had the Kosmos Acquisition been consummated as of April 1, 2019.</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 REVENUE</w:t>
      </w:r>
    </w:p>
    <w:p>
      <w:pPr>
        <w:spacing w:after="0" w:line="14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earn Revenue primarily from the sale of products, which include cement, concrete, aggregates, gypsum wallboard and recycled paperboard. The vast majority of Revenue from the sale of cement, concrete, aggregates, and gypsum wallboard is originated by purchase orders from our customers, who are primarily third-party contractors and suppliers. Revenue from our Recycled Paperboard segment is generated primarily through long-term supply agreements that mature between 2023 and 2025. We invoice customers upon shipment, and our collection terms range from 30-75 days. Revenue from the sale of cement, concrete, aggregates, and gypsum wallboard that is not related to long-term supply agreements is recognized upon shipment of the related products to customers, which is when title and ownership are transferred, and the customer is obligated to pay.</w:t>
      </w:r>
    </w:p>
    <w:p>
      <w:pPr>
        <w:spacing w:after="0" w:line="9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Revenue from sales under our long-term supply agreements is also recognized upon transfer of control to the customer, which generally occurs at the time the product is shipped from the production facility or terminal location. Our long-term supply agreements with customers define, among other commitments, the volume of product that we must provide and the volume that the customer must purchase by the end of the defined periods. Pricing structures under our agreements are generally market-based but are subject to certain contractual adjustments. Shortfall amounts, if applicable under these arrangements, are constrained and not recognized as Revenue until an agreement is reached with the customer and, therefore, are not subject to the risk of reversal.</w:t>
      </w:r>
    </w:p>
    <w:p>
      <w:pPr>
        <w:spacing w:after="0" w:line="98"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The Company offers certain of its customers, including those with long-term supply agreements, rebates and incentives, which we treat as variable consideration. We adjust the amount of Revenue recognized for the variable consideration using the most likely amount method based on past history and projected volumes in the rebate and incentive period. Any amounts billed to customers for taxes are excluded from Revenue.</w:t>
      </w:r>
    </w:p>
    <w:p>
      <w:pPr>
        <w:spacing w:after="0" w:line="98"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The Company has elected to treat freight and delivery charges we pay for the delivery of goods to our customers as a fulfilment activity rather than a separate performance obligation. When we arrange for a third party to deliver products to customers, fees for shipping and handling that are billed to the customer are recorded as Revenue, while costs we incur for shipping and handling are recorded as expenses and included in Cost of Goods Sold.</w:t>
      </w:r>
    </w:p>
    <w:p>
      <w:pPr>
        <w:spacing w:after="0" w:line="98" w:lineRule="exact"/>
        <w:rPr>
          <w:sz w:val="20"/>
          <w:szCs w:val="20"/>
          <w:color w:val="auto"/>
        </w:rPr>
      </w:pPr>
    </w:p>
    <w:p>
      <w:pPr>
        <w:jc w:val="both"/>
        <w:ind w:right="340"/>
        <w:spacing w:after="0" w:line="271" w:lineRule="auto"/>
        <w:rPr>
          <w:sz w:val="20"/>
          <w:szCs w:val="20"/>
          <w:color w:val="auto"/>
        </w:rPr>
      </w:pPr>
      <w:r>
        <w:rPr>
          <w:rFonts w:ascii="Arial" w:cs="Arial" w:eastAsia="Arial" w:hAnsi="Arial"/>
          <w:sz w:val="18"/>
          <w:szCs w:val="18"/>
          <w:color w:val="auto"/>
        </w:rPr>
        <w:t>Other Non-Operating Income includes lease and rental income, asset sale income, non-inventoried aggregates sales income, distribution center income, and trucking income, as well as other miscellaneous revenue items and costs that have not been allocated to a business segment.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See Footnote (O) to the Unaudited Consolidated Financial Statements for disaggregation of revenue by segment.</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 ACCOUNTS AND NOTES RECEIVABLE</w:t>
      </w:r>
    </w:p>
    <w:p>
      <w:pPr>
        <w:spacing w:after="0" w:line="14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Accounts and Notes Receivable have been shown net of the allowance for doubtful accounts of $8.0 million and $9.3 million (net of allowance for doubtful accounts related to discontinued operations) at September 30, 2020 and March 31, 2020, respectively. We perform ongoing credit evaluations of our customers’ financial condition and generally require no collateral from our customers. The allowance for non-collection of receivables is based upon analysis of economic trends in the construction industry, detailed analysis of the expected collectability of accounts receivable that are past due, and the expected collectability of overall receivables. We have no significant credit risk concentration among our diversified customer base.</w:t>
      </w:r>
    </w:p>
    <w:p>
      <w:pPr>
        <w:spacing w:after="0" w:line="9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had Notes Receivable totaling approximately $8.3 million at September 30, 2020, which is classified as long-term on the balance sheet. We lend funds to certain companies in the ordinary course of business, and the notes bear interest, on average, at 3.6%. Remaining unpaid amounts, plus accrued interest, mature in 2026. The notes are collateralized by certain assets of the borrower, namely property and equipment, and are generally payable monthly. We monitor the credit risk of each borrower by assessing the timeliness of payments, credit history, credit metrics, and our ongoing interactions with each borrower.</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 INVENTORIES</w:t>
      </w:r>
    </w:p>
    <w:p>
      <w:pPr>
        <w:spacing w:after="0" w:line="13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Inventories are stated at the lower of average cost (including applicable material, labor, depreciation, and plant overhead) or net realizable value. Raw Materials and Materials-in-Progress include clinker, which is an intermediary product before it is ground into cement powder. Quantities of Raw Materials and Materials-in-Progress, Aggregates, and coal inventories, are based on measured volumes, subject to estimation based on the size and location of the inventory piles, and converted to tonnage using standard inventory density factors. Inventories consist of the following:</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20" w:type="dxa"/>
            <w:vAlign w:val="bottom"/>
            <w:shd w:val="clear" w:color="auto" w:fill="004483"/>
          </w:tcPr>
          <w:p>
            <w:pPr>
              <w:spacing w:after="0"/>
              <w:rPr>
                <w:sz w:val="19"/>
                <w:szCs w:val="19"/>
                <w:color w:val="auto"/>
              </w:rPr>
            </w:pPr>
          </w:p>
        </w:tc>
        <w:tc>
          <w:tcPr>
            <w:tcW w:w="1420" w:type="dxa"/>
            <w:vAlign w:val="bottom"/>
            <w:gridSpan w:val="3"/>
            <w:shd w:val="clear" w:color="auto" w:fill="004483"/>
          </w:tcPr>
          <w:p>
            <w:pPr>
              <w:ind w:left="340"/>
              <w:spacing w:after="0"/>
              <w:rPr>
                <w:sz w:val="20"/>
                <w:szCs w:val="20"/>
                <w:color w:val="auto"/>
              </w:rPr>
            </w:pPr>
            <w:r>
              <w:rPr>
                <w:rFonts w:ascii="Arial" w:cs="Arial" w:eastAsia="Arial" w:hAnsi="Arial"/>
                <w:sz w:val="13"/>
                <w:szCs w:val="13"/>
                <w:b w:val="1"/>
                <w:bCs w:val="1"/>
                <w:color w:val="FFFFFF"/>
              </w:rPr>
              <w:t>September 30,</w:t>
            </w:r>
          </w:p>
        </w:tc>
        <w:tc>
          <w:tcPr>
            <w:tcW w:w="700" w:type="dxa"/>
            <w:vAlign w:val="bottom"/>
            <w:shd w:val="clear" w:color="auto" w:fill="004483"/>
          </w:tcPr>
          <w:p>
            <w:pPr>
              <w:spacing w:after="0"/>
              <w:rPr>
                <w:sz w:val="19"/>
                <w:szCs w:val="19"/>
                <w:color w:val="auto"/>
              </w:rPr>
            </w:pPr>
          </w:p>
        </w:tc>
        <w:tc>
          <w:tcPr>
            <w:tcW w:w="980" w:type="dxa"/>
            <w:vAlign w:val="bottom"/>
            <w:gridSpan w:val="2"/>
            <w:shd w:val="clear" w:color="auto" w:fill="004483"/>
          </w:tcPr>
          <w:p>
            <w:pPr>
              <w:ind w:left="300"/>
              <w:spacing w:after="0"/>
              <w:rPr>
                <w:sz w:val="20"/>
                <w:szCs w:val="20"/>
                <w:color w:val="auto"/>
              </w:rPr>
            </w:pPr>
            <w:r>
              <w:rPr>
                <w:rFonts w:ascii="Arial" w:cs="Arial" w:eastAsia="Arial" w:hAnsi="Arial"/>
                <w:sz w:val="13"/>
                <w:szCs w:val="13"/>
                <w:b w:val="1"/>
                <w:bCs w:val="1"/>
                <w:color w:val="FFFFFF"/>
              </w:rPr>
              <w:t>March 31,</w:t>
            </w:r>
          </w:p>
        </w:tc>
      </w:tr>
      <w:tr>
        <w:trPr>
          <w:trHeight w:val="148"/>
        </w:trPr>
        <w:tc>
          <w:tcPr>
            <w:tcW w:w="5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2"/>
                <w:szCs w:val="12"/>
                <w:color w:val="auto"/>
              </w:rPr>
            </w:pPr>
          </w:p>
        </w:tc>
      </w:tr>
      <w:tr>
        <w:trPr>
          <w:trHeight w:val="149"/>
        </w:trPr>
        <w:tc>
          <w:tcPr>
            <w:tcW w:w="5200" w:type="dxa"/>
            <w:vAlign w:val="bottom"/>
            <w:tcBorders>
              <w:bottom w:val="single" w:sz="8" w:color="004483"/>
            </w:tcBorders>
          </w:tcPr>
          <w:p>
            <w:pPr>
              <w:spacing w:after="0"/>
              <w:rPr>
                <w:sz w:val="12"/>
                <w:szCs w:val="12"/>
                <w:color w:val="auto"/>
              </w:rPr>
            </w:pPr>
          </w:p>
        </w:tc>
        <w:tc>
          <w:tcPr>
            <w:tcW w:w="2520" w:type="dxa"/>
            <w:vAlign w:val="bottom"/>
            <w:tcBorders>
              <w:bottom w:val="single" w:sz="8" w:color="004483"/>
            </w:tcBorders>
          </w:tcPr>
          <w:p>
            <w:pPr>
              <w:spacing w:after="0"/>
              <w:rPr>
                <w:sz w:val="12"/>
                <w:szCs w:val="12"/>
                <w:color w:val="auto"/>
              </w:rPr>
            </w:pPr>
          </w:p>
        </w:tc>
        <w:tc>
          <w:tcPr>
            <w:tcW w:w="420" w:type="dxa"/>
            <w:vAlign w:val="bottom"/>
            <w:tcBorders>
              <w:bottom w:val="single" w:sz="8" w:color="004483"/>
            </w:tcBorders>
          </w:tcPr>
          <w:p>
            <w:pPr>
              <w:spacing w:after="0"/>
              <w:rPr>
                <w:sz w:val="12"/>
                <w:szCs w:val="12"/>
                <w:color w:val="auto"/>
              </w:rPr>
            </w:pPr>
          </w:p>
        </w:tc>
        <w:tc>
          <w:tcPr>
            <w:tcW w:w="2120" w:type="dxa"/>
            <w:vAlign w:val="bottom"/>
            <w:tcBorders>
              <w:bottom w:val="single" w:sz="8" w:color="004483"/>
            </w:tcBorders>
            <w:gridSpan w:val="4"/>
          </w:tcPr>
          <w:p>
            <w:pPr>
              <w:jc w:val="right"/>
              <w:ind w:right="224"/>
              <w:spacing w:after="0"/>
              <w:rPr>
                <w:sz w:val="20"/>
                <w:szCs w:val="20"/>
                <w:color w:val="auto"/>
              </w:rPr>
            </w:pPr>
            <w:r>
              <w:rPr>
                <w:rFonts w:ascii="Arial" w:cs="Arial" w:eastAsia="Arial" w:hAnsi="Arial"/>
                <w:sz w:val="13"/>
                <w:szCs w:val="13"/>
                <w:color w:val="auto"/>
              </w:rPr>
              <w:t>(dollars in thousands)</w:t>
            </w:r>
          </w:p>
        </w:tc>
        <w:tc>
          <w:tcPr>
            <w:tcW w:w="880" w:type="dxa"/>
            <w:vAlign w:val="bottom"/>
            <w:tcBorders>
              <w:bottom w:val="single" w:sz="8" w:color="004483"/>
            </w:tcBorders>
          </w:tcPr>
          <w:p>
            <w:pPr>
              <w:spacing w:after="0"/>
              <w:rPr>
                <w:sz w:val="12"/>
                <w:szCs w:val="12"/>
                <w:color w:val="auto"/>
              </w:rPr>
            </w:pPr>
          </w:p>
        </w:tc>
        <w:tc>
          <w:tcPr>
            <w:tcW w:w="100" w:type="dxa"/>
            <w:vAlign w:val="bottom"/>
          </w:tcPr>
          <w:p>
            <w:pPr>
              <w:spacing w:after="0"/>
              <w:rPr>
                <w:sz w:val="12"/>
                <w:szCs w:val="12"/>
                <w:color w:val="auto"/>
              </w:rPr>
            </w:pPr>
          </w:p>
        </w:tc>
      </w:tr>
      <w:tr>
        <w:trPr>
          <w:trHeight w:val="207"/>
        </w:trPr>
        <w:tc>
          <w:tcPr>
            <w:tcW w:w="5200" w:type="dxa"/>
            <w:vAlign w:val="bottom"/>
            <w:tcBorders>
              <w:bottom w:val="single" w:sz="8" w:color="A6A6A6"/>
            </w:tcBorders>
          </w:tcPr>
          <w:p>
            <w:pPr>
              <w:spacing w:after="0"/>
              <w:rPr>
                <w:sz w:val="20"/>
                <w:szCs w:val="20"/>
                <w:color w:val="auto"/>
              </w:rPr>
            </w:pPr>
            <w:r>
              <w:rPr>
                <w:rFonts w:ascii="Arial" w:cs="Arial" w:eastAsia="Arial" w:hAnsi="Arial"/>
                <w:sz w:val="16"/>
                <w:szCs w:val="16"/>
                <w:color w:val="auto"/>
              </w:rPr>
              <w:t>Raw Materials and Materials-in-Progress</w:t>
            </w:r>
          </w:p>
        </w:tc>
        <w:tc>
          <w:tcPr>
            <w:tcW w:w="2940" w:type="dxa"/>
            <w:vAlign w:val="bottom"/>
            <w:tcBorders>
              <w:bottom w:val="single" w:sz="8" w:color="A6A6A6"/>
            </w:tcBorders>
            <w:gridSpan w:val="2"/>
          </w:tcPr>
          <w:p>
            <w:pPr>
              <w:jc w:val="right"/>
              <w:ind w:right="264"/>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84,494</w:t>
            </w:r>
          </w:p>
        </w:tc>
        <w:tc>
          <w:tcPr>
            <w:tcW w:w="120" w:type="dxa"/>
            <w:vAlign w:val="bottom"/>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700" w:type="dxa"/>
            <w:vAlign w:val="bottom"/>
            <w:tcBorders>
              <w:bottom w:val="single" w:sz="8" w:color="A6A6A6"/>
            </w:tcBorders>
          </w:tcPr>
          <w:p>
            <w:pPr>
              <w:jc w:val="right"/>
              <w:ind w:right="54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110,558</w:t>
            </w:r>
          </w:p>
        </w:tc>
        <w:tc>
          <w:tcPr>
            <w:tcW w:w="100" w:type="dxa"/>
            <w:vAlign w:val="bottom"/>
          </w:tcPr>
          <w:p>
            <w:pPr>
              <w:spacing w:after="0"/>
              <w:rPr>
                <w:sz w:val="17"/>
                <w:szCs w:val="17"/>
                <w:color w:val="auto"/>
              </w:rPr>
            </w:pPr>
          </w:p>
        </w:tc>
      </w:tr>
      <w:tr>
        <w:trPr>
          <w:trHeight w:val="209"/>
        </w:trPr>
        <w:tc>
          <w:tcPr>
            <w:tcW w:w="5200" w:type="dxa"/>
            <w:vAlign w:val="bottom"/>
            <w:tcBorders>
              <w:bottom w:val="single" w:sz="8" w:color="A6A6A6"/>
            </w:tcBorders>
          </w:tcPr>
          <w:p>
            <w:pPr>
              <w:spacing w:after="0"/>
              <w:rPr>
                <w:sz w:val="20"/>
                <w:szCs w:val="20"/>
                <w:color w:val="auto"/>
              </w:rPr>
            </w:pPr>
            <w:r>
              <w:rPr>
                <w:rFonts w:ascii="Arial" w:cs="Arial" w:eastAsia="Arial" w:hAnsi="Arial"/>
                <w:sz w:val="16"/>
                <w:szCs w:val="16"/>
                <w:color w:val="auto"/>
              </w:rPr>
              <w:t>Finished Cement</w:t>
            </w:r>
          </w:p>
        </w:tc>
        <w:tc>
          <w:tcPr>
            <w:tcW w:w="252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28,866</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43,538</w:t>
            </w:r>
          </w:p>
        </w:tc>
        <w:tc>
          <w:tcPr>
            <w:tcW w:w="100" w:type="dxa"/>
            <w:vAlign w:val="bottom"/>
          </w:tcPr>
          <w:p>
            <w:pPr>
              <w:spacing w:after="0"/>
              <w:rPr>
                <w:sz w:val="18"/>
                <w:szCs w:val="18"/>
                <w:color w:val="auto"/>
              </w:rPr>
            </w:pPr>
          </w:p>
        </w:tc>
      </w:tr>
      <w:tr>
        <w:trPr>
          <w:trHeight w:val="210"/>
        </w:trPr>
        <w:tc>
          <w:tcPr>
            <w:tcW w:w="5200" w:type="dxa"/>
            <w:vAlign w:val="bottom"/>
            <w:tcBorders>
              <w:bottom w:val="single" w:sz="8" w:color="A6A6A6"/>
            </w:tcBorders>
          </w:tcPr>
          <w:p>
            <w:pPr>
              <w:spacing w:after="0"/>
              <w:rPr>
                <w:sz w:val="20"/>
                <w:szCs w:val="20"/>
                <w:color w:val="auto"/>
              </w:rPr>
            </w:pPr>
            <w:r>
              <w:rPr>
                <w:rFonts w:ascii="Arial" w:cs="Arial" w:eastAsia="Arial" w:hAnsi="Arial"/>
                <w:sz w:val="16"/>
                <w:szCs w:val="16"/>
                <w:color w:val="auto"/>
              </w:rPr>
              <w:t>Aggregates</w:t>
            </w:r>
          </w:p>
        </w:tc>
        <w:tc>
          <w:tcPr>
            <w:tcW w:w="252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3,544</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8,416</w:t>
            </w:r>
          </w:p>
        </w:tc>
        <w:tc>
          <w:tcPr>
            <w:tcW w:w="100" w:type="dxa"/>
            <w:vAlign w:val="bottom"/>
          </w:tcPr>
          <w:p>
            <w:pPr>
              <w:spacing w:after="0"/>
              <w:rPr>
                <w:sz w:val="18"/>
                <w:szCs w:val="18"/>
                <w:color w:val="auto"/>
              </w:rPr>
            </w:pPr>
          </w:p>
        </w:tc>
      </w:tr>
      <w:tr>
        <w:trPr>
          <w:trHeight w:val="209"/>
        </w:trPr>
        <w:tc>
          <w:tcPr>
            <w:tcW w:w="5200" w:type="dxa"/>
            <w:vAlign w:val="bottom"/>
            <w:tcBorders>
              <w:bottom w:val="single" w:sz="8" w:color="A6A6A6"/>
            </w:tcBorders>
          </w:tcPr>
          <w:p>
            <w:pPr>
              <w:spacing w:after="0"/>
              <w:rPr>
                <w:sz w:val="20"/>
                <w:szCs w:val="20"/>
                <w:color w:val="auto"/>
              </w:rPr>
            </w:pPr>
            <w:r>
              <w:rPr>
                <w:rFonts w:ascii="Arial" w:cs="Arial" w:eastAsia="Arial" w:hAnsi="Arial"/>
                <w:sz w:val="16"/>
                <w:szCs w:val="16"/>
                <w:color w:val="auto"/>
              </w:rPr>
              <w:t>Gypsum Wallboard</w:t>
            </w:r>
          </w:p>
        </w:tc>
        <w:tc>
          <w:tcPr>
            <w:tcW w:w="252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4,015</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4,211</w:t>
            </w:r>
          </w:p>
        </w:tc>
        <w:tc>
          <w:tcPr>
            <w:tcW w:w="100" w:type="dxa"/>
            <w:vAlign w:val="bottom"/>
          </w:tcPr>
          <w:p>
            <w:pPr>
              <w:spacing w:after="0"/>
              <w:rPr>
                <w:sz w:val="18"/>
                <w:szCs w:val="18"/>
                <w:color w:val="auto"/>
              </w:rPr>
            </w:pPr>
          </w:p>
        </w:tc>
      </w:tr>
      <w:tr>
        <w:trPr>
          <w:trHeight w:val="210"/>
        </w:trPr>
        <w:tc>
          <w:tcPr>
            <w:tcW w:w="5200" w:type="dxa"/>
            <w:vAlign w:val="bottom"/>
            <w:tcBorders>
              <w:bottom w:val="single" w:sz="8" w:color="A6A6A6"/>
            </w:tcBorders>
          </w:tcPr>
          <w:p>
            <w:pPr>
              <w:spacing w:after="0"/>
              <w:rPr>
                <w:sz w:val="20"/>
                <w:szCs w:val="20"/>
                <w:color w:val="auto"/>
              </w:rPr>
            </w:pPr>
            <w:r>
              <w:rPr>
                <w:rFonts w:ascii="Arial" w:cs="Arial" w:eastAsia="Arial" w:hAnsi="Arial"/>
                <w:sz w:val="16"/>
                <w:szCs w:val="16"/>
                <w:color w:val="auto"/>
              </w:rPr>
              <w:t>Paperboard</w:t>
            </w:r>
          </w:p>
        </w:tc>
        <w:tc>
          <w:tcPr>
            <w:tcW w:w="252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4,887</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5,715</w:t>
            </w:r>
          </w:p>
        </w:tc>
        <w:tc>
          <w:tcPr>
            <w:tcW w:w="100" w:type="dxa"/>
            <w:vAlign w:val="bottom"/>
          </w:tcPr>
          <w:p>
            <w:pPr>
              <w:spacing w:after="0"/>
              <w:rPr>
                <w:sz w:val="18"/>
                <w:szCs w:val="18"/>
                <w:color w:val="auto"/>
              </w:rPr>
            </w:pPr>
          </w:p>
        </w:tc>
      </w:tr>
      <w:tr>
        <w:trPr>
          <w:trHeight w:val="210"/>
        </w:trPr>
        <w:tc>
          <w:tcPr>
            <w:tcW w:w="5200" w:type="dxa"/>
            <w:vAlign w:val="bottom"/>
            <w:tcBorders>
              <w:bottom w:val="single" w:sz="8" w:color="A6A6A6"/>
            </w:tcBorders>
          </w:tcPr>
          <w:p>
            <w:pPr>
              <w:spacing w:after="0"/>
              <w:rPr>
                <w:sz w:val="20"/>
                <w:szCs w:val="20"/>
                <w:color w:val="auto"/>
              </w:rPr>
            </w:pPr>
            <w:r>
              <w:rPr>
                <w:rFonts w:ascii="Arial" w:cs="Arial" w:eastAsia="Arial" w:hAnsi="Arial"/>
                <w:sz w:val="16"/>
                <w:szCs w:val="16"/>
                <w:color w:val="auto"/>
              </w:rPr>
              <w:t>Repair Parts and Supplies</w:t>
            </w:r>
          </w:p>
        </w:tc>
        <w:tc>
          <w:tcPr>
            <w:tcW w:w="252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89,177</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88,094</w:t>
            </w:r>
          </w:p>
        </w:tc>
        <w:tc>
          <w:tcPr>
            <w:tcW w:w="100" w:type="dxa"/>
            <w:vAlign w:val="bottom"/>
          </w:tcPr>
          <w:p>
            <w:pPr>
              <w:spacing w:after="0"/>
              <w:rPr>
                <w:sz w:val="18"/>
                <w:szCs w:val="18"/>
                <w:color w:val="auto"/>
              </w:rPr>
            </w:pPr>
          </w:p>
        </w:tc>
      </w:tr>
      <w:tr>
        <w:trPr>
          <w:trHeight w:val="209"/>
        </w:trPr>
        <w:tc>
          <w:tcPr>
            <w:tcW w:w="5200" w:type="dxa"/>
            <w:vAlign w:val="bottom"/>
            <w:tcBorders>
              <w:bottom w:val="single" w:sz="8" w:color="A6A6A6"/>
            </w:tcBorders>
          </w:tcPr>
          <w:p>
            <w:pPr>
              <w:spacing w:after="0"/>
              <w:rPr>
                <w:sz w:val="20"/>
                <w:szCs w:val="20"/>
                <w:color w:val="auto"/>
              </w:rPr>
            </w:pPr>
            <w:r>
              <w:rPr>
                <w:rFonts w:ascii="Arial" w:cs="Arial" w:eastAsia="Arial" w:hAnsi="Arial"/>
                <w:sz w:val="16"/>
                <w:szCs w:val="16"/>
                <w:color w:val="auto"/>
              </w:rPr>
              <w:t>Fuel and Coal</w:t>
            </w:r>
          </w:p>
        </w:tc>
        <w:tc>
          <w:tcPr>
            <w:tcW w:w="2520" w:type="dxa"/>
            <w:vAlign w:val="bottom"/>
            <w:tcBorders>
              <w:bottom w:val="single" w:sz="8" w:color="A6A6A6"/>
            </w:tcBorders>
          </w:tcPr>
          <w:p>
            <w:pPr>
              <w:spacing w:after="0"/>
              <w:rPr>
                <w:sz w:val="18"/>
                <w:szCs w:val="18"/>
                <w:color w:val="auto"/>
              </w:rPr>
            </w:pPr>
          </w:p>
        </w:tc>
        <w:tc>
          <w:tcPr>
            <w:tcW w:w="42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12,123</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004483"/>
            </w:tcBorders>
          </w:tcPr>
          <w:p>
            <w:pPr>
              <w:spacing w:after="0"/>
              <w:rPr>
                <w:sz w:val="18"/>
                <w:szCs w:val="18"/>
                <w:color w:val="auto"/>
              </w:rPr>
            </w:pPr>
          </w:p>
        </w:tc>
        <w:tc>
          <w:tcPr>
            <w:tcW w:w="8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11,589</w:t>
            </w:r>
          </w:p>
        </w:tc>
        <w:tc>
          <w:tcPr>
            <w:tcW w:w="100" w:type="dxa"/>
            <w:vAlign w:val="bottom"/>
          </w:tcPr>
          <w:p>
            <w:pPr>
              <w:spacing w:after="0"/>
              <w:rPr>
                <w:sz w:val="18"/>
                <w:szCs w:val="18"/>
                <w:color w:val="auto"/>
              </w:rPr>
            </w:pPr>
          </w:p>
        </w:tc>
      </w:tr>
      <w:tr>
        <w:trPr>
          <w:trHeight w:val="210"/>
        </w:trPr>
        <w:tc>
          <w:tcPr>
            <w:tcW w:w="52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20" w:type="dxa"/>
            <w:vAlign w:val="bottom"/>
            <w:tcBorders>
              <w:bottom w:val="single" w:sz="8" w:color="004483"/>
            </w:tcBorders>
          </w:tcPr>
          <w:p>
            <w:pPr>
              <w:jc w:val="right"/>
              <w:ind w:right="264"/>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227,106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bottom w:val="single" w:sz="8" w:color="004483"/>
            </w:tcBorders>
          </w:tcPr>
          <w:p>
            <w:pPr>
              <w:jc w:val="right"/>
              <w:ind w:right="544"/>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272,121</w:t>
            </w:r>
          </w:p>
        </w:tc>
        <w:tc>
          <w:tcPr>
            <w:tcW w:w="100" w:type="dxa"/>
            <w:vAlign w:val="bottom"/>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(H) ACCRUED EXPENSES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4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20" w:type="dxa"/>
            <w:vAlign w:val="bottom"/>
            <w:shd w:val="clear" w:color="auto" w:fill="004483"/>
          </w:tcPr>
          <w:p>
            <w:pPr>
              <w:spacing w:after="0"/>
              <w:rPr>
                <w:sz w:val="19"/>
                <w:szCs w:val="19"/>
                <w:color w:val="auto"/>
              </w:rPr>
            </w:pPr>
          </w:p>
        </w:tc>
        <w:tc>
          <w:tcPr>
            <w:tcW w:w="1420" w:type="dxa"/>
            <w:vAlign w:val="bottom"/>
            <w:gridSpan w:val="3"/>
            <w:shd w:val="clear" w:color="auto" w:fill="004483"/>
          </w:tcPr>
          <w:p>
            <w:pPr>
              <w:ind w:left="340"/>
              <w:spacing w:after="0"/>
              <w:rPr>
                <w:sz w:val="20"/>
                <w:szCs w:val="20"/>
                <w:color w:val="auto"/>
              </w:rPr>
            </w:pPr>
            <w:r>
              <w:rPr>
                <w:rFonts w:ascii="Arial" w:cs="Arial" w:eastAsia="Arial" w:hAnsi="Arial"/>
                <w:sz w:val="13"/>
                <w:szCs w:val="13"/>
                <w:b w:val="1"/>
                <w:bCs w:val="1"/>
                <w:color w:val="FFFFFF"/>
              </w:rPr>
              <w:t>September 30,</w:t>
            </w:r>
          </w:p>
        </w:tc>
        <w:tc>
          <w:tcPr>
            <w:tcW w:w="700" w:type="dxa"/>
            <w:vAlign w:val="bottom"/>
            <w:shd w:val="clear" w:color="auto" w:fill="004483"/>
          </w:tcPr>
          <w:p>
            <w:pPr>
              <w:spacing w:after="0"/>
              <w:rPr>
                <w:sz w:val="19"/>
                <w:szCs w:val="19"/>
                <w:color w:val="auto"/>
              </w:rPr>
            </w:pPr>
          </w:p>
        </w:tc>
        <w:tc>
          <w:tcPr>
            <w:tcW w:w="980" w:type="dxa"/>
            <w:vAlign w:val="bottom"/>
            <w:gridSpan w:val="2"/>
            <w:shd w:val="clear" w:color="auto" w:fill="004483"/>
          </w:tcPr>
          <w:p>
            <w:pPr>
              <w:ind w:left="300"/>
              <w:spacing w:after="0"/>
              <w:rPr>
                <w:sz w:val="20"/>
                <w:szCs w:val="20"/>
                <w:color w:val="auto"/>
              </w:rPr>
            </w:pPr>
            <w:r>
              <w:rPr>
                <w:rFonts w:ascii="Arial" w:cs="Arial" w:eastAsia="Arial" w:hAnsi="Arial"/>
                <w:sz w:val="13"/>
                <w:szCs w:val="13"/>
                <w:b w:val="1"/>
                <w:bCs w:val="1"/>
                <w:color w:val="FFFFFF"/>
              </w:rPr>
              <w:t>March 31,</w:t>
            </w:r>
          </w:p>
        </w:tc>
      </w:tr>
      <w:tr>
        <w:trPr>
          <w:trHeight w:val="148"/>
        </w:trPr>
        <w:tc>
          <w:tcPr>
            <w:tcW w:w="50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2"/>
                <w:szCs w:val="12"/>
                <w:color w:val="auto"/>
              </w:rPr>
            </w:pPr>
          </w:p>
        </w:tc>
      </w:tr>
      <w:tr>
        <w:trPr>
          <w:trHeight w:val="149"/>
        </w:trPr>
        <w:tc>
          <w:tcPr>
            <w:tcW w:w="5040" w:type="dxa"/>
            <w:vAlign w:val="bottom"/>
            <w:tcBorders>
              <w:bottom w:val="single" w:sz="8" w:color="004483"/>
            </w:tcBorders>
          </w:tcPr>
          <w:p>
            <w:pPr>
              <w:spacing w:after="0"/>
              <w:rPr>
                <w:sz w:val="12"/>
                <w:szCs w:val="12"/>
                <w:color w:val="auto"/>
              </w:rPr>
            </w:pPr>
          </w:p>
        </w:tc>
        <w:tc>
          <w:tcPr>
            <w:tcW w:w="2680" w:type="dxa"/>
            <w:vAlign w:val="bottom"/>
            <w:tcBorders>
              <w:bottom w:val="single" w:sz="8" w:color="004483"/>
            </w:tcBorders>
          </w:tcPr>
          <w:p>
            <w:pPr>
              <w:spacing w:after="0"/>
              <w:rPr>
                <w:sz w:val="12"/>
                <w:szCs w:val="12"/>
                <w:color w:val="auto"/>
              </w:rPr>
            </w:pPr>
          </w:p>
        </w:tc>
        <w:tc>
          <w:tcPr>
            <w:tcW w:w="420" w:type="dxa"/>
            <w:vAlign w:val="bottom"/>
            <w:tcBorders>
              <w:bottom w:val="single" w:sz="8" w:color="004483"/>
            </w:tcBorders>
          </w:tcPr>
          <w:p>
            <w:pPr>
              <w:spacing w:after="0"/>
              <w:rPr>
                <w:sz w:val="12"/>
                <w:szCs w:val="12"/>
                <w:color w:val="auto"/>
              </w:rPr>
            </w:pPr>
          </w:p>
        </w:tc>
        <w:tc>
          <w:tcPr>
            <w:tcW w:w="2120" w:type="dxa"/>
            <w:vAlign w:val="bottom"/>
            <w:tcBorders>
              <w:bottom w:val="single" w:sz="8" w:color="004483"/>
            </w:tcBorders>
            <w:gridSpan w:val="4"/>
          </w:tcPr>
          <w:p>
            <w:pPr>
              <w:jc w:val="right"/>
              <w:ind w:right="224"/>
              <w:spacing w:after="0"/>
              <w:rPr>
                <w:sz w:val="20"/>
                <w:szCs w:val="20"/>
                <w:color w:val="auto"/>
              </w:rPr>
            </w:pPr>
            <w:r>
              <w:rPr>
                <w:rFonts w:ascii="Arial" w:cs="Arial" w:eastAsia="Arial" w:hAnsi="Arial"/>
                <w:sz w:val="13"/>
                <w:szCs w:val="13"/>
                <w:color w:val="auto"/>
              </w:rPr>
              <w:t>(dollars in thousands)</w:t>
            </w:r>
          </w:p>
        </w:tc>
        <w:tc>
          <w:tcPr>
            <w:tcW w:w="880" w:type="dxa"/>
            <w:vAlign w:val="bottom"/>
            <w:tcBorders>
              <w:bottom w:val="single" w:sz="8" w:color="004483"/>
            </w:tcBorders>
          </w:tcPr>
          <w:p>
            <w:pPr>
              <w:spacing w:after="0"/>
              <w:rPr>
                <w:sz w:val="12"/>
                <w:szCs w:val="12"/>
                <w:color w:val="auto"/>
              </w:rPr>
            </w:pPr>
          </w:p>
        </w:tc>
        <w:tc>
          <w:tcPr>
            <w:tcW w:w="100" w:type="dxa"/>
            <w:vAlign w:val="bottom"/>
          </w:tcPr>
          <w:p>
            <w:pPr>
              <w:spacing w:after="0"/>
              <w:rPr>
                <w:sz w:val="12"/>
                <w:szCs w:val="12"/>
                <w:color w:val="auto"/>
              </w:rPr>
            </w:pPr>
          </w:p>
        </w:tc>
      </w:tr>
      <w:tr>
        <w:trPr>
          <w:trHeight w:val="207"/>
        </w:trPr>
        <w:tc>
          <w:tcPr>
            <w:tcW w:w="5040" w:type="dxa"/>
            <w:vAlign w:val="bottom"/>
            <w:tcBorders>
              <w:bottom w:val="single" w:sz="8" w:color="A6A6A6"/>
            </w:tcBorders>
          </w:tcPr>
          <w:p>
            <w:pPr>
              <w:spacing w:after="0"/>
              <w:rPr>
                <w:sz w:val="20"/>
                <w:szCs w:val="20"/>
                <w:color w:val="auto"/>
              </w:rPr>
            </w:pPr>
            <w:r>
              <w:rPr>
                <w:rFonts w:ascii="Arial" w:cs="Arial" w:eastAsia="Arial" w:hAnsi="Arial"/>
                <w:sz w:val="16"/>
                <w:szCs w:val="16"/>
                <w:color w:val="auto"/>
              </w:rPr>
              <w:t>Payroll and Incentive Compensation</w:t>
            </w:r>
          </w:p>
        </w:tc>
        <w:tc>
          <w:tcPr>
            <w:tcW w:w="3100" w:type="dxa"/>
            <w:vAlign w:val="bottom"/>
            <w:tcBorders>
              <w:bottom w:val="single" w:sz="8" w:color="A6A6A6"/>
            </w:tcBorders>
            <w:gridSpan w:val="2"/>
          </w:tcPr>
          <w:p>
            <w:pPr>
              <w:jc w:val="right"/>
              <w:ind w:right="264"/>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22,789</w:t>
            </w:r>
          </w:p>
        </w:tc>
        <w:tc>
          <w:tcPr>
            <w:tcW w:w="120" w:type="dxa"/>
            <w:vAlign w:val="bottom"/>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700" w:type="dxa"/>
            <w:vAlign w:val="bottom"/>
            <w:tcBorders>
              <w:bottom w:val="single" w:sz="8" w:color="A6A6A6"/>
            </w:tcBorders>
          </w:tcPr>
          <w:p>
            <w:pPr>
              <w:jc w:val="right"/>
              <w:ind w:right="54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24,904</w:t>
            </w:r>
          </w:p>
        </w:tc>
        <w:tc>
          <w:tcPr>
            <w:tcW w:w="100" w:type="dxa"/>
            <w:vAlign w:val="bottom"/>
          </w:tcPr>
          <w:p>
            <w:pPr>
              <w:spacing w:after="0"/>
              <w:rPr>
                <w:sz w:val="17"/>
                <w:szCs w:val="17"/>
                <w:color w:val="auto"/>
              </w:rPr>
            </w:pPr>
          </w:p>
        </w:tc>
      </w:tr>
      <w:tr>
        <w:trPr>
          <w:trHeight w:val="209"/>
        </w:trPr>
        <w:tc>
          <w:tcPr>
            <w:tcW w:w="5040" w:type="dxa"/>
            <w:vAlign w:val="bottom"/>
            <w:tcBorders>
              <w:bottom w:val="single" w:sz="8" w:color="A6A6A6"/>
            </w:tcBorders>
          </w:tcPr>
          <w:p>
            <w:pPr>
              <w:spacing w:after="0"/>
              <w:rPr>
                <w:sz w:val="20"/>
                <w:szCs w:val="20"/>
                <w:color w:val="auto"/>
              </w:rPr>
            </w:pPr>
            <w:r>
              <w:rPr>
                <w:rFonts w:ascii="Arial" w:cs="Arial" w:eastAsia="Arial" w:hAnsi="Arial"/>
                <w:sz w:val="16"/>
                <w:szCs w:val="16"/>
                <w:color w:val="auto"/>
              </w:rPr>
              <w:t>Benefits</w:t>
            </w:r>
          </w:p>
        </w:tc>
        <w:tc>
          <w:tcPr>
            <w:tcW w:w="268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15,362</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12,447</w:t>
            </w:r>
          </w:p>
        </w:tc>
        <w:tc>
          <w:tcPr>
            <w:tcW w:w="100" w:type="dxa"/>
            <w:vAlign w:val="bottom"/>
          </w:tcPr>
          <w:p>
            <w:pPr>
              <w:spacing w:after="0"/>
              <w:rPr>
                <w:sz w:val="18"/>
                <w:szCs w:val="18"/>
                <w:color w:val="auto"/>
              </w:rPr>
            </w:pPr>
          </w:p>
        </w:tc>
      </w:tr>
      <w:tr>
        <w:trPr>
          <w:trHeight w:val="209"/>
        </w:trPr>
        <w:tc>
          <w:tcPr>
            <w:tcW w:w="5040" w:type="dxa"/>
            <w:vAlign w:val="bottom"/>
            <w:tcBorders>
              <w:bottom w:val="single" w:sz="8" w:color="A6A6A6"/>
            </w:tcBorders>
          </w:tcPr>
          <w:p>
            <w:pPr>
              <w:spacing w:after="0"/>
              <w:rPr>
                <w:sz w:val="20"/>
                <w:szCs w:val="20"/>
                <w:color w:val="auto"/>
              </w:rPr>
            </w:pPr>
            <w:r>
              <w:rPr>
                <w:rFonts w:ascii="Arial" w:cs="Arial" w:eastAsia="Arial" w:hAnsi="Arial"/>
                <w:sz w:val="16"/>
                <w:szCs w:val="16"/>
                <w:color w:val="auto"/>
              </w:rPr>
              <w:t>Interest</w:t>
            </w:r>
          </w:p>
        </w:tc>
        <w:tc>
          <w:tcPr>
            <w:tcW w:w="268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3,811</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4,080</w:t>
            </w:r>
          </w:p>
        </w:tc>
        <w:tc>
          <w:tcPr>
            <w:tcW w:w="100" w:type="dxa"/>
            <w:vAlign w:val="bottom"/>
          </w:tcPr>
          <w:p>
            <w:pPr>
              <w:spacing w:after="0"/>
              <w:rPr>
                <w:sz w:val="18"/>
                <w:szCs w:val="18"/>
                <w:color w:val="auto"/>
              </w:rPr>
            </w:pPr>
          </w:p>
        </w:tc>
      </w:tr>
      <w:tr>
        <w:trPr>
          <w:trHeight w:val="209"/>
        </w:trPr>
        <w:tc>
          <w:tcPr>
            <w:tcW w:w="5040" w:type="dxa"/>
            <w:vAlign w:val="bottom"/>
            <w:tcBorders>
              <w:bottom w:val="single" w:sz="8" w:color="A6A6A6"/>
            </w:tcBorders>
          </w:tcPr>
          <w:p>
            <w:pPr>
              <w:spacing w:after="0"/>
              <w:rPr>
                <w:sz w:val="20"/>
                <w:szCs w:val="20"/>
                <w:color w:val="auto"/>
              </w:rPr>
            </w:pPr>
            <w:r>
              <w:rPr>
                <w:rFonts w:ascii="Arial" w:cs="Arial" w:eastAsia="Arial" w:hAnsi="Arial"/>
                <w:sz w:val="16"/>
                <w:szCs w:val="16"/>
                <w:color w:val="auto"/>
              </w:rPr>
              <w:t>Property Taxes</w:t>
            </w:r>
          </w:p>
        </w:tc>
        <w:tc>
          <w:tcPr>
            <w:tcW w:w="268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9,435</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5,110</w:t>
            </w:r>
          </w:p>
        </w:tc>
        <w:tc>
          <w:tcPr>
            <w:tcW w:w="100" w:type="dxa"/>
            <w:vAlign w:val="bottom"/>
          </w:tcPr>
          <w:p>
            <w:pPr>
              <w:spacing w:after="0"/>
              <w:rPr>
                <w:sz w:val="18"/>
                <w:szCs w:val="18"/>
                <w:color w:val="auto"/>
              </w:rPr>
            </w:pPr>
          </w:p>
        </w:tc>
      </w:tr>
      <w:tr>
        <w:trPr>
          <w:trHeight w:val="209"/>
        </w:trPr>
        <w:tc>
          <w:tcPr>
            <w:tcW w:w="5040" w:type="dxa"/>
            <w:vAlign w:val="bottom"/>
            <w:tcBorders>
              <w:bottom w:val="single" w:sz="8" w:color="A6A6A6"/>
            </w:tcBorders>
          </w:tcPr>
          <w:p>
            <w:pPr>
              <w:spacing w:after="0"/>
              <w:rPr>
                <w:sz w:val="20"/>
                <w:szCs w:val="20"/>
                <w:color w:val="auto"/>
              </w:rPr>
            </w:pPr>
            <w:r>
              <w:rPr>
                <w:rFonts w:ascii="Arial" w:cs="Arial" w:eastAsia="Arial" w:hAnsi="Arial"/>
                <w:sz w:val="16"/>
                <w:szCs w:val="16"/>
                <w:color w:val="auto"/>
              </w:rPr>
              <w:t>Power and Fuel</w:t>
            </w:r>
          </w:p>
        </w:tc>
        <w:tc>
          <w:tcPr>
            <w:tcW w:w="268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1,684</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1,353</w:t>
            </w:r>
          </w:p>
        </w:tc>
        <w:tc>
          <w:tcPr>
            <w:tcW w:w="100" w:type="dxa"/>
            <w:vAlign w:val="bottom"/>
          </w:tcPr>
          <w:p>
            <w:pPr>
              <w:spacing w:after="0"/>
              <w:rPr>
                <w:sz w:val="18"/>
                <w:szCs w:val="18"/>
                <w:color w:val="auto"/>
              </w:rPr>
            </w:pPr>
          </w:p>
        </w:tc>
      </w:tr>
      <w:tr>
        <w:trPr>
          <w:trHeight w:val="210"/>
        </w:trPr>
        <w:tc>
          <w:tcPr>
            <w:tcW w:w="5040" w:type="dxa"/>
            <w:vAlign w:val="bottom"/>
            <w:tcBorders>
              <w:bottom w:val="single" w:sz="8" w:color="A6A6A6"/>
            </w:tcBorders>
          </w:tcPr>
          <w:p>
            <w:pPr>
              <w:spacing w:after="0"/>
              <w:rPr>
                <w:sz w:val="20"/>
                <w:szCs w:val="20"/>
                <w:color w:val="auto"/>
              </w:rPr>
            </w:pPr>
            <w:r>
              <w:rPr>
                <w:rFonts w:ascii="Arial" w:cs="Arial" w:eastAsia="Arial" w:hAnsi="Arial"/>
                <w:sz w:val="16"/>
                <w:szCs w:val="16"/>
                <w:color w:val="auto"/>
              </w:rPr>
              <w:t>Legal and Professional</w:t>
            </w:r>
          </w:p>
        </w:tc>
        <w:tc>
          <w:tcPr>
            <w:tcW w:w="268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11,345</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16,096</w:t>
            </w:r>
          </w:p>
        </w:tc>
        <w:tc>
          <w:tcPr>
            <w:tcW w:w="100" w:type="dxa"/>
            <w:vAlign w:val="bottom"/>
          </w:tcPr>
          <w:p>
            <w:pPr>
              <w:spacing w:after="0"/>
              <w:rPr>
                <w:sz w:val="18"/>
                <w:szCs w:val="18"/>
                <w:color w:val="auto"/>
              </w:rPr>
            </w:pPr>
          </w:p>
        </w:tc>
      </w:tr>
      <w:tr>
        <w:trPr>
          <w:trHeight w:val="209"/>
        </w:trPr>
        <w:tc>
          <w:tcPr>
            <w:tcW w:w="5040" w:type="dxa"/>
            <w:vAlign w:val="bottom"/>
            <w:tcBorders>
              <w:bottom w:val="single" w:sz="8" w:color="A6A6A6"/>
            </w:tcBorders>
          </w:tcPr>
          <w:p>
            <w:pPr>
              <w:spacing w:after="0"/>
              <w:rPr>
                <w:sz w:val="20"/>
                <w:szCs w:val="20"/>
                <w:color w:val="auto"/>
              </w:rPr>
            </w:pPr>
            <w:r>
              <w:rPr>
                <w:rFonts w:ascii="Arial" w:cs="Arial" w:eastAsia="Arial" w:hAnsi="Arial"/>
                <w:sz w:val="16"/>
                <w:szCs w:val="16"/>
                <w:color w:val="auto"/>
              </w:rPr>
              <w:t>Sales and use Tax</w:t>
            </w:r>
          </w:p>
        </w:tc>
        <w:tc>
          <w:tcPr>
            <w:tcW w:w="268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1,052</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1,085</w:t>
            </w:r>
          </w:p>
        </w:tc>
        <w:tc>
          <w:tcPr>
            <w:tcW w:w="100" w:type="dxa"/>
            <w:vAlign w:val="bottom"/>
          </w:tcPr>
          <w:p>
            <w:pPr>
              <w:spacing w:after="0"/>
              <w:rPr>
                <w:sz w:val="18"/>
                <w:szCs w:val="18"/>
                <w:color w:val="auto"/>
              </w:rPr>
            </w:pPr>
          </w:p>
        </w:tc>
      </w:tr>
      <w:tr>
        <w:trPr>
          <w:trHeight w:val="209"/>
        </w:trPr>
        <w:tc>
          <w:tcPr>
            <w:tcW w:w="5040" w:type="dxa"/>
            <w:vAlign w:val="bottom"/>
            <w:tcBorders>
              <w:bottom w:val="single" w:sz="8" w:color="A6A6A6"/>
            </w:tcBorders>
          </w:tcPr>
          <w:p>
            <w:pPr>
              <w:spacing w:after="0"/>
              <w:rPr>
                <w:sz w:val="20"/>
                <w:szCs w:val="20"/>
                <w:color w:val="auto"/>
              </w:rPr>
            </w:pPr>
            <w:r>
              <w:rPr>
                <w:rFonts w:ascii="Arial" w:cs="Arial" w:eastAsia="Arial" w:hAnsi="Arial"/>
                <w:sz w:val="16"/>
                <w:szCs w:val="16"/>
                <w:color w:val="auto"/>
              </w:rPr>
              <w:t>Other</w:t>
            </w:r>
          </w:p>
        </w:tc>
        <w:tc>
          <w:tcPr>
            <w:tcW w:w="2680" w:type="dxa"/>
            <w:vAlign w:val="bottom"/>
            <w:tcBorders>
              <w:bottom w:val="single" w:sz="8" w:color="A6A6A6"/>
            </w:tcBorders>
          </w:tcPr>
          <w:p>
            <w:pPr>
              <w:spacing w:after="0"/>
              <w:rPr>
                <w:sz w:val="18"/>
                <w:szCs w:val="18"/>
                <w:color w:val="auto"/>
              </w:rPr>
            </w:pPr>
          </w:p>
        </w:tc>
        <w:tc>
          <w:tcPr>
            <w:tcW w:w="42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10,667</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004483"/>
            </w:tcBorders>
          </w:tcPr>
          <w:p>
            <w:pPr>
              <w:spacing w:after="0"/>
              <w:rPr>
                <w:sz w:val="18"/>
                <w:szCs w:val="18"/>
                <w:color w:val="auto"/>
              </w:rPr>
            </w:pPr>
          </w:p>
        </w:tc>
        <w:tc>
          <w:tcPr>
            <w:tcW w:w="8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5,367</w:t>
            </w:r>
          </w:p>
        </w:tc>
        <w:tc>
          <w:tcPr>
            <w:tcW w:w="100" w:type="dxa"/>
            <w:vAlign w:val="bottom"/>
          </w:tcPr>
          <w:p>
            <w:pPr>
              <w:spacing w:after="0"/>
              <w:rPr>
                <w:sz w:val="18"/>
                <w:szCs w:val="18"/>
                <w:color w:val="auto"/>
              </w:rPr>
            </w:pPr>
          </w:p>
        </w:tc>
      </w:tr>
      <w:tr>
        <w:trPr>
          <w:trHeight w:val="210"/>
        </w:trPr>
        <w:tc>
          <w:tcPr>
            <w:tcW w:w="50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20" w:type="dxa"/>
            <w:vAlign w:val="bottom"/>
            <w:tcBorders>
              <w:bottom w:val="single" w:sz="8" w:color="004483"/>
            </w:tcBorders>
          </w:tcPr>
          <w:p>
            <w:pPr>
              <w:jc w:val="right"/>
              <w:ind w:right="264"/>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76,145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bottom w:val="single" w:sz="8" w:color="004483"/>
            </w:tcBorders>
          </w:tcPr>
          <w:p>
            <w:pPr>
              <w:jc w:val="right"/>
              <w:ind w:right="544"/>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70,442</w:t>
            </w:r>
          </w:p>
        </w:tc>
        <w:tc>
          <w:tcPr>
            <w:tcW w:w="100" w:type="dxa"/>
            <w:vAlign w:val="bottom"/>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 LEASES</w:t>
      </w:r>
    </w:p>
    <w:p>
      <w:pPr>
        <w:spacing w:after="0" w:line="13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lease certain real estate, buildings, and equipment. Certain of these leases contain escalations of rent over the term of the lease, as well as options for us to extend the term of the lease at the end of the original term. These extensions range from periods of one year to twenty years. Our lease agreements do not contain material residual value guarantees or material restrictive covenants. In calculating the present value of future minimum lease payments, we use the rate implicit in the lease if it can be determined. Otherwise we use our incremental borrowing rate in effect at the commencement of the lease to determine the present value of the future minimum lease payments. Additionally, we lease certain equipment under short-term leases with initial terms of less than twelve months, which are not recorded on the balance sheet.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Lease expense for our operating and short-term leases included in continuing operations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40" w:type="dxa"/>
            <w:vAlign w:val="bottom"/>
            <w:tcBorders>
              <w:bottom w:val="single" w:sz="8" w:color="004483"/>
            </w:tcBorders>
            <w:shd w:val="clear" w:color="auto" w:fill="004483"/>
          </w:tcPr>
          <w:p>
            <w:pPr>
              <w:spacing w:after="0"/>
              <w:rPr>
                <w:sz w:val="19"/>
                <w:szCs w:val="19"/>
                <w:color w:val="auto"/>
              </w:rPr>
            </w:pPr>
          </w:p>
        </w:tc>
        <w:tc>
          <w:tcPr>
            <w:tcW w:w="2720" w:type="dxa"/>
            <w:vAlign w:val="bottom"/>
            <w:tcBorders>
              <w:bottom w:val="single" w:sz="8" w:color="004483"/>
            </w:tcBorders>
            <w:gridSpan w:val="6"/>
            <w:shd w:val="clear" w:color="auto" w:fill="004483"/>
          </w:tcPr>
          <w:p>
            <w:pPr>
              <w:ind w:left="60"/>
              <w:spacing w:after="0"/>
              <w:rPr>
                <w:sz w:val="20"/>
                <w:szCs w:val="20"/>
                <w:color w:val="auto"/>
              </w:rPr>
            </w:pPr>
            <w:r>
              <w:rPr>
                <w:rFonts w:ascii="Arial" w:cs="Arial" w:eastAsia="Arial" w:hAnsi="Arial"/>
                <w:sz w:val="13"/>
                <w:szCs w:val="13"/>
                <w:b w:val="1"/>
                <w:bCs w:val="1"/>
                <w:color w:val="FFFFFF"/>
                <w:w w:val="98"/>
              </w:rPr>
              <w:t>For the Three Months Ended September 30,</w:t>
            </w:r>
          </w:p>
        </w:tc>
        <w:tc>
          <w:tcPr>
            <w:tcW w:w="140" w:type="dxa"/>
            <w:vAlign w:val="bottom"/>
          </w:tcPr>
          <w:p>
            <w:pPr>
              <w:spacing w:after="0"/>
              <w:rPr>
                <w:sz w:val="19"/>
                <w:szCs w:val="19"/>
                <w:color w:val="auto"/>
              </w:rPr>
            </w:pPr>
          </w:p>
        </w:tc>
        <w:tc>
          <w:tcPr>
            <w:tcW w:w="160" w:type="dxa"/>
            <w:vAlign w:val="bottom"/>
            <w:tcBorders>
              <w:bottom w:val="single" w:sz="8" w:color="004483"/>
            </w:tcBorders>
            <w:shd w:val="clear" w:color="auto" w:fill="004483"/>
          </w:tcPr>
          <w:p>
            <w:pPr>
              <w:spacing w:after="0"/>
              <w:rPr>
                <w:sz w:val="19"/>
                <w:szCs w:val="19"/>
                <w:color w:val="auto"/>
              </w:rPr>
            </w:pPr>
          </w:p>
        </w:tc>
        <w:tc>
          <w:tcPr>
            <w:tcW w:w="2720" w:type="dxa"/>
            <w:vAlign w:val="bottom"/>
            <w:tcBorders>
              <w:bottom w:val="single" w:sz="8" w:color="004483"/>
            </w:tcBorders>
            <w:gridSpan w:val="6"/>
            <w:shd w:val="clear" w:color="auto" w:fill="004483"/>
          </w:tcPr>
          <w:p>
            <w:pPr>
              <w:ind w:left="100"/>
              <w:spacing w:after="0"/>
              <w:rPr>
                <w:sz w:val="20"/>
                <w:szCs w:val="20"/>
                <w:color w:val="auto"/>
              </w:rPr>
            </w:pPr>
            <w:r>
              <w:rPr>
                <w:rFonts w:ascii="Arial" w:cs="Arial" w:eastAsia="Arial" w:hAnsi="Arial"/>
                <w:sz w:val="13"/>
                <w:szCs w:val="13"/>
                <w:b w:val="1"/>
                <w:bCs w:val="1"/>
                <w:color w:val="FFFFFF"/>
              </w:rPr>
              <w:t>For the Six Months Ended September 30,</w:t>
            </w:r>
          </w:p>
        </w:tc>
      </w:tr>
      <w:tr>
        <w:trPr>
          <w:trHeight w:val="148"/>
        </w:trPr>
        <w:tc>
          <w:tcPr>
            <w:tcW w:w="34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2"/>
                <w:szCs w:val="12"/>
                <w:color w:val="auto"/>
              </w:rPr>
            </w:pPr>
          </w:p>
        </w:tc>
      </w:tr>
      <w:tr>
        <w:trPr>
          <w:trHeight w:val="149"/>
        </w:trPr>
        <w:tc>
          <w:tcPr>
            <w:tcW w:w="3420" w:type="dxa"/>
            <w:vAlign w:val="bottom"/>
            <w:tcBorders>
              <w:bottom w:val="single" w:sz="8" w:color="004483"/>
            </w:tcBorders>
          </w:tcPr>
          <w:p>
            <w:pPr>
              <w:spacing w:after="0"/>
              <w:rPr>
                <w:sz w:val="12"/>
                <w:szCs w:val="12"/>
                <w:color w:val="auto"/>
              </w:rPr>
            </w:pPr>
          </w:p>
        </w:tc>
        <w:tc>
          <w:tcPr>
            <w:tcW w:w="1940" w:type="dxa"/>
            <w:vAlign w:val="bottom"/>
            <w:tcBorders>
              <w:bottom w:val="single" w:sz="8" w:color="004483"/>
            </w:tcBorders>
          </w:tcPr>
          <w:p>
            <w:pPr>
              <w:spacing w:after="0"/>
              <w:rPr>
                <w:sz w:val="12"/>
                <w:szCs w:val="12"/>
                <w:color w:val="auto"/>
              </w:rPr>
            </w:pPr>
          </w:p>
        </w:tc>
        <w:tc>
          <w:tcPr>
            <w:tcW w:w="140" w:type="dxa"/>
            <w:vAlign w:val="bottom"/>
            <w:tcBorders>
              <w:bottom w:val="single" w:sz="8" w:color="004483"/>
            </w:tcBorders>
          </w:tcPr>
          <w:p>
            <w:pPr>
              <w:spacing w:after="0"/>
              <w:rPr>
                <w:sz w:val="12"/>
                <w:szCs w:val="12"/>
                <w:color w:val="auto"/>
              </w:rPr>
            </w:pPr>
          </w:p>
        </w:tc>
        <w:tc>
          <w:tcPr>
            <w:tcW w:w="1120" w:type="dxa"/>
            <w:vAlign w:val="bottom"/>
            <w:tcBorders>
              <w:bottom w:val="single" w:sz="8" w:color="004483"/>
            </w:tcBorders>
          </w:tcPr>
          <w:p>
            <w:pPr>
              <w:spacing w:after="0"/>
              <w:rPr>
                <w:sz w:val="12"/>
                <w:szCs w:val="12"/>
                <w:color w:val="auto"/>
              </w:rPr>
            </w:pPr>
          </w:p>
        </w:tc>
        <w:tc>
          <w:tcPr>
            <w:tcW w:w="120" w:type="dxa"/>
            <w:vAlign w:val="bottom"/>
            <w:tcBorders>
              <w:bottom w:val="single" w:sz="8" w:color="004483"/>
            </w:tcBorders>
          </w:tcPr>
          <w:p>
            <w:pPr>
              <w:spacing w:after="0"/>
              <w:rPr>
                <w:sz w:val="12"/>
                <w:szCs w:val="12"/>
                <w:color w:val="auto"/>
              </w:rPr>
            </w:pPr>
          </w:p>
        </w:tc>
        <w:tc>
          <w:tcPr>
            <w:tcW w:w="120" w:type="dxa"/>
            <w:vAlign w:val="bottom"/>
            <w:tcBorders>
              <w:bottom w:val="single" w:sz="8" w:color="004483"/>
            </w:tcBorders>
          </w:tcPr>
          <w:p>
            <w:pPr>
              <w:spacing w:after="0"/>
              <w:rPr>
                <w:sz w:val="12"/>
                <w:szCs w:val="12"/>
                <w:color w:val="auto"/>
              </w:rPr>
            </w:pPr>
          </w:p>
        </w:tc>
        <w:tc>
          <w:tcPr>
            <w:tcW w:w="460" w:type="dxa"/>
            <w:vAlign w:val="bottom"/>
            <w:tcBorders>
              <w:bottom w:val="single" w:sz="8" w:color="004483"/>
            </w:tcBorders>
          </w:tcPr>
          <w:p>
            <w:pPr>
              <w:spacing w:after="0"/>
              <w:rPr>
                <w:sz w:val="12"/>
                <w:szCs w:val="12"/>
                <w:color w:val="auto"/>
              </w:rPr>
            </w:pPr>
          </w:p>
        </w:tc>
        <w:tc>
          <w:tcPr>
            <w:tcW w:w="2520" w:type="dxa"/>
            <w:vAlign w:val="bottom"/>
            <w:tcBorders>
              <w:bottom w:val="single" w:sz="8" w:color="004483"/>
            </w:tcBorders>
            <w:gridSpan w:val="7"/>
          </w:tcPr>
          <w:p>
            <w:pPr>
              <w:ind w:left="380"/>
              <w:spacing w:after="0"/>
              <w:rPr>
                <w:sz w:val="20"/>
                <w:szCs w:val="20"/>
                <w:color w:val="auto"/>
              </w:rPr>
            </w:pPr>
            <w:r>
              <w:rPr>
                <w:rFonts w:ascii="Arial" w:cs="Arial" w:eastAsia="Arial" w:hAnsi="Arial"/>
                <w:sz w:val="13"/>
                <w:szCs w:val="13"/>
                <w:color w:val="auto"/>
              </w:rPr>
              <w:t>(dollars in thousands)</w:t>
            </w:r>
          </w:p>
        </w:tc>
        <w:tc>
          <w:tcPr>
            <w:tcW w:w="500" w:type="dxa"/>
            <w:vAlign w:val="bottom"/>
            <w:tcBorders>
              <w:bottom w:val="single" w:sz="8" w:color="004483"/>
            </w:tcBorders>
          </w:tcPr>
          <w:p>
            <w:pPr>
              <w:spacing w:after="0"/>
              <w:rPr>
                <w:sz w:val="12"/>
                <w:szCs w:val="12"/>
                <w:color w:val="auto"/>
              </w:rPr>
            </w:pPr>
          </w:p>
        </w:tc>
        <w:tc>
          <w:tcPr>
            <w:tcW w:w="800" w:type="dxa"/>
            <w:vAlign w:val="bottom"/>
            <w:tcBorders>
              <w:bottom w:val="single" w:sz="8" w:color="004483"/>
            </w:tcBorders>
          </w:tcPr>
          <w:p>
            <w:pPr>
              <w:spacing w:after="0"/>
              <w:rPr>
                <w:sz w:val="12"/>
                <w:szCs w:val="12"/>
                <w:color w:val="auto"/>
              </w:rPr>
            </w:pPr>
          </w:p>
        </w:tc>
        <w:tc>
          <w:tcPr>
            <w:tcW w:w="100" w:type="dxa"/>
            <w:vAlign w:val="bottom"/>
          </w:tcPr>
          <w:p>
            <w:pPr>
              <w:spacing w:after="0"/>
              <w:rPr>
                <w:sz w:val="12"/>
                <w:szCs w:val="12"/>
                <w:color w:val="auto"/>
              </w:rPr>
            </w:pPr>
          </w:p>
        </w:tc>
      </w:tr>
      <w:tr>
        <w:trPr>
          <w:trHeight w:val="220"/>
        </w:trPr>
        <w:tc>
          <w:tcPr>
            <w:tcW w:w="3420" w:type="dxa"/>
            <w:vAlign w:val="bottom"/>
          </w:tcPr>
          <w:p>
            <w:pPr>
              <w:spacing w:after="0"/>
              <w:rPr>
                <w:sz w:val="20"/>
                <w:szCs w:val="20"/>
                <w:color w:val="auto"/>
              </w:rPr>
            </w:pPr>
            <w:r>
              <w:rPr>
                <w:rFonts w:ascii="Arial" w:cs="Arial" w:eastAsia="Arial" w:hAnsi="Arial"/>
                <w:sz w:val="16"/>
                <w:szCs w:val="16"/>
                <w:color w:val="004483"/>
              </w:rPr>
              <w:t>Operating Lease Cost</w:t>
            </w:r>
          </w:p>
        </w:tc>
        <w:tc>
          <w:tcPr>
            <w:tcW w:w="20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1,767</w:t>
            </w:r>
          </w:p>
        </w:tc>
        <w:tc>
          <w:tcPr>
            <w:tcW w:w="70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2,098</w:t>
            </w:r>
          </w:p>
        </w:tc>
        <w:tc>
          <w:tcPr>
            <w:tcW w:w="100" w:type="dxa"/>
            <w:vAlign w:val="bottom"/>
          </w:tcPr>
          <w:p>
            <w:pPr>
              <w:spacing w:after="0"/>
              <w:rPr>
                <w:sz w:val="19"/>
                <w:szCs w:val="19"/>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3,563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4,008</w:t>
            </w:r>
          </w:p>
        </w:tc>
        <w:tc>
          <w:tcPr>
            <w:tcW w:w="100" w:type="dxa"/>
            <w:vAlign w:val="bottom"/>
          </w:tcPr>
          <w:p>
            <w:pPr>
              <w:spacing w:after="0"/>
              <w:rPr>
                <w:sz w:val="19"/>
                <w:szCs w:val="19"/>
                <w:color w:val="auto"/>
              </w:rPr>
            </w:pPr>
          </w:p>
        </w:tc>
      </w:tr>
      <w:tr>
        <w:trPr>
          <w:trHeight w:val="223"/>
        </w:trPr>
        <w:tc>
          <w:tcPr>
            <w:tcW w:w="342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6"/>
                <w:szCs w:val="16"/>
                <w:color w:val="004483"/>
              </w:rPr>
              <w:t>Short-term Lease Cost</w:t>
            </w:r>
          </w:p>
        </w:tc>
        <w:tc>
          <w:tcPr>
            <w:tcW w:w="1940" w:type="dxa"/>
            <w:vAlign w:val="bottom"/>
            <w:tcBorders>
              <w:top w:val="single" w:sz="8" w:color="A6A6A6"/>
              <w:bottom w:val="single" w:sz="8" w:color="A6A6A6"/>
            </w:tcBorders>
          </w:tcPr>
          <w:p>
            <w:pPr>
              <w:spacing w:after="0"/>
              <w:rPr>
                <w:sz w:val="19"/>
                <w:szCs w:val="19"/>
                <w:color w:val="auto"/>
              </w:rPr>
            </w:pPr>
          </w:p>
        </w:tc>
        <w:tc>
          <w:tcPr>
            <w:tcW w:w="140" w:type="dxa"/>
            <w:vAlign w:val="bottom"/>
            <w:tcBorders>
              <w:top w:val="single" w:sz="8" w:color="A6A6A6"/>
              <w:bottom w:val="single" w:sz="8" w:color="004483"/>
            </w:tcBorders>
          </w:tcPr>
          <w:p>
            <w:pPr>
              <w:spacing w:after="0"/>
              <w:rPr>
                <w:sz w:val="19"/>
                <w:szCs w:val="19"/>
                <w:color w:val="auto"/>
              </w:rPr>
            </w:pPr>
          </w:p>
        </w:tc>
        <w:tc>
          <w:tcPr>
            <w:tcW w:w="112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857</w:t>
            </w:r>
          </w:p>
        </w:tc>
        <w:tc>
          <w:tcPr>
            <w:tcW w:w="120" w:type="dxa"/>
            <w:vAlign w:val="bottom"/>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460" w:type="dxa"/>
            <w:vAlign w:val="bottom"/>
            <w:tcBorders>
              <w:top w:val="single" w:sz="8" w:color="A6A6A6"/>
              <w:bottom w:val="single" w:sz="8" w:color="004483"/>
            </w:tcBorders>
          </w:tcPr>
          <w:p>
            <w:pPr>
              <w:spacing w:after="0"/>
              <w:rPr>
                <w:sz w:val="19"/>
                <w:szCs w:val="19"/>
                <w:color w:val="auto"/>
              </w:rPr>
            </w:pPr>
          </w:p>
        </w:tc>
        <w:tc>
          <w:tcPr>
            <w:tcW w:w="8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460</w:t>
            </w:r>
          </w:p>
        </w:tc>
        <w:tc>
          <w:tcPr>
            <w:tcW w:w="100" w:type="dxa"/>
            <w:vAlign w:val="bottom"/>
          </w:tcPr>
          <w:p>
            <w:pPr>
              <w:spacing w:after="0"/>
              <w:rPr>
                <w:sz w:val="19"/>
                <w:szCs w:val="19"/>
                <w:color w:val="auto"/>
              </w:rPr>
            </w:pPr>
          </w:p>
        </w:tc>
        <w:tc>
          <w:tcPr>
            <w:tcW w:w="140" w:type="dxa"/>
            <w:vAlign w:val="bottom"/>
            <w:tcBorders>
              <w:top w:val="single" w:sz="8" w:color="A6A6A6"/>
              <w:bottom w:val="single" w:sz="8" w:color="A6A6A6"/>
            </w:tcBorders>
          </w:tcPr>
          <w:p>
            <w:pPr>
              <w:spacing w:after="0"/>
              <w:rPr>
                <w:sz w:val="19"/>
                <w:szCs w:val="19"/>
                <w:color w:val="auto"/>
              </w:rPr>
            </w:pPr>
          </w:p>
        </w:tc>
        <w:tc>
          <w:tcPr>
            <w:tcW w:w="160" w:type="dxa"/>
            <w:vAlign w:val="bottom"/>
            <w:tcBorders>
              <w:top w:val="single" w:sz="8" w:color="A6A6A6"/>
              <w:bottom w:val="single" w:sz="8" w:color="004483"/>
            </w:tcBorders>
          </w:tcPr>
          <w:p>
            <w:pPr>
              <w:spacing w:after="0"/>
              <w:rPr>
                <w:sz w:val="19"/>
                <w:szCs w:val="19"/>
                <w:color w:val="auto"/>
              </w:rPr>
            </w:pPr>
          </w:p>
        </w:tc>
        <w:tc>
          <w:tcPr>
            <w:tcW w:w="11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1,607</w:t>
            </w:r>
          </w:p>
        </w:tc>
        <w:tc>
          <w:tcPr>
            <w:tcW w:w="100" w:type="dxa"/>
            <w:vAlign w:val="bottom"/>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500" w:type="dxa"/>
            <w:vAlign w:val="bottom"/>
            <w:tcBorders>
              <w:top w:val="single" w:sz="8" w:color="A6A6A6"/>
              <w:bottom w:val="single" w:sz="8" w:color="004483"/>
            </w:tcBorders>
          </w:tcPr>
          <w:p>
            <w:pPr>
              <w:spacing w:after="0"/>
              <w:rPr>
                <w:sz w:val="19"/>
                <w:szCs w:val="19"/>
                <w:color w:val="auto"/>
              </w:rPr>
            </w:pPr>
          </w:p>
        </w:tc>
        <w:tc>
          <w:tcPr>
            <w:tcW w:w="8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919</w:t>
            </w:r>
          </w:p>
        </w:tc>
        <w:tc>
          <w:tcPr>
            <w:tcW w:w="100" w:type="dxa"/>
            <w:vAlign w:val="bottom"/>
          </w:tcPr>
          <w:p>
            <w:pPr>
              <w:spacing w:after="0"/>
              <w:rPr>
                <w:sz w:val="19"/>
                <w:szCs w:val="19"/>
                <w:color w:val="auto"/>
              </w:rPr>
            </w:pPr>
          </w:p>
        </w:tc>
      </w:tr>
      <w:tr>
        <w:trPr>
          <w:trHeight w:val="223"/>
        </w:trPr>
        <w:tc>
          <w:tcPr>
            <w:tcW w:w="3420" w:type="dxa"/>
            <w:vAlign w:val="bottom"/>
          </w:tcPr>
          <w:p>
            <w:pPr>
              <w:spacing w:after="0"/>
              <w:rPr>
                <w:sz w:val="20"/>
                <w:szCs w:val="20"/>
                <w:color w:val="auto"/>
              </w:rPr>
            </w:pPr>
            <w:r>
              <w:rPr>
                <w:rFonts w:ascii="Arial" w:cs="Arial" w:eastAsia="Arial" w:hAnsi="Arial"/>
                <w:sz w:val="16"/>
                <w:szCs w:val="16"/>
                <w:b w:val="1"/>
                <w:bCs w:val="1"/>
                <w:color w:val="004483"/>
              </w:rPr>
              <w:t>Total Lease Cost</w:t>
            </w:r>
          </w:p>
        </w:tc>
        <w:tc>
          <w:tcPr>
            <w:tcW w:w="20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2,624</w:t>
            </w:r>
          </w:p>
        </w:tc>
        <w:tc>
          <w:tcPr>
            <w:tcW w:w="700" w:type="dxa"/>
            <w:vAlign w:val="bottom"/>
            <w:gridSpan w:val="3"/>
          </w:tcPr>
          <w:p>
            <w:pPr>
              <w:jc w:val="right"/>
              <w:ind w:right="380"/>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2,558</w:t>
            </w:r>
          </w:p>
        </w:tc>
        <w:tc>
          <w:tcPr>
            <w:tcW w:w="100" w:type="dxa"/>
            <w:vAlign w:val="bottom"/>
          </w:tcPr>
          <w:p>
            <w:pPr>
              <w:spacing w:after="0"/>
              <w:rPr>
                <w:sz w:val="19"/>
                <w:szCs w:val="19"/>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5,170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4,927</w:t>
            </w:r>
          </w:p>
        </w:tc>
        <w:tc>
          <w:tcPr>
            <w:tcW w:w="100" w:type="dxa"/>
            <w:vAlign w:val="bottom"/>
          </w:tcPr>
          <w:p>
            <w:pPr>
              <w:spacing w:after="0"/>
              <w:rPr>
                <w:sz w:val="19"/>
                <w:szCs w:val="19"/>
                <w:color w:val="auto"/>
              </w:rPr>
            </w:pPr>
          </w:p>
        </w:tc>
      </w:tr>
      <w:tr>
        <w:trPr>
          <w:trHeight w:val="20"/>
        </w:trPr>
        <w:tc>
          <w:tcPr>
            <w:tcW w:w="34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Borders>
              <w:top w:val="single" w:sz="8" w:color="004483"/>
              <w:bottom w:val="single" w:sz="8" w:color="004483"/>
            </w:tcBorders>
          </w:tcPr>
          <w:p>
            <w:pPr>
              <w:spacing w:after="0" w:line="20" w:lineRule="exact"/>
              <w:rPr>
                <w:sz w:val="1"/>
                <w:szCs w:val="1"/>
                <w:color w:val="auto"/>
              </w:rPr>
            </w:pPr>
          </w:p>
        </w:tc>
        <w:tc>
          <w:tcPr>
            <w:tcW w:w="1120" w:type="dxa"/>
            <w:vAlign w:val="bottom"/>
            <w:tcBorders>
              <w:top w:val="single" w:sz="8" w:color="004483"/>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4483"/>
              <w:bottom w:val="single" w:sz="8" w:color="004483"/>
            </w:tcBorders>
          </w:tcPr>
          <w:p>
            <w:pPr>
              <w:spacing w:after="0" w:line="20" w:lineRule="exact"/>
              <w:rPr>
                <w:sz w:val="1"/>
                <w:szCs w:val="1"/>
                <w:color w:val="auto"/>
              </w:rPr>
            </w:pPr>
          </w:p>
        </w:tc>
        <w:tc>
          <w:tcPr>
            <w:tcW w:w="800" w:type="dxa"/>
            <w:vAlign w:val="bottom"/>
            <w:tcBorders>
              <w:top w:val="single" w:sz="8" w:color="004483"/>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004483"/>
              <w:bottom w:val="single" w:sz="8" w:color="004483"/>
            </w:tcBorders>
          </w:tcPr>
          <w:p>
            <w:pPr>
              <w:spacing w:after="0" w:line="20" w:lineRule="exact"/>
              <w:rPr>
                <w:sz w:val="1"/>
                <w:szCs w:val="1"/>
                <w:color w:val="auto"/>
              </w:rPr>
            </w:pPr>
          </w:p>
        </w:tc>
        <w:tc>
          <w:tcPr>
            <w:tcW w:w="1100" w:type="dxa"/>
            <w:vAlign w:val="bottom"/>
            <w:tcBorders>
              <w:top w:val="single" w:sz="8" w:color="004483"/>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004483"/>
              <w:bottom w:val="single" w:sz="8" w:color="004483"/>
            </w:tcBorders>
          </w:tcPr>
          <w:p>
            <w:pPr>
              <w:spacing w:after="0" w:line="20" w:lineRule="exact"/>
              <w:rPr>
                <w:sz w:val="1"/>
                <w:szCs w:val="1"/>
                <w:color w:val="auto"/>
              </w:rPr>
            </w:pPr>
          </w:p>
        </w:tc>
        <w:tc>
          <w:tcPr>
            <w:tcW w:w="800" w:type="dxa"/>
            <w:vAlign w:val="bottom"/>
            <w:tcBorders>
              <w:top w:val="single" w:sz="8" w:color="004483"/>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Right-of-Use Assets and Lease Liabilities are reflected on our Balance Sheet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Pr>
          <w:p>
            <w:pPr>
              <w:spacing w:after="0"/>
              <w:rPr>
                <w:sz w:val="19"/>
                <w:szCs w:val="19"/>
                <w:color w:val="auto"/>
              </w:rPr>
            </w:pPr>
          </w:p>
        </w:tc>
        <w:tc>
          <w:tcPr>
            <w:tcW w:w="2540" w:type="dxa"/>
            <w:vAlign w:val="bottom"/>
            <w:shd w:val="clear" w:color="auto" w:fill="004483"/>
          </w:tcPr>
          <w:p>
            <w:pPr>
              <w:jc w:val="right"/>
              <w:ind w:right="937"/>
              <w:spacing w:after="0"/>
              <w:rPr>
                <w:sz w:val="20"/>
                <w:szCs w:val="20"/>
                <w:color w:val="auto"/>
              </w:rPr>
            </w:pPr>
            <w:r>
              <w:rPr>
                <w:rFonts w:ascii="Arial" w:cs="Arial" w:eastAsia="Arial" w:hAnsi="Arial"/>
                <w:sz w:val="13"/>
                <w:szCs w:val="13"/>
                <w:b w:val="1"/>
                <w:bCs w:val="1"/>
                <w:color w:val="FFFFFF"/>
              </w:rPr>
              <w:t>September 30,</w:t>
            </w:r>
          </w:p>
        </w:tc>
        <w:tc>
          <w:tcPr>
            <w:tcW w:w="980" w:type="dxa"/>
            <w:vAlign w:val="bottom"/>
            <w:gridSpan w:val="2"/>
            <w:shd w:val="clear" w:color="auto" w:fill="004483"/>
          </w:tcPr>
          <w:p>
            <w:pPr>
              <w:jc w:val="right"/>
              <w:ind w:right="120"/>
              <w:spacing w:after="0"/>
              <w:rPr>
                <w:sz w:val="20"/>
                <w:szCs w:val="20"/>
                <w:color w:val="auto"/>
              </w:rPr>
            </w:pPr>
            <w:r>
              <w:rPr>
                <w:rFonts w:ascii="Arial" w:cs="Arial" w:eastAsia="Arial" w:hAnsi="Arial"/>
                <w:sz w:val="13"/>
                <w:szCs w:val="13"/>
                <w:b w:val="1"/>
                <w:bCs w:val="1"/>
                <w:color w:val="FFFFFF"/>
              </w:rPr>
              <w:t>March 31,</w:t>
            </w:r>
          </w:p>
        </w:tc>
      </w:tr>
      <w:tr>
        <w:trPr>
          <w:trHeight w:val="148"/>
        </w:trPr>
        <w:tc>
          <w:tcPr>
            <w:tcW w:w="7720" w:type="dxa"/>
            <w:vAlign w:val="bottom"/>
          </w:tcPr>
          <w:p>
            <w:pPr>
              <w:spacing w:after="0"/>
              <w:rPr>
                <w:sz w:val="12"/>
                <w:szCs w:val="12"/>
                <w:color w:val="auto"/>
              </w:rPr>
            </w:pPr>
          </w:p>
        </w:tc>
        <w:tc>
          <w:tcPr>
            <w:tcW w:w="2540" w:type="dxa"/>
            <w:vAlign w:val="bottom"/>
          </w:tcPr>
          <w:p>
            <w:pPr>
              <w:jc w:val="right"/>
              <w:ind w:right="937"/>
              <w:spacing w:after="0" w:line="148" w:lineRule="exact"/>
              <w:rPr>
                <w:sz w:val="20"/>
                <w:szCs w:val="20"/>
                <w:color w:val="auto"/>
              </w:rPr>
            </w:pPr>
            <w:r>
              <w:rPr>
                <w:rFonts w:ascii="Arial" w:cs="Arial" w:eastAsia="Arial" w:hAnsi="Arial"/>
                <w:sz w:val="13"/>
                <w:szCs w:val="13"/>
                <w:b w:val="1"/>
                <w:bCs w:val="1"/>
                <w:color w:val="auto"/>
              </w:rPr>
              <w:t>2020</w:t>
            </w:r>
          </w:p>
        </w:tc>
        <w:tc>
          <w:tcPr>
            <w:tcW w:w="88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2"/>
                <w:szCs w:val="12"/>
                <w:color w:val="auto"/>
              </w:rPr>
            </w:pPr>
          </w:p>
        </w:tc>
      </w:tr>
      <w:tr>
        <w:trPr>
          <w:trHeight w:val="149"/>
        </w:trPr>
        <w:tc>
          <w:tcPr>
            <w:tcW w:w="7720" w:type="dxa"/>
            <w:vAlign w:val="bottom"/>
            <w:tcBorders>
              <w:bottom w:val="single" w:sz="8" w:color="004483"/>
            </w:tcBorders>
          </w:tcPr>
          <w:p>
            <w:pPr>
              <w:spacing w:after="0"/>
              <w:rPr>
                <w:sz w:val="12"/>
                <w:szCs w:val="12"/>
                <w:color w:val="auto"/>
              </w:rPr>
            </w:pPr>
          </w:p>
        </w:tc>
        <w:tc>
          <w:tcPr>
            <w:tcW w:w="2540" w:type="dxa"/>
            <w:vAlign w:val="bottom"/>
            <w:tcBorders>
              <w:bottom w:val="single" w:sz="8" w:color="004483"/>
            </w:tcBorders>
          </w:tcPr>
          <w:p>
            <w:pPr>
              <w:jc w:val="right"/>
              <w:ind w:right="237"/>
              <w:spacing w:after="0"/>
              <w:rPr>
                <w:sz w:val="20"/>
                <w:szCs w:val="20"/>
                <w:color w:val="auto"/>
              </w:rPr>
            </w:pPr>
            <w:r>
              <w:rPr>
                <w:rFonts w:ascii="Arial" w:cs="Arial" w:eastAsia="Arial" w:hAnsi="Arial"/>
                <w:sz w:val="13"/>
                <w:szCs w:val="13"/>
                <w:color w:val="auto"/>
              </w:rPr>
              <w:t>(dollars in thousands)</w:t>
            </w:r>
          </w:p>
        </w:tc>
        <w:tc>
          <w:tcPr>
            <w:tcW w:w="880" w:type="dxa"/>
            <w:vAlign w:val="bottom"/>
            <w:tcBorders>
              <w:bottom w:val="single" w:sz="8" w:color="004483"/>
            </w:tcBorders>
          </w:tcPr>
          <w:p>
            <w:pPr>
              <w:spacing w:after="0"/>
              <w:rPr>
                <w:sz w:val="12"/>
                <w:szCs w:val="12"/>
                <w:color w:val="auto"/>
              </w:rPr>
            </w:pPr>
          </w:p>
        </w:tc>
        <w:tc>
          <w:tcPr>
            <w:tcW w:w="100" w:type="dxa"/>
            <w:vAlign w:val="bottom"/>
          </w:tcPr>
          <w:p>
            <w:pPr>
              <w:spacing w:after="0"/>
              <w:rPr>
                <w:sz w:val="12"/>
                <w:szCs w:val="12"/>
                <w:color w:val="auto"/>
              </w:rPr>
            </w:pPr>
          </w:p>
        </w:tc>
      </w:tr>
    </w:tbl>
    <w:p>
      <w:pPr>
        <w:spacing w:after="0" w:line="1" w:lineRule="exact"/>
        <w:rPr>
          <w:sz w:val="20"/>
          <w:szCs w:val="20"/>
          <w:color w:val="auto"/>
        </w:rPr>
      </w:pPr>
    </w:p>
    <w:p>
      <w:pPr>
        <w:sectPr>
          <w:pgSz w:w="11900" w:h="16838" w:orient="portrait"/>
          <w:cols w:equalWidth="0" w:num="1">
            <w:col w:w="11240"/>
          </w:cols>
          <w:pgMar w:left="320" w:top="409" w:right="339" w:bottom="1440" w:gutter="0" w:footer="0" w:header="0"/>
        </w:sectPr>
      </w:pPr>
    </w:p>
    <w:p>
      <w:pPr>
        <w:spacing w:after="0"/>
        <w:rPr>
          <w:sz w:val="20"/>
          <w:szCs w:val="20"/>
          <w:color w:val="auto"/>
        </w:rPr>
      </w:pPr>
      <w:r>
        <w:rPr>
          <w:rFonts w:ascii="Arial" w:cs="Arial" w:eastAsia="Arial" w:hAnsi="Arial"/>
          <w:sz w:val="16"/>
          <w:szCs w:val="16"/>
          <w:b w:val="1"/>
          <w:bCs w:val="1"/>
          <w:color w:val="004483"/>
        </w:rPr>
        <w:t>Operating Leases: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200" w:type="dxa"/>
            <w:vAlign w:val="bottom"/>
            <w:tcBorders>
              <w:top w:val="single" w:sz="8" w:color="A6A6A6"/>
            </w:tcBorders>
          </w:tcPr>
          <w:p>
            <w:pPr>
              <w:ind w:left="140"/>
              <w:spacing w:after="0"/>
              <w:rPr>
                <w:sz w:val="20"/>
                <w:szCs w:val="20"/>
                <w:color w:val="auto"/>
              </w:rPr>
            </w:pPr>
            <w:r>
              <w:rPr>
                <w:rFonts w:ascii="Arial" w:cs="Arial" w:eastAsia="Arial" w:hAnsi="Arial"/>
                <w:sz w:val="16"/>
                <w:szCs w:val="16"/>
                <w:color w:val="004483"/>
              </w:rPr>
              <w:t>Operating Lease Right-of-Use Assets</w:t>
            </w:r>
          </w:p>
        </w:tc>
        <w:tc>
          <w:tcPr>
            <w:tcW w:w="3100" w:type="dxa"/>
            <w:vAlign w:val="bottom"/>
            <w:tcBorders>
              <w:top w:val="single" w:sz="8" w:color="A6A6A6"/>
            </w:tcBorders>
            <w:gridSpan w:val="2"/>
          </w:tcPr>
          <w:p>
            <w:pPr>
              <w:jc w:val="right"/>
              <w:ind w:right="50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6A6A6"/>
            </w:tcBorders>
          </w:tcPr>
          <w:p>
            <w:pPr>
              <w:jc w:val="right"/>
              <w:spacing w:after="0"/>
              <w:rPr>
                <w:sz w:val="20"/>
                <w:szCs w:val="20"/>
                <w:color w:val="auto"/>
              </w:rPr>
            </w:pPr>
            <w:r>
              <w:rPr>
                <w:rFonts w:ascii="Arial" w:cs="Arial" w:eastAsia="Arial" w:hAnsi="Arial"/>
                <w:sz w:val="16"/>
                <w:szCs w:val="16"/>
                <w:color w:val="auto"/>
              </w:rPr>
              <w:t>28,139</w:t>
            </w:r>
          </w:p>
        </w:tc>
      </w:tr>
      <w:tr>
        <w:trPr>
          <w:trHeight w:val="200"/>
        </w:trPr>
        <w:tc>
          <w:tcPr>
            <w:tcW w:w="5200" w:type="dxa"/>
            <w:vAlign w:val="bottom"/>
            <w:tcBorders>
              <w:top w:val="single" w:sz="8" w:color="A6A6A6"/>
              <w:bottom w:val="single" w:sz="8" w:color="A6A6A6"/>
            </w:tcBorders>
          </w:tcPr>
          <w:p>
            <w:pPr>
              <w:spacing w:after="0"/>
              <w:rPr>
                <w:sz w:val="17"/>
                <w:szCs w:val="17"/>
                <w:color w:val="auto"/>
              </w:rPr>
            </w:pPr>
          </w:p>
        </w:tc>
        <w:tc>
          <w:tcPr>
            <w:tcW w:w="2520" w:type="dxa"/>
            <w:vAlign w:val="bottom"/>
            <w:tcBorders>
              <w:top w:val="single" w:sz="8" w:color="A6A6A6"/>
              <w:bottom w:val="single" w:sz="8" w:color="A6A6A6"/>
            </w:tcBorders>
          </w:tcPr>
          <w:p>
            <w:pPr>
              <w:spacing w:after="0"/>
              <w:rPr>
                <w:sz w:val="17"/>
                <w:szCs w:val="17"/>
                <w:color w:val="auto"/>
              </w:rPr>
            </w:pPr>
          </w:p>
        </w:tc>
        <w:tc>
          <w:tcPr>
            <w:tcW w:w="580" w:type="dxa"/>
            <w:vAlign w:val="bottom"/>
            <w:tcBorders>
              <w:top w:val="single" w:sz="8" w:color="004483"/>
              <w:bottom w:val="single" w:sz="8" w:color="A6A6A6"/>
            </w:tcBorders>
          </w:tcPr>
          <w:p>
            <w:pPr>
              <w:spacing w:after="0"/>
              <w:rPr>
                <w:sz w:val="17"/>
                <w:szCs w:val="17"/>
                <w:color w:val="auto"/>
              </w:rPr>
            </w:pPr>
          </w:p>
        </w:tc>
        <w:tc>
          <w:tcPr>
            <w:tcW w:w="960" w:type="dxa"/>
            <w:vAlign w:val="bottom"/>
            <w:tcBorders>
              <w:top w:val="single" w:sz="8" w:color="004483"/>
              <w:bottom w:val="single" w:sz="8" w:color="A6A6A6"/>
            </w:tcBorders>
          </w:tcPr>
          <w:p>
            <w:pPr>
              <w:spacing w:after="0"/>
              <w:rPr>
                <w:sz w:val="17"/>
                <w:szCs w:val="17"/>
                <w:color w:val="auto"/>
              </w:rPr>
            </w:pPr>
          </w:p>
        </w:tc>
      </w:tr>
      <w:tr>
        <w:trPr>
          <w:trHeight w:val="206"/>
        </w:trPr>
        <w:tc>
          <w:tcPr>
            <w:tcW w:w="5200" w:type="dxa"/>
            <w:vAlign w:val="bottom"/>
            <w:tcBorders>
              <w:bottom w:val="single" w:sz="8" w:color="A6A6A6"/>
            </w:tcBorders>
          </w:tcPr>
          <w:p>
            <w:pPr>
              <w:ind w:left="140"/>
              <w:spacing w:after="0"/>
              <w:rPr>
                <w:sz w:val="20"/>
                <w:szCs w:val="20"/>
                <w:color w:val="auto"/>
              </w:rPr>
            </w:pPr>
            <w:r>
              <w:rPr>
                <w:rFonts w:ascii="Arial" w:cs="Arial" w:eastAsia="Arial" w:hAnsi="Arial"/>
                <w:sz w:val="16"/>
                <w:szCs w:val="16"/>
                <w:color w:val="004483"/>
              </w:rPr>
              <w:t>Current Operating Lease Liabilities</w:t>
            </w:r>
          </w:p>
        </w:tc>
        <w:tc>
          <w:tcPr>
            <w:tcW w:w="3100" w:type="dxa"/>
            <w:vAlign w:val="bottom"/>
            <w:tcBorders>
              <w:bottom w:val="single" w:sz="8" w:color="A6A6A6"/>
            </w:tcBorders>
            <w:gridSpan w:val="2"/>
          </w:tcPr>
          <w:p>
            <w:pPr>
              <w:jc w:val="right"/>
              <w:ind w:right="5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6,810</w:t>
            </w:r>
          </w:p>
        </w:tc>
      </w:tr>
      <w:tr>
        <w:trPr>
          <w:trHeight w:val="207"/>
        </w:trPr>
        <w:tc>
          <w:tcPr>
            <w:tcW w:w="5200" w:type="dxa"/>
            <w:vAlign w:val="bottom"/>
          </w:tcPr>
          <w:p>
            <w:pPr>
              <w:ind w:left="140"/>
              <w:spacing w:after="0"/>
              <w:rPr>
                <w:sz w:val="20"/>
                <w:szCs w:val="20"/>
                <w:color w:val="auto"/>
              </w:rPr>
            </w:pPr>
            <w:r>
              <w:rPr>
                <w:rFonts w:ascii="Arial" w:cs="Arial" w:eastAsia="Arial" w:hAnsi="Arial"/>
                <w:sz w:val="16"/>
                <w:szCs w:val="16"/>
                <w:color w:val="004483"/>
              </w:rPr>
              <w:t>Noncurrent Operating Lease Liabilities</w:t>
            </w:r>
          </w:p>
        </w:tc>
        <w:tc>
          <w:tcPr>
            <w:tcW w:w="2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37,419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58807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807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left="1114" w:hanging="1114"/>
        <w:spacing w:after="0"/>
        <w:tabs>
          <w:tab w:leader="none" w:pos="1114" w:val="left"/>
        </w:tabs>
        <w:numPr>
          <w:ilvl w:val="0"/>
          <w:numId w:val="8"/>
        </w:numPr>
        <w:rPr>
          <w:rFonts w:ascii="Arial" w:cs="Arial" w:eastAsia="Arial" w:hAnsi="Arial"/>
          <w:sz w:val="14"/>
          <w:szCs w:val="14"/>
          <w:color w:val="auto"/>
        </w:rPr>
      </w:pPr>
      <w:r>
        <w:rPr>
          <w:rFonts w:ascii="Arial" w:cs="Arial" w:eastAsia="Arial" w:hAnsi="Arial"/>
          <w:sz w:val="14"/>
          <w:szCs w:val="14"/>
          <w:color w:val="auto"/>
        </w:rPr>
        <w:t>29,483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195580</wp:posOffset>
            </wp:positionV>
            <wp:extent cx="11144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14425" cy="825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32385</wp:posOffset>
            </wp:positionV>
            <wp:extent cx="111442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14425" cy="25400"/>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-112395</wp:posOffset>
            </wp:positionV>
            <wp:extent cx="11144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305" w:lineRule="exact"/>
        <w:rPr>
          <w:sz w:val="20"/>
          <w:szCs w:val="20"/>
          <w:color w:val="auto"/>
        </w:rPr>
      </w:pPr>
    </w:p>
    <w:p>
      <w:pPr>
        <w:ind w:left="1194" w:hanging="1194"/>
        <w:spacing w:after="0"/>
        <w:tabs>
          <w:tab w:leader="none" w:pos="1194" w:val="left"/>
        </w:tabs>
        <w:numPr>
          <w:ilvl w:val="0"/>
          <w:numId w:val="9"/>
        </w:numPr>
        <w:rPr>
          <w:rFonts w:ascii="Arial" w:cs="Arial" w:eastAsia="Arial" w:hAnsi="Arial"/>
          <w:sz w:val="14"/>
          <w:szCs w:val="14"/>
          <w:color w:val="auto"/>
        </w:rPr>
      </w:pPr>
      <w:r>
        <w:rPr>
          <w:rFonts w:ascii="Arial" w:cs="Arial" w:eastAsia="Arial" w:hAnsi="Arial"/>
          <w:sz w:val="14"/>
          <w:szCs w:val="14"/>
          <w:color w:val="auto"/>
        </w:rPr>
        <w:t>6,585</w:t>
      </w:r>
    </w:p>
    <w:p>
      <w:pPr>
        <w:spacing w:after="0" w:line="68" w:lineRule="exact"/>
        <w:rPr>
          <w:rFonts w:ascii="Arial" w:cs="Arial" w:eastAsia="Arial" w:hAnsi="Arial"/>
          <w:sz w:val="14"/>
          <w:szCs w:val="14"/>
          <w:color w:val="auto"/>
        </w:rPr>
      </w:pPr>
    </w:p>
    <w:p>
      <w:pPr>
        <w:ind w:left="1114"/>
        <w:spacing w:after="0"/>
        <w:rPr>
          <w:rFonts w:ascii="Arial" w:cs="Arial" w:eastAsia="Arial" w:hAnsi="Arial"/>
          <w:sz w:val="14"/>
          <w:szCs w:val="14"/>
          <w:color w:val="auto"/>
        </w:rPr>
      </w:pPr>
      <w:r>
        <w:rPr>
          <w:rFonts w:ascii="Arial" w:cs="Arial" w:eastAsia="Arial" w:hAnsi="Arial"/>
          <w:sz w:val="14"/>
          <w:szCs w:val="14"/>
          <w:color w:val="auto"/>
        </w:rPr>
        <w:t>40,239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32385</wp:posOffset>
            </wp:positionV>
            <wp:extent cx="11144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14425" cy="8890"/>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-112395</wp:posOffset>
            </wp:positionV>
            <wp:extent cx="11144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64" w:lineRule="exact"/>
        <w:rPr>
          <w:sz w:val="20"/>
          <w:szCs w:val="20"/>
          <w:color w:val="auto"/>
        </w:rPr>
      </w:pPr>
    </w:p>
    <w:p>
      <w:pPr>
        <w:sectPr>
          <w:pgSz w:w="11900" w:h="16838" w:orient="portrait"/>
          <w:cols w:equalWidth="0" w:num="2">
            <w:col w:w="9260" w:space="306"/>
            <w:col w:w="1674"/>
          </w:cols>
          <w:pgMar w:left="320" w:top="409" w:right="339" w:bottom="1440" w:gutter="0" w:footer="0" w:header="0"/>
          <w:type w:val="continuous"/>
        </w:sectPr>
      </w:pPr>
    </w:p>
    <w:p>
      <w:pPr>
        <w:spacing w:after="0"/>
        <w:tabs>
          <w:tab w:leader="none" w:pos="7700" w:val="left"/>
          <w:tab w:leader="none" w:pos="8800" w:val="left"/>
          <w:tab w:leader="none" w:pos="9540" w:val="left"/>
          <w:tab w:leader="none" w:pos="10660" w:val="left"/>
        </w:tabs>
        <w:rPr>
          <w:sz w:val="20"/>
          <w:szCs w:val="20"/>
          <w:color w:val="auto"/>
        </w:rPr>
      </w:pPr>
      <w:r>
        <w:rPr>
          <w:rFonts w:ascii="Arial" w:cs="Arial" w:eastAsia="Arial" w:hAnsi="Arial"/>
          <w:sz w:val="16"/>
          <w:szCs w:val="16"/>
          <w:b w:val="1"/>
          <w:bCs w:val="1"/>
          <w:color w:val="004483"/>
        </w:rPr>
        <w:t>Total Operating Lease Liabilities</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44,229</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4"/>
          <w:szCs w:val="14"/>
          <w:b w:val="1"/>
          <w:bCs w:val="1"/>
          <w:color w:val="auto"/>
        </w:rPr>
        <w:t>46,824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20320</wp:posOffset>
            </wp:positionV>
            <wp:extent cx="216852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68525"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color w:val="auto"/>
        </w:rPr>
        <w:t>Future payments for operating leases are as follows (dollars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400" w:type="dxa"/>
            <w:vAlign w:val="bottom"/>
          </w:tcPr>
          <w:p>
            <w:pPr>
              <w:spacing w:after="0"/>
              <w:rPr>
                <w:sz w:val="20"/>
                <w:szCs w:val="20"/>
                <w:color w:val="auto"/>
              </w:rPr>
            </w:pPr>
            <w:r>
              <w:rPr>
                <w:rFonts w:ascii="Arial" w:cs="Arial" w:eastAsia="Arial" w:hAnsi="Arial"/>
                <w:sz w:val="13"/>
                <w:szCs w:val="13"/>
                <w:b w:val="1"/>
                <w:bCs w:val="1"/>
                <w:color w:val="auto"/>
              </w:rPr>
              <w:t>Fiscal Year</w:t>
            </w:r>
          </w:p>
        </w:tc>
        <w:tc>
          <w:tcPr>
            <w:tcW w:w="2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40" w:type="dxa"/>
            <w:vAlign w:val="bottom"/>
            <w:gridSpan w:val="2"/>
          </w:tcPr>
          <w:p>
            <w:pPr>
              <w:jc w:val="right"/>
              <w:ind w:right="880"/>
              <w:spacing w:after="0"/>
              <w:rPr>
                <w:sz w:val="20"/>
                <w:szCs w:val="20"/>
                <w:color w:val="auto"/>
              </w:rPr>
            </w:pPr>
            <w:r>
              <w:rPr>
                <w:rFonts w:ascii="Arial" w:cs="Arial" w:eastAsia="Arial" w:hAnsi="Arial"/>
                <w:sz w:val="13"/>
                <w:szCs w:val="13"/>
                <w:b w:val="1"/>
                <w:bCs w:val="1"/>
                <w:color w:val="auto"/>
              </w:rPr>
              <w:t>Amount</w:t>
            </w:r>
          </w:p>
        </w:tc>
      </w:tr>
      <w:tr>
        <w:trPr>
          <w:trHeight w:val="207"/>
        </w:trPr>
        <w:tc>
          <w:tcPr>
            <w:tcW w:w="6400" w:type="dxa"/>
            <w:vAlign w:val="bottom"/>
            <w:tcBorders>
              <w:top w:val="single" w:sz="8" w:color="004483"/>
              <w:bottom w:val="single" w:sz="8" w:color="A6A6A6"/>
            </w:tcBorders>
          </w:tcPr>
          <w:p>
            <w:pPr>
              <w:spacing w:after="0"/>
              <w:rPr>
                <w:sz w:val="20"/>
                <w:szCs w:val="20"/>
                <w:color w:val="auto"/>
              </w:rPr>
            </w:pPr>
            <w:r>
              <w:rPr>
                <w:rFonts w:ascii="Arial" w:cs="Arial" w:eastAsia="Arial" w:hAnsi="Arial"/>
                <w:sz w:val="16"/>
                <w:szCs w:val="16"/>
                <w:color w:val="004483"/>
              </w:rPr>
              <w:t>2021 (remaining six months)</w:t>
            </w:r>
          </w:p>
        </w:tc>
        <w:tc>
          <w:tcPr>
            <w:tcW w:w="3180" w:type="dxa"/>
            <w:vAlign w:val="bottom"/>
            <w:tcBorders>
              <w:top w:val="single" w:sz="8" w:color="004483"/>
              <w:bottom w:val="single" w:sz="8" w:color="A6A6A6"/>
            </w:tcBorders>
            <w:gridSpan w:val="2"/>
          </w:tcPr>
          <w:p>
            <w:pPr>
              <w:jc w:val="right"/>
              <w:ind w:right="320"/>
              <w:spacing w:after="0"/>
              <w:rPr>
                <w:sz w:val="20"/>
                <w:szCs w:val="20"/>
                <w:color w:val="auto"/>
              </w:rPr>
            </w:pPr>
            <w:r>
              <w:rPr>
                <w:rFonts w:ascii="Arial" w:cs="Arial" w:eastAsia="Arial" w:hAnsi="Arial"/>
                <w:sz w:val="16"/>
                <w:szCs w:val="16"/>
                <w:color w:val="004483"/>
              </w:rPr>
              <w:t>$</w:t>
            </w:r>
          </w:p>
        </w:tc>
        <w:tc>
          <w:tcPr>
            <w:tcW w:w="148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004483"/>
              </w:rPr>
              <w:t>4,239</w:t>
            </w:r>
          </w:p>
        </w:tc>
        <w:tc>
          <w:tcPr>
            <w:tcW w:w="160" w:type="dxa"/>
            <w:vAlign w:val="bottom"/>
          </w:tcPr>
          <w:p>
            <w:pPr>
              <w:spacing w:after="0"/>
              <w:rPr>
                <w:sz w:val="17"/>
                <w:szCs w:val="17"/>
                <w:color w:val="auto"/>
              </w:rPr>
            </w:pPr>
          </w:p>
        </w:tc>
      </w:tr>
      <w:tr>
        <w:trPr>
          <w:trHeight w:val="209"/>
        </w:trPr>
        <w:tc>
          <w:tcPr>
            <w:tcW w:w="6400" w:type="dxa"/>
            <w:vAlign w:val="bottom"/>
            <w:tcBorders>
              <w:bottom w:val="single" w:sz="8" w:color="A6A6A6"/>
            </w:tcBorders>
          </w:tcPr>
          <w:p>
            <w:pPr>
              <w:spacing w:after="0"/>
              <w:rPr>
                <w:sz w:val="20"/>
                <w:szCs w:val="20"/>
                <w:color w:val="auto"/>
              </w:rPr>
            </w:pPr>
            <w:r>
              <w:rPr>
                <w:rFonts w:ascii="Arial" w:cs="Arial" w:eastAsia="Arial" w:hAnsi="Arial"/>
                <w:sz w:val="16"/>
                <w:szCs w:val="16"/>
                <w:color w:val="004483"/>
              </w:rPr>
              <w:t>2022</w:t>
            </w:r>
          </w:p>
        </w:tc>
        <w:tc>
          <w:tcPr>
            <w:tcW w:w="278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spacing w:after="0"/>
              <w:rPr>
                <w:sz w:val="18"/>
                <w:szCs w:val="18"/>
                <w:color w:val="auto"/>
              </w:rPr>
            </w:pPr>
          </w:p>
        </w:tc>
        <w:tc>
          <w:tcPr>
            <w:tcW w:w="14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004483"/>
              </w:rPr>
              <w:t>7,556</w:t>
            </w:r>
          </w:p>
        </w:tc>
        <w:tc>
          <w:tcPr>
            <w:tcW w:w="160" w:type="dxa"/>
            <w:vAlign w:val="bottom"/>
          </w:tcPr>
          <w:p>
            <w:pPr>
              <w:spacing w:after="0"/>
              <w:rPr>
                <w:sz w:val="18"/>
                <w:szCs w:val="18"/>
                <w:color w:val="auto"/>
              </w:rPr>
            </w:pPr>
          </w:p>
        </w:tc>
      </w:tr>
      <w:tr>
        <w:trPr>
          <w:trHeight w:val="209"/>
        </w:trPr>
        <w:tc>
          <w:tcPr>
            <w:tcW w:w="6400" w:type="dxa"/>
            <w:vAlign w:val="bottom"/>
            <w:tcBorders>
              <w:bottom w:val="single" w:sz="8" w:color="A6A6A6"/>
            </w:tcBorders>
          </w:tcPr>
          <w:p>
            <w:pPr>
              <w:spacing w:after="0"/>
              <w:rPr>
                <w:sz w:val="20"/>
                <w:szCs w:val="20"/>
                <w:color w:val="auto"/>
              </w:rPr>
            </w:pPr>
            <w:r>
              <w:rPr>
                <w:rFonts w:ascii="Arial" w:cs="Arial" w:eastAsia="Arial" w:hAnsi="Arial"/>
                <w:sz w:val="16"/>
                <w:szCs w:val="16"/>
                <w:color w:val="004483"/>
              </w:rPr>
              <w:t>2023</w:t>
            </w:r>
          </w:p>
        </w:tc>
        <w:tc>
          <w:tcPr>
            <w:tcW w:w="278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spacing w:after="0"/>
              <w:rPr>
                <w:sz w:val="18"/>
                <w:szCs w:val="18"/>
                <w:color w:val="auto"/>
              </w:rPr>
            </w:pPr>
          </w:p>
        </w:tc>
        <w:tc>
          <w:tcPr>
            <w:tcW w:w="14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004483"/>
              </w:rPr>
              <w:t>6,969</w:t>
            </w:r>
          </w:p>
        </w:tc>
        <w:tc>
          <w:tcPr>
            <w:tcW w:w="160" w:type="dxa"/>
            <w:vAlign w:val="bottom"/>
          </w:tcPr>
          <w:p>
            <w:pPr>
              <w:spacing w:after="0"/>
              <w:rPr>
                <w:sz w:val="18"/>
                <w:szCs w:val="18"/>
                <w:color w:val="auto"/>
              </w:rPr>
            </w:pPr>
          </w:p>
        </w:tc>
      </w:tr>
      <w:tr>
        <w:trPr>
          <w:trHeight w:val="209"/>
        </w:trPr>
        <w:tc>
          <w:tcPr>
            <w:tcW w:w="6400" w:type="dxa"/>
            <w:vAlign w:val="bottom"/>
            <w:tcBorders>
              <w:bottom w:val="single" w:sz="8" w:color="A6A6A6"/>
            </w:tcBorders>
          </w:tcPr>
          <w:p>
            <w:pPr>
              <w:spacing w:after="0"/>
              <w:rPr>
                <w:sz w:val="20"/>
                <w:szCs w:val="20"/>
                <w:color w:val="auto"/>
              </w:rPr>
            </w:pPr>
            <w:r>
              <w:rPr>
                <w:rFonts w:ascii="Arial" w:cs="Arial" w:eastAsia="Arial" w:hAnsi="Arial"/>
                <w:sz w:val="16"/>
                <w:szCs w:val="16"/>
                <w:color w:val="004483"/>
              </w:rPr>
              <w:t>2024</w:t>
            </w:r>
          </w:p>
        </w:tc>
        <w:tc>
          <w:tcPr>
            <w:tcW w:w="278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spacing w:after="0"/>
              <w:rPr>
                <w:sz w:val="18"/>
                <w:szCs w:val="18"/>
                <w:color w:val="auto"/>
              </w:rPr>
            </w:pPr>
          </w:p>
        </w:tc>
        <w:tc>
          <w:tcPr>
            <w:tcW w:w="14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004483"/>
              </w:rPr>
              <w:t>6,007</w:t>
            </w:r>
          </w:p>
        </w:tc>
        <w:tc>
          <w:tcPr>
            <w:tcW w:w="160" w:type="dxa"/>
            <w:vAlign w:val="bottom"/>
          </w:tcPr>
          <w:p>
            <w:pPr>
              <w:spacing w:after="0"/>
              <w:rPr>
                <w:sz w:val="18"/>
                <w:szCs w:val="18"/>
                <w:color w:val="auto"/>
              </w:rPr>
            </w:pPr>
          </w:p>
        </w:tc>
      </w:tr>
      <w:tr>
        <w:trPr>
          <w:trHeight w:val="209"/>
        </w:trPr>
        <w:tc>
          <w:tcPr>
            <w:tcW w:w="6400" w:type="dxa"/>
            <w:vAlign w:val="bottom"/>
            <w:tcBorders>
              <w:bottom w:val="single" w:sz="8" w:color="A6A6A6"/>
            </w:tcBorders>
          </w:tcPr>
          <w:p>
            <w:pPr>
              <w:spacing w:after="0"/>
              <w:rPr>
                <w:sz w:val="20"/>
                <w:szCs w:val="20"/>
                <w:color w:val="auto"/>
              </w:rPr>
            </w:pPr>
            <w:r>
              <w:rPr>
                <w:rFonts w:ascii="Arial" w:cs="Arial" w:eastAsia="Arial" w:hAnsi="Arial"/>
                <w:sz w:val="16"/>
                <w:szCs w:val="16"/>
                <w:color w:val="004483"/>
              </w:rPr>
              <w:t>2025</w:t>
            </w:r>
          </w:p>
        </w:tc>
        <w:tc>
          <w:tcPr>
            <w:tcW w:w="278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spacing w:after="0"/>
              <w:rPr>
                <w:sz w:val="18"/>
                <w:szCs w:val="18"/>
                <w:color w:val="auto"/>
              </w:rPr>
            </w:pPr>
          </w:p>
        </w:tc>
        <w:tc>
          <w:tcPr>
            <w:tcW w:w="14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004483"/>
              </w:rPr>
              <w:t>5,651</w:t>
            </w:r>
          </w:p>
        </w:tc>
        <w:tc>
          <w:tcPr>
            <w:tcW w:w="160" w:type="dxa"/>
            <w:vAlign w:val="bottom"/>
          </w:tcPr>
          <w:p>
            <w:pPr>
              <w:spacing w:after="0"/>
              <w:rPr>
                <w:sz w:val="18"/>
                <w:szCs w:val="18"/>
                <w:color w:val="auto"/>
              </w:rPr>
            </w:pPr>
          </w:p>
        </w:tc>
      </w:tr>
      <w:tr>
        <w:trPr>
          <w:trHeight w:val="210"/>
        </w:trPr>
        <w:tc>
          <w:tcPr>
            <w:tcW w:w="6400" w:type="dxa"/>
            <w:vAlign w:val="bottom"/>
            <w:tcBorders>
              <w:bottom w:val="single" w:sz="8" w:color="A6A6A6"/>
            </w:tcBorders>
          </w:tcPr>
          <w:p>
            <w:pPr>
              <w:spacing w:after="0"/>
              <w:rPr>
                <w:sz w:val="20"/>
                <w:szCs w:val="20"/>
                <w:color w:val="auto"/>
              </w:rPr>
            </w:pPr>
            <w:r>
              <w:rPr>
                <w:rFonts w:ascii="Arial" w:cs="Arial" w:eastAsia="Arial" w:hAnsi="Arial"/>
                <w:sz w:val="16"/>
                <w:szCs w:val="16"/>
                <w:color w:val="004483"/>
              </w:rPr>
              <w:t>Thereafter</w:t>
            </w:r>
          </w:p>
        </w:tc>
        <w:tc>
          <w:tcPr>
            <w:tcW w:w="2780" w:type="dxa"/>
            <w:vAlign w:val="bottom"/>
            <w:tcBorders>
              <w:bottom w:val="single" w:sz="8" w:color="A6A6A6"/>
            </w:tcBorders>
          </w:tcPr>
          <w:p>
            <w:pPr>
              <w:spacing w:after="0"/>
              <w:rPr>
                <w:sz w:val="18"/>
                <w:szCs w:val="18"/>
                <w:color w:val="auto"/>
              </w:rPr>
            </w:pPr>
          </w:p>
        </w:tc>
        <w:tc>
          <w:tcPr>
            <w:tcW w:w="400" w:type="dxa"/>
            <w:vAlign w:val="bottom"/>
            <w:tcBorders>
              <w:bottom w:val="single" w:sz="8" w:color="004483"/>
            </w:tcBorders>
          </w:tcPr>
          <w:p>
            <w:pPr>
              <w:spacing w:after="0"/>
              <w:rPr>
                <w:sz w:val="18"/>
                <w:szCs w:val="18"/>
                <w:color w:val="auto"/>
              </w:rPr>
            </w:pPr>
          </w:p>
        </w:tc>
        <w:tc>
          <w:tcPr>
            <w:tcW w:w="14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004483"/>
              </w:rPr>
              <w:t>24,585</w:t>
            </w:r>
          </w:p>
        </w:tc>
        <w:tc>
          <w:tcPr>
            <w:tcW w:w="160" w:type="dxa"/>
            <w:vAlign w:val="bottom"/>
          </w:tcPr>
          <w:p>
            <w:pPr>
              <w:spacing w:after="0"/>
              <w:rPr>
                <w:sz w:val="18"/>
                <w:szCs w:val="18"/>
                <w:color w:val="auto"/>
              </w:rPr>
            </w:pPr>
          </w:p>
        </w:tc>
      </w:tr>
      <w:tr>
        <w:trPr>
          <w:trHeight w:val="210"/>
        </w:trPr>
        <w:tc>
          <w:tcPr>
            <w:tcW w:w="6400" w:type="dxa"/>
            <w:vAlign w:val="bottom"/>
            <w:tcBorders>
              <w:bottom w:val="single" w:sz="8" w:color="A6A6A6"/>
            </w:tcBorders>
          </w:tcPr>
          <w:p>
            <w:pPr>
              <w:spacing w:after="0"/>
              <w:rPr>
                <w:sz w:val="20"/>
                <w:szCs w:val="20"/>
                <w:color w:val="auto"/>
              </w:rPr>
            </w:pPr>
            <w:r>
              <w:rPr>
                <w:rFonts w:ascii="Arial" w:cs="Arial" w:eastAsia="Arial" w:hAnsi="Arial"/>
                <w:sz w:val="16"/>
                <w:szCs w:val="16"/>
                <w:b w:val="1"/>
                <w:bCs w:val="1"/>
                <w:color w:val="004483"/>
              </w:rPr>
              <w:t>Total Lease Payments</w:t>
            </w:r>
          </w:p>
        </w:tc>
        <w:tc>
          <w:tcPr>
            <w:tcW w:w="3180" w:type="dxa"/>
            <w:vAlign w:val="bottom"/>
            <w:tcBorders>
              <w:bottom w:val="single" w:sz="8" w:color="A6A6A6"/>
            </w:tcBorders>
            <w:gridSpan w:val="2"/>
          </w:tcPr>
          <w:p>
            <w:pPr>
              <w:jc w:val="right"/>
              <w:ind w:right="320"/>
              <w:spacing w:after="0"/>
              <w:rPr>
                <w:sz w:val="20"/>
                <w:szCs w:val="20"/>
                <w:color w:val="auto"/>
              </w:rPr>
            </w:pPr>
            <w:r>
              <w:rPr>
                <w:rFonts w:ascii="Arial" w:cs="Arial" w:eastAsia="Arial" w:hAnsi="Arial"/>
                <w:sz w:val="16"/>
                <w:szCs w:val="16"/>
                <w:color w:val="004483"/>
              </w:rPr>
              <w:t>$</w:t>
            </w:r>
          </w:p>
        </w:tc>
        <w:tc>
          <w:tcPr>
            <w:tcW w:w="14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004483"/>
              </w:rPr>
              <w:t>55,007</w:t>
            </w:r>
          </w:p>
        </w:tc>
        <w:tc>
          <w:tcPr>
            <w:tcW w:w="160" w:type="dxa"/>
            <w:vAlign w:val="bottom"/>
          </w:tcPr>
          <w:p>
            <w:pPr>
              <w:spacing w:after="0"/>
              <w:rPr>
                <w:sz w:val="18"/>
                <w:szCs w:val="18"/>
                <w:color w:val="auto"/>
              </w:rPr>
            </w:pPr>
          </w:p>
        </w:tc>
      </w:tr>
      <w:tr>
        <w:trPr>
          <w:trHeight w:val="209"/>
        </w:trPr>
        <w:tc>
          <w:tcPr>
            <w:tcW w:w="6400" w:type="dxa"/>
            <w:vAlign w:val="bottom"/>
          </w:tcPr>
          <w:p>
            <w:pPr>
              <w:spacing w:after="0"/>
              <w:rPr>
                <w:sz w:val="20"/>
                <w:szCs w:val="20"/>
                <w:color w:val="auto"/>
              </w:rPr>
            </w:pPr>
            <w:r>
              <w:rPr>
                <w:rFonts w:ascii="Arial" w:cs="Arial" w:eastAsia="Arial" w:hAnsi="Arial"/>
                <w:sz w:val="16"/>
                <w:szCs w:val="16"/>
                <w:color w:val="004483"/>
              </w:rPr>
              <w:t>Less: Imputed Interest</w:t>
            </w:r>
          </w:p>
        </w:tc>
        <w:tc>
          <w:tcPr>
            <w:tcW w:w="2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6"/>
                <w:szCs w:val="16"/>
                <w:color w:val="004483"/>
              </w:rPr>
              <w:t>(10,778)</w:t>
            </w:r>
          </w:p>
        </w:tc>
      </w:tr>
      <w:tr>
        <w:trPr>
          <w:trHeight w:val="20"/>
        </w:trPr>
        <w:tc>
          <w:tcPr>
            <w:tcW w:w="6400" w:type="dxa"/>
            <w:vAlign w:val="bottom"/>
            <w:shd w:val="clear" w:color="auto" w:fill="A6A6A6"/>
          </w:tcPr>
          <w:p>
            <w:pPr>
              <w:spacing w:after="0" w:line="20" w:lineRule="exact"/>
              <w:rPr>
                <w:sz w:val="1"/>
                <w:szCs w:val="1"/>
                <w:color w:val="auto"/>
              </w:rPr>
            </w:pPr>
          </w:p>
        </w:tc>
        <w:tc>
          <w:tcPr>
            <w:tcW w:w="2780" w:type="dxa"/>
            <w:vAlign w:val="bottom"/>
            <w:shd w:val="clear" w:color="auto" w:fill="A6A6A6"/>
          </w:tcPr>
          <w:p>
            <w:pPr>
              <w:spacing w:after="0" w:line="20" w:lineRule="exact"/>
              <w:rPr>
                <w:sz w:val="1"/>
                <w:szCs w:val="1"/>
                <w:color w:val="auto"/>
              </w:rPr>
            </w:pPr>
          </w:p>
        </w:tc>
        <w:tc>
          <w:tcPr>
            <w:tcW w:w="400" w:type="dxa"/>
            <w:vAlign w:val="bottom"/>
            <w:shd w:val="clear" w:color="auto" w:fill="004483"/>
          </w:tcPr>
          <w:p>
            <w:pPr>
              <w:spacing w:after="0" w:line="20" w:lineRule="exact"/>
              <w:rPr>
                <w:sz w:val="1"/>
                <w:szCs w:val="1"/>
                <w:color w:val="auto"/>
              </w:rPr>
            </w:pPr>
          </w:p>
        </w:tc>
        <w:tc>
          <w:tcPr>
            <w:tcW w:w="1480" w:type="dxa"/>
            <w:vAlign w:val="bottom"/>
            <w:shd w:val="clear" w:color="auto" w:fill="00448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400" w:type="dxa"/>
            <w:vAlign w:val="bottom"/>
          </w:tcPr>
          <w:p>
            <w:pPr>
              <w:spacing w:after="0"/>
              <w:rPr>
                <w:sz w:val="20"/>
                <w:szCs w:val="20"/>
                <w:color w:val="auto"/>
              </w:rPr>
            </w:pPr>
            <w:r>
              <w:rPr>
                <w:rFonts w:ascii="Arial" w:cs="Arial" w:eastAsia="Arial" w:hAnsi="Arial"/>
                <w:sz w:val="16"/>
                <w:szCs w:val="16"/>
                <w:b w:val="1"/>
                <w:bCs w:val="1"/>
                <w:color w:val="004483"/>
              </w:rPr>
              <w:t>Present Value of Lease Liabilities</w:t>
            </w:r>
          </w:p>
        </w:tc>
        <w:tc>
          <w:tcPr>
            <w:tcW w:w="3180" w:type="dxa"/>
            <w:vAlign w:val="bottom"/>
            <w:gridSpan w:val="2"/>
          </w:tcPr>
          <w:p>
            <w:pPr>
              <w:jc w:val="right"/>
              <w:ind w:right="320"/>
              <w:spacing w:after="0"/>
              <w:rPr>
                <w:sz w:val="20"/>
                <w:szCs w:val="20"/>
                <w:color w:val="auto"/>
              </w:rPr>
            </w:pPr>
            <w:r>
              <w:rPr>
                <w:rFonts w:ascii="Arial" w:cs="Arial" w:eastAsia="Arial" w:hAnsi="Arial"/>
                <w:sz w:val="16"/>
                <w:szCs w:val="16"/>
                <w:color w:val="004483"/>
              </w:rPr>
              <w:t>$</w:t>
            </w:r>
          </w:p>
        </w:tc>
        <w:tc>
          <w:tcPr>
            <w:tcW w:w="1480" w:type="dxa"/>
            <w:vAlign w:val="bottom"/>
          </w:tcPr>
          <w:p>
            <w:pPr>
              <w:jc w:val="right"/>
              <w:spacing w:after="0"/>
              <w:rPr>
                <w:sz w:val="20"/>
                <w:szCs w:val="20"/>
                <w:color w:val="auto"/>
              </w:rPr>
            </w:pPr>
            <w:r>
              <w:rPr>
                <w:rFonts w:ascii="Arial" w:cs="Arial" w:eastAsia="Arial" w:hAnsi="Arial"/>
                <w:sz w:val="16"/>
                <w:szCs w:val="16"/>
                <w:color w:val="004483"/>
              </w:rPr>
              <w:t>44,229</w:t>
            </w:r>
          </w:p>
        </w:tc>
        <w:tc>
          <w:tcPr>
            <w:tcW w:w="160" w:type="dxa"/>
            <w:vAlign w:val="bottom"/>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00" w:type="dxa"/>
            <w:vAlign w:val="bottom"/>
            <w:tcBorders>
              <w:top w:val="single" w:sz="8" w:color="004483"/>
              <w:bottom w:val="single" w:sz="8" w:color="004483"/>
            </w:tcBorders>
          </w:tcPr>
          <w:p>
            <w:pPr>
              <w:spacing w:after="0" w:line="20" w:lineRule="exact"/>
              <w:rPr>
                <w:sz w:val="1"/>
                <w:szCs w:val="1"/>
                <w:color w:val="auto"/>
              </w:rPr>
            </w:pPr>
          </w:p>
        </w:tc>
        <w:tc>
          <w:tcPr>
            <w:tcW w:w="1480" w:type="dxa"/>
            <w:vAlign w:val="bottom"/>
            <w:tcBorders>
              <w:top w:val="single" w:sz="8" w:color="004483"/>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9"/>
        </w:trPr>
        <w:tc>
          <w:tcPr>
            <w:tcW w:w="6400" w:type="dxa"/>
            <w:vAlign w:val="bottom"/>
            <w:tcBorders>
              <w:bottom w:val="single" w:sz="8" w:color="A6A6A6"/>
            </w:tcBorders>
          </w:tcPr>
          <w:p>
            <w:pPr>
              <w:spacing w:after="0"/>
              <w:rPr>
                <w:sz w:val="17"/>
                <w:szCs w:val="17"/>
                <w:color w:val="auto"/>
              </w:rPr>
            </w:pPr>
          </w:p>
        </w:tc>
        <w:tc>
          <w:tcPr>
            <w:tcW w:w="2780" w:type="dxa"/>
            <w:vAlign w:val="bottom"/>
            <w:tcBorders>
              <w:bottom w:val="single" w:sz="8" w:color="A6A6A6"/>
            </w:tcBorders>
          </w:tcPr>
          <w:p>
            <w:pPr>
              <w:spacing w:after="0"/>
              <w:rPr>
                <w:sz w:val="17"/>
                <w:szCs w:val="17"/>
                <w:color w:val="auto"/>
              </w:rPr>
            </w:pPr>
          </w:p>
        </w:tc>
        <w:tc>
          <w:tcPr>
            <w:tcW w:w="400" w:type="dxa"/>
            <w:vAlign w:val="bottom"/>
            <w:tcBorders>
              <w:bottom w:val="single" w:sz="8" w:color="A6A6A6"/>
            </w:tcBorders>
          </w:tcPr>
          <w:p>
            <w:pPr>
              <w:spacing w:after="0"/>
              <w:rPr>
                <w:sz w:val="17"/>
                <w:szCs w:val="17"/>
                <w:color w:val="auto"/>
              </w:rPr>
            </w:pPr>
          </w:p>
        </w:tc>
        <w:tc>
          <w:tcPr>
            <w:tcW w:w="1480" w:type="dxa"/>
            <w:vAlign w:val="bottom"/>
            <w:tcBorders>
              <w:bottom w:val="single" w:sz="8" w:color="A6A6A6"/>
            </w:tcBorders>
          </w:tcPr>
          <w:p>
            <w:pPr>
              <w:spacing w:after="0"/>
              <w:rPr>
                <w:sz w:val="17"/>
                <w:szCs w:val="17"/>
                <w:color w:val="auto"/>
              </w:rPr>
            </w:pPr>
          </w:p>
        </w:tc>
        <w:tc>
          <w:tcPr>
            <w:tcW w:w="160" w:type="dxa"/>
            <w:vAlign w:val="bottom"/>
          </w:tcPr>
          <w:p>
            <w:pPr>
              <w:spacing w:after="0"/>
              <w:rPr>
                <w:sz w:val="17"/>
                <w:szCs w:val="17"/>
                <w:color w:val="auto"/>
              </w:rPr>
            </w:pPr>
          </w:p>
        </w:tc>
      </w:tr>
      <w:tr>
        <w:trPr>
          <w:trHeight w:val="207"/>
        </w:trPr>
        <w:tc>
          <w:tcPr>
            <w:tcW w:w="6400" w:type="dxa"/>
            <w:vAlign w:val="bottom"/>
            <w:tcBorders>
              <w:bottom w:val="single" w:sz="8" w:color="A6A6A6"/>
            </w:tcBorders>
          </w:tcPr>
          <w:p>
            <w:pPr>
              <w:spacing w:after="0"/>
              <w:rPr>
                <w:sz w:val="20"/>
                <w:szCs w:val="20"/>
                <w:color w:val="auto"/>
              </w:rPr>
            </w:pPr>
            <w:r>
              <w:rPr>
                <w:rFonts w:ascii="Arial" w:cs="Arial" w:eastAsia="Arial" w:hAnsi="Arial"/>
                <w:sz w:val="16"/>
                <w:szCs w:val="16"/>
                <w:b w:val="1"/>
                <w:bCs w:val="1"/>
                <w:color w:val="004483"/>
              </w:rPr>
              <w:t>Weighted-Average Remaining Lease Term (in years)</w:t>
            </w:r>
          </w:p>
        </w:tc>
        <w:tc>
          <w:tcPr>
            <w:tcW w:w="2780" w:type="dxa"/>
            <w:vAlign w:val="bottom"/>
            <w:tcBorders>
              <w:bottom w:val="single" w:sz="8" w:color="A6A6A6"/>
            </w:tcBorders>
          </w:tcPr>
          <w:p>
            <w:pPr>
              <w:spacing w:after="0"/>
              <w:rPr>
                <w:sz w:val="17"/>
                <w:szCs w:val="17"/>
                <w:color w:val="auto"/>
              </w:rPr>
            </w:pPr>
          </w:p>
        </w:tc>
        <w:tc>
          <w:tcPr>
            <w:tcW w:w="400" w:type="dxa"/>
            <w:vAlign w:val="bottom"/>
            <w:tcBorders>
              <w:bottom w:val="single" w:sz="8" w:color="A6A6A6"/>
            </w:tcBorders>
          </w:tcPr>
          <w:p>
            <w:pPr>
              <w:spacing w:after="0"/>
              <w:rPr>
                <w:sz w:val="17"/>
                <w:szCs w:val="17"/>
                <w:color w:val="auto"/>
              </w:rPr>
            </w:pPr>
          </w:p>
        </w:tc>
        <w:tc>
          <w:tcPr>
            <w:tcW w:w="1480" w:type="dxa"/>
            <w:vAlign w:val="bottom"/>
            <w:tcBorders>
              <w:bottom w:val="single" w:sz="8" w:color="A6A6A6"/>
            </w:tcBorders>
          </w:tcPr>
          <w:p>
            <w:pPr>
              <w:jc w:val="right"/>
              <w:spacing w:after="0"/>
              <w:rPr>
                <w:sz w:val="20"/>
                <w:szCs w:val="20"/>
                <w:color w:val="auto"/>
              </w:rPr>
            </w:pPr>
            <w:r>
              <w:rPr>
                <w:rFonts w:ascii="Arial" w:cs="Arial" w:eastAsia="Arial" w:hAnsi="Arial"/>
                <w:sz w:val="16"/>
                <w:szCs w:val="16"/>
                <w:b w:val="1"/>
                <w:bCs w:val="1"/>
                <w:color w:val="004483"/>
              </w:rPr>
              <w:t>9.1</w:t>
            </w:r>
          </w:p>
        </w:tc>
        <w:tc>
          <w:tcPr>
            <w:tcW w:w="160" w:type="dxa"/>
            <w:vAlign w:val="bottom"/>
          </w:tcPr>
          <w:p>
            <w:pPr>
              <w:spacing w:after="0"/>
              <w:rPr>
                <w:sz w:val="17"/>
                <w:szCs w:val="17"/>
                <w:color w:val="auto"/>
              </w:rPr>
            </w:pPr>
          </w:p>
        </w:tc>
      </w:tr>
      <w:tr>
        <w:trPr>
          <w:trHeight w:val="209"/>
        </w:trPr>
        <w:tc>
          <w:tcPr>
            <w:tcW w:w="6400" w:type="dxa"/>
            <w:vAlign w:val="bottom"/>
          </w:tcPr>
          <w:p>
            <w:pPr>
              <w:spacing w:after="0"/>
              <w:rPr>
                <w:sz w:val="20"/>
                <w:szCs w:val="20"/>
                <w:color w:val="auto"/>
              </w:rPr>
            </w:pPr>
            <w:r>
              <w:rPr>
                <w:rFonts w:ascii="Arial" w:cs="Arial" w:eastAsia="Arial" w:hAnsi="Arial"/>
                <w:sz w:val="16"/>
                <w:szCs w:val="16"/>
                <w:b w:val="1"/>
                <w:bCs w:val="1"/>
                <w:color w:val="004483"/>
              </w:rPr>
              <w:t>Weighted-Average Discount Rate</w:t>
            </w:r>
          </w:p>
        </w:tc>
        <w:tc>
          <w:tcPr>
            <w:tcW w:w="2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6"/>
                <w:szCs w:val="16"/>
                <w:b w:val="1"/>
                <w:bCs w:val="1"/>
                <w:color w:val="004483"/>
              </w:rPr>
              <w:t>3.78%</w:t>
            </w:r>
          </w:p>
        </w:tc>
      </w:tr>
      <w:tr>
        <w:trPr>
          <w:trHeight w:val="20"/>
        </w:trPr>
        <w:tc>
          <w:tcPr>
            <w:tcW w:w="6400" w:type="dxa"/>
            <w:vAlign w:val="bottom"/>
            <w:shd w:val="clear" w:color="auto" w:fill="A6A6A6"/>
          </w:tcPr>
          <w:p>
            <w:pPr>
              <w:spacing w:after="0" w:line="20" w:lineRule="exact"/>
              <w:rPr>
                <w:sz w:val="1"/>
                <w:szCs w:val="1"/>
                <w:color w:val="auto"/>
              </w:rPr>
            </w:pPr>
          </w:p>
        </w:tc>
        <w:tc>
          <w:tcPr>
            <w:tcW w:w="278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1480" w:type="dxa"/>
            <w:vAlign w:val="bottom"/>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 SHARE-BASED EMPLOYEE COMPENSATION</w:t>
      </w:r>
    </w:p>
    <w:p>
      <w:pPr>
        <w:spacing w:after="0" w:line="13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August 7, 2013, our stockholders approved the Eagle Materials Inc. Amended and Restated Incentive Plan (the Plan), which increased the shares we are authorized to issue as awards by 3,000,000 (1,500,000 of which may be stock awards). Under the terms of the Plan, we can issue equity awards, including stock options, restricted stock units (RSUs), restricted stock, and stock appreciation rights to employees of the Company and members of the Board of Directors. Awards that were already outstanding prior to the approval of the Plan on August 7, 2013 remained outstanding. The Compensation Committee of our Board of Directors specifies the terms for grants of equity awards under the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Long-Term Compensation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153"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In May 2020, the Compensation Committee of the Board of Directors approved the granting to certain officers and key employees an aggregate of 96,476 performance vesting stock options that will be earned only if certain performance conditions are satisfied (the Fiscal 2021 Employee Performance Stock Option Grant). The performance criteria for the Fiscal 2021 Employee Performance Stock Option Grant is based upon the achievement of certain levels of return on equity (as defined in the option agreements), ranging from 10.0% to 20.0%, for the fiscal year ending March 31, 2021. All stock options will be earned if the return on equity is 20.0% or greater, and the percentage of shares earned will be reduced proportionately to approximately 66.7% if the return on equity is 10.0%. If the Company does not achieve a return on equity of at least 10.0%, all granted stock options will be forfeited. Following any such reduction, restrictions on the earned stock options will lapse and the earned options will vest ratably over four years, with the initial fourth vesting promptly following the determination date, and the remaining options vesting on March 31, 2022 through 2024. The stock options have a term of ten years from the date of grant. The Compensation Committee also approved the granting of 80,396 time-vesting stock options to the same officers and key employees, which vest ratably over four years (the Fiscal 2021 Employee Time-Vesting Stock Option Grant).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assumptions used in the Black-Scholes model to value the option awards in fiscal 2021 are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000" w:type="dxa"/>
            <w:vAlign w:val="bottom"/>
            <w:tcBorders>
              <w:bottom w:val="single" w:sz="8" w:color="004483"/>
            </w:tcBorders>
          </w:tcPr>
          <w:p>
            <w:pPr>
              <w:spacing w:after="0"/>
              <w:rPr>
                <w:sz w:val="13"/>
                <w:szCs w:val="13"/>
                <w:color w:val="auto"/>
              </w:rPr>
            </w:pPr>
          </w:p>
        </w:tc>
        <w:tc>
          <w:tcPr>
            <w:tcW w:w="510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3"/>
                <w:szCs w:val="13"/>
                <w:color w:val="auto"/>
              </w:rPr>
            </w:pPr>
          </w:p>
        </w:tc>
      </w:tr>
      <w:tr>
        <w:trPr>
          <w:trHeight w:val="206"/>
        </w:trPr>
        <w:tc>
          <w:tcPr>
            <w:tcW w:w="6000" w:type="dxa"/>
            <w:vAlign w:val="bottom"/>
            <w:tcBorders>
              <w:bottom w:val="single" w:sz="8" w:color="A6A6A6"/>
            </w:tcBorders>
          </w:tcPr>
          <w:p>
            <w:pPr>
              <w:spacing w:after="0"/>
              <w:rPr>
                <w:sz w:val="20"/>
                <w:szCs w:val="20"/>
                <w:color w:val="auto"/>
              </w:rPr>
            </w:pPr>
            <w:r>
              <w:rPr>
                <w:rFonts w:ascii="Arial" w:cs="Arial" w:eastAsia="Arial" w:hAnsi="Arial"/>
                <w:sz w:val="16"/>
                <w:szCs w:val="16"/>
                <w:color w:val="004483"/>
              </w:rPr>
              <w:t>Dividend Yield</w:t>
            </w:r>
          </w:p>
        </w:tc>
        <w:tc>
          <w:tcPr>
            <w:tcW w:w="5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r>
      <w:tr>
        <w:trPr>
          <w:trHeight w:val="210"/>
        </w:trPr>
        <w:tc>
          <w:tcPr>
            <w:tcW w:w="6000" w:type="dxa"/>
            <w:vAlign w:val="bottom"/>
          </w:tcPr>
          <w:p>
            <w:pPr>
              <w:spacing w:after="0"/>
              <w:rPr>
                <w:sz w:val="20"/>
                <w:szCs w:val="20"/>
                <w:color w:val="auto"/>
              </w:rPr>
            </w:pPr>
            <w:r>
              <w:rPr>
                <w:rFonts w:ascii="Arial" w:cs="Arial" w:eastAsia="Arial" w:hAnsi="Arial"/>
                <w:sz w:val="16"/>
                <w:szCs w:val="16"/>
                <w:color w:val="004483"/>
              </w:rPr>
              <w:t>Expected Volatility</w:t>
            </w:r>
          </w:p>
        </w:tc>
        <w:tc>
          <w:tcPr>
            <w:tcW w:w="5220" w:type="dxa"/>
            <w:vAlign w:val="bottom"/>
            <w:gridSpan w:val="2"/>
          </w:tcPr>
          <w:p>
            <w:pPr>
              <w:jc w:val="right"/>
              <w:spacing w:after="0"/>
              <w:rPr>
                <w:sz w:val="20"/>
                <w:szCs w:val="20"/>
                <w:color w:val="auto"/>
              </w:rPr>
            </w:pPr>
            <w:r>
              <w:rPr>
                <w:rFonts w:ascii="Arial" w:cs="Arial" w:eastAsia="Arial" w:hAnsi="Arial"/>
                <w:sz w:val="16"/>
                <w:szCs w:val="16"/>
                <w:color w:val="auto"/>
              </w:rPr>
              <w:t>37.9%</w:t>
            </w:r>
          </w:p>
        </w:tc>
      </w:tr>
      <w:tr>
        <w:trPr>
          <w:trHeight w:val="20"/>
        </w:trPr>
        <w:tc>
          <w:tcPr>
            <w:tcW w:w="6000" w:type="dxa"/>
            <w:vAlign w:val="bottom"/>
            <w:shd w:val="clear" w:color="auto" w:fill="A6A6A6"/>
          </w:tcPr>
          <w:p>
            <w:pPr>
              <w:spacing w:after="0" w:line="20" w:lineRule="exact"/>
              <w:rPr>
                <w:sz w:val="1"/>
                <w:szCs w:val="1"/>
                <w:color w:val="auto"/>
              </w:rPr>
            </w:pPr>
          </w:p>
        </w:tc>
        <w:tc>
          <w:tcPr>
            <w:tcW w:w="51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6000" w:type="dxa"/>
            <w:vAlign w:val="bottom"/>
          </w:tcPr>
          <w:p>
            <w:pPr>
              <w:spacing w:after="0"/>
              <w:rPr>
                <w:sz w:val="20"/>
                <w:szCs w:val="20"/>
                <w:color w:val="auto"/>
              </w:rPr>
            </w:pPr>
            <w:r>
              <w:rPr>
                <w:rFonts w:ascii="Arial" w:cs="Arial" w:eastAsia="Arial" w:hAnsi="Arial"/>
                <w:sz w:val="16"/>
                <w:szCs w:val="16"/>
                <w:color w:val="004483"/>
              </w:rPr>
              <w:t>Risk Free Interest Rate</w:t>
            </w:r>
          </w:p>
        </w:tc>
        <w:tc>
          <w:tcPr>
            <w:tcW w:w="5220" w:type="dxa"/>
            <w:vAlign w:val="bottom"/>
            <w:gridSpan w:val="2"/>
          </w:tcPr>
          <w:p>
            <w:pPr>
              <w:jc w:val="right"/>
              <w:spacing w:after="0"/>
              <w:rPr>
                <w:sz w:val="20"/>
                <w:szCs w:val="20"/>
                <w:color w:val="auto"/>
              </w:rPr>
            </w:pPr>
            <w:r>
              <w:rPr>
                <w:rFonts w:ascii="Arial" w:cs="Arial" w:eastAsia="Arial" w:hAnsi="Arial"/>
                <w:sz w:val="16"/>
                <w:szCs w:val="16"/>
                <w:color w:val="auto"/>
              </w:rPr>
              <w:t>0.5%</w:t>
            </w:r>
          </w:p>
        </w:tc>
      </w:tr>
      <w:tr>
        <w:trPr>
          <w:trHeight w:val="210"/>
        </w:trPr>
        <w:tc>
          <w:tcPr>
            <w:tcW w:w="600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6"/>
                <w:szCs w:val="16"/>
                <w:color w:val="004483"/>
              </w:rPr>
              <w:t>Expected Life</w:t>
            </w:r>
          </w:p>
        </w:tc>
        <w:tc>
          <w:tcPr>
            <w:tcW w:w="51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6.0 years</w:t>
            </w:r>
          </w:p>
        </w:tc>
        <w:tc>
          <w:tcPr>
            <w:tcW w:w="1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6" w:name="page17"/>
    <w:bookmarkEnd w:id="16"/>
    <w:p>
      <w:pPr>
        <w:ind w:right="100"/>
        <w:spacing w:after="0" w:line="269" w:lineRule="auto"/>
        <w:rPr>
          <w:sz w:val="20"/>
          <w:szCs w:val="20"/>
          <w:color w:val="auto"/>
        </w:rPr>
      </w:pPr>
      <w:r>
        <w:rPr>
          <w:rFonts w:ascii="Arial" w:cs="Arial" w:eastAsia="Arial" w:hAnsi="Arial"/>
          <w:sz w:val="18"/>
          <w:szCs w:val="18"/>
          <w:color w:val="auto"/>
        </w:rPr>
        <w:t>Stock option expense for all outstanding stock option awards totaled approximately $1.1 million and $2.8 million for the three and six months ended September 30, 2020, respectively, and $1.2 million and $2.3 million for the three and six months ended September 30, 2019, respectively. At September 30, 2020, there was approximately $8.9 million of unrecognized compensation cost related to outstanding stock options, which is expected to be recognized over a weighted-average period of 2.6 years.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stock option activity for the six months ended September 30, 2020:</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Weighted-</w:t>
            </w:r>
          </w:p>
        </w:tc>
      </w:tr>
      <w:tr>
        <w:trPr>
          <w:trHeight w:val="135"/>
        </w:trPr>
        <w:tc>
          <w:tcPr>
            <w:tcW w:w="558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Average</w:t>
            </w:r>
          </w:p>
        </w:tc>
      </w:tr>
      <w:tr>
        <w:trPr>
          <w:trHeight w:val="135"/>
        </w:trPr>
        <w:tc>
          <w:tcPr>
            <w:tcW w:w="558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Number</w:t>
            </w:r>
          </w:p>
        </w:tc>
        <w:tc>
          <w:tcPr>
            <w:tcW w:w="72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Exercise</w:t>
            </w:r>
          </w:p>
        </w:tc>
      </w:tr>
      <w:tr>
        <w:trPr>
          <w:trHeight w:val="153"/>
        </w:trPr>
        <w:tc>
          <w:tcPr>
            <w:tcW w:w="55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of Shares</w:t>
            </w:r>
          </w:p>
        </w:tc>
        <w:tc>
          <w:tcPr>
            <w:tcW w:w="7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Price</w:t>
            </w:r>
          </w:p>
        </w:tc>
      </w:tr>
      <w:tr>
        <w:trPr>
          <w:trHeight w:val="207"/>
        </w:trPr>
        <w:tc>
          <w:tcPr>
            <w:tcW w:w="5580" w:type="dxa"/>
            <w:vAlign w:val="bottom"/>
            <w:tcBorders>
              <w:top w:val="single" w:sz="8" w:color="004483"/>
              <w:bottom w:val="single" w:sz="8" w:color="A6A6A6"/>
            </w:tcBorders>
          </w:tcPr>
          <w:p>
            <w:pPr>
              <w:spacing w:after="0"/>
              <w:rPr>
                <w:sz w:val="20"/>
                <w:szCs w:val="20"/>
                <w:color w:val="auto"/>
              </w:rPr>
            </w:pPr>
            <w:r>
              <w:rPr>
                <w:rFonts w:ascii="Arial" w:cs="Arial" w:eastAsia="Arial" w:hAnsi="Arial"/>
                <w:sz w:val="16"/>
                <w:szCs w:val="16"/>
                <w:b w:val="1"/>
                <w:bCs w:val="1"/>
                <w:color w:val="004483"/>
              </w:rPr>
              <w:t>Outstanding Options at March 31, 2020</w:t>
            </w:r>
          </w:p>
        </w:tc>
        <w:tc>
          <w:tcPr>
            <w:tcW w:w="2140" w:type="dxa"/>
            <w:vAlign w:val="bottom"/>
            <w:tcBorders>
              <w:top w:val="single" w:sz="8" w:color="004483"/>
              <w:bottom w:val="single" w:sz="8" w:color="A6A6A6"/>
            </w:tcBorders>
          </w:tcPr>
          <w:p>
            <w:pPr>
              <w:spacing w:after="0"/>
              <w:rPr>
                <w:sz w:val="17"/>
                <w:szCs w:val="17"/>
                <w:color w:val="auto"/>
              </w:rPr>
            </w:pPr>
          </w:p>
        </w:tc>
        <w:tc>
          <w:tcPr>
            <w:tcW w:w="480" w:type="dxa"/>
            <w:vAlign w:val="bottom"/>
            <w:tcBorders>
              <w:top w:val="single" w:sz="8" w:color="004483"/>
              <w:bottom w:val="single" w:sz="8" w:color="A6A6A6"/>
            </w:tcBorders>
          </w:tcPr>
          <w:p>
            <w:pPr>
              <w:spacing w:after="0"/>
              <w:rPr>
                <w:sz w:val="17"/>
                <w:szCs w:val="17"/>
                <w:color w:val="auto"/>
              </w:rPr>
            </w:pPr>
          </w:p>
        </w:tc>
        <w:tc>
          <w:tcPr>
            <w:tcW w:w="10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1,160,091</w:t>
            </w:r>
          </w:p>
        </w:tc>
        <w:tc>
          <w:tcPr>
            <w:tcW w:w="120" w:type="dxa"/>
            <w:vAlign w:val="bottom"/>
          </w:tcPr>
          <w:p>
            <w:pPr>
              <w:spacing w:after="0"/>
              <w:rPr>
                <w:sz w:val="17"/>
                <w:szCs w:val="17"/>
                <w:color w:val="auto"/>
              </w:rPr>
            </w:pPr>
          </w:p>
        </w:tc>
        <w:tc>
          <w:tcPr>
            <w:tcW w:w="720" w:type="dxa"/>
            <w:vAlign w:val="bottom"/>
            <w:tcBorders>
              <w:top w:val="single" w:sz="8" w:color="004483"/>
              <w:bottom w:val="single" w:sz="8" w:color="A6A6A6"/>
            </w:tcBorders>
          </w:tcPr>
          <w:p>
            <w:pPr>
              <w:jc w:val="right"/>
              <w:ind w:right="37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80.36</w:t>
            </w:r>
          </w:p>
        </w:tc>
      </w:tr>
      <w:tr>
        <w:trPr>
          <w:trHeight w:val="209"/>
        </w:trPr>
        <w:tc>
          <w:tcPr>
            <w:tcW w:w="5580" w:type="dxa"/>
            <w:vAlign w:val="bottom"/>
            <w:tcBorders>
              <w:bottom w:val="single" w:sz="8" w:color="A6A6A6"/>
            </w:tcBorders>
          </w:tcPr>
          <w:p>
            <w:pPr>
              <w:spacing w:after="0"/>
              <w:rPr>
                <w:sz w:val="20"/>
                <w:szCs w:val="20"/>
                <w:color w:val="auto"/>
              </w:rPr>
            </w:pPr>
            <w:r>
              <w:rPr>
                <w:rFonts w:ascii="Arial" w:cs="Arial" w:eastAsia="Arial" w:hAnsi="Arial"/>
                <w:sz w:val="16"/>
                <w:szCs w:val="16"/>
                <w:color w:val="004483"/>
              </w:rPr>
              <w:t>Granted</w:t>
            </w:r>
          </w:p>
        </w:tc>
        <w:tc>
          <w:tcPr>
            <w:tcW w:w="2140" w:type="dxa"/>
            <w:vAlign w:val="bottom"/>
            <w:tcBorders>
              <w:bottom w:val="single" w:sz="8" w:color="A6A6A6"/>
            </w:tcBorders>
          </w:tcPr>
          <w:p>
            <w:pPr>
              <w:spacing w:after="0"/>
              <w:rPr>
                <w:sz w:val="18"/>
                <w:szCs w:val="18"/>
                <w:color w:val="auto"/>
              </w:rPr>
            </w:pPr>
          </w:p>
        </w:tc>
        <w:tc>
          <w:tcPr>
            <w:tcW w:w="4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178,946</w:t>
            </w:r>
          </w:p>
        </w:tc>
        <w:tc>
          <w:tcPr>
            <w:tcW w:w="120" w:type="dxa"/>
            <w:vAlign w:val="bottom"/>
          </w:tcPr>
          <w:p>
            <w:pPr>
              <w:spacing w:after="0"/>
              <w:rPr>
                <w:sz w:val="18"/>
                <w:szCs w:val="18"/>
                <w:color w:val="auto"/>
              </w:rPr>
            </w:pPr>
          </w:p>
        </w:tc>
        <w:tc>
          <w:tcPr>
            <w:tcW w:w="720" w:type="dxa"/>
            <w:vAlign w:val="bottom"/>
            <w:tcBorders>
              <w:bottom w:val="single" w:sz="8" w:color="A6A6A6"/>
            </w:tcBorders>
          </w:tcPr>
          <w:p>
            <w:pPr>
              <w:jc w:val="right"/>
              <w:ind w:right="3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60.20</w:t>
            </w:r>
          </w:p>
        </w:tc>
      </w:tr>
      <w:tr>
        <w:trPr>
          <w:trHeight w:val="209"/>
        </w:trPr>
        <w:tc>
          <w:tcPr>
            <w:tcW w:w="5580" w:type="dxa"/>
            <w:vAlign w:val="bottom"/>
          </w:tcPr>
          <w:p>
            <w:pPr>
              <w:spacing w:after="0"/>
              <w:rPr>
                <w:sz w:val="20"/>
                <w:szCs w:val="20"/>
                <w:color w:val="auto"/>
              </w:rPr>
            </w:pPr>
            <w:r>
              <w:rPr>
                <w:rFonts w:ascii="Arial" w:cs="Arial" w:eastAsia="Arial" w:hAnsi="Arial"/>
                <w:sz w:val="16"/>
                <w:szCs w:val="16"/>
                <w:color w:val="004483"/>
              </w:rPr>
              <w:t>Exercised</w:t>
            </w:r>
          </w:p>
        </w:tc>
        <w:tc>
          <w:tcPr>
            <w:tcW w:w="2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(41,519)</w:t>
            </w:r>
          </w:p>
        </w:tc>
        <w:tc>
          <w:tcPr>
            <w:tcW w:w="72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81.90</w:t>
            </w:r>
          </w:p>
        </w:tc>
      </w:tr>
      <w:tr>
        <w:trPr>
          <w:trHeight w:val="20"/>
        </w:trPr>
        <w:tc>
          <w:tcPr>
            <w:tcW w:w="5580" w:type="dxa"/>
            <w:vAlign w:val="bottom"/>
            <w:shd w:val="clear" w:color="auto" w:fill="A6A6A6"/>
          </w:tcPr>
          <w:p>
            <w:pPr>
              <w:spacing w:after="0" w:line="20" w:lineRule="exact"/>
              <w:rPr>
                <w:sz w:val="1"/>
                <w:szCs w:val="1"/>
                <w:color w:val="auto"/>
              </w:rPr>
            </w:pPr>
          </w:p>
        </w:tc>
        <w:tc>
          <w:tcPr>
            <w:tcW w:w="2140" w:type="dxa"/>
            <w:vAlign w:val="bottom"/>
            <w:shd w:val="clear" w:color="auto" w:fill="A6A6A6"/>
          </w:tcPr>
          <w:p>
            <w:pPr>
              <w:spacing w:after="0" w:line="20" w:lineRule="exact"/>
              <w:rPr>
                <w:sz w:val="1"/>
                <w:szCs w:val="1"/>
                <w:color w:val="auto"/>
              </w:rPr>
            </w:pPr>
          </w:p>
        </w:tc>
        <w:tc>
          <w:tcPr>
            <w:tcW w:w="480" w:type="dxa"/>
            <w:vAlign w:val="bottom"/>
            <w:shd w:val="clear" w:color="auto" w:fill="A6A6A6"/>
          </w:tcPr>
          <w:p>
            <w:pPr>
              <w:spacing w:after="0" w:line="20" w:lineRule="exact"/>
              <w:rPr>
                <w:sz w:val="1"/>
                <w:szCs w:val="1"/>
                <w:color w:val="auto"/>
              </w:rPr>
            </w:pPr>
          </w:p>
        </w:tc>
        <w:tc>
          <w:tcPr>
            <w:tcW w:w="10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40" w:type="dxa"/>
            <w:vAlign w:val="bottom"/>
            <w:shd w:val="clear" w:color="auto" w:fill="A6A6A6"/>
          </w:tcPr>
          <w:p>
            <w:pPr>
              <w:spacing w:after="0" w:line="20" w:lineRule="exact"/>
              <w:rPr>
                <w:sz w:val="1"/>
                <w:szCs w:val="1"/>
                <w:color w:val="auto"/>
              </w:rPr>
            </w:pPr>
          </w:p>
        </w:tc>
      </w:tr>
      <w:tr>
        <w:trPr>
          <w:trHeight w:val="209"/>
        </w:trPr>
        <w:tc>
          <w:tcPr>
            <w:tcW w:w="5580" w:type="dxa"/>
            <w:vAlign w:val="bottom"/>
          </w:tcPr>
          <w:p>
            <w:pPr>
              <w:spacing w:after="0"/>
              <w:rPr>
                <w:sz w:val="20"/>
                <w:szCs w:val="20"/>
                <w:color w:val="auto"/>
              </w:rPr>
            </w:pPr>
            <w:r>
              <w:rPr>
                <w:rFonts w:ascii="Arial" w:cs="Arial" w:eastAsia="Arial" w:hAnsi="Arial"/>
                <w:sz w:val="16"/>
                <w:szCs w:val="16"/>
                <w:color w:val="004483"/>
              </w:rPr>
              <w:t>Cancelled</w:t>
            </w:r>
          </w:p>
        </w:tc>
        <w:tc>
          <w:tcPr>
            <w:tcW w:w="2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(12,094)</w:t>
            </w:r>
          </w:p>
        </w:tc>
        <w:tc>
          <w:tcPr>
            <w:tcW w:w="72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91.58</w:t>
            </w:r>
          </w:p>
        </w:tc>
      </w:tr>
      <w:tr>
        <w:trPr>
          <w:trHeight w:val="253"/>
        </w:trPr>
        <w:tc>
          <w:tcPr>
            <w:tcW w:w="558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6"/>
                <w:szCs w:val="16"/>
                <w:b w:val="1"/>
                <w:bCs w:val="1"/>
                <w:color w:val="004483"/>
              </w:rPr>
              <w:t>Outstanding Options at September 30, 2020</w:t>
            </w:r>
          </w:p>
        </w:tc>
        <w:tc>
          <w:tcPr>
            <w:tcW w:w="2140" w:type="dxa"/>
            <w:vAlign w:val="bottom"/>
            <w:tcBorders>
              <w:top w:val="single" w:sz="8" w:color="A6A6A6"/>
              <w:bottom w:val="single" w:sz="8" w:color="A6A6A6"/>
            </w:tcBorders>
          </w:tcPr>
          <w:p>
            <w:pPr>
              <w:spacing w:after="0"/>
              <w:rPr>
                <w:sz w:val="21"/>
                <w:szCs w:val="21"/>
                <w:color w:val="auto"/>
              </w:rPr>
            </w:pPr>
          </w:p>
        </w:tc>
        <w:tc>
          <w:tcPr>
            <w:tcW w:w="480" w:type="dxa"/>
            <w:vAlign w:val="bottom"/>
            <w:tcBorders>
              <w:top w:val="single" w:sz="8" w:color="004483"/>
              <w:bottom w:val="single" w:sz="8" w:color="004483"/>
            </w:tcBorders>
          </w:tcPr>
          <w:p>
            <w:pPr>
              <w:spacing w:after="0"/>
              <w:rPr>
                <w:sz w:val="21"/>
                <w:szCs w:val="21"/>
                <w:color w:val="auto"/>
              </w:rPr>
            </w:pPr>
          </w:p>
        </w:tc>
        <w:tc>
          <w:tcPr>
            <w:tcW w:w="10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1,285,424</w:t>
            </w:r>
          </w:p>
        </w:tc>
        <w:tc>
          <w:tcPr>
            <w:tcW w:w="120" w:type="dxa"/>
            <w:vAlign w:val="bottom"/>
          </w:tcPr>
          <w:p>
            <w:pPr>
              <w:spacing w:after="0"/>
              <w:rPr>
                <w:sz w:val="21"/>
                <w:szCs w:val="21"/>
                <w:color w:val="auto"/>
              </w:rPr>
            </w:pPr>
          </w:p>
        </w:tc>
        <w:tc>
          <w:tcPr>
            <w:tcW w:w="720" w:type="dxa"/>
            <w:vAlign w:val="bottom"/>
            <w:tcBorders>
              <w:top w:val="single" w:sz="8" w:color="A6A6A6"/>
              <w:bottom w:val="single" w:sz="8" w:color="A6A6A6"/>
            </w:tcBorders>
          </w:tcPr>
          <w:p>
            <w:pPr>
              <w:jc w:val="right"/>
              <w:ind w:right="37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79.17</w:t>
            </w:r>
          </w:p>
        </w:tc>
      </w:tr>
      <w:tr>
        <w:trPr>
          <w:trHeight w:val="234"/>
        </w:trPr>
        <w:tc>
          <w:tcPr>
            <w:tcW w:w="5580" w:type="dxa"/>
            <w:vAlign w:val="bottom"/>
            <w:tcBorders>
              <w:bottom w:val="single" w:sz="8" w:color="A6A6A6"/>
            </w:tcBorders>
          </w:tcPr>
          <w:p>
            <w:pPr>
              <w:spacing w:after="0"/>
              <w:rPr>
                <w:sz w:val="20"/>
                <w:szCs w:val="20"/>
                <w:color w:val="auto"/>
              </w:rPr>
            </w:pPr>
            <w:r>
              <w:rPr>
                <w:rFonts w:ascii="Arial" w:cs="Arial" w:eastAsia="Arial" w:hAnsi="Arial"/>
                <w:sz w:val="16"/>
                <w:szCs w:val="16"/>
                <w:b w:val="1"/>
                <w:bCs w:val="1"/>
                <w:color w:val="004483"/>
              </w:rPr>
              <w:t>Options Exercisable at September 30, 2020</w:t>
            </w:r>
          </w:p>
        </w:tc>
        <w:tc>
          <w:tcPr>
            <w:tcW w:w="2140" w:type="dxa"/>
            <w:vAlign w:val="bottom"/>
            <w:tcBorders>
              <w:bottom w:val="single" w:sz="8" w:color="A6A6A6"/>
            </w:tcBorders>
          </w:tcPr>
          <w:p>
            <w:pPr>
              <w:spacing w:after="0"/>
              <w:rPr>
                <w:sz w:val="20"/>
                <w:szCs w:val="20"/>
                <w:color w:val="auto"/>
              </w:rPr>
            </w:pPr>
          </w:p>
        </w:tc>
        <w:tc>
          <w:tcPr>
            <w:tcW w:w="480" w:type="dxa"/>
            <w:vAlign w:val="bottom"/>
            <w:tcBorders>
              <w:bottom w:val="single" w:sz="8" w:color="004483"/>
            </w:tcBorders>
          </w:tcPr>
          <w:p>
            <w:pPr>
              <w:spacing w:after="0"/>
              <w:rPr>
                <w:sz w:val="20"/>
                <w:szCs w:val="20"/>
                <w:color w:val="auto"/>
              </w:rPr>
            </w:pPr>
          </w:p>
        </w:tc>
        <w:tc>
          <w:tcPr>
            <w:tcW w:w="10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873,164</w:t>
            </w:r>
          </w:p>
        </w:tc>
        <w:tc>
          <w:tcPr>
            <w:tcW w:w="120" w:type="dxa"/>
            <w:vAlign w:val="bottom"/>
          </w:tcPr>
          <w:p>
            <w:pPr>
              <w:spacing w:after="0"/>
              <w:rPr>
                <w:sz w:val="20"/>
                <w:szCs w:val="20"/>
                <w:color w:val="auto"/>
              </w:rPr>
            </w:pPr>
          </w:p>
        </w:tc>
        <w:tc>
          <w:tcPr>
            <w:tcW w:w="720" w:type="dxa"/>
            <w:vAlign w:val="bottom"/>
            <w:tcBorders>
              <w:bottom w:val="single" w:sz="8" w:color="A6A6A6"/>
            </w:tcBorders>
          </w:tcPr>
          <w:p>
            <w:pPr>
              <w:spacing w:after="0"/>
              <w:rPr>
                <w:sz w:val="20"/>
                <w:szCs w:val="20"/>
                <w:color w:val="auto"/>
              </w:rPr>
            </w:pPr>
          </w:p>
        </w:tc>
        <w:tc>
          <w:tcPr>
            <w:tcW w:w="1040" w:type="dxa"/>
            <w:vAlign w:val="bottom"/>
            <w:tcBorders>
              <w:bottom w:val="single" w:sz="8" w:color="A6A6A6"/>
            </w:tcBorders>
          </w:tcPr>
          <w:p>
            <w:pPr>
              <w:spacing w:after="0"/>
              <w:rPr>
                <w:sz w:val="20"/>
                <w:szCs w:val="20"/>
                <w:color w:val="auto"/>
              </w:rPr>
            </w:pPr>
          </w:p>
        </w:tc>
      </w:tr>
      <w:tr>
        <w:trPr>
          <w:trHeight w:val="172"/>
        </w:trPr>
        <w:tc>
          <w:tcPr>
            <w:tcW w:w="5580" w:type="dxa"/>
            <w:vAlign w:val="bottom"/>
          </w:tcPr>
          <w:p>
            <w:pPr>
              <w:spacing w:after="0" w:line="172" w:lineRule="exact"/>
              <w:rPr>
                <w:sz w:val="20"/>
                <w:szCs w:val="20"/>
                <w:color w:val="auto"/>
              </w:rPr>
            </w:pPr>
            <w:r>
              <w:rPr>
                <w:rFonts w:ascii="Arial" w:cs="Arial" w:eastAsia="Arial" w:hAnsi="Arial"/>
                <w:sz w:val="16"/>
                <w:szCs w:val="16"/>
                <w:b w:val="1"/>
                <w:bCs w:val="1"/>
                <w:color w:val="004483"/>
              </w:rPr>
              <w:t>Weighted-Average Fair Value of Options Granted</w:t>
            </w:r>
          </w:p>
        </w:tc>
        <w:tc>
          <w:tcPr>
            <w:tcW w:w="2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13"/>
        </w:trPr>
        <w:tc>
          <w:tcPr>
            <w:tcW w:w="5580" w:type="dxa"/>
            <w:vAlign w:val="bottom"/>
            <w:tcBorders>
              <w:bottom w:val="single" w:sz="8" w:color="A6A6A6"/>
            </w:tcBorders>
          </w:tcPr>
          <w:p>
            <w:pPr>
              <w:spacing w:after="0"/>
              <w:rPr>
                <w:sz w:val="20"/>
                <w:szCs w:val="20"/>
                <w:color w:val="auto"/>
              </w:rPr>
            </w:pPr>
            <w:r>
              <w:rPr>
                <w:rFonts w:ascii="Arial" w:cs="Arial" w:eastAsia="Arial" w:hAnsi="Arial"/>
                <w:sz w:val="16"/>
                <w:szCs w:val="16"/>
                <w:b w:val="1"/>
                <w:bCs w:val="1"/>
                <w:color w:val="004483"/>
              </w:rPr>
              <w:t>During the Year</w:t>
            </w:r>
          </w:p>
        </w:tc>
        <w:tc>
          <w:tcPr>
            <w:tcW w:w="2620" w:type="dxa"/>
            <w:vAlign w:val="bottom"/>
            <w:tcBorders>
              <w:bottom w:val="single" w:sz="8" w:color="A6A6A6"/>
            </w:tcBorders>
            <w:gridSpan w:val="2"/>
          </w:tcPr>
          <w:p>
            <w:pPr>
              <w:jc w:val="right"/>
              <w:ind w:right="40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22.04</w:t>
            </w:r>
          </w:p>
        </w:tc>
        <w:tc>
          <w:tcPr>
            <w:tcW w:w="120" w:type="dxa"/>
            <w:vAlign w:val="bottom"/>
          </w:tcPr>
          <w:p>
            <w:pPr>
              <w:spacing w:after="0"/>
              <w:rPr>
                <w:sz w:val="18"/>
                <w:szCs w:val="18"/>
                <w:color w:val="auto"/>
              </w:rPr>
            </w:pPr>
          </w:p>
        </w:tc>
        <w:tc>
          <w:tcPr>
            <w:tcW w:w="72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spacing w:after="0"/>
              <w:rPr>
                <w:sz w:val="18"/>
                <w:szCs w:val="18"/>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at September 30, 2020:</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000" w:type="dxa"/>
            <w:vAlign w:val="bottom"/>
            <w:shd w:val="clear" w:color="auto" w:fill="004483"/>
          </w:tcPr>
          <w:p>
            <w:pPr>
              <w:spacing w:after="0"/>
              <w:rPr>
                <w:sz w:val="19"/>
                <w:szCs w:val="19"/>
                <w:color w:val="auto"/>
              </w:rPr>
            </w:pPr>
          </w:p>
        </w:tc>
        <w:tc>
          <w:tcPr>
            <w:tcW w:w="100" w:type="dxa"/>
            <w:vAlign w:val="bottom"/>
            <w:shd w:val="clear" w:color="auto" w:fill="004483"/>
          </w:tcPr>
          <w:p>
            <w:pPr>
              <w:spacing w:after="0"/>
              <w:rPr>
                <w:sz w:val="19"/>
                <w:szCs w:val="19"/>
                <w:color w:val="auto"/>
              </w:rPr>
            </w:pPr>
          </w:p>
        </w:tc>
        <w:tc>
          <w:tcPr>
            <w:tcW w:w="1280" w:type="dxa"/>
            <w:vAlign w:val="bottom"/>
            <w:shd w:val="clear" w:color="auto" w:fill="004483"/>
          </w:tcPr>
          <w:p>
            <w:pPr>
              <w:jc w:val="right"/>
              <w:ind w:right="9"/>
              <w:spacing w:after="0"/>
              <w:rPr>
                <w:sz w:val="20"/>
                <w:szCs w:val="20"/>
                <w:color w:val="auto"/>
              </w:rPr>
            </w:pPr>
            <w:r>
              <w:rPr>
                <w:rFonts w:ascii="Arial" w:cs="Arial" w:eastAsia="Arial" w:hAnsi="Arial"/>
                <w:sz w:val="13"/>
                <w:szCs w:val="13"/>
                <w:b w:val="1"/>
                <w:bCs w:val="1"/>
                <w:color w:val="FFFFFF"/>
                <w:w w:val="91"/>
              </w:rPr>
              <w:t>Options Outstanding</w:t>
            </w:r>
          </w:p>
        </w:tc>
        <w:tc>
          <w:tcPr>
            <w:tcW w:w="340" w:type="dxa"/>
            <w:vAlign w:val="bottom"/>
            <w:shd w:val="clear" w:color="auto" w:fill="004483"/>
          </w:tcPr>
          <w:p>
            <w:pPr>
              <w:spacing w:after="0"/>
              <w:rPr>
                <w:sz w:val="19"/>
                <w:szCs w:val="19"/>
                <w:color w:val="auto"/>
              </w:rPr>
            </w:pPr>
          </w:p>
        </w:tc>
        <w:tc>
          <w:tcPr>
            <w:tcW w:w="860" w:type="dxa"/>
            <w:vAlign w:val="bottom"/>
            <w:shd w:val="clear" w:color="auto" w:fill="004483"/>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3"/>
            <w:shd w:val="clear" w:color="auto" w:fill="004483"/>
          </w:tcPr>
          <w:p>
            <w:pPr>
              <w:jc w:val="right"/>
              <w:spacing w:after="0"/>
              <w:rPr>
                <w:sz w:val="20"/>
                <w:szCs w:val="20"/>
                <w:color w:val="auto"/>
              </w:rPr>
            </w:pPr>
            <w:r>
              <w:rPr>
                <w:rFonts w:ascii="Arial" w:cs="Arial" w:eastAsia="Arial" w:hAnsi="Arial"/>
                <w:sz w:val="13"/>
                <w:szCs w:val="13"/>
                <w:b w:val="1"/>
                <w:bCs w:val="1"/>
                <w:color w:val="FFFFFF"/>
              </w:rPr>
              <w:t>Options Exercisable</w:t>
            </w:r>
          </w:p>
        </w:tc>
        <w:tc>
          <w:tcPr>
            <w:tcW w:w="580" w:type="dxa"/>
            <w:vAlign w:val="bottom"/>
            <w:shd w:val="clear" w:color="auto" w:fill="004483"/>
          </w:tcPr>
          <w:p>
            <w:pPr>
              <w:spacing w:after="0"/>
              <w:rPr>
                <w:sz w:val="19"/>
                <w:szCs w:val="19"/>
                <w:color w:val="auto"/>
              </w:rPr>
            </w:pPr>
          </w:p>
        </w:tc>
        <w:tc>
          <w:tcPr>
            <w:tcW w:w="100" w:type="dxa"/>
            <w:vAlign w:val="bottom"/>
            <w:shd w:val="clear" w:color="auto" w:fill="004483"/>
          </w:tcPr>
          <w:p>
            <w:pPr>
              <w:spacing w:after="0"/>
              <w:rPr>
                <w:sz w:val="19"/>
                <w:szCs w:val="19"/>
                <w:color w:val="auto"/>
              </w:rPr>
            </w:pPr>
          </w:p>
        </w:tc>
      </w:tr>
      <w:tr>
        <w:trPr>
          <w:trHeight w:val="130"/>
        </w:trPr>
        <w:tc>
          <w:tcPr>
            <w:tcW w:w="48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right"/>
              <w:ind w:right="89"/>
              <w:spacing w:after="0" w:line="131" w:lineRule="exact"/>
              <w:rPr>
                <w:sz w:val="20"/>
                <w:szCs w:val="20"/>
                <w:color w:val="auto"/>
              </w:rPr>
            </w:pPr>
            <w:r>
              <w:rPr>
                <w:rFonts w:ascii="Arial" w:cs="Arial" w:eastAsia="Arial" w:hAnsi="Arial"/>
                <w:sz w:val="13"/>
                <w:szCs w:val="13"/>
                <w:b w:val="1"/>
                <w:bCs w:val="1"/>
                <w:color w:val="auto"/>
              </w:rPr>
              <w:t>Weighted-</w:t>
            </w: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48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right"/>
              <w:ind w:right="89"/>
              <w:spacing w:after="0" w:line="135" w:lineRule="exact"/>
              <w:rPr>
                <w:sz w:val="20"/>
                <w:szCs w:val="20"/>
                <w:color w:val="auto"/>
              </w:rPr>
            </w:pPr>
            <w:r>
              <w:rPr>
                <w:rFonts w:ascii="Arial" w:cs="Arial" w:eastAsia="Arial" w:hAnsi="Arial"/>
                <w:sz w:val="13"/>
                <w:szCs w:val="13"/>
                <w:b w:val="1"/>
                <w:bCs w:val="1"/>
                <w:color w:val="auto"/>
              </w:rPr>
              <w:t>Average</w:t>
            </w:r>
          </w:p>
        </w:tc>
        <w:tc>
          <w:tcPr>
            <w:tcW w:w="340" w:type="dxa"/>
            <w:vAlign w:val="bottom"/>
          </w:tcPr>
          <w:p>
            <w:pPr>
              <w:spacing w:after="0"/>
              <w:rPr>
                <w:sz w:val="11"/>
                <w:szCs w:val="11"/>
                <w:color w:val="auto"/>
              </w:rPr>
            </w:pPr>
          </w:p>
        </w:tc>
        <w:tc>
          <w:tcPr>
            <w:tcW w:w="860" w:type="dxa"/>
            <w:vAlign w:val="bottom"/>
          </w:tcPr>
          <w:p>
            <w:pPr>
              <w:jc w:val="right"/>
              <w:ind w:right="47"/>
              <w:spacing w:after="0" w:line="135" w:lineRule="exact"/>
              <w:rPr>
                <w:sz w:val="20"/>
                <w:szCs w:val="20"/>
                <w:color w:val="auto"/>
              </w:rPr>
            </w:pPr>
            <w:r>
              <w:rPr>
                <w:rFonts w:ascii="Arial" w:cs="Arial" w:eastAsia="Arial" w:hAnsi="Arial"/>
                <w:sz w:val="13"/>
                <w:szCs w:val="13"/>
                <w:b w:val="1"/>
                <w:bCs w:val="1"/>
                <w:color w:val="auto"/>
              </w:rPr>
              <w:t>Weighted-</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w w:val="85"/>
              </w:rPr>
              <w:t>Weighted-</w:t>
            </w:r>
          </w:p>
        </w:tc>
      </w:tr>
      <w:tr>
        <w:trPr>
          <w:trHeight w:val="135"/>
        </w:trPr>
        <w:tc>
          <w:tcPr>
            <w:tcW w:w="48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10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Number of</w:t>
            </w:r>
          </w:p>
        </w:tc>
        <w:tc>
          <w:tcPr>
            <w:tcW w:w="1280" w:type="dxa"/>
            <w:vAlign w:val="bottom"/>
          </w:tcPr>
          <w:p>
            <w:pPr>
              <w:jc w:val="right"/>
              <w:ind w:right="89"/>
              <w:spacing w:after="0" w:line="135" w:lineRule="exact"/>
              <w:rPr>
                <w:sz w:val="20"/>
                <w:szCs w:val="20"/>
                <w:color w:val="auto"/>
              </w:rPr>
            </w:pPr>
            <w:r>
              <w:rPr>
                <w:rFonts w:ascii="Arial" w:cs="Arial" w:eastAsia="Arial" w:hAnsi="Arial"/>
                <w:sz w:val="13"/>
                <w:szCs w:val="13"/>
                <w:b w:val="1"/>
                <w:bCs w:val="1"/>
                <w:color w:val="auto"/>
              </w:rPr>
              <w:t>Remaining</w:t>
            </w:r>
          </w:p>
        </w:tc>
        <w:tc>
          <w:tcPr>
            <w:tcW w:w="340" w:type="dxa"/>
            <w:vAlign w:val="bottom"/>
          </w:tcPr>
          <w:p>
            <w:pPr>
              <w:spacing w:after="0"/>
              <w:rPr>
                <w:sz w:val="11"/>
                <w:szCs w:val="11"/>
                <w:color w:val="auto"/>
              </w:rPr>
            </w:pPr>
          </w:p>
        </w:tc>
        <w:tc>
          <w:tcPr>
            <w:tcW w:w="860" w:type="dxa"/>
            <w:vAlign w:val="bottom"/>
          </w:tcPr>
          <w:p>
            <w:pPr>
              <w:jc w:val="right"/>
              <w:ind w:right="47"/>
              <w:spacing w:after="0" w:line="135" w:lineRule="exact"/>
              <w:rPr>
                <w:sz w:val="20"/>
                <w:szCs w:val="20"/>
                <w:color w:val="auto"/>
              </w:rPr>
            </w:pPr>
            <w:r>
              <w:rPr>
                <w:rFonts w:ascii="Arial" w:cs="Arial" w:eastAsia="Arial" w:hAnsi="Arial"/>
                <w:sz w:val="13"/>
                <w:szCs w:val="13"/>
                <w:b w:val="1"/>
                <w:bCs w:val="1"/>
                <w:color w:val="auto"/>
              </w:rPr>
              <w:t>Average</w:t>
            </w:r>
          </w:p>
        </w:tc>
        <w:tc>
          <w:tcPr>
            <w:tcW w:w="120" w:type="dxa"/>
            <w:vAlign w:val="bottom"/>
          </w:tcPr>
          <w:p>
            <w:pPr>
              <w:spacing w:after="0"/>
              <w:rPr>
                <w:sz w:val="11"/>
                <w:szCs w:val="11"/>
                <w:color w:val="auto"/>
              </w:rPr>
            </w:pPr>
          </w:p>
        </w:tc>
        <w:tc>
          <w:tcPr>
            <w:tcW w:w="11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Number of</w:t>
            </w:r>
          </w:p>
        </w:tc>
        <w:tc>
          <w:tcPr>
            <w:tcW w:w="56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Average</w:t>
            </w:r>
          </w:p>
        </w:tc>
      </w:tr>
      <w:tr>
        <w:trPr>
          <w:trHeight w:val="135"/>
        </w:trPr>
        <w:tc>
          <w:tcPr>
            <w:tcW w:w="48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10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Shares</w:t>
            </w:r>
          </w:p>
        </w:tc>
        <w:tc>
          <w:tcPr>
            <w:tcW w:w="1280" w:type="dxa"/>
            <w:vAlign w:val="bottom"/>
          </w:tcPr>
          <w:p>
            <w:pPr>
              <w:jc w:val="right"/>
              <w:ind w:right="89"/>
              <w:spacing w:after="0" w:line="135" w:lineRule="exact"/>
              <w:rPr>
                <w:sz w:val="20"/>
                <w:szCs w:val="20"/>
                <w:color w:val="auto"/>
              </w:rPr>
            </w:pPr>
            <w:r>
              <w:rPr>
                <w:rFonts w:ascii="Arial" w:cs="Arial" w:eastAsia="Arial" w:hAnsi="Arial"/>
                <w:sz w:val="13"/>
                <w:szCs w:val="13"/>
                <w:b w:val="1"/>
                <w:bCs w:val="1"/>
                <w:color w:val="auto"/>
              </w:rPr>
              <w:t>Contractual</w:t>
            </w:r>
          </w:p>
        </w:tc>
        <w:tc>
          <w:tcPr>
            <w:tcW w:w="340" w:type="dxa"/>
            <w:vAlign w:val="bottom"/>
          </w:tcPr>
          <w:p>
            <w:pPr>
              <w:spacing w:after="0"/>
              <w:rPr>
                <w:sz w:val="11"/>
                <w:szCs w:val="11"/>
                <w:color w:val="auto"/>
              </w:rPr>
            </w:pPr>
          </w:p>
        </w:tc>
        <w:tc>
          <w:tcPr>
            <w:tcW w:w="860" w:type="dxa"/>
            <w:vAlign w:val="bottom"/>
          </w:tcPr>
          <w:p>
            <w:pPr>
              <w:jc w:val="right"/>
              <w:ind w:right="47"/>
              <w:spacing w:after="0" w:line="135" w:lineRule="exact"/>
              <w:rPr>
                <w:sz w:val="20"/>
                <w:szCs w:val="20"/>
                <w:color w:val="auto"/>
              </w:rPr>
            </w:pPr>
            <w:r>
              <w:rPr>
                <w:rFonts w:ascii="Arial" w:cs="Arial" w:eastAsia="Arial" w:hAnsi="Arial"/>
                <w:sz w:val="13"/>
                <w:szCs w:val="13"/>
                <w:b w:val="1"/>
                <w:bCs w:val="1"/>
                <w:color w:val="auto"/>
              </w:rPr>
              <w:t>Exercise</w:t>
            </w:r>
          </w:p>
        </w:tc>
        <w:tc>
          <w:tcPr>
            <w:tcW w:w="120" w:type="dxa"/>
            <w:vAlign w:val="bottom"/>
          </w:tcPr>
          <w:p>
            <w:pPr>
              <w:spacing w:after="0"/>
              <w:rPr>
                <w:sz w:val="11"/>
                <w:szCs w:val="11"/>
                <w:color w:val="auto"/>
              </w:rPr>
            </w:pPr>
          </w:p>
        </w:tc>
        <w:tc>
          <w:tcPr>
            <w:tcW w:w="11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Shares</w:t>
            </w:r>
          </w:p>
        </w:tc>
        <w:tc>
          <w:tcPr>
            <w:tcW w:w="56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Exercise</w:t>
            </w:r>
          </w:p>
        </w:tc>
      </w:tr>
      <w:tr>
        <w:trPr>
          <w:trHeight w:val="153"/>
        </w:trPr>
        <w:tc>
          <w:tcPr>
            <w:tcW w:w="5180" w:type="dxa"/>
            <w:vAlign w:val="bottom"/>
            <w:gridSpan w:val="2"/>
          </w:tcPr>
          <w:p>
            <w:pPr>
              <w:spacing w:after="0"/>
              <w:rPr>
                <w:sz w:val="20"/>
                <w:szCs w:val="20"/>
                <w:color w:val="auto"/>
              </w:rPr>
            </w:pPr>
            <w:r>
              <w:rPr>
                <w:rFonts w:ascii="Arial" w:cs="Arial" w:eastAsia="Arial" w:hAnsi="Arial"/>
                <w:sz w:val="13"/>
                <w:szCs w:val="13"/>
                <w:b w:val="1"/>
                <w:bCs w:val="1"/>
                <w:color w:val="auto"/>
              </w:rPr>
              <w:t>Range of Exercise Prices</w:t>
            </w:r>
          </w:p>
        </w:tc>
        <w:tc>
          <w:tcPr>
            <w:tcW w:w="11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Outstanding</w:t>
            </w:r>
          </w:p>
        </w:tc>
        <w:tc>
          <w:tcPr>
            <w:tcW w:w="1280" w:type="dxa"/>
            <w:vAlign w:val="bottom"/>
          </w:tcPr>
          <w:p>
            <w:pPr>
              <w:jc w:val="right"/>
              <w:ind w:right="89"/>
              <w:spacing w:after="0"/>
              <w:rPr>
                <w:sz w:val="20"/>
                <w:szCs w:val="20"/>
                <w:color w:val="auto"/>
              </w:rPr>
            </w:pPr>
            <w:r>
              <w:rPr>
                <w:rFonts w:ascii="Arial" w:cs="Arial" w:eastAsia="Arial" w:hAnsi="Arial"/>
                <w:sz w:val="13"/>
                <w:szCs w:val="13"/>
                <w:b w:val="1"/>
                <w:bCs w:val="1"/>
                <w:color w:val="auto"/>
              </w:rPr>
              <w:t>Life (in years)</w:t>
            </w:r>
          </w:p>
        </w:tc>
        <w:tc>
          <w:tcPr>
            <w:tcW w:w="340" w:type="dxa"/>
            <w:vAlign w:val="bottom"/>
          </w:tcPr>
          <w:p>
            <w:pPr>
              <w:spacing w:after="0"/>
              <w:rPr>
                <w:sz w:val="13"/>
                <w:szCs w:val="13"/>
                <w:color w:val="auto"/>
              </w:rPr>
            </w:pPr>
          </w:p>
        </w:tc>
        <w:tc>
          <w:tcPr>
            <w:tcW w:w="860" w:type="dxa"/>
            <w:vAlign w:val="bottom"/>
          </w:tcPr>
          <w:p>
            <w:pPr>
              <w:jc w:val="right"/>
              <w:ind w:right="47"/>
              <w:spacing w:after="0"/>
              <w:rPr>
                <w:sz w:val="20"/>
                <w:szCs w:val="20"/>
                <w:color w:val="auto"/>
              </w:rPr>
            </w:pPr>
            <w:r>
              <w:rPr>
                <w:rFonts w:ascii="Arial" w:cs="Arial" w:eastAsia="Arial" w:hAnsi="Arial"/>
                <w:sz w:val="13"/>
                <w:szCs w:val="13"/>
                <w:b w:val="1"/>
                <w:bCs w:val="1"/>
                <w:color w:val="auto"/>
              </w:rPr>
              <w:t>Price</w:t>
            </w:r>
          </w:p>
        </w:tc>
        <w:tc>
          <w:tcPr>
            <w:tcW w:w="1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Outstanding</w:t>
            </w:r>
          </w:p>
        </w:tc>
        <w:tc>
          <w:tcPr>
            <w:tcW w:w="56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Price</w:t>
            </w:r>
          </w:p>
        </w:tc>
      </w:tr>
      <w:tr>
        <w:trPr>
          <w:trHeight w:val="207"/>
        </w:trPr>
        <w:tc>
          <w:tcPr>
            <w:tcW w:w="480" w:type="dxa"/>
            <w:vAlign w:val="bottom"/>
            <w:tcBorders>
              <w:top w:val="single" w:sz="8" w:color="004483"/>
              <w:bottom w:val="single" w:sz="8" w:color="A6A6A6"/>
            </w:tcBorders>
          </w:tcPr>
          <w:p>
            <w:pPr>
              <w:spacing w:after="0"/>
              <w:rPr>
                <w:sz w:val="20"/>
                <w:szCs w:val="20"/>
                <w:color w:val="auto"/>
              </w:rPr>
            </w:pPr>
            <w:r>
              <w:rPr>
                <w:rFonts w:ascii="Arial" w:cs="Arial" w:eastAsia="Arial" w:hAnsi="Arial"/>
                <w:sz w:val="16"/>
                <w:szCs w:val="16"/>
                <w:color w:val="004483"/>
                <w:w w:val="93"/>
              </w:rPr>
              <w:t>$23.17</w:t>
            </w:r>
          </w:p>
        </w:tc>
        <w:tc>
          <w:tcPr>
            <w:tcW w:w="470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6"/>
                <w:szCs w:val="16"/>
                <w:color w:val="004483"/>
              </w:rPr>
              <w:t>- $29.84</w:t>
            </w:r>
          </w:p>
        </w:tc>
        <w:tc>
          <w:tcPr>
            <w:tcW w:w="100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39,165</w:t>
            </w:r>
          </w:p>
        </w:tc>
        <w:tc>
          <w:tcPr>
            <w:tcW w:w="100" w:type="dxa"/>
            <w:vAlign w:val="bottom"/>
          </w:tcPr>
          <w:p>
            <w:pPr>
              <w:spacing w:after="0"/>
              <w:rPr>
                <w:sz w:val="17"/>
                <w:szCs w:val="17"/>
                <w:color w:val="auto"/>
              </w:rPr>
            </w:pPr>
          </w:p>
        </w:tc>
        <w:tc>
          <w:tcPr>
            <w:tcW w:w="1280" w:type="dxa"/>
            <w:vAlign w:val="bottom"/>
            <w:tcBorders>
              <w:top w:val="single" w:sz="8" w:color="004483"/>
              <w:bottom w:val="single" w:sz="8" w:color="A6A6A6"/>
            </w:tcBorders>
          </w:tcPr>
          <w:p>
            <w:pPr>
              <w:jc w:val="right"/>
              <w:ind w:right="89"/>
              <w:spacing w:after="0"/>
              <w:rPr>
                <w:sz w:val="20"/>
                <w:szCs w:val="20"/>
                <w:color w:val="auto"/>
              </w:rPr>
            </w:pPr>
            <w:r>
              <w:rPr>
                <w:rFonts w:ascii="Arial" w:cs="Arial" w:eastAsia="Arial" w:hAnsi="Arial"/>
                <w:sz w:val="16"/>
                <w:szCs w:val="16"/>
                <w:color w:val="auto"/>
              </w:rPr>
              <w:t>0.84</w:t>
            </w:r>
          </w:p>
        </w:tc>
        <w:tc>
          <w:tcPr>
            <w:tcW w:w="340" w:type="dxa"/>
            <w:vAlign w:val="bottom"/>
            <w:tcBorders>
              <w:top w:val="single" w:sz="8" w:color="004483"/>
              <w:bottom w:val="single" w:sz="8" w:color="A6A6A6"/>
            </w:tcBorders>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004483"/>
              <w:bottom w:val="single" w:sz="8" w:color="A6A6A6"/>
            </w:tcBorders>
          </w:tcPr>
          <w:p>
            <w:pPr>
              <w:jc w:val="right"/>
              <w:ind w:right="47"/>
              <w:spacing w:after="0"/>
              <w:rPr>
                <w:sz w:val="20"/>
                <w:szCs w:val="20"/>
                <w:color w:val="auto"/>
              </w:rPr>
            </w:pPr>
            <w:r>
              <w:rPr>
                <w:rFonts w:ascii="Arial" w:cs="Arial" w:eastAsia="Arial" w:hAnsi="Arial"/>
                <w:sz w:val="16"/>
                <w:szCs w:val="16"/>
                <w:color w:val="auto"/>
              </w:rPr>
              <w:t>23.19</w:t>
            </w:r>
          </w:p>
        </w:tc>
        <w:tc>
          <w:tcPr>
            <w:tcW w:w="1120" w:type="dxa"/>
            <w:vAlign w:val="bottom"/>
            <w:tcBorders>
              <w:top w:val="single" w:sz="8" w:color="004483"/>
              <w:bottom w:val="single" w:sz="8" w:color="A6A6A6"/>
            </w:tcBorders>
            <w:gridSpan w:val="2"/>
          </w:tcPr>
          <w:p>
            <w:pPr>
              <w:jc w:val="right"/>
              <w:spacing w:after="0"/>
              <w:rPr>
                <w:sz w:val="20"/>
                <w:szCs w:val="20"/>
                <w:color w:val="auto"/>
              </w:rPr>
            </w:pPr>
            <w:r>
              <w:rPr>
                <w:rFonts w:ascii="Arial" w:cs="Arial" w:eastAsia="Arial" w:hAnsi="Arial"/>
                <w:sz w:val="16"/>
                <w:szCs w:val="16"/>
                <w:color w:val="auto"/>
              </w:rPr>
              <w:t>39,165</w:t>
            </w:r>
          </w:p>
        </w:tc>
        <w:tc>
          <w:tcPr>
            <w:tcW w:w="120" w:type="dxa"/>
            <w:vAlign w:val="bottom"/>
          </w:tcPr>
          <w:p>
            <w:pPr>
              <w:spacing w:after="0"/>
              <w:rPr>
                <w:sz w:val="17"/>
                <w:szCs w:val="17"/>
                <w:color w:val="auto"/>
              </w:rPr>
            </w:pPr>
          </w:p>
        </w:tc>
        <w:tc>
          <w:tcPr>
            <w:tcW w:w="560" w:type="dxa"/>
            <w:vAlign w:val="bottom"/>
            <w:tcBorders>
              <w:top w:val="single" w:sz="8" w:color="004483"/>
              <w:bottom w:val="single" w:sz="8" w:color="A6A6A6"/>
            </w:tcBorders>
          </w:tcPr>
          <w:p>
            <w:pPr>
              <w:jc w:val="right"/>
              <w:ind w:right="279"/>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23.19</w:t>
            </w:r>
          </w:p>
        </w:tc>
        <w:tc>
          <w:tcPr>
            <w:tcW w:w="100" w:type="dxa"/>
            <w:vAlign w:val="bottom"/>
          </w:tcPr>
          <w:p>
            <w:pPr>
              <w:spacing w:after="0"/>
              <w:rPr>
                <w:sz w:val="17"/>
                <w:szCs w:val="17"/>
                <w:color w:val="auto"/>
              </w:rPr>
            </w:pPr>
          </w:p>
        </w:tc>
      </w:tr>
      <w:tr>
        <w:trPr>
          <w:trHeight w:val="210"/>
        </w:trPr>
        <w:tc>
          <w:tcPr>
            <w:tcW w:w="480" w:type="dxa"/>
            <w:vAlign w:val="bottom"/>
            <w:tcBorders>
              <w:bottom w:val="single" w:sz="8" w:color="A6A6A6"/>
            </w:tcBorders>
          </w:tcPr>
          <w:p>
            <w:pPr>
              <w:spacing w:after="0"/>
              <w:rPr>
                <w:sz w:val="20"/>
                <w:szCs w:val="20"/>
                <w:color w:val="auto"/>
              </w:rPr>
            </w:pPr>
            <w:r>
              <w:rPr>
                <w:rFonts w:ascii="Arial" w:cs="Arial" w:eastAsia="Arial" w:hAnsi="Arial"/>
                <w:sz w:val="16"/>
                <w:szCs w:val="16"/>
                <w:color w:val="004483"/>
                <w:w w:val="93"/>
              </w:rPr>
              <w:t>$33.43</w:t>
            </w:r>
          </w:p>
        </w:tc>
        <w:tc>
          <w:tcPr>
            <w:tcW w:w="47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 $37.34</w:t>
            </w: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42,956</w:t>
            </w:r>
          </w:p>
        </w:tc>
        <w:tc>
          <w:tcPr>
            <w:tcW w:w="100" w:type="dxa"/>
            <w:vAlign w:val="bottom"/>
          </w:tcPr>
          <w:p>
            <w:pPr>
              <w:spacing w:after="0"/>
              <w:rPr>
                <w:sz w:val="18"/>
                <w:szCs w:val="18"/>
                <w:color w:val="auto"/>
              </w:rPr>
            </w:pPr>
          </w:p>
        </w:tc>
        <w:tc>
          <w:tcPr>
            <w:tcW w:w="1280" w:type="dxa"/>
            <w:vAlign w:val="bottom"/>
            <w:tcBorders>
              <w:bottom w:val="single" w:sz="8" w:color="A6A6A6"/>
            </w:tcBorders>
          </w:tcPr>
          <w:p>
            <w:pPr>
              <w:jc w:val="right"/>
              <w:ind w:right="89"/>
              <w:spacing w:after="0"/>
              <w:rPr>
                <w:sz w:val="20"/>
                <w:szCs w:val="20"/>
                <w:color w:val="auto"/>
              </w:rPr>
            </w:pPr>
            <w:r>
              <w:rPr>
                <w:rFonts w:ascii="Arial" w:cs="Arial" w:eastAsia="Arial" w:hAnsi="Arial"/>
                <w:sz w:val="16"/>
                <w:szCs w:val="16"/>
                <w:color w:val="auto"/>
              </w:rPr>
              <w:t>1.70</w:t>
            </w:r>
          </w:p>
        </w:tc>
        <w:tc>
          <w:tcPr>
            <w:tcW w:w="340" w:type="dxa"/>
            <w:vAlign w:val="bottom"/>
            <w:tcBorders>
              <w:bottom w:val="single" w:sz="8" w:color="A6A6A6"/>
            </w:tcBorders>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6A6A6"/>
            </w:tcBorders>
          </w:tcPr>
          <w:p>
            <w:pPr>
              <w:jc w:val="right"/>
              <w:ind w:right="47"/>
              <w:spacing w:after="0"/>
              <w:rPr>
                <w:sz w:val="20"/>
                <w:szCs w:val="20"/>
                <w:color w:val="auto"/>
              </w:rPr>
            </w:pPr>
            <w:r>
              <w:rPr>
                <w:rFonts w:ascii="Arial" w:cs="Arial" w:eastAsia="Arial" w:hAnsi="Arial"/>
                <w:sz w:val="16"/>
                <w:szCs w:val="16"/>
                <w:color w:val="auto"/>
              </w:rPr>
              <w:t>34.14</w:t>
            </w:r>
          </w:p>
        </w:tc>
        <w:tc>
          <w:tcPr>
            <w:tcW w:w="112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42,956</w:t>
            </w:r>
          </w:p>
        </w:tc>
        <w:tc>
          <w:tcPr>
            <w:tcW w:w="120" w:type="dxa"/>
            <w:vAlign w:val="bottom"/>
          </w:tcPr>
          <w:p>
            <w:pPr>
              <w:spacing w:after="0"/>
              <w:rPr>
                <w:sz w:val="18"/>
                <w:szCs w:val="18"/>
                <w:color w:val="auto"/>
              </w:rPr>
            </w:pPr>
          </w:p>
        </w:tc>
        <w:tc>
          <w:tcPr>
            <w:tcW w:w="560" w:type="dxa"/>
            <w:vAlign w:val="bottom"/>
            <w:tcBorders>
              <w:bottom w:val="single" w:sz="8" w:color="A6A6A6"/>
            </w:tcBorders>
          </w:tcPr>
          <w:p>
            <w:pPr>
              <w:jc w:val="right"/>
              <w:ind w:right="27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34.14</w:t>
            </w:r>
          </w:p>
        </w:tc>
        <w:tc>
          <w:tcPr>
            <w:tcW w:w="100" w:type="dxa"/>
            <w:vAlign w:val="bottom"/>
          </w:tcPr>
          <w:p>
            <w:pPr>
              <w:spacing w:after="0"/>
              <w:rPr>
                <w:sz w:val="18"/>
                <w:szCs w:val="18"/>
                <w:color w:val="auto"/>
              </w:rPr>
            </w:pPr>
          </w:p>
        </w:tc>
      </w:tr>
      <w:tr>
        <w:trPr>
          <w:trHeight w:val="209"/>
        </w:trPr>
        <w:tc>
          <w:tcPr>
            <w:tcW w:w="480" w:type="dxa"/>
            <w:vAlign w:val="bottom"/>
            <w:tcBorders>
              <w:bottom w:val="single" w:sz="8" w:color="A6A6A6"/>
            </w:tcBorders>
          </w:tcPr>
          <w:p>
            <w:pPr>
              <w:spacing w:after="0"/>
              <w:rPr>
                <w:sz w:val="20"/>
                <w:szCs w:val="20"/>
                <w:color w:val="auto"/>
              </w:rPr>
            </w:pPr>
            <w:r>
              <w:rPr>
                <w:rFonts w:ascii="Arial" w:cs="Arial" w:eastAsia="Arial" w:hAnsi="Arial"/>
                <w:sz w:val="16"/>
                <w:szCs w:val="16"/>
                <w:color w:val="004483"/>
                <w:w w:val="93"/>
              </w:rPr>
              <w:t>$53.22</w:t>
            </w:r>
          </w:p>
        </w:tc>
        <w:tc>
          <w:tcPr>
            <w:tcW w:w="47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 $77.67</w:t>
            </w: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446,709</w:t>
            </w:r>
          </w:p>
        </w:tc>
        <w:tc>
          <w:tcPr>
            <w:tcW w:w="100" w:type="dxa"/>
            <w:vAlign w:val="bottom"/>
          </w:tcPr>
          <w:p>
            <w:pPr>
              <w:spacing w:after="0"/>
              <w:rPr>
                <w:sz w:val="18"/>
                <w:szCs w:val="18"/>
                <w:color w:val="auto"/>
              </w:rPr>
            </w:pPr>
          </w:p>
        </w:tc>
        <w:tc>
          <w:tcPr>
            <w:tcW w:w="1280" w:type="dxa"/>
            <w:vAlign w:val="bottom"/>
            <w:tcBorders>
              <w:bottom w:val="single" w:sz="8" w:color="A6A6A6"/>
            </w:tcBorders>
          </w:tcPr>
          <w:p>
            <w:pPr>
              <w:jc w:val="right"/>
              <w:ind w:right="89"/>
              <w:spacing w:after="0"/>
              <w:rPr>
                <w:sz w:val="20"/>
                <w:szCs w:val="20"/>
                <w:color w:val="auto"/>
              </w:rPr>
            </w:pPr>
            <w:r>
              <w:rPr>
                <w:rFonts w:ascii="Arial" w:cs="Arial" w:eastAsia="Arial" w:hAnsi="Arial"/>
                <w:sz w:val="16"/>
                <w:szCs w:val="16"/>
                <w:color w:val="auto"/>
              </w:rPr>
              <w:t>6.72</w:t>
            </w:r>
          </w:p>
        </w:tc>
        <w:tc>
          <w:tcPr>
            <w:tcW w:w="340" w:type="dxa"/>
            <w:vAlign w:val="bottom"/>
            <w:tcBorders>
              <w:bottom w:val="single" w:sz="8" w:color="A6A6A6"/>
            </w:tcBorders>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6A6A6"/>
            </w:tcBorders>
          </w:tcPr>
          <w:p>
            <w:pPr>
              <w:jc w:val="right"/>
              <w:ind w:right="47"/>
              <w:spacing w:after="0"/>
              <w:rPr>
                <w:sz w:val="20"/>
                <w:szCs w:val="20"/>
                <w:color w:val="auto"/>
              </w:rPr>
            </w:pPr>
            <w:r>
              <w:rPr>
                <w:rFonts w:ascii="Arial" w:cs="Arial" w:eastAsia="Arial" w:hAnsi="Arial"/>
                <w:sz w:val="16"/>
                <w:szCs w:val="16"/>
                <w:color w:val="auto"/>
              </w:rPr>
              <w:t>67.55</w:t>
            </w:r>
          </w:p>
        </w:tc>
        <w:tc>
          <w:tcPr>
            <w:tcW w:w="112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255,357</w:t>
            </w:r>
          </w:p>
        </w:tc>
        <w:tc>
          <w:tcPr>
            <w:tcW w:w="120" w:type="dxa"/>
            <w:vAlign w:val="bottom"/>
          </w:tcPr>
          <w:p>
            <w:pPr>
              <w:spacing w:after="0"/>
              <w:rPr>
                <w:sz w:val="18"/>
                <w:szCs w:val="18"/>
                <w:color w:val="auto"/>
              </w:rPr>
            </w:pPr>
          </w:p>
        </w:tc>
        <w:tc>
          <w:tcPr>
            <w:tcW w:w="560" w:type="dxa"/>
            <w:vAlign w:val="bottom"/>
            <w:tcBorders>
              <w:bottom w:val="single" w:sz="8" w:color="A6A6A6"/>
            </w:tcBorders>
          </w:tcPr>
          <w:p>
            <w:pPr>
              <w:jc w:val="right"/>
              <w:ind w:right="27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72.53</w:t>
            </w:r>
          </w:p>
        </w:tc>
        <w:tc>
          <w:tcPr>
            <w:tcW w:w="100" w:type="dxa"/>
            <w:vAlign w:val="bottom"/>
          </w:tcPr>
          <w:p>
            <w:pPr>
              <w:spacing w:after="0"/>
              <w:rPr>
                <w:sz w:val="18"/>
                <w:szCs w:val="18"/>
                <w:color w:val="auto"/>
              </w:rPr>
            </w:pPr>
          </w:p>
        </w:tc>
      </w:tr>
      <w:tr>
        <w:trPr>
          <w:trHeight w:val="210"/>
        </w:trPr>
        <w:tc>
          <w:tcPr>
            <w:tcW w:w="480" w:type="dxa"/>
            <w:vAlign w:val="bottom"/>
          </w:tcPr>
          <w:p>
            <w:pPr>
              <w:spacing w:after="0"/>
              <w:rPr>
                <w:sz w:val="20"/>
                <w:szCs w:val="20"/>
                <w:color w:val="auto"/>
              </w:rPr>
            </w:pPr>
            <w:r>
              <w:rPr>
                <w:rFonts w:ascii="Arial" w:cs="Arial" w:eastAsia="Arial" w:hAnsi="Arial"/>
                <w:sz w:val="16"/>
                <w:szCs w:val="16"/>
                <w:color w:val="004483"/>
                <w:w w:val="93"/>
              </w:rPr>
              <w:t>$79.73</w:t>
            </w:r>
          </w:p>
        </w:tc>
        <w:tc>
          <w:tcPr>
            <w:tcW w:w="4700" w:type="dxa"/>
            <w:vAlign w:val="bottom"/>
          </w:tcPr>
          <w:p>
            <w:pPr>
              <w:ind w:left="20"/>
              <w:spacing w:after="0"/>
              <w:rPr>
                <w:sz w:val="20"/>
                <w:szCs w:val="20"/>
                <w:color w:val="auto"/>
              </w:rPr>
            </w:pPr>
            <w:r>
              <w:rPr>
                <w:rFonts w:ascii="Arial" w:cs="Arial" w:eastAsia="Arial" w:hAnsi="Arial"/>
                <w:sz w:val="16"/>
                <w:szCs w:val="16"/>
                <w:color w:val="004483"/>
              </w:rPr>
              <w:t>- $106.24</w:t>
            </w:r>
          </w:p>
        </w:tc>
        <w:tc>
          <w:tcPr>
            <w:tcW w:w="1000" w:type="dxa"/>
            <w:vAlign w:val="bottom"/>
          </w:tcPr>
          <w:p>
            <w:pPr>
              <w:jc w:val="right"/>
              <w:spacing w:after="0"/>
              <w:rPr>
                <w:sz w:val="20"/>
                <w:szCs w:val="20"/>
                <w:color w:val="auto"/>
              </w:rPr>
            </w:pPr>
            <w:r>
              <w:rPr>
                <w:rFonts w:ascii="Arial" w:cs="Arial" w:eastAsia="Arial" w:hAnsi="Arial"/>
                <w:sz w:val="16"/>
                <w:szCs w:val="16"/>
                <w:color w:val="auto"/>
              </w:rPr>
              <w:t>756,594</w:t>
            </w:r>
          </w:p>
        </w:tc>
        <w:tc>
          <w:tcPr>
            <w:tcW w:w="100" w:type="dxa"/>
            <w:vAlign w:val="bottom"/>
          </w:tcPr>
          <w:p>
            <w:pPr>
              <w:spacing w:after="0"/>
              <w:rPr>
                <w:sz w:val="18"/>
                <w:szCs w:val="18"/>
                <w:color w:val="auto"/>
              </w:rPr>
            </w:pPr>
          </w:p>
        </w:tc>
        <w:tc>
          <w:tcPr>
            <w:tcW w:w="1280" w:type="dxa"/>
            <w:vAlign w:val="bottom"/>
          </w:tcPr>
          <w:p>
            <w:pPr>
              <w:jc w:val="right"/>
              <w:ind w:right="89"/>
              <w:spacing w:after="0"/>
              <w:rPr>
                <w:sz w:val="20"/>
                <w:szCs w:val="20"/>
                <w:color w:val="auto"/>
              </w:rPr>
            </w:pPr>
            <w:r>
              <w:rPr>
                <w:rFonts w:ascii="Arial" w:cs="Arial" w:eastAsia="Arial" w:hAnsi="Arial"/>
                <w:sz w:val="16"/>
                <w:szCs w:val="16"/>
                <w:color w:val="auto"/>
              </w:rPr>
              <w:t>6.19</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7"/>
              <w:spacing w:after="0"/>
              <w:rPr>
                <w:sz w:val="20"/>
                <w:szCs w:val="20"/>
                <w:color w:val="auto"/>
              </w:rPr>
            </w:pPr>
            <w:r>
              <w:rPr>
                <w:rFonts w:ascii="Arial" w:cs="Arial" w:eastAsia="Arial" w:hAnsi="Arial"/>
                <w:sz w:val="16"/>
                <w:szCs w:val="16"/>
                <w:color w:val="auto"/>
              </w:rPr>
              <w:t>91.49</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535,686</w:t>
            </w:r>
          </w:p>
        </w:tc>
        <w:tc>
          <w:tcPr>
            <w:tcW w:w="120" w:type="dxa"/>
            <w:vAlign w:val="bottom"/>
          </w:tcPr>
          <w:p>
            <w:pPr>
              <w:spacing w:after="0"/>
              <w:rPr>
                <w:sz w:val="18"/>
                <w:szCs w:val="18"/>
                <w:color w:val="auto"/>
              </w:rPr>
            </w:pPr>
          </w:p>
        </w:tc>
        <w:tc>
          <w:tcPr>
            <w:tcW w:w="5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89.34</w:t>
            </w:r>
          </w:p>
        </w:tc>
        <w:tc>
          <w:tcPr>
            <w:tcW w:w="100" w:type="dxa"/>
            <w:vAlign w:val="bottom"/>
          </w:tcPr>
          <w:p>
            <w:pPr>
              <w:spacing w:after="0"/>
              <w:rPr>
                <w:sz w:val="18"/>
                <w:szCs w:val="18"/>
                <w:color w:val="auto"/>
              </w:rPr>
            </w:pPr>
          </w:p>
        </w:tc>
      </w:tr>
      <w:tr>
        <w:trPr>
          <w:trHeight w:val="253"/>
        </w:trPr>
        <w:tc>
          <w:tcPr>
            <w:tcW w:w="480" w:type="dxa"/>
            <w:vAlign w:val="bottom"/>
            <w:tcBorders>
              <w:top w:val="single" w:sz="8" w:color="A6A6A6"/>
              <w:bottom w:val="single" w:sz="8" w:color="A6A6A6"/>
            </w:tcBorders>
          </w:tcPr>
          <w:p>
            <w:pPr>
              <w:spacing w:after="0"/>
              <w:rPr>
                <w:sz w:val="21"/>
                <w:szCs w:val="21"/>
                <w:color w:val="auto"/>
              </w:rPr>
            </w:pPr>
          </w:p>
        </w:tc>
        <w:tc>
          <w:tcPr>
            <w:tcW w:w="4700" w:type="dxa"/>
            <w:vAlign w:val="bottom"/>
            <w:tcBorders>
              <w:top w:val="single" w:sz="8" w:color="A6A6A6"/>
              <w:bottom w:val="single" w:sz="8" w:color="A6A6A6"/>
            </w:tcBorders>
          </w:tcPr>
          <w:p>
            <w:pPr>
              <w:spacing w:after="0"/>
              <w:rPr>
                <w:sz w:val="21"/>
                <w:szCs w:val="21"/>
                <w:color w:val="auto"/>
              </w:rPr>
            </w:pPr>
          </w:p>
        </w:tc>
        <w:tc>
          <w:tcPr>
            <w:tcW w:w="10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1,285,424</w:t>
            </w:r>
          </w:p>
        </w:tc>
        <w:tc>
          <w:tcPr>
            <w:tcW w:w="100" w:type="dxa"/>
            <w:vAlign w:val="bottom"/>
          </w:tcPr>
          <w:p>
            <w:pPr>
              <w:spacing w:after="0"/>
              <w:rPr>
                <w:sz w:val="21"/>
                <w:szCs w:val="21"/>
                <w:color w:val="auto"/>
              </w:rPr>
            </w:pPr>
          </w:p>
        </w:tc>
        <w:tc>
          <w:tcPr>
            <w:tcW w:w="1280" w:type="dxa"/>
            <w:vAlign w:val="bottom"/>
            <w:tcBorders>
              <w:top w:val="single" w:sz="8" w:color="A6A6A6"/>
              <w:bottom w:val="single" w:sz="8" w:color="A6A6A6"/>
            </w:tcBorders>
          </w:tcPr>
          <w:p>
            <w:pPr>
              <w:jc w:val="right"/>
              <w:ind w:right="89"/>
              <w:spacing w:after="0"/>
              <w:rPr>
                <w:sz w:val="20"/>
                <w:szCs w:val="20"/>
                <w:color w:val="auto"/>
              </w:rPr>
            </w:pPr>
            <w:r>
              <w:rPr>
                <w:rFonts w:ascii="Arial" w:cs="Arial" w:eastAsia="Arial" w:hAnsi="Arial"/>
                <w:sz w:val="16"/>
                <w:szCs w:val="16"/>
                <w:b w:val="1"/>
                <w:bCs w:val="1"/>
                <w:color w:val="auto"/>
              </w:rPr>
              <w:t>6.06</w:t>
            </w:r>
          </w:p>
        </w:tc>
        <w:tc>
          <w:tcPr>
            <w:tcW w:w="340" w:type="dxa"/>
            <w:vAlign w:val="bottom"/>
            <w:tcBorders>
              <w:top w:val="single" w:sz="8" w:color="A6A6A6"/>
              <w:bottom w:val="single" w:sz="8" w:color="A6A6A6"/>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6A6A6"/>
              <w:bottom w:val="single" w:sz="8" w:color="A6A6A6"/>
            </w:tcBorders>
          </w:tcPr>
          <w:p>
            <w:pPr>
              <w:jc w:val="right"/>
              <w:ind w:right="47"/>
              <w:spacing w:after="0"/>
              <w:rPr>
                <w:sz w:val="20"/>
                <w:szCs w:val="20"/>
                <w:color w:val="auto"/>
              </w:rPr>
            </w:pPr>
            <w:r>
              <w:rPr>
                <w:rFonts w:ascii="Arial" w:cs="Arial" w:eastAsia="Arial" w:hAnsi="Arial"/>
                <w:sz w:val="16"/>
                <w:szCs w:val="16"/>
                <w:b w:val="1"/>
                <w:bCs w:val="1"/>
                <w:color w:val="auto"/>
              </w:rPr>
              <w:t>79.17</w:t>
            </w:r>
          </w:p>
        </w:tc>
        <w:tc>
          <w:tcPr>
            <w:tcW w:w="120" w:type="dxa"/>
            <w:vAlign w:val="bottom"/>
            <w:tcBorders>
              <w:top w:val="single" w:sz="8" w:color="A6A6A6"/>
              <w:bottom w:val="single" w:sz="8" w:color="A6A6A6"/>
            </w:tcBorders>
          </w:tcPr>
          <w:p>
            <w:pPr>
              <w:spacing w:after="0"/>
              <w:rPr>
                <w:sz w:val="21"/>
                <w:szCs w:val="21"/>
                <w:color w:val="auto"/>
              </w:rPr>
            </w:pPr>
          </w:p>
        </w:tc>
        <w:tc>
          <w:tcPr>
            <w:tcW w:w="10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873,164</w:t>
            </w:r>
          </w:p>
        </w:tc>
        <w:tc>
          <w:tcPr>
            <w:tcW w:w="120" w:type="dxa"/>
            <w:vAlign w:val="bottom"/>
          </w:tcPr>
          <w:p>
            <w:pPr>
              <w:spacing w:after="0"/>
              <w:rPr>
                <w:sz w:val="21"/>
                <w:szCs w:val="21"/>
                <w:color w:val="auto"/>
              </w:rPr>
            </w:pPr>
          </w:p>
        </w:tc>
        <w:tc>
          <w:tcPr>
            <w:tcW w:w="560" w:type="dxa"/>
            <w:vAlign w:val="bottom"/>
            <w:tcBorders>
              <w:top w:val="single" w:sz="8" w:color="A6A6A6"/>
              <w:bottom w:val="single" w:sz="8" w:color="A6A6A6"/>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b w:val="1"/>
                <w:bCs w:val="1"/>
                <w:color w:val="auto"/>
              </w:rPr>
              <w:t>78.74</w:t>
            </w:r>
          </w:p>
        </w:tc>
        <w:tc>
          <w:tcPr>
            <w:tcW w:w="100" w:type="dxa"/>
            <w:vAlign w:val="bottom"/>
          </w:tcPr>
          <w:p>
            <w:pPr>
              <w:spacing w:after="0"/>
              <w:rPr>
                <w:sz w:val="21"/>
                <w:szCs w:val="21"/>
                <w:color w:val="auto"/>
              </w:rPr>
            </w:pPr>
          </w:p>
        </w:tc>
      </w:tr>
    </w:tbl>
    <w:p>
      <w:pPr>
        <w:spacing w:after="0" w:line="242"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At September 30, 2020, the aggregate intrinsic value for both of the outstanding and exercisable options was approximately $14.3 million and $9.5 million, respectively. The total intrinsic value of options exercised during the six months ended September 30, 2020 was approximately $2.3 million.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53"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In May 2020, the Compensation Committee approved the granting to certain officers and key employees an aggregate of 82,722 shares of performance vesting restricted stock that will be earned if certain performance conditions are satisfied (the Fiscal 2021 Employee Restricted Stock Performance Award). The performance criteria for the Fiscal 2021 Employee Restricted Stock Performance Award is based upon the achievement of certain levels of return on equity (as defined in the award agreement), ranging from 10.0% to 20.0%, for the fiscal year ending March 31, 2021. All restricted shares will be earned if the return on equity is 20.0% or greater, and the percentage of shares earned will be reduced proportionately to approximately 66.7% if the return on equity is 10.0%. If the Company does not achieve a return on equity of at least 10.0%, all awards will be forfeited. Following any such reduction, restrictions on the earned shares will lapse ratably over four years, with the initial fourth lapsing promptly following the determination date, and the remaining restrictions lapsing on March 31, 2022 through 2024. The Compensation Committee also approved the granting of 68,936 shares of time-vesting restricted stock to the same officers and key employees, which vest ratably over four years (the Fiscal 2021 Employee Restricted Stock Time-Vesting Award). The Fiscal 2020 Employee Restricted Stock Performance Award and the Fiscal 2021 Employee Restricted Stock Time-Vesting Award were valued at the closing price of the stock on the date of grant and are being expensed over a four-year period.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In August 2020, we granted 26,064 shares of restricted stock to members of the Board of Directors (the Board of Directors Fiscal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Award). Restrictions on these shares will lapse six months after the date of grant. The Board of Directors Fiscal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Award was valued at the closing price of the stock at the date of the grant and is being expensed over a six-month period.</w:t>
      </w:r>
    </w:p>
    <w:p>
      <w:pPr>
        <w:spacing w:after="0" w:line="13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fair value of restricted stock is based on the stock price at the date of grant. The following table summarizes the activity for nonvested restricted shares during the six months ended September 30, 2020:</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tcPr>
          <w:p>
            <w:pPr>
              <w:jc w:val="right"/>
              <w:ind w:right="44"/>
              <w:spacing w:after="0"/>
              <w:rPr>
                <w:sz w:val="20"/>
                <w:szCs w:val="20"/>
                <w:color w:val="auto"/>
              </w:rPr>
            </w:pPr>
            <w:r>
              <w:rPr>
                <w:rFonts w:ascii="Arial" w:cs="Arial" w:eastAsia="Arial" w:hAnsi="Arial"/>
                <w:sz w:val="13"/>
                <w:szCs w:val="13"/>
                <w:b w:val="1"/>
                <w:bCs w:val="1"/>
                <w:color w:val="auto"/>
                <w:w w:val="87"/>
              </w:rPr>
              <w:t>Weighted-Average Grant</w:t>
            </w:r>
          </w:p>
        </w:tc>
      </w:tr>
      <w:tr>
        <w:trPr>
          <w:trHeight w:val="153"/>
        </w:trPr>
        <w:tc>
          <w:tcPr>
            <w:tcW w:w="7720" w:type="dxa"/>
            <w:vAlign w:val="bottom"/>
          </w:tcPr>
          <w:p>
            <w:pPr>
              <w:spacing w:after="0"/>
              <w:rPr>
                <w:sz w:val="13"/>
                <w:szCs w:val="13"/>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Number of Shares</w:t>
            </w:r>
          </w:p>
        </w:tc>
        <w:tc>
          <w:tcPr>
            <w:tcW w:w="280" w:type="dxa"/>
            <w:vAlign w:val="bottom"/>
          </w:tcPr>
          <w:p>
            <w:pPr>
              <w:spacing w:after="0"/>
              <w:rPr>
                <w:sz w:val="13"/>
                <w:szCs w:val="13"/>
                <w:color w:val="auto"/>
              </w:rPr>
            </w:pPr>
          </w:p>
        </w:tc>
        <w:tc>
          <w:tcPr>
            <w:tcW w:w="1480" w:type="dxa"/>
            <w:vAlign w:val="bottom"/>
          </w:tcPr>
          <w:p>
            <w:pPr>
              <w:jc w:val="right"/>
              <w:ind w:right="304"/>
              <w:spacing w:after="0"/>
              <w:rPr>
                <w:sz w:val="20"/>
                <w:szCs w:val="20"/>
                <w:color w:val="auto"/>
              </w:rPr>
            </w:pPr>
            <w:r>
              <w:rPr>
                <w:rFonts w:ascii="Arial" w:cs="Arial" w:eastAsia="Arial" w:hAnsi="Arial"/>
                <w:sz w:val="13"/>
                <w:szCs w:val="13"/>
                <w:b w:val="1"/>
                <w:bCs w:val="1"/>
                <w:color w:val="auto"/>
              </w:rPr>
              <w:t>Date Fair Value</w:t>
            </w:r>
          </w:p>
        </w:tc>
      </w:tr>
      <w:tr>
        <w:trPr>
          <w:trHeight w:val="220"/>
        </w:trPr>
        <w:tc>
          <w:tcPr>
            <w:tcW w:w="7720" w:type="dxa"/>
            <w:vAlign w:val="bottom"/>
            <w:tcBorders>
              <w:top w:val="single" w:sz="8" w:color="004483"/>
              <w:bottom w:val="single" w:sz="8" w:color="A6A6A6"/>
            </w:tcBorders>
          </w:tcPr>
          <w:p>
            <w:pPr>
              <w:spacing w:after="0"/>
              <w:rPr>
                <w:sz w:val="20"/>
                <w:szCs w:val="20"/>
                <w:color w:val="auto"/>
              </w:rPr>
            </w:pPr>
            <w:r>
              <w:rPr>
                <w:rFonts w:ascii="Arial" w:cs="Arial" w:eastAsia="Arial" w:hAnsi="Arial"/>
                <w:sz w:val="16"/>
                <w:szCs w:val="16"/>
                <w:b w:val="1"/>
                <w:bCs w:val="1"/>
                <w:color w:val="004483"/>
              </w:rPr>
              <w:t>Nonvested Restricted Stock March 31, 2020</w:t>
            </w:r>
          </w:p>
        </w:tc>
        <w:tc>
          <w:tcPr>
            <w:tcW w:w="154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233,120</w:t>
            </w:r>
          </w:p>
        </w:tc>
        <w:tc>
          <w:tcPr>
            <w:tcW w:w="120" w:type="dxa"/>
            <w:vAlign w:val="bottom"/>
          </w:tcPr>
          <w:p>
            <w:pPr>
              <w:spacing w:after="0"/>
              <w:rPr>
                <w:sz w:val="19"/>
                <w:szCs w:val="19"/>
                <w:color w:val="auto"/>
              </w:rPr>
            </w:pPr>
          </w:p>
        </w:tc>
        <w:tc>
          <w:tcPr>
            <w:tcW w:w="28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75.35</w:t>
            </w:r>
          </w:p>
        </w:tc>
      </w:tr>
      <w:tr>
        <w:trPr>
          <w:trHeight w:val="223"/>
        </w:trPr>
        <w:tc>
          <w:tcPr>
            <w:tcW w:w="7720" w:type="dxa"/>
            <w:vAlign w:val="bottom"/>
            <w:tcBorders>
              <w:bottom w:val="single" w:sz="8" w:color="A6A6A6"/>
            </w:tcBorders>
          </w:tcPr>
          <w:p>
            <w:pPr>
              <w:spacing w:after="0"/>
              <w:rPr>
                <w:sz w:val="20"/>
                <w:szCs w:val="20"/>
                <w:color w:val="auto"/>
              </w:rPr>
            </w:pPr>
            <w:r>
              <w:rPr>
                <w:rFonts w:ascii="Arial" w:cs="Arial" w:eastAsia="Arial" w:hAnsi="Arial"/>
                <w:sz w:val="16"/>
                <w:szCs w:val="16"/>
                <w:color w:val="004483"/>
              </w:rPr>
              <w:t>Granted</w:t>
            </w:r>
          </w:p>
        </w:tc>
        <w:tc>
          <w:tcPr>
            <w:tcW w:w="15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178,373</w:t>
            </w:r>
          </w:p>
        </w:tc>
        <w:tc>
          <w:tcPr>
            <w:tcW w:w="120" w:type="dxa"/>
            <w:vAlign w:val="bottom"/>
          </w:tcPr>
          <w:p>
            <w:pPr>
              <w:spacing w:after="0"/>
              <w:rPr>
                <w:sz w:val="19"/>
                <w:szCs w:val="19"/>
                <w:color w:val="auto"/>
              </w:rPr>
            </w:pPr>
          </w:p>
        </w:tc>
        <w:tc>
          <w:tcPr>
            <w:tcW w:w="2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63.63</w:t>
            </w:r>
          </w:p>
        </w:tc>
      </w:tr>
      <w:tr>
        <w:trPr>
          <w:trHeight w:val="223"/>
        </w:trPr>
        <w:tc>
          <w:tcPr>
            <w:tcW w:w="7720" w:type="dxa"/>
            <w:vAlign w:val="bottom"/>
          </w:tcPr>
          <w:p>
            <w:pPr>
              <w:spacing w:after="0"/>
              <w:rPr>
                <w:sz w:val="20"/>
                <w:szCs w:val="20"/>
                <w:color w:val="auto"/>
              </w:rPr>
            </w:pPr>
            <w:r>
              <w:rPr>
                <w:rFonts w:ascii="Arial" w:cs="Arial" w:eastAsia="Arial" w:hAnsi="Arial"/>
                <w:sz w:val="16"/>
                <w:szCs w:val="16"/>
                <w:color w:val="004483"/>
              </w:rPr>
              <w:t>Vested</w:t>
            </w:r>
          </w:p>
        </w:tc>
        <w:tc>
          <w:tcPr>
            <w:tcW w:w="1660" w:type="dxa"/>
            <w:vAlign w:val="bottom"/>
            <w:gridSpan w:val="2"/>
          </w:tcPr>
          <w:p>
            <w:pPr>
              <w:jc w:val="right"/>
              <w:ind w:right="60"/>
              <w:spacing w:after="0"/>
              <w:rPr>
                <w:sz w:val="20"/>
                <w:szCs w:val="20"/>
                <w:color w:val="auto"/>
              </w:rPr>
            </w:pPr>
            <w:r>
              <w:rPr>
                <w:rFonts w:ascii="Arial" w:cs="Arial" w:eastAsia="Arial" w:hAnsi="Arial"/>
                <w:sz w:val="16"/>
                <w:szCs w:val="16"/>
                <w:color w:val="auto"/>
              </w:rPr>
              <w:t>(49,727)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66.22</w:t>
            </w:r>
          </w:p>
        </w:tc>
      </w:tr>
      <w:tr>
        <w:trPr>
          <w:trHeight w:val="20"/>
        </w:trPr>
        <w:tc>
          <w:tcPr>
            <w:tcW w:w="7720" w:type="dxa"/>
            <w:vAlign w:val="bottom"/>
            <w:shd w:val="clear" w:color="auto" w:fill="A6A6A6"/>
          </w:tcPr>
          <w:p>
            <w:pPr>
              <w:spacing w:after="0" w:line="20" w:lineRule="exact"/>
              <w:rPr>
                <w:sz w:val="1"/>
                <w:szCs w:val="1"/>
                <w:color w:val="auto"/>
              </w:rPr>
            </w:pPr>
          </w:p>
        </w:tc>
        <w:tc>
          <w:tcPr>
            <w:tcW w:w="15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1480" w:type="dxa"/>
            <w:vAlign w:val="bottom"/>
            <w:shd w:val="clear" w:color="auto" w:fill="A6A6A6"/>
          </w:tcPr>
          <w:p>
            <w:pPr>
              <w:spacing w:after="0" w:line="20" w:lineRule="exact"/>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6"/>
                <w:szCs w:val="16"/>
                <w:color w:val="004483"/>
              </w:rPr>
              <w:t>Forfeited</w:t>
            </w:r>
          </w:p>
        </w:tc>
        <w:tc>
          <w:tcPr>
            <w:tcW w:w="1660" w:type="dxa"/>
            <w:vAlign w:val="bottom"/>
            <w:gridSpan w:val="2"/>
          </w:tcPr>
          <w:p>
            <w:pPr>
              <w:jc w:val="right"/>
              <w:ind w:right="60"/>
              <w:spacing w:after="0"/>
              <w:rPr>
                <w:sz w:val="20"/>
                <w:szCs w:val="20"/>
                <w:color w:val="auto"/>
              </w:rPr>
            </w:pPr>
            <w:r>
              <w:rPr>
                <w:rFonts w:ascii="Arial" w:cs="Arial" w:eastAsia="Arial" w:hAnsi="Arial"/>
                <w:sz w:val="16"/>
                <w:szCs w:val="16"/>
                <w:color w:val="auto"/>
              </w:rPr>
              <w:t>(6,127)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91.58</w:t>
            </w:r>
          </w:p>
        </w:tc>
      </w:tr>
      <w:tr>
        <w:trPr>
          <w:trHeight w:val="223"/>
        </w:trPr>
        <w:tc>
          <w:tcPr>
            <w:tcW w:w="7720" w:type="dxa"/>
            <w:vAlign w:val="bottom"/>
            <w:tcBorders>
              <w:top w:val="single" w:sz="8" w:color="A6A6A6"/>
            </w:tcBorders>
          </w:tcPr>
          <w:p>
            <w:pPr>
              <w:spacing w:after="0"/>
              <w:rPr>
                <w:sz w:val="20"/>
                <w:szCs w:val="20"/>
                <w:color w:val="auto"/>
              </w:rPr>
            </w:pPr>
            <w:r>
              <w:rPr>
                <w:rFonts w:ascii="Arial" w:cs="Arial" w:eastAsia="Arial" w:hAnsi="Arial"/>
                <w:sz w:val="16"/>
                <w:szCs w:val="16"/>
                <w:b w:val="1"/>
                <w:bCs w:val="1"/>
                <w:color w:val="004483"/>
              </w:rPr>
              <w:t>Nonvested Restricted Stock at September 30, 2020</w:t>
            </w:r>
          </w:p>
        </w:tc>
        <w:tc>
          <w:tcPr>
            <w:tcW w:w="154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355,639</w:t>
            </w:r>
          </w:p>
        </w:tc>
        <w:tc>
          <w:tcPr>
            <w:tcW w:w="120" w:type="dxa"/>
            <w:vAlign w:val="bottom"/>
          </w:tcPr>
          <w:p>
            <w:pPr>
              <w:spacing w:after="0"/>
              <w:rPr>
                <w:sz w:val="19"/>
                <w:szCs w:val="19"/>
                <w:color w:val="auto"/>
              </w:rPr>
            </w:pPr>
          </w:p>
        </w:tc>
        <w:tc>
          <w:tcPr>
            <w:tcW w:w="280" w:type="dxa"/>
            <w:vAlign w:val="bottom"/>
            <w:tcBorders>
              <w:top w:val="single" w:sz="8" w:color="A6A6A6"/>
            </w:tcBorders>
          </w:tcPr>
          <w:p>
            <w:pPr>
              <w:jc w:val="right"/>
              <w:spacing w:after="0"/>
              <w:rPr>
                <w:sz w:val="20"/>
                <w:szCs w:val="20"/>
                <w:color w:val="auto"/>
              </w:rPr>
            </w:pPr>
            <w:r>
              <w:rPr>
                <w:rFonts w:ascii="Arial" w:cs="Arial" w:eastAsia="Arial" w:hAnsi="Arial"/>
                <w:sz w:val="16"/>
                <w:szCs w:val="16"/>
                <w:b w:val="1"/>
                <w:bCs w:val="1"/>
                <w:color w:val="auto"/>
              </w:rPr>
              <w:t>$</w:t>
            </w:r>
          </w:p>
        </w:tc>
        <w:tc>
          <w:tcPr>
            <w:tcW w:w="1480" w:type="dxa"/>
            <w:vAlign w:val="bottom"/>
            <w:tcBorders>
              <w:top w:val="single" w:sz="8" w:color="A6A6A6"/>
            </w:tcBorders>
          </w:tcPr>
          <w:p>
            <w:pPr>
              <w:jc w:val="right"/>
              <w:spacing w:after="0"/>
              <w:rPr>
                <w:sz w:val="20"/>
                <w:szCs w:val="20"/>
                <w:color w:val="auto"/>
              </w:rPr>
            </w:pPr>
            <w:r>
              <w:rPr>
                <w:rFonts w:ascii="Arial" w:cs="Arial" w:eastAsia="Arial" w:hAnsi="Arial"/>
                <w:sz w:val="16"/>
                <w:szCs w:val="16"/>
                <w:b w:val="1"/>
                <w:bCs w:val="1"/>
                <w:color w:val="auto"/>
              </w:rPr>
              <w:t>68.21</w:t>
            </w:r>
          </w:p>
        </w:tc>
      </w:tr>
      <w:tr>
        <w:trPr>
          <w:trHeight w:val="20"/>
        </w:trPr>
        <w:tc>
          <w:tcPr>
            <w:tcW w:w="7720" w:type="dxa"/>
            <w:vAlign w:val="bottom"/>
          </w:tcPr>
          <w:p>
            <w:pPr>
              <w:spacing w:after="0" w:line="20" w:lineRule="exact"/>
              <w:rPr>
                <w:sz w:val="1"/>
                <w:szCs w:val="1"/>
                <w:color w:val="auto"/>
              </w:rPr>
            </w:pPr>
          </w:p>
        </w:tc>
        <w:tc>
          <w:tcPr>
            <w:tcW w:w="154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September 30, 2020, the weighted-average grant date fair value of restricted shares awarded was $63.63.</w:t>
      </w:r>
    </w:p>
    <w:p>
      <w:pPr>
        <w:spacing w:after="0" w:line="131"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Expense related to restricted shares was approximately $2.4 million and $5.4 million for the three and six months ended September 30, 2020, respectively, and $2.7 million and $9.8 million for the three and six months ended September 30, 2019, respectively. At September 30, 2020, there was approximately $17.5 million of unearned compensation from restricted stock, which will be recognized over a weighted-average period of 2.4 years.</w:t>
      </w:r>
    </w:p>
    <w:p>
      <w:pPr>
        <w:spacing w:after="0" w:line="9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number of shares available for future grants of stock options, restricted stock units, stock appreciation rights, and restricted stock under the Plan was 3,455,865 at September 30, 2020.</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 COMPUTATION OF EARNINGS PER SHARE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basic and diluted common shares outstanding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60" w:type="dxa"/>
            <w:vAlign w:val="bottom"/>
          </w:tcPr>
          <w:p>
            <w:pPr>
              <w:spacing w:after="0"/>
              <w:rPr>
                <w:sz w:val="18"/>
                <w:szCs w:val="18"/>
                <w:color w:val="auto"/>
              </w:rPr>
            </w:pPr>
          </w:p>
        </w:tc>
        <w:tc>
          <w:tcPr>
            <w:tcW w:w="2860" w:type="dxa"/>
            <w:vAlign w:val="bottom"/>
            <w:tcBorders>
              <w:bottom w:val="single" w:sz="8" w:color="004483"/>
            </w:tcBorders>
            <w:gridSpan w:val="5"/>
            <w:shd w:val="clear" w:color="auto" w:fill="004483"/>
          </w:tcPr>
          <w:p>
            <w:pPr>
              <w:jc w:val="right"/>
              <w:ind w:right="300"/>
              <w:spacing w:after="0"/>
              <w:rPr>
                <w:sz w:val="20"/>
                <w:szCs w:val="20"/>
                <w:color w:val="auto"/>
              </w:rPr>
            </w:pPr>
            <w:r>
              <w:rPr>
                <w:rFonts w:ascii="Arial" w:cs="Arial" w:eastAsia="Arial" w:hAnsi="Arial"/>
                <w:sz w:val="13"/>
                <w:szCs w:val="13"/>
                <w:b w:val="1"/>
                <w:bCs w:val="1"/>
                <w:color w:val="FFFFFF"/>
                <w:w w:val="94"/>
              </w:rPr>
              <w:t>For the Three Months Ended September 30,</w:t>
            </w:r>
          </w:p>
        </w:tc>
        <w:tc>
          <w:tcPr>
            <w:tcW w:w="140" w:type="dxa"/>
            <w:vAlign w:val="bottom"/>
          </w:tcPr>
          <w:p>
            <w:pPr>
              <w:spacing w:after="0"/>
              <w:rPr>
                <w:sz w:val="18"/>
                <w:szCs w:val="18"/>
                <w:color w:val="auto"/>
              </w:rPr>
            </w:pPr>
          </w:p>
        </w:tc>
        <w:tc>
          <w:tcPr>
            <w:tcW w:w="2880" w:type="dxa"/>
            <w:vAlign w:val="bottom"/>
            <w:tcBorders>
              <w:bottom w:val="single" w:sz="8" w:color="004483"/>
            </w:tcBorders>
            <w:gridSpan w:val="5"/>
            <w:shd w:val="clear" w:color="auto" w:fill="004483"/>
          </w:tcPr>
          <w:p>
            <w:pPr>
              <w:jc w:val="right"/>
              <w:ind w:right="400"/>
              <w:spacing w:after="0"/>
              <w:rPr>
                <w:sz w:val="20"/>
                <w:szCs w:val="20"/>
                <w:color w:val="auto"/>
              </w:rPr>
            </w:pPr>
            <w:r>
              <w:rPr>
                <w:rFonts w:ascii="Arial" w:cs="Arial" w:eastAsia="Arial" w:hAnsi="Arial"/>
                <w:sz w:val="13"/>
                <w:szCs w:val="13"/>
                <w:b w:val="1"/>
                <w:bCs w:val="1"/>
                <w:color w:val="FFFFFF"/>
                <w:w w:val="97"/>
              </w:rPr>
              <w:t>For the Six Months Ended September 30,</w:t>
            </w:r>
          </w:p>
        </w:tc>
      </w:tr>
      <w:tr>
        <w:trPr>
          <w:trHeight w:val="149"/>
        </w:trPr>
        <w:tc>
          <w:tcPr>
            <w:tcW w:w="5360" w:type="dxa"/>
            <w:vAlign w:val="bottom"/>
            <w:tcBorders>
              <w:bottom w:val="single" w:sz="8" w:color="004483"/>
            </w:tcBorders>
          </w:tcPr>
          <w:p>
            <w:pPr>
              <w:spacing w:after="0"/>
              <w:rPr>
                <w:sz w:val="12"/>
                <w:szCs w:val="12"/>
                <w:color w:val="auto"/>
              </w:rPr>
            </w:pPr>
          </w:p>
        </w:tc>
        <w:tc>
          <w:tcPr>
            <w:tcW w:w="126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2"/>
                <w:szCs w:val="12"/>
                <w:color w:val="auto"/>
              </w:rPr>
            </w:pPr>
          </w:p>
        </w:tc>
        <w:tc>
          <w:tcPr>
            <w:tcW w:w="120" w:type="dxa"/>
            <w:vAlign w:val="bottom"/>
            <w:tcBorders>
              <w:bottom w:val="single" w:sz="8" w:color="004483"/>
            </w:tcBorders>
          </w:tcPr>
          <w:p>
            <w:pPr>
              <w:spacing w:after="0"/>
              <w:rPr>
                <w:sz w:val="12"/>
                <w:szCs w:val="12"/>
                <w:color w:val="auto"/>
              </w:rPr>
            </w:pPr>
          </w:p>
        </w:tc>
        <w:tc>
          <w:tcPr>
            <w:tcW w:w="126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2"/>
                <w:szCs w:val="12"/>
                <w:color w:val="auto"/>
              </w:rPr>
            </w:pPr>
          </w:p>
        </w:tc>
        <w:tc>
          <w:tcPr>
            <w:tcW w:w="140" w:type="dxa"/>
            <w:vAlign w:val="bottom"/>
            <w:tcBorders>
              <w:bottom w:val="single" w:sz="8" w:color="004483"/>
            </w:tcBorders>
          </w:tcPr>
          <w:p>
            <w:pPr>
              <w:spacing w:after="0"/>
              <w:rPr>
                <w:sz w:val="12"/>
                <w:szCs w:val="12"/>
                <w:color w:val="auto"/>
              </w:rPr>
            </w:pPr>
          </w:p>
        </w:tc>
        <w:tc>
          <w:tcPr>
            <w:tcW w:w="126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2"/>
                <w:szCs w:val="12"/>
                <w:color w:val="auto"/>
              </w:rPr>
            </w:pPr>
          </w:p>
        </w:tc>
        <w:tc>
          <w:tcPr>
            <w:tcW w:w="120" w:type="dxa"/>
            <w:vAlign w:val="bottom"/>
            <w:tcBorders>
              <w:bottom w:val="single" w:sz="8" w:color="004483"/>
            </w:tcBorders>
          </w:tcPr>
          <w:p>
            <w:pPr>
              <w:spacing w:after="0"/>
              <w:rPr>
                <w:sz w:val="12"/>
                <w:szCs w:val="12"/>
                <w:color w:val="auto"/>
              </w:rPr>
            </w:pPr>
          </w:p>
        </w:tc>
        <w:tc>
          <w:tcPr>
            <w:tcW w:w="130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2"/>
                <w:szCs w:val="12"/>
                <w:color w:val="auto"/>
              </w:rPr>
            </w:pPr>
          </w:p>
        </w:tc>
      </w:tr>
      <w:tr>
        <w:trPr>
          <w:trHeight w:val="207"/>
        </w:trPr>
        <w:tc>
          <w:tcPr>
            <w:tcW w:w="5360" w:type="dxa"/>
            <w:vAlign w:val="bottom"/>
            <w:tcBorders>
              <w:bottom w:val="single" w:sz="8" w:color="A6A6A6"/>
            </w:tcBorders>
          </w:tcPr>
          <w:p>
            <w:pPr>
              <w:spacing w:after="0"/>
              <w:rPr>
                <w:sz w:val="20"/>
                <w:szCs w:val="20"/>
                <w:color w:val="auto"/>
              </w:rPr>
            </w:pPr>
            <w:r>
              <w:rPr>
                <w:rFonts w:ascii="Arial" w:cs="Arial" w:eastAsia="Arial" w:hAnsi="Arial"/>
                <w:sz w:val="16"/>
                <w:szCs w:val="16"/>
                <w:b w:val="1"/>
                <w:bCs w:val="1"/>
                <w:color w:val="auto"/>
              </w:rPr>
              <w:t>Weighted-Average Shares of Common Stock Outstanding</w:t>
            </w:r>
          </w:p>
        </w:tc>
        <w:tc>
          <w:tcPr>
            <w:tcW w:w="12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41,450,013</w:t>
            </w:r>
          </w:p>
        </w:tc>
        <w:tc>
          <w:tcPr>
            <w:tcW w:w="12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2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41,572,127</w:t>
            </w:r>
          </w:p>
        </w:tc>
        <w:tc>
          <w:tcPr>
            <w:tcW w:w="100" w:type="dxa"/>
            <w:vAlign w:val="bottom"/>
          </w:tcPr>
          <w:p>
            <w:pPr>
              <w:spacing w:after="0"/>
              <w:rPr>
                <w:sz w:val="17"/>
                <w:szCs w:val="17"/>
                <w:color w:val="auto"/>
              </w:rPr>
            </w:pPr>
          </w:p>
        </w:tc>
        <w:tc>
          <w:tcPr>
            <w:tcW w:w="14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41,430,511</w:t>
            </w: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3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42,714,896</w:t>
            </w:r>
          </w:p>
        </w:tc>
        <w:tc>
          <w:tcPr>
            <w:tcW w:w="100" w:type="dxa"/>
            <w:vAlign w:val="bottom"/>
          </w:tcPr>
          <w:p>
            <w:pPr>
              <w:spacing w:after="0"/>
              <w:rPr>
                <w:sz w:val="17"/>
                <w:szCs w:val="17"/>
                <w:color w:val="auto"/>
              </w:rPr>
            </w:pPr>
          </w:p>
        </w:tc>
      </w:tr>
      <w:tr>
        <w:trPr>
          <w:trHeight w:val="209"/>
        </w:trPr>
        <w:tc>
          <w:tcPr>
            <w:tcW w:w="5360" w:type="dxa"/>
            <w:vAlign w:val="bottom"/>
            <w:tcBorders>
              <w:bottom w:val="single" w:sz="8" w:color="A6A6A6"/>
            </w:tcBorders>
          </w:tcPr>
          <w:p>
            <w:pPr>
              <w:spacing w:after="0"/>
              <w:rPr>
                <w:sz w:val="20"/>
                <w:szCs w:val="20"/>
                <w:color w:val="auto"/>
              </w:rPr>
            </w:pPr>
            <w:r>
              <w:rPr>
                <w:rFonts w:ascii="Arial" w:cs="Arial" w:eastAsia="Arial" w:hAnsi="Arial"/>
                <w:sz w:val="16"/>
                <w:szCs w:val="16"/>
                <w:color w:val="auto"/>
              </w:rPr>
              <w:t>Effect of Dilutive Shares:</w:t>
            </w:r>
          </w:p>
        </w:tc>
        <w:tc>
          <w:tcPr>
            <w:tcW w:w="126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6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6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30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360" w:type="dxa"/>
            <w:vAlign w:val="bottom"/>
            <w:tcBorders>
              <w:bottom w:val="single" w:sz="8" w:color="A6A6A6"/>
            </w:tcBorders>
          </w:tcPr>
          <w:p>
            <w:pPr>
              <w:spacing w:after="0"/>
              <w:rPr>
                <w:sz w:val="20"/>
                <w:szCs w:val="20"/>
                <w:color w:val="auto"/>
              </w:rPr>
            </w:pPr>
            <w:r>
              <w:rPr>
                <w:rFonts w:ascii="Arial" w:cs="Arial" w:eastAsia="Arial" w:hAnsi="Arial"/>
                <w:sz w:val="16"/>
                <w:szCs w:val="16"/>
                <w:color w:val="auto"/>
              </w:rPr>
              <w:t>Assumed Exercise of Outstanding Dilutive Options</w:t>
            </w:r>
          </w:p>
        </w:tc>
        <w:tc>
          <w:tcPr>
            <w:tcW w:w="12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414,338</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649,394</w:t>
            </w:r>
          </w:p>
        </w:tc>
        <w:tc>
          <w:tcPr>
            <w:tcW w:w="100" w:type="dxa"/>
            <w:vAlign w:val="bottom"/>
          </w:tcPr>
          <w:p>
            <w:pPr>
              <w:spacing w:after="0"/>
              <w:rPr>
                <w:sz w:val="18"/>
                <w:szCs w:val="18"/>
                <w:color w:val="auto"/>
              </w:rPr>
            </w:pPr>
          </w:p>
        </w:tc>
        <w:tc>
          <w:tcPr>
            <w:tcW w:w="14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272,513</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3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700,024</w:t>
            </w:r>
          </w:p>
        </w:tc>
        <w:tc>
          <w:tcPr>
            <w:tcW w:w="100" w:type="dxa"/>
            <w:vAlign w:val="bottom"/>
          </w:tcPr>
          <w:p>
            <w:pPr>
              <w:spacing w:after="0"/>
              <w:rPr>
                <w:sz w:val="18"/>
                <w:szCs w:val="18"/>
                <w:color w:val="auto"/>
              </w:rPr>
            </w:pPr>
          </w:p>
        </w:tc>
      </w:tr>
      <w:tr>
        <w:trPr>
          <w:trHeight w:val="210"/>
        </w:trPr>
        <w:tc>
          <w:tcPr>
            <w:tcW w:w="5360" w:type="dxa"/>
            <w:vAlign w:val="bottom"/>
          </w:tcPr>
          <w:p>
            <w:pPr>
              <w:spacing w:after="0"/>
              <w:rPr>
                <w:sz w:val="20"/>
                <w:szCs w:val="20"/>
                <w:color w:val="auto"/>
              </w:rPr>
            </w:pPr>
            <w:r>
              <w:rPr>
                <w:rFonts w:ascii="Arial" w:cs="Arial" w:eastAsia="Arial" w:hAnsi="Arial"/>
                <w:sz w:val="16"/>
                <w:szCs w:val="16"/>
                <w:color w:val="auto"/>
              </w:rPr>
              <w:t>Less Shares Repurchased from Proceeds of Assumed Exercised Options</w:t>
            </w: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(320,410)</w:t>
            </w:r>
          </w:p>
        </w:tc>
        <w:tc>
          <w:tcPr>
            <w:tcW w:w="1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6"/>
                <w:szCs w:val="16"/>
                <w:color w:val="auto"/>
              </w:rPr>
              <w:t>(509,571)</w:t>
            </w:r>
          </w:p>
        </w:tc>
        <w:tc>
          <w:tcPr>
            <w:tcW w:w="1500" w:type="dxa"/>
            <w:vAlign w:val="bottom"/>
            <w:gridSpan w:val="3"/>
          </w:tcPr>
          <w:p>
            <w:pPr>
              <w:jc w:val="right"/>
              <w:ind w:right="40"/>
              <w:spacing w:after="0"/>
              <w:rPr>
                <w:sz w:val="20"/>
                <w:szCs w:val="20"/>
                <w:color w:val="auto"/>
              </w:rPr>
            </w:pPr>
            <w:r>
              <w:rPr>
                <w:rFonts w:ascii="Arial" w:cs="Arial" w:eastAsia="Arial" w:hAnsi="Arial"/>
                <w:sz w:val="16"/>
                <w:szCs w:val="16"/>
                <w:color w:val="auto"/>
              </w:rPr>
              <w:t>(191,050)</w:t>
            </w:r>
          </w:p>
        </w:tc>
        <w:tc>
          <w:tcPr>
            <w:tcW w:w="12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(550,609)</w:t>
            </w:r>
          </w:p>
        </w:tc>
      </w:tr>
      <w:tr>
        <w:trPr>
          <w:trHeight w:val="209"/>
        </w:trPr>
        <w:tc>
          <w:tcPr>
            <w:tcW w:w="5360" w:type="dxa"/>
            <w:vAlign w:val="bottom"/>
            <w:tcBorders>
              <w:top w:val="single" w:sz="8" w:color="A6A6A6"/>
            </w:tcBorders>
          </w:tcPr>
          <w:p>
            <w:pPr>
              <w:spacing w:after="0"/>
              <w:rPr>
                <w:sz w:val="20"/>
                <w:szCs w:val="20"/>
                <w:color w:val="auto"/>
              </w:rPr>
            </w:pPr>
            <w:r>
              <w:rPr>
                <w:rFonts w:ascii="Arial" w:cs="Arial" w:eastAsia="Arial" w:hAnsi="Arial"/>
                <w:sz w:val="16"/>
                <w:szCs w:val="16"/>
                <w:color w:val="auto"/>
              </w:rPr>
              <w:t>Restricted Stock Units</w:t>
            </w:r>
          </w:p>
        </w:tc>
        <w:tc>
          <w:tcPr>
            <w:tcW w:w="1260" w:type="dxa"/>
            <w:vAlign w:val="bottom"/>
            <w:tcBorders>
              <w:top w:val="single" w:sz="8" w:color="A6A6A6"/>
            </w:tcBorders>
          </w:tcPr>
          <w:p>
            <w:pPr>
              <w:jc w:val="right"/>
              <w:spacing w:after="0"/>
              <w:rPr>
                <w:sz w:val="20"/>
                <w:szCs w:val="20"/>
                <w:color w:val="auto"/>
              </w:rPr>
            </w:pPr>
            <w:r>
              <w:rPr>
                <w:rFonts w:ascii="Arial" w:cs="Arial" w:eastAsia="Arial" w:hAnsi="Arial"/>
                <w:sz w:val="16"/>
                <w:szCs w:val="16"/>
                <w:color w:val="auto"/>
              </w:rPr>
              <w:t>105,378</w:t>
            </w:r>
          </w:p>
        </w:tc>
        <w:tc>
          <w:tcPr>
            <w:tcW w:w="120" w:type="dxa"/>
            <w:vAlign w:val="bottom"/>
          </w:tcPr>
          <w:p>
            <w:pPr>
              <w:spacing w:after="0"/>
              <w:rPr>
                <w:sz w:val="18"/>
                <w:szCs w:val="18"/>
                <w:color w:val="auto"/>
              </w:rPr>
            </w:pPr>
          </w:p>
        </w:tc>
        <w:tc>
          <w:tcPr>
            <w:tcW w:w="120" w:type="dxa"/>
            <w:vAlign w:val="bottom"/>
            <w:tcBorders>
              <w:top w:val="single" w:sz="8" w:color="A6A6A6"/>
            </w:tcBorders>
          </w:tcPr>
          <w:p>
            <w:pPr>
              <w:spacing w:after="0"/>
              <w:rPr>
                <w:sz w:val="18"/>
                <w:szCs w:val="18"/>
                <w:color w:val="auto"/>
              </w:rPr>
            </w:pPr>
          </w:p>
        </w:tc>
        <w:tc>
          <w:tcPr>
            <w:tcW w:w="1260" w:type="dxa"/>
            <w:vAlign w:val="bottom"/>
            <w:tcBorders>
              <w:top w:val="single" w:sz="8" w:color="A6A6A6"/>
            </w:tcBorders>
          </w:tcPr>
          <w:p>
            <w:pPr>
              <w:jc w:val="right"/>
              <w:spacing w:after="0"/>
              <w:rPr>
                <w:sz w:val="20"/>
                <w:szCs w:val="20"/>
                <w:color w:val="auto"/>
              </w:rPr>
            </w:pPr>
            <w:r>
              <w:rPr>
                <w:rFonts w:ascii="Arial" w:cs="Arial" w:eastAsia="Arial" w:hAnsi="Arial"/>
                <w:sz w:val="16"/>
                <w:szCs w:val="16"/>
                <w:color w:val="auto"/>
              </w:rPr>
              <w:t>121,825</w:t>
            </w:r>
          </w:p>
        </w:tc>
        <w:tc>
          <w:tcPr>
            <w:tcW w:w="100" w:type="dxa"/>
            <w:vAlign w:val="bottom"/>
          </w:tcPr>
          <w:p>
            <w:pPr>
              <w:spacing w:after="0"/>
              <w:rPr>
                <w:sz w:val="18"/>
                <w:szCs w:val="18"/>
                <w:color w:val="auto"/>
              </w:rPr>
            </w:pPr>
          </w:p>
        </w:tc>
        <w:tc>
          <w:tcPr>
            <w:tcW w:w="1400" w:type="dxa"/>
            <w:vAlign w:val="bottom"/>
            <w:tcBorders>
              <w:top w:val="single" w:sz="8" w:color="A6A6A6"/>
            </w:tcBorders>
            <w:gridSpan w:val="2"/>
          </w:tcPr>
          <w:p>
            <w:pPr>
              <w:jc w:val="right"/>
              <w:spacing w:after="0"/>
              <w:rPr>
                <w:sz w:val="20"/>
                <w:szCs w:val="20"/>
                <w:color w:val="auto"/>
              </w:rPr>
            </w:pPr>
            <w:r>
              <w:rPr>
                <w:rFonts w:ascii="Arial" w:cs="Arial" w:eastAsia="Arial" w:hAnsi="Arial"/>
                <w:sz w:val="16"/>
                <w:szCs w:val="16"/>
                <w:color w:val="auto"/>
              </w:rPr>
              <w:t>94,427</w:t>
            </w:r>
          </w:p>
        </w:tc>
        <w:tc>
          <w:tcPr>
            <w:tcW w:w="100" w:type="dxa"/>
            <w:vAlign w:val="bottom"/>
          </w:tcPr>
          <w:p>
            <w:pPr>
              <w:spacing w:after="0"/>
              <w:rPr>
                <w:sz w:val="18"/>
                <w:szCs w:val="18"/>
                <w:color w:val="auto"/>
              </w:rPr>
            </w:pPr>
          </w:p>
        </w:tc>
        <w:tc>
          <w:tcPr>
            <w:tcW w:w="120" w:type="dxa"/>
            <w:vAlign w:val="bottom"/>
            <w:tcBorders>
              <w:top w:val="single" w:sz="8" w:color="A6A6A6"/>
            </w:tcBorders>
          </w:tcPr>
          <w:p>
            <w:pPr>
              <w:spacing w:after="0"/>
              <w:rPr>
                <w:sz w:val="18"/>
                <w:szCs w:val="18"/>
                <w:color w:val="auto"/>
              </w:rPr>
            </w:pPr>
          </w:p>
        </w:tc>
        <w:tc>
          <w:tcPr>
            <w:tcW w:w="1300" w:type="dxa"/>
            <w:vAlign w:val="bottom"/>
            <w:tcBorders>
              <w:top w:val="single" w:sz="8" w:color="A6A6A6"/>
            </w:tcBorders>
          </w:tcPr>
          <w:p>
            <w:pPr>
              <w:jc w:val="right"/>
              <w:spacing w:after="0"/>
              <w:rPr>
                <w:sz w:val="20"/>
                <w:szCs w:val="20"/>
                <w:color w:val="auto"/>
              </w:rPr>
            </w:pPr>
            <w:r>
              <w:rPr>
                <w:rFonts w:ascii="Arial" w:cs="Arial" w:eastAsia="Arial" w:hAnsi="Arial"/>
                <w:sz w:val="16"/>
                <w:szCs w:val="16"/>
                <w:color w:val="auto"/>
              </w:rPr>
              <w:t>121,404</w:t>
            </w:r>
          </w:p>
        </w:tc>
        <w:tc>
          <w:tcPr>
            <w:tcW w:w="100" w:type="dxa"/>
            <w:vAlign w:val="bottom"/>
          </w:tcPr>
          <w:p>
            <w:pPr>
              <w:spacing w:after="0"/>
              <w:rPr>
                <w:sz w:val="18"/>
                <w:szCs w:val="18"/>
                <w:color w:val="auto"/>
              </w:rPr>
            </w:pPr>
          </w:p>
        </w:tc>
      </w:tr>
      <w:tr>
        <w:trPr>
          <w:trHeight w:val="250"/>
        </w:trPr>
        <w:tc>
          <w:tcPr>
            <w:tcW w:w="536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6"/>
                <w:szCs w:val="16"/>
                <w:b w:val="1"/>
                <w:bCs w:val="1"/>
                <w:color w:val="auto"/>
                <w:w w:val="99"/>
              </w:rPr>
              <w:t>Weighted-Average Common Stock and Dilutive Securities Outstanding</w:t>
            </w:r>
          </w:p>
        </w:tc>
        <w:tc>
          <w:tcPr>
            <w:tcW w:w="12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41,649,319</w:t>
            </w:r>
          </w:p>
        </w:tc>
        <w:tc>
          <w:tcPr>
            <w:tcW w:w="120" w:type="dxa"/>
            <w:vAlign w:val="bottom"/>
          </w:tcPr>
          <w:p>
            <w:pPr>
              <w:spacing w:after="0"/>
              <w:rPr>
                <w:sz w:val="21"/>
                <w:szCs w:val="21"/>
                <w:color w:val="auto"/>
              </w:rPr>
            </w:pPr>
          </w:p>
        </w:tc>
        <w:tc>
          <w:tcPr>
            <w:tcW w:w="120" w:type="dxa"/>
            <w:vAlign w:val="bottom"/>
            <w:tcBorders>
              <w:top w:val="single" w:sz="8" w:color="A6A6A6"/>
              <w:bottom w:val="single" w:sz="8" w:color="A6A6A6"/>
            </w:tcBorders>
          </w:tcPr>
          <w:p>
            <w:pPr>
              <w:spacing w:after="0"/>
              <w:rPr>
                <w:sz w:val="21"/>
                <w:szCs w:val="21"/>
                <w:color w:val="auto"/>
              </w:rPr>
            </w:pPr>
          </w:p>
        </w:tc>
        <w:tc>
          <w:tcPr>
            <w:tcW w:w="12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41,833,775</w:t>
            </w:r>
          </w:p>
        </w:tc>
        <w:tc>
          <w:tcPr>
            <w:tcW w:w="100" w:type="dxa"/>
            <w:vAlign w:val="bottom"/>
          </w:tcPr>
          <w:p>
            <w:pPr>
              <w:spacing w:after="0"/>
              <w:rPr>
                <w:sz w:val="21"/>
                <w:szCs w:val="21"/>
                <w:color w:val="auto"/>
              </w:rPr>
            </w:pPr>
          </w:p>
        </w:tc>
        <w:tc>
          <w:tcPr>
            <w:tcW w:w="140" w:type="dxa"/>
            <w:vAlign w:val="bottom"/>
            <w:tcBorders>
              <w:top w:val="single" w:sz="8" w:color="A6A6A6"/>
              <w:bottom w:val="single" w:sz="8" w:color="A6A6A6"/>
            </w:tcBorders>
          </w:tcPr>
          <w:p>
            <w:pPr>
              <w:spacing w:after="0"/>
              <w:rPr>
                <w:sz w:val="21"/>
                <w:szCs w:val="21"/>
                <w:color w:val="auto"/>
              </w:rPr>
            </w:pPr>
          </w:p>
        </w:tc>
        <w:tc>
          <w:tcPr>
            <w:tcW w:w="12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41,606,401</w:t>
            </w:r>
          </w:p>
        </w:tc>
        <w:tc>
          <w:tcPr>
            <w:tcW w:w="100" w:type="dxa"/>
            <w:vAlign w:val="bottom"/>
          </w:tcPr>
          <w:p>
            <w:pPr>
              <w:spacing w:after="0"/>
              <w:rPr>
                <w:sz w:val="21"/>
                <w:szCs w:val="21"/>
                <w:color w:val="auto"/>
              </w:rPr>
            </w:pPr>
          </w:p>
        </w:tc>
        <w:tc>
          <w:tcPr>
            <w:tcW w:w="120" w:type="dxa"/>
            <w:vAlign w:val="bottom"/>
            <w:tcBorders>
              <w:top w:val="single" w:sz="8" w:color="A6A6A6"/>
              <w:bottom w:val="single" w:sz="8" w:color="A6A6A6"/>
            </w:tcBorders>
          </w:tcPr>
          <w:p>
            <w:pPr>
              <w:spacing w:after="0"/>
              <w:rPr>
                <w:sz w:val="21"/>
                <w:szCs w:val="21"/>
                <w:color w:val="auto"/>
              </w:rPr>
            </w:pPr>
          </w:p>
        </w:tc>
        <w:tc>
          <w:tcPr>
            <w:tcW w:w="13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42,985,715</w:t>
            </w:r>
          </w:p>
        </w:tc>
        <w:tc>
          <w:tcPr>
            <w:tcW w:w="100" w:type="dxa"/>
            <w:vAlign w:val="bottom"/>
          </w:tcPr>
          <w:p>
            <w:pPr>
              <w:spacing w:after="0"/>
              <w:rPr>
                <w:sz w:val="21"/>
                <w:szCs w:val="21"/>
                <w:color w:val="auto"/>
              </w:rPr>
            </w:pPr>
          </w:p>
        </w:tc>
      </w:tr>
      <w:tr>
        <w:trPr>
          <w:trHeight w:val="236"/>
        </w:trPr>
        <w:tc>
          <w:tcPr>
            <w:tcW w:w="5360" w:type="dxa"/>
            <w:vAlign w:val="bottom"/>
            <w:tcBorders>
              <w:bottom w:val="single" w:sz="8" w:color="A6A6A6"/>
            </w:tcBorders>
          </w:tcPr>
          <w:p>
            <w:pPr>
              <w:spacing w:after="0"/>
              <w:rPr>
                <w:sz w:val="20"/>
                <w:szCs w:val="20"/>
                <w:color w:val="auto"/>
              </w:rPr>
            </w:pPr>
            <w:r>
              <w:rPr>
                <w:rFonts w:ascii="Arial" w:cs="Arial" w:eastAsia="Arial" w:hAnsi="Arial"/>
                <w:sz w:val="16"/>
                <w:szCs w:val="16"/>
                <w:b w:val="1"/>
                <w:bCs w:val="1"/>
                <w:color w:val="auto"/>
              </w:rPr>
              <w:t>Shares Excluded Due to Anti-dilution Effects</w:t>
            </w:r>
          </w:p>
        </w:tc>
        <w:tc>
          <w:tcPr>
            <w:tcW w:w="12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795,382</w:t>
            </w:r>
          </w:p>
        </w:tc>
        <w:tc>
          <w:tcPr>
            <w:tcW w:w="12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12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448,354</w:t>
            </w:r>
          </w:p>
        </w:tc>
        <w:tc>
          <w:tcPr>
            <w:tcW w:w="100" w:type="dxa"/>
            <w:vAlign w:val="bottom"/>
          </w:tcPr>
          <w:p>
            <w:pPr>
              <w:spacing w:after="0"/>
              <w:rPr>
                <w:sz w:val="20"/>
                <w:szCs w:val="20"/>
                <w:color w:val="auto"/>
              </w:rPr>
            </w:pPr>
          </w:p>
        </w:tc>
        <w:tc>
          <w:tcPr>
            <w:tcW w:w="140" w:type="dxa"/>
            <w:vAlign w:val="bottom"/>
            <w:tcBorders>
              <w:bottom w:val="single" w:sz="8" w:color="A6A6A6"/>
            </w:tcBorders>
          </w:tcPr>
          <w:p>
            <w:pPr>
              <w:spacing w:after="0"/>
              <w:rPr>
                <w:sz w:val="20"/>
                <w:szCs w:val="20"/>
                <w:color w:val="auto"/>
              </w:rPr>
            </w:pPr>
          </w:p>
        </w:tc>
        <w:tc>
          <w:tcPr>
            <w:tcW w:w="12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929,990</w:t>
            </w:r>
          </w:p>
        </w:tc>
        <w:tc>
          <w:tcPr>
            <w:tcW w:w="10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13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388,058</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8" w:name="page19"/>
    <w:bookmarkEnd w:id="18"/>
    <w:p>
      <w:pPr>
        <w:spacing w:after="0"/>
        <w:rPr>
          <w:sz w:val="20"/>
          <w:szCs w:val="20"/>
          <w:color w:val="auto"/>
        </w:rPr>
      </w:pPr>
      <w:r>
        <w:rPr>
          <w:rFonts w:ascii="Arial" w:cs="Arial" w:eastAsia="Arial" w:hAnsi="Arial"/>
          <w:sz w:val="20"/>
          <w:szCs w:val="20"/>
          <w:b w:val="1"/>
          <w:bCs w:val="1"/>
          <w:color w:val="auto"/>
        </w:rPr>
        <w:t>(L) PENSION AND EMPLOYEE BENEFIT PLANS</w:t>
      </w:r>
    </w:p>
    <w:p>
      <w:pPr>
        <w:spacing w:after="0" w:line="134"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We sponsor several defined benefit pension plans and defined contribution plans, which together cover substantially all our employees. Benefits paid under the defined benefit plans covering certain hourly employees are based on years of service and the employee’s qualifying compensation over the last few years of employment.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net periodic (benefit) cost for our plans: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shd w:val="clear" w:color="auto" w:fill="004483"/>
          </w:tcPr>
          <w:p>
            <w:pPr>
              <w:spacing w:after="0"/>
              <w:rPr>
                <w:sz w:val="19"/>
                <w:szCs w:val="19"/>
                <w:color w:val="auto"/>
              </w:rPr>
            </w:pPr>
          </w:p>
        </w:tc>
        <w:tc>
          <w:tcPr>
            <w:tcW w:w="2720" w:type="dxa"/>
            <w:vAlign w:val="bottom"/>
            <w:gridSpan w:val="6"/>
            <w:shd w:val="clear" w:color="auto" w:fill="004483"/>
          </w:tcPr>
          <w:p>
            <w:pPr>
              <w:jc w:val="right"/>
              <w:ind w:right="300"/>
              <w:spacing w:after="0"/>
              <w:rPr>
                <w:sz w:val="20"/>
                <w:szCs w:val="20"/>
                <w:color w:val="auto"/>
              </w:rPr>
            </w:pPr>
            <w:r>
              <w:rPr>
                <w:rFonts w:ascii="Arial" w:cs="Arial" w:eastAsia="Arial" w:hAnsi="Arial"/>
                <w:sz w:val="13"/>
                <w:szCs w:val="13"/>
                <w:b w:val="1"/>
                <w:bCs w:val="1"/>
                <w:color w:val="FFFFFF"/>
                <w:w w:val="89"/>
              </w:rPr>
              <w:t>For the Three Months Ended September 30,</w:t>
            </w:r>
          </w:p>
        </w:tc>
        <w:tc>
          <w:tcPr>
            <w:tcW w:w="140" w:type="dxa"/>
            <w:vAlign w:val="bottom"/>
          </w:tcPr>
          <w:p>
            <w:pPr>
              <w:spacing w:after="0"/>
              <w:rPr>
                <w:sz w:val="19"/>
                <w:szCs w:val="19"/>
                <w:color w:val="auto"/>
              </w:rPr>
            </w:pPr>
          </w:p>
        </w:tc>
        <w:tc>
          <w:tcPr>
            <w:tcW w:w="160" w:type="dxa"/>
            <w:vAlign w:val="bottom"/>
            <w:shd w:val="clear" w:color="auto" w:fill="004483"/>
          </w:tcPr>
          <w:p>
            <w:pPr>
              <w:spacing w:after="0"/>
              <w:rPr>
                <w:sz w:val="19"/>
                <w:szCs w:val="19"/>
                <w:color w:val="auto"/>
              </w:rPr>
            </w:pPr>
          </w:p>
        </w:tc>
        <w:tc>
          <w:tcPr>
            <w:tcW w:w="2720" w:type="dxa"/>
            <w:vAlign w:val="bottom"/>
            <w:gridSpan w:val="6"/>
            <w:shd w:val="clear" w:color="auto" w:fill="004483"/>
          </w:tcPr>
          <w:p>
            <w:pPr>
              <w:jc w:val="right"/>
              <w:ind w:right="400"/>
              <w:spacing w:after="0"/>
              <w:rPr>
                <w:sz w:val="20"/>
                <w:szCs w:val="20"/>
                <w:color w:val="auto"/>
              </w:rPr>
            </w:pPr>
            <w:r>
              <w:rPr>
                <w:rFonts w:ascii="Arial" w:cs="Arial" w:eastAsia="Arial" w:hAnsi="Arial"/>
                <w:sz w:val="13"/>
                <w:szCs w:val="13"/>
                <w:b w:val="1"/>
                <w:bCs w:val="1"/>
                <w:color w:val="FFFFFF"/>
                <w:w w:val="90"/>
              </w:rPr>
              <w:t>For the Six Months Ended September 30,</w:t>
            </w:r>
          </w:p>
        </w:tc>
      </w:tr>
      <w:tr>
        <w:trPr>
          <w:trHeight w:val="148"/>
        </w:trPr>
        <w:tc>
          <w:tcPr>
            <w:tcW w:w="4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2"/>
                <w:szCs w:val="12"/>
                <w:color w:val="auto"/>
              </w:rPr>
            </w:pPr>
          </w:p>
        </w:tc>
      </w:tr>
      <w:tr>
        <w:trPr>
          <w:trHeight w:val="149"/>
        </w:trPr>
        <w:tc>
          <w:tcPr>
            <w:tcW w:w="4280" w:type="dxa"/>
            <w:vAlign w:val="bottom"/>
            <w:tcBorders>
              <w:bottom w:val="single" w:sz="8" w:color="004483"/>
            </w:tcBorders>
          </w:tcPr>
          <w:p>
            <w:pPr>
              <w:spacing w:after="0"/>
              <w:rPr>
                <w:sz w:val="12"/>
                <w:szCs w:val="12"/>
                <w:color w:val="auto"/>
              </w:rPr>
            </w:pPr>
          </w:p>
        </w:tc>
        <w:tc>
          <w:tcPr>
            <w:tcW w:w="1080" w:type="dxa"/>
            <w:vAlign w:val="bottom"/>
            <w:tcBorders>
              <w:bottom w:val="single" w:sz="8" w:color="004483"/>
            </w:tcBorders>
          </w:tcPr>
          <w:p>
            <w:pPr>
              <w:spacing w:after="0"/>
              <w:rPr>
                <w:sz w:val="12"/>
                <w:szCs w:val="12"/>
                <w:color w:val="auto"/>
              </w:rPr>
            </w:pPr>
          </w:p>
        </w:tc>
        <w:tc>
          <w:tcPr>
            <w:tcW w:w="140" w:type="dxa"/>
            <w:vAlign w:val="bottom"/>
            <w:tcBorders>
              <w:bottom w:val="single" w:sz="8" w:color="004483"/>
            </w:tcBorders>
          </w:tcPr>
          <w:p>
            <w:pPr>
              <w:spacing w:after="0"/>
              <w:rPr>
                <w:sz w:val="12"/>
                <w:szCs w:val="12"/>
                <w:color w:val="auto"/>
              </w:rPr>
            </w:pPr>
          </w:p>
        </w:tc>
        <w:tc>
          <w:tcPr>
            <w:tcW w:w="1120" w:type="dxa"/>
            <w:vAlign w:val="bottom"/>
            <w:tcBorders>
              <w:bottom w:val="single" w:sz="8" w:color="004483"/>
            </w:tcBorders>
          </w:tcPr>
          <w:p>
            <w:pPr>
              <w:spacing w:after="0"/>
              <w:rPr>
                <w:sz w:val="12"/>
                <w:szCs w:val="12"/>
                <w:color w:val="auto"/>
              </w:rPr>
            </w:pPr>
          </w:p>
        </w:tc>
        <w:tc>
          <w:tcPr>
            <w:tcW w:w="120" w:type="dxa"/>
            <w:vAlign w:val="bottom"/>
            <w:tcBorders>
              <w:bottom w:val="single" w:sz="8" w:color="004483"/>
            </w:tcBorders>
          </w:tcPr>
          <w:p>
            <w:pPr>
              <w:spacing w:after="0"/>
              <w:rPr>
                <w:sz w:val="12"/>
                <w:szCs w:val="12"/>
                <w:color w:val="auto"/>
              </w:rPr>
            </w:pPr>
          </w:p>
        </w:tc>
        <w:tc>
          <w:tcPr>
            <w:tcW w:w="120" w:type="dxa"/>
            <w:vAlign w:val="bottom"/>
            <w:tcBorders>
              <w:bottom w:val="single" w:sz="8" w:color="004483"/>
            </w:tcBorders>
          </w:tcPr>
          <w:p>
            <w:pPr>
              <w:spacing w:after="0"/>
              <w:rPr>
                <w:sz w:val="12"/>
                <w:szCs w:val="12"/>
                <w:color w:val="auto"/>
              </w:rPr>
            </w:pPr>
          </w:p>
        </w:tc>
        <w:tc>
          <w:tcPr>
            <w:tcW w:w="460" w:type="dxa"/>
            <w:vAlign w:val="bottom"/>
            <w:tcBorders>
              <w:bottom w:val="single" w:sz="8" w:color="004483"/>
            </w:tcBorders>
          </w:tcPr>
          <w:p>
            <w:pPr>
              <w:spacing w:after="0"/>
              <w:rPr>
                <w:sz w:val="12"/>
                <w:szCs w:val="12"/>
                <w:color w:val="auto"/>
              </w:rPr>
            </w:pPr>
          </w:p>
        </w:tc>
        <w:tc>
          <w:tcPr>
            <w:tcW w:w="2520" w:type="dxa"/>
            <w:vAlign w:val="bottom"/>
            <w:tcBorders>
              <w:bottom w:val="single" w:sz="8" w:color="004483"/>
            </w:tcBorders>
            <w:gridSpan w:val="7"/>
          </w:tcPr>
          <w:p>
            <w:pPr>
              <w:ind w:left="380"/>
              <w:spacing w:after="0"/>
              <w:rPr>
                <w:sz w:val="20"/>
                <w:szCs w:val="20"/>
                <w:color w:val="auto"/>
              </w:rPr>
            </w:pPr>
            <w:r>
              <w:rPr>
                <w:rFonts w:ascii="Arial" w:cs="Arial" w:eastAsia="Arial" w:hAnsi="Arial"/>
                <w:sz w:val="13"/>
                <w:szCs w:val="13"/>
                <w:color w:val="auto"/>
              </w:rPr>
              <w:t>(dollars in thousands)</w:t>
            </w:r>
          </w:p>
        </w:tc>
        <w:tc>
          <w:tcPr>
            <w:tcW w:w="540" w:type="dxa"/>
            <w:vAlign w:val="bottom"/>
            <w:tcBorders>
              <w:bottom w:val="single" w:sz="8" w:color="004483"/>
            </w:tcBorders>
          </w:tcPr>
          <w:p>
            <w:pPr>
              <w:spacing w:after="0"/>
              <w:rPr>
                <w:sz w:val="12"/>
                <w:szCs w:val="12"/>
                <w:color w:val="auto"/>
              </w:rPr>
            </w:pPr>
          </w:p>
        </w:tc>
        <w:tc>
          <w:tcPr>
            <w:tcW w:w="760" w:type="dxa"/>
            <w:vAlign w:val="bottom"/>
            <w:tcBorders>
              <w:bottom w:val="single" w:sz="8" w:color="004483"/>
            </w:tcBorders>
          </w:tcPr>
          <w:p>
            <w:pPr>
              <w:spacing w:after="0"/>
              <w:rPr>
                <w:sz w:val="12"/>
                <w:szCs w:val="12"/>
                <w:color w:val="auto"/>
              </w:rPr>
            </w:pPr>
          </w:p>
        </w:tc>
        <w:tc>
          <w:tcPr>
            <w:tcW w:w="100" w:type="dxa"/>
            <w:vAlign w:val="bottom"/>
          </w:tcPr>
          <w:p>
            <w:pPr>
              <w:spacing w:after="0"/>
              <w:rPr>
                <w:sz w:val="12"/>
                <w:szCs w:val="12"/>
                <w:color w:val="auto"/>
              </w:rPr>
            </w:pPr>
          </w:p>
        </w:tc>
      </w:tr>
      <w:tr>
        <w:trPr>
          <w:trHeight w:val="207"/>
        </w:trPr>
        <w:tc>
          <w:tcPr>
            <w:tcW w:w="4280" w:type="dxa"/>
            <w:vAlign w:val="bottom"/>
          </w:tcPr>
          <w:p>
            <w:pPr>
              <w:spacing w:after="0"/>
              <w:rPr>
                <w:sz w:val="20"/>
                <w:szCs w:val="20"/>
                <w:color w:val="auto"/>
              </w:rPr>
            </w:pPr>
            <w:r>
              <w:rPr>
                <w:rFonts w:ascii="Arial" w:cs="Arial" w:eastAsia="Arial" w:hAnsi="Arial"/>
                <w:sz w:val="16"/>
                <w:szCs w:val="16"/>
                <w:color w:val="auto"/>
              </w:rPr>
              <w:t>Service Cost - Benefits Earned During the Period</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304"/>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7"/>
                <w:szCs w:val="17"/>
                <w:color w:val="auto"/>
              </w:rPr>
            </w:pPr>
          </w:p>
        </w:tc>
        <w:tc>
          <w:tcPr>
            <w:tcW w:w="30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13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7"/>
                <w:szCs w:val="17"/>
                <w:color w:val="auto"/>
              </w:rPr>
            </w:pPr>
          </w:p>
        </w:tc>
      </w:tr>
      <w:tr>
        <w:trPr>
          <w:trHeight w:val="209"/>
        </w:trPr>
        <w:tc>
          <w:tcPr>
            <w:tcW w:w="428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6"/>
                <w:szCs w:val="16"/>
                <w:color w:val="auto"/>
              </w:rPr>
              <w:t>Interest Cost of Projected Benefit Obligation</w:t>
            </w:r>
          </w:p>
        </w:tc>
        <w:tc>
          <w:tcPr>
            <w:tcW w:w="1080" w:type="dxa"/>
            <w:vAlign w:val="bottom"/>
            <w:tcBorders>
              <w:top w:val="single" w:sz="8" w:color="A6A6A6"/>
              <w:bottom w:val="single" w:sz="8" w:color="A6A6A6"/>
            </w:tcBorders>
          </w:tcPr>
          <w:p>
            <w:pPr>
              <w:spacing w:after="0"/>
              <w:rPr>
                <w:sz w:val="18"/>
                <w:szCs w:val="18"/>
                <w:color w:val="auto"/>
              </w:rPr>
            </w:pPr>
          </w:p>
        </w:tc>
        <w:tc>
          <w:tcPr>
            <w:tcW w:w="140" w:type="dxa"/>
            <w:vAlign w:val="bottom"/>
            <w:tcBorders>
              <w:top w:val="single" w:sz="8" w:color="A6A6A6"/>
              <w:bottom w:val="single" w:sz="8" w:color="A6A6A6"/>
            </w:tcBorders>
          </w:tcPr>
          <w:p>
            <w:pPr>
              <w:spacing w:after="0"/>
              <w:rPr>
                <w:sz w:val="18"/>
                <w:szCs w:val="18"/>
                <w:color w:val="auto"/>
              </w:rPr>
            </w:pPr>
          </w:p>
        </w:tc>
        <w:tc>
          <w:tcPr>
            <w:tcW w:w="11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304</w:t>
            </w: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460" w:type="dxa"/>
            <w:vAlign w:val="bottom"/>
            <w:tcBorders>
              <w:top w:val="single" w:sz="8" w:color="A6A6A6"/>
              <w:bottom w:val="single" w:sz="8" w:color="A6A6A6"/>
            </w:tcBorders>
          </w:tcPr>
          <w:p>
            <w:pPr>
              <w:spacing w:after="0"/>
              <w:rPr>
                <w:sz w:val="18"/>
                <w:szCs w:val="18"/>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18"/>
                <w:szCs w:val="18"/>
                <w:color w:val="auto"/>
              </w:rPr>
            </w:pPr>
          </w:p>
        </w:tc>
        <w:tc>
          <w:tcPr>
            <w:tcW w:w="140" w:type="dxa"/>
            <w:vAlign w:val="bottom"/>
            <w:tcBorders>
              <w:top w:val="single" w:sz="8" w:color="A6A6A6"/>
              <w:bottom w:val="single" w:sz="8" w:color="A6A6A6"/>
            </w:tcBorders>
          </w:tcPr>
          <w:p>
            <w:pPr>
              <w:spacing w:after="0"/>
              <w:rPr>
                <w:sz w:val="18"/>
                <w:szCs w:val="18"/>
                <w:color w:val="auto"/>
              </w:rPr>
            </w:pPr>
          </w:p>
        </w:tc>
        <w:tc>
          <w:tcPr>
            <w:tcW w:w="160" w:type="dxa"/>
            <w:vAlign w:val="bottom"/>
            <w:tcBorders>
              <w:top w:val="single" w:sz="8" w:color="A6A6A6"/>
              <w:bottom w:val="single" w:sz="8" w:color="A6A6A6"/>
            </w:tcBorders>
          </w:tcPr>
          <w:p>
            <w:pPr>
              <w:spacing w:after="0"/>
              <w:rPr>
                <w:sz w:val="18"/>
                <w:szCs w:val="18"/>
                <w:color w:val="auto"/>
              </w:rPr>
            </w:pPr>
          </w:p>
        </w:tc>
        <w:tc>
          <w:tcPr>
            <w:tcW w:w="11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608</w:t>
            </w: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540" w:type="dxa"/>
            <w:vAlign w:val="bottom"/>
            <w:tcBorders>
              <w:top w:val="single" w:sz="8" w:color="A6A6A6"/>
              <w:bottom w:val="single" w:sz="8" w:color="A6A6A6"/>
            </w:tcBorders>
          </w:tcPr>
          <w:p>
            <w:pPr>
              <w:spacing w:after="0"/>
              <w:rPr>
                <w:sz w:val="18"/>
                <w:szCs w:val="18"/>
                <w:color w:val="auto"/>
              </w:rPr>
            </w:pPr>
          </w:p>
        </w:tc>
        <w:tc>
          <w:tcPr>
            <w:tcW w:w="7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675</w:t>
            </w:r>
          </w:p>
        </w:tc>
        <w:tc>
          <w:tcPr>
            <w:tcW w:w="100" w:type="dxa"/>
            <w:vAlign w:val="bottom"/>
          </w:tcPr>
          <w:p>
            <w:pPr>
              <w:spacing w:after="0"/>
              <w:rPr>
                <w:sz w:val="18"/>
                <w:szCs w:val="18"/>
                <w:color w:val="auto"/>
              </w:rPr>
            </w:pPr>
          </w:p>
        </w:tc>
      </w:tr>
      <w:tr>
        <w:trPr>
          <w:trHeight w:val="209"/>
        </w:trPr>
        <w:tc>
          <w:tcPr>
            <w:tcW w:w="4280" w:type="dxa"/>
            <w:vAlign w:val="bottom"/>
          </w:tcPr>
          <w:p>
            <w:pPr>
              <w:spacing w:after="0"/>
              <w:rPr>
                <w:sz w:val="20"/>
                <w:szCs w:val="20"/>
                <w:color w:val="auto"/>
              </w:rPr>
            </w:pPr>
            <w:r>
              <w:rPr>
                <w:rFonts w:ascii="Arial" w:cs="Arial" w:eastAsia="Arial" w:hAnsi="Arial"/>
                <w:sz w:val="16"/>
                <w:szCs w:val="16"/>
                <w:color w:val="auto"/>
              </w:rPr>
              <w:t>Expected Return on Plan Assets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(355)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(426)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(710)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(853)</w:t>
            </w:r>
          </w:p>
        </w:tc>
      </w:tr>
      <w:tr>
        <w:trPr>
          <w:trHeight w:val="209"/>
        </w:trPr>
        <w:tc>
          <w:tcPr>
            <w:tcW w:w="428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6"/>
                <w:szCs w:val="16"/>
                <w:color w:val="auto"/>
              </w:rPr>
              <w:t>Recognized Net Actuarial Loss</w:t>
            </w:r>
          </w:p>
        </w:tc>
        <w:tc>
          <w:tcPr>
            <w:tcW w:w="1080" w:type="dxa"/>
            <w:vAlign w:val="bottom"/>
            <w:tcBorders>
              <w:top w:val="single" w:sz="8" w:color="A6A6A6"/>
              <w:bottom w:val="single" w:sz="8" w:color="A6A6A6"/>
            </w:tcBorders>
          </w:tcPr>
          <w:p>
            <w:pPr>
              <w:spacing w:after="0"/>
              <w:rPr>
                <w:sz w:val="18"/>
                <w:szCs w:val="18"/>
                <w:color w:val="auto"/>
              </w:rPr>
            </w:pPr>
          </w:p>
        </w:tc>
        <w:tc>
          <w:tcPr>
            <w:tcW w:w="140" w:type="dxa"/>
            <w:vAlign w:val="bottom"/>
            <w:tcBorders>
              <w:top w:val="single" w:sz="8" w:color="A6A6A6"/>
              <w:bottom w:val="single" w:sz="8" w:color="004483"/>
            </w:tcBorders>
          </w:tcPr>
          <w:p>
            <w:pPr>
              <w:spacing w:after="0"/>
              <w:rPr>
                <w:sz w:val="18"/>
                <w:szCs w:val="18"/>
                <w:color w:val="auto"/>
              </w:rPr>
            </w:pPr>
          </w:p>
        </w:tc>
        <w:tc>
          <w:tcPr>
            <w:tcW w:w="112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460" w:type="dxa"/>
            <w:vAlign w:val="bottom"/>
            <w:tcBorders>
              <w:top w:val="single" w:sz="8" w:color="A6A6A6"/>
              <w:bottom w:val="single" w:sz="8" w:color="004483"/>
            </w:tcBorders>
          </w:tcPr>
          <w:p>
            <w:pPr>
              <w:spacing w:after="0"/>
              <w:rPr>
                <w:sz w:val="18"/>
                <w:szCs w:val="18"/>
                <w:color w:val="auto"/>
              </w:rPr>
            </w:pPr>
          </w:p>
        </w:tc>
        <w:tc>
          <w:tcPr>
            <w:tcW w:w="8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140" w:type="dxa"/>
            <w:vAlign w:val="bottom"/>
            <w:tcBorders>
              <w:top w:val="single" w:sz="8" w:color="A6A6A6"/>
              <w:bottom w:val="single" w:sz="8" w:color="A6A6A6"/>
            </w:tcBorders>
          </w:tcPr>
          <w:p>
            <w:pPr>
              <w:spacing w:after="0"/>
              <w:rPr>
                <w:sz w:val="18"/>
                <w:szCs w:val="18"/>
                <w:color w:val="auto"/>
              </w:rPr>
            </w:pPr>
          </w:p>
        </w:tc>
        <w:tc>
          <w:tcPr>
            <w:tcW w:w="160" w:type="dxa"/>
            <w:vAlign w:val="bottom"/>
            <w:tcBorders>
              <w:top w:val="single" w:sz="8" w:color="A6A6A6"/>
              <w:bottom w:val="single" w:sz="8" w:color="004483"/>
            </w:tcBorders>
          </w:tcPr>
          <w:p>
            <w:pPr>
              <w:spacing w:after="0"/>
              <w:rPr>
                <w:sz w:val="18"/>
                <w:szCs w:val="18"/>
                <w:color w:val="auto"/>
              </w:rPr>
            </w:pPr>
          </w:p>
        </w:tc>
        <w:tc>
          <w:tcPr>
            <w:tcW w:w="11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540" w:type="dxa"/>
            <w:vAlign w:val="bottom"/>
            <w:tcBorders>
              <w:top w:val="single" w:sz="8" w:color="A6A6A6"/>
              <w:bottom w:val="single" w:sz="8" w:color="004483"/>
            </w:tcBorders>
          </w:tcPr>
          <w:p>
            <w:pPr>
              <w:spacing w:after="0"/>
              <w:rPr>
                <w:sz w:val="18"/>
                <w:szCs w:val="18"/>
                <w:color w:val="auto"/>
              </w:rPr>
            </w:pPr>
          </w:p>
        </w:tc>
        <w:tc>
          <w:tcPr>
            <w:tcW w:w="76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r>
      <w:tr>
        <w:trPr>
          <w:trHeight w:val="210"/>
        </w:trPr>
        <w:tc>
          <w:tcPr>
            <w:tcW w:w="4280" w:type="dxa"/>
            <w:vAlign w:val="bottom"/>
          </w:tcPr>
          <w:p>
            <w:pPr>
              <w:ind w:left="260"/>
              <w:spacing w:after="0"/>
              <w:rPr>
                <w:sz w:val="20"/>
                <w:szCs w:val="20"/>
                <w:color w:val="auto"/>
              </w:rPr>
            </w:pPr>
            <w:r>
              <w:rPr>
                <w:rFonts w:ascii="Arial" w:cs="Arial" w:eastAsia="Arial" w:hAnsi="Arial"/>
                <w:sz w:val="16"/>
                <w:szCs w:val="16"/>
                <w:b w:val="1"/>
                <w:bCs w:val="1"/>
                <w:color w:val="auto"/>
              </w:rPr>
              <w:t>Net Periodic Pension (Benefit) Cost</w:t>
            </w:r>
          </w:p>
        </w:tc>
        <w:tc>
          <w:tcPr>
            <w:tcW w:w="1080" w:type="dxa"/>
            <w:vAlign w:val="bottom"/>
          </w:tcPr>
          <w:p>
            <w:pPr>
              <w:spacing w:after="0"/>
              <w:rPr>
                <w:sz w:val="18"/>
                <w:szCs w:val="18"/>
                <w:color w:val="auto"/>
              </w:rPr>
            </w:pPr>
          </w:p>
        </w:tc>
        <w:tc>
          <w:tcPr>
            <w:tcW w:w="140" w:type="dxa"/>
            <w:vAlign w:val="bottom"/>
            <w:tcBorders>
              <w:bottom w:val="single" w:sz="8" w:color="004483"/>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004483"/>
            </w:tcBorders>
          </w:tcPr>
          <w:p>
            <w:pPr>
              <w:jc w:val="right"/>
              <w:ind w:right="304"/>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004483"/>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bottom w:val="single" w:sz="8" w:color="004483"/>
            </w:tcBorders>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80</w:t>
            </w:r>
          </w:p>
        </w:tc>
        <w:tc>
          <w:tcPr>
            <w:tcW w:w="100" w:type="dxa"/>
            <w:vAlign w:val="bottom"/>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 INCOME TAXES</w:t>
      </w:r>
    </w:p>
    <w:p>
      <w:pPr>
        <w:spacing w:after="0" w:line="14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Income Taxes for the interim periods presented have been included in the accompanying financial statements on the basis of an estimated annual effective tax rate. In addition to the amount of tax resulting from applying the estimated annual effective tax rate to pre-tax income, we will include, when appropriate, certain items treated as discrete events to arrive at an estimated overall tax amount. The effective tax rate for the six months ended September 30, 2020 was approximately 22%, which was lower than the tax rate of 24% for the six months ended September 30, 2019. The effective tax rate is higher than the U.S. Statutory rate of 21% primarily due to state income taxes, partially offset by a benefit recognized related to the reversal of all of our uncertain tax position. The reversal of all of our uncertain tax position was the result of new regulations issued by the U.S. Department of Treasury relating to the interest limitation under IRC section 163(j).</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 LONG-TERM DEBT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20" w:type="dxa"/>
            <w:vAlign w:val="bottom"/>
            <w:shd w:val="clear" w:color="auto" w:fill="004483"/>
          </w:tcPr>
          <w:p>
            <w:pPr>
              <w:spacing w:after="0"/>
              <w:rPr>
                <w:sz w:val="19"/>
                <w:szCs w:val="19"/>
                <w:color w:val="auto"/>
              </w:rPr>
            </w:pPr>
          </w:p>
        </w:tc>
        <w:tc>
          <w:tcPr>
            <w:tcW w:w="1420" w:type="dxa"/>
            <w:vAlign w:val="bottom"/>
            <w:gridSpan w:val="3"/>
            <w:shd w:val="clear" w:color="auto" w:fill="004483"/>
          </w:tcPr>
          <w:p>
            <w:pPr>
              <w:ind w:left="340"/>
              <w:spacing w:after="0"/>
              <w:rPr>
                <w:sz w:val="20"/>
                <w:szCs w:val="20"/>
                <w:color w:val="auto"/>
              </w:rPr>
            </w:pPr>
            <w:r>
              <w:rPr>
                <w:rFonts w:ascii="Arial" w:cs="Arial" w:eastAsia="Arial" w:hAnsi="Arial"/>
                <w:sz w:val="13"/>
                <w:szCs w:val="13"/>
                <w:b w:val="1"/>
                <w:bCs w:val="1"/>
                <w:color w:val="FFFFFF"/>
              </w:rPr>
              <w:t>September 30,</w:t>
            </w:r>
          </w:p>
        </w:tc>
        <w:tc>
          <w:tcPr>
            <w:tcW w:w="660" w:type="dxa"/>
            <w:vAlign w:val="bottom"/>
            <w:shd w:val="clear" w:color="auto" w:fill="004483"/>
          </w:tcPr>
          <w:p>
            <w:pPr>
              <w:spacing w:after="0"/>
              <w:rPr>
                <w:sz w:val="19"/>
                <w:szCs w:val="19"/>
                <w:color w:val="auto"/>
              </w:rPr>
            </w:pPr>
          </w:p>
        </w:tc>
        <w:tc>
          <w:tcPr>
            <w:tcW w:w="1020" w:type="dxa"/>
            <w:vAlign w:val="bottom"/>
            <w:gridSpan w:val="2"/>
            <w:shd w:val="clear" w:color="auto" w:fill="004483"/>
          </w:tcPr>
          <w:p>
            <w:pPr>
              <w:jc w:val="right"/>
              <w:ind w:right="120"/>
              <w:spacing w:after="0"/>
              <w:rPr>
                <w:sz w:val="20"/>
                <w:szCs w:val="20"/>
                <w:color w:val="auto"/>
              </w:rPr>
            </w:pPr>
            <w:r>
              <w:rPr>
                <w:rFonts w:ascii="Arial" w:cs="Arial" w:eastAsia="Arial" w:hAnsi="Arial"/>
                <w:sz w:val="13"/>
                <w:szCs w:val="13"/>
                <w:b w:val="1"/>
                <w:bCs w:val="1"/>
                <w:color w:val="FFFFFF"/>
              </w:rPr>
              <w:t>March 31,</w:t>
            </w:r>
          </w:p>
        </w:tc>
      </w:tr>
      <w:tr>
        <w:trPr>
          <w:trHeight w:val="148"/>
        </w:trPr>
        <w:tc>
          <w:tcPr>
            <w:tcW w:w="52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2"/>
                <w:szCs w:val="12"/>
                <w:color w:val="auto"/>
              </w:rPr>
            </w:pPr>
          </w:p>
        </w:tc>
      </w:tr>
      <w:tr>
        <w:trPr>
          <w:trHeight w:val="149"/>
        </w:trPr>
        <w:tc>
          <w:tcPr>
            <w:tcW w:w="5260" w:type="dxa"/>
            <w:vAlign w:val="bottom"/>
            <w:tcBorders>
              <w:bottom w:val="single" w:sz="8" w:color="004483"/>
            </w:tcBorders>
          </w:tcPr>
          <w:p>
            <w:pPr>
              <w:spacing w:after="0"/>
              <w:rPr>
                <w:sz w:val="12"/>
                <w:szCs w:val="12"/>
                <w:color w:val="auto"/>
              </w:rPr>
            </w:pPr>
          </w:p>
        </w:tc>
        <w:tc>
          <w:tcPr>
            <w:tcW w:w="2460" w:type="dxa"/>
            <w:vAlign w:val="bottom"/>
            <w:tcBorders>
              <w:bottom w:val="single" w:sz="8" w:color="004483"/>
            </w:tcBorders>
          </w:tcPr>
          <w:p>
            <w:pPr>
              <w:spacing w:after="0"/>
              <w:rPr>
                <w:sz w:val="12"/>
                <w:szCs w:val="12"/>
                <w:color w:val="auto"/>
              </w:rPr>
            </w:pPr>
          </w:p>
        </w:tc>
        <w:tc>
          <w:tcPr>
            <w:tcW w:w="420" w:type="dxa"/>
            <w:vAlign w:val="bottom"/>
            <w:tcBorders>
              <w:bottom w:val="single" w:sz="8" w:color="004483"/>
            </w:tcBorders>
          </w:tcPr>
          <w:p>
            <w:pPr>
              <w:spacing w:after="0"/>
              <w:rPr>
                <w:sz w:val="12"/>
                <w:szCs w:val="12"/>
                <w:color w:val="auto"/>
              </w:rPr>
            </w:pPr>
          </w:p>
        </w:tc>
        <w:tc>
          <w:tcPr>
            <w:tcW w:w="2080" w:type="dxa"/>
            <w:vAlign w:val="bottom"/>
            <w:tcBorders>
              <w:bottom w:val="single" w:sz="8" w:color="004483"/>
            </w:tcBorders>
            <w:gridSpan w:val="4"/>
          </w:tcPr>
          <w:p>
            <w:pPr>
              <w:jc w:val="right"/>
              <w:ind w:right="184"/>
              <w:spacing w:after="0"/>
              <w:rPr>
                <w:sz w:val="20"/>
                <w:szCs w:val="20"/>
                <w:color w:val="auto"/>
              </w:rPr>
            </w:pPr>
            <w:r>
              <w:rPr>
                <w:rFonts w:ascii="Arial" w:cs="Arial" w:eastAsia="Arial" w:hAnsi="Arial"/>
                <w:sz w:val="13"/>
                <w:szCs w:val="13"/>
                <w:color w:val="auto"/>
              </w:rPr>
              <w:t>(dollars in thousands)</w:t>
            </w:r>
          </w:p>
        </w:tc>
        <w:tc>
          <w:tcPr>
            <w:tcW w:w="920" w:type="dxa"/>
            <w:vAlign w:val="bottom"/>
            <w:tcBorders>
              <w:bottom w:val="single" w:sz="8" w:color="004483"/>
            </w:tcBorders>
          </w:tcPr>
          <w:p>
            <w:pPr>
              <w:spacing w:after="0"/>
              <w:rPr>
                <w:sz w:val="12"/>
                <w:szCs w:val="12"/>
                <w:color w:val="auto"/>
              </w:rPr>
            </w:pPr>
          </w:p>
        </w:tc>
        <w:tc>
          <w:tcPr>
            <w:tcW w:w="100" w:type="dxa"/>
            <w:vAlign w:val="bottom"/>
          </w:tcPr>
          <w:p>
            <w:pPr>
              <w:spacing w:after="0"/>
              <w:rPr>
                <w:sz w:val="12"/>
                <w:szCs w:val="12"/>
                <w:color w:val="auto"/>
              </w:rPr>
            </w:pPr>
          </w:p>
        </w:tc>
      </w:tr>
      <w:tr>
        <w:trPr>
          <w:trHeight w:val="207"/>
        </w:trPr>
        <w:tc>
          <w:tcPr>
            <w:tcW w:w="5260" w:type="dxa"/>
            <w:vAlign w:val="bottom"/>
            <w:tcBorders>
              <w:bottom w:val="single" w:sz="8" w:color="A6A6A6"/>
            </w:tcBorders>
          </w:tcPr>
          <w:p>
            <w:pPr>
              <w:spacing w:after="0"/>
              <w:rPr>
                <w:sz w:val="20"/>
                <w:szCs w:val="20"/>
                <w:color w:val="auto"/>
              </w:rPr>
            </w:pPr>
            <w:r>
              <w:rPr>
                <w:rFonts w:ascii="Arial" w:cs="Arial" w:eastAsia="Arial" w:hAnsi="Arial"/>
                <w:sz w:val="16"/>
                <w:szCs w:val="16"/>
                <w:color w:val="004483"/>
              </w:rPr>
              <w:t>Revolving Credit Facility</w:t>
            </w:r>
          </w:p>
        </w:tc>
        <w:tc>
          <w:tcPr>
            <w:tcW w:w="2880" w:type="dxa"/>
            <w:vAlign w:val="bottom"/>
            <w:tcBorders>
              <w:bottom w:val="single" w:sz="8" w:color="A6A6A6"/>
            </w:tcBorders>
            <w:gridSpan w:val="2"/>
          </w:tcPr>
          <w:p>
            <w:pPr>
              <w:jc w:val="right"/>
              <w:ind w:right="264"/>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245,000</w:t>
            </w:r>
          </w:p>
        </w:tc>
        <w:tc>
          <w:tcPr>
            <w:tcW w:w="120" w:type="dxa"/>
            <w:vAlign w:val="bottom"/>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660" w:type="dxa"/>
            <w:vAlign w:val="bottom"/>
            <w:tcBorders>
              <w:bottom w:val="single" w:sz="8" w:color="A6A6A6"/>
            </w:tcBorders>
          </w:tcPr>
          <w:p>
            <w:pPr>
              <w:jc w:val="right"/>
              <w:ind w:right="50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560,000</w:t>
            </w:r>
          </w:p>
        </w:tc>
        <w:tc>
          <w:tcPr>
            <w:tcW w:w="100" w:type="dxa"/>
            <w:vAlign w:val="bottom"/>
          </w:tcPr>
          <w:p>
            <w:pPr>
              <w:spacing w:after="0"/>
              <w:rPr>
                <w:sz w:val="17"/>
                <w:szCs w:val="17"/>
                <w:color w:val="auto"/>
              </w:rPr>
            </w:pPr>
          </w:p>
        </w:tc>
      </w:tr>
      <w:tr>
        <w:trPr>
          <w:trHeight w:val="209"/>
        </w:trPr>
        <w:tc>
          <w:tcPr>
            <w:tcW w:w="5260" w:type="dxa"/>
            <w:vAlign w:val="bottom"/>
            <w:tcBorders>
              <w:bottom w:val="single" w:sz="8" w:color="A6A6A6"/>
            </w:tcBorders>
          </w:tcPr>
          <w:p>
            <w:pPr>
              <w:spacing w:after="0"/>
              <w:rPr>
                <w:sz w:val="20"/>
                <w:szCs w:val="20"/>
                <w:color w:val="auto"/>
              </w:rPr>
            </w:pPr>
            <w:r>
              <w:rPr>
                <w:rFonts w:ascii="Arial" w:cs="Arial" w:eastAsia="Arial" w:hAnsi="Arial"/>
                <w:sz w:val="16"/>
                <w:szCs w:val="16"/>
                <w:color w:val="004483"/>
              </w:rPr>
              <w:t>4.500% Senior Unsecured Notes Due 2026</w:t>
            </w:r>
          </w:p>
        </w:tc>
        <w:tc>
          <w:tcPr>
            <w:tcW w:w="246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350,000</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350,000</w:t>
            </w:r>
          </w:p>
        </w:tc>
        <w:tc>
          <w:tcPr>
            <w:tcW w:w="100" w:type="dxa"/>
            <w:vAlign w:val="bottom"/>
          </w:tcPr>
          <w:p>
            <w:pPr>
              <w:spacing w:after="0"/>
              <w:rPr>
                <w:sz w:val="18"/>
                <w:szCs w:val="18"/>
                <w:color w:val="auto"/>
              </w:rPr>
            </w:pPr>
          </w:p>
        </w:tc>
      </w:tr>
      <w:tr>
        <w:trPr>
          <w:trHeight w:val="210"/>
        </w:trPr>
        <w:tc>
          <w:tcPr>
            <w:tcW w:w="5260" w:type="dxa"/>
            <w:vAlign w:val="bottom"/>
            <w:tcBorders>
              <w:bottom w:val="single" w:sz="8" w:color="A6A6A6"/>
            </w:tcBorders>
          </w:tcPr>
          <w:p>
            <w:pPr>
              <w:spacing w:after="0"/>
              <w:rPr>
                <w:sz w:val="20"/>
                <w:szCs w:val="20"/>
                <w:color w:val="auto"/>
              </w:rPr>
            </w:pPr>
            <w:r>
              <w:rPr>
                <w:rFonts w:ascii="Arial" w:cs="Arial" w:eastAsia="Arial" w:hAnsi="Arial"/>
                <w:sz w:val="16"/>
                <w:szCs w:val="16"/>
                <w:color w:val="004483"/>
              </w:rPr>
              <w:t>Term Loan</w:t>
            </w:r>
          </w:p>
        </w:tc>
        <w:tc>
          <w:tcPr>
            <w:tcW w:w="2460" w:type="dxa"/>
            <w:vAlign w:val="bottom"/>
            <w:tcBorders>
              <w:bottom w:val="single" w:sz="8" w:color="A6A6A6"/>
            </w:tcBorders>
          </w:tcPr>
          <w:p>
            <w:pPr>
              <w:spacing w:after="0"/>
              <w:rPr>
                <w:sz w:val="18"/>
                <w:szCs w:val="18"/>
                <w:color w:val="auto"/>
              </w:rPr>
            </w:pPr>
          </w:p>
        </w:tc>
        <w:tc>
          <w:tcPr>
            <w:tcW w:w="42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665,000</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660" w:type="dxa"/>
            <w:vAlign w:val="bottom"/>
            <w:tcBorders>
              <w:bottom w:val="single" w:sz="8" w:color="004483"/>
            </w:tcBorders>
          </w:tcPr>
          <w:p>
            <w:pPr>
              <w:spacing w:after="0"/>
              <w:rPr>
                <w:sz w:val="18"/>
                <w:szCs w:val="18"/>
                <w:color w:val="auto"/>
              </w:rPr>
            </w:pPr>
          </w:p>
        </w:tc>
        <w:tc>
          <w:tcPr>
            <w:tcW w:w="9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665,000</w:t>
            </w:r>
          </w:p>
        </w:tc>
        <w:tc>
          <w:tcPr>
            <w:tcW w:w="100" w:type="dxa"/>
            <w:vAlign w:val="bottom"/>
          </w:tcPr>
          <w:p>
            <w:pPr>
              <w:spacing w:after="0"/>
              <w:rPr>
                <w:sz w:val="18"/>
                <w:szCs w:val="18"/>
                <w:color w:val="auto"/>
              </w:rPr>
            </w:pPr>
          </w:p>
        </w:tc>
      </w:tr>
      <w:tr>
        <w:trPr>
          <w:trHeight w:val="210"/>
        </w:trPr>
        <w:tc>
          <w:tcPr>
            <w:tcW w:w="5260" w:type="dxa"/>
            <w:vAlign w:val="bottom"/>
            <w:tcBorders>
              <w:bottom w:val="single" w:sz="8" w:color="A6A6A6"/>
            </w:tcBorders>
          </w:tcPr>
          <w:p>
            <w:pPr>
              <w:spacing w:after="0"/>
              <w:rPr>
                <w:sz w:val="20"/>
                <w:szCs w:val="20"/>
                <w:color w:val="auto"/>
              </w:rPr>
            </w:pPr>
            <w:r>
              <w:rPr>
                <w:rFonts w:ascii="Arial" w:cs="Arial" w:eastAsia="Arial" w:hAnsi="Arial"/>
                <w:sz w:val="16"/>
                <w:szCs w:val="16"/>
                <w:b w:val="1"/>
                <w:bCs w:val="1"/>
                <w:color w:val="004483"/>
              </w:rPr>
              <w:t>Total Debt</w:t>
            </w:r>
          </w:p>
        </w:tc>
        <w:tc>
          <w:tcPr>
            <w:tcW w:w="246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1,260,000</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1,575,000</w:t>
            </w:r>
          </w:p>
        </w:tc>
        <w:tc>
          <w:tcPr>
            <w:tcW w:w="100" w:type="dxa"/>
            <w:vAlign w:val="bottom"/>
          </w:tcPr>
          <w:p>
            <w:pPr>
              <w:spacing w:after="0"/>
              <w:rPr>
                <w:sz w:val="18"/>
                <w:szCs w:val="18"/>
                <w:color w:val="auto"/>
              </w:rPr>
            </w:pPr>
          </w:p>
        </w:tc>
      </w:tr>
      <w:tr>
        <w:trPr>
          <w:trHeight w:val="209"/>
        </w:trPr>
        <w:tc>
          <w:tcPr>
            <w:tcW w:w="5260" w:type="dxa"/>
            <w:vAlign w:val="bottom"/>
          </w:tcPr>
          <w:p>
            <w:pPr>
              <w:spacing w:after="0"/>
              <w:rPr>
                <w:sz w:val="20"/>
                <w:szCs w:val="20"/>
                <w:color w:val="auto"/>
              </w:rPr>
            </w:pPr>
            <w:r>
              <w:rPr>
                <w:rFonts w:ascii="Arial" w:cs="Arial" w:eastAsia="Arial" w:hAnsi="Arial"/>
                <w:sz w:val="16"/>
                <w:szCs w:val="16"/>
                <w:color w:val="004483"/>
              </w:rPr>
              <w:t>Less: Debt Origination Costs</w:t>
            </w:r>
          </w:p>
        </w:tc>
        <w:tc>
          <w:tcPr>
            <w:tcW w:w="2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(7,284)</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(7,685)</w:t>
            </w:r>
          </w:p>
        </w:tc>
      </w:tr>
      <w:tr>
        <w:trPr>
          <w:trHeight w:val="210"/>
        </w:trPr>
        <w:tc>
          <w:tcPr>
            <w:tcW w:w="5260" w:type="dxa"/>
            <w:vAlign w:val="bottom"/>
            <w:tcBorders>
              <w:top w:val="single" w:sz="8" w:color="A6A6A6"/>
            </w:tcBorders>
          </w:tcPr>
          <w:p>
            <w:pPr>
              <w:spacing w:after="0"/>
              <w:rPr>
                <w:sz w:val="20"/>
                <w:szCs w:val="20"/>
                <w:color w:val="auto"/>
              </w:rPr>
            </w:pPr>
            <w:r>
              <w:rPr>
                <w:rFonts w:ascii="Arial" w:cs="Arial" w:eastAsia="Arial" w:hAnsi="Arial"/>
                <w:sz w:val="16"/>
                <w:szCs w:val="16"/>
                <w:b w:val="1"/>
                <w:bCs w:val="1"/>
                <w:color w:val="004483"/>
              </w:rPr>
              <w:t>Long-term Debt</w:t>
            </w:r>
          </w:p>
        </w:tc>
        <w:tc>
          <w:tcPr>
            <w:tcW w:w="2460" w:type="dxa"/>
            <w:vAlign w:val="bottom"/>
            <w:tcBorders>
              <w:top w:val="single" w:sz="8" w:color="A6A6A6"/>
            </w:tcBorders>
          </w:tcPr>
          <w:p>
            <w:pPr>
              <w:spacing w:after="0"/>
              <w:rPr>
                <w:sz w:val="18"/>
                <w:szCs w:val="18"/>
                <w:color w:val="auto"/>
              </w:rPr>
            </w:pPr>
          </w:p>
        </w:tc>
        <w:tc>
          <w:tcPr>
            <w:tcW w:w="420" w:type="dxa"/>
            <w:vAlign w:val="bottom"/>
            <w:tcBorders>
              <w:top w:val="single" w:sz="8" w:color="004483"/>
              <w:bottom w:val="single" w:sz="8" w:color="004483"/>
            </w:tcBorders>
          </w:tcPr>
          <w:p>
            <w:pPr>
              <w:jc w:val="right"/>
              <w:ind w:right="264"/>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1,252,716</w:t>
            </w:r>
          </w:p>
        </w:tc>
        <w:tc>
          <w:tcPr>
            <w:tcW w:w="120" w:type="dxa"/>
            <w:vAlign w:val="bottom"/>
          </w:tcPr>
          <w:p>
            <w:pPr>
              <w:spacing w:after="0"/>
              <w:rPr>
                <w:sz w:val="18"/>
                <w:szCs w:val="18"/>
                <w:color w:val="auto"/>
              </w:rPr>
            </w:pPr>
          </w:p>
        </w:tc>
        <w:tc>
          <w:tcPr>
            <w:tcW w:w="180" w:type="dxa"/>
            <w:vAlign w:val="bottom"/>
            <w:tcBorders>
              <w:top w:val="single" w:sz="8" w:color="A6A6A6"/>
            </w:tcBorders>
          </w:tcPr>
          <w:p>
            <w:pPr>
              <w:spacing w:after="0"/>
              <w:rPr>
                <w:sz w:val="18"/>
                <w:szCs w:val="18"/>
                <w:color w:val="auto"/>
              </w:rPr>
            </w:pPr>
          </w:p>
        </w:tc>
        <w:tc>
          <w:tcPr>
            <w:tcW w:w="660" w:type="dxa"/>
            <w:vAlign w:val="bottom"/>
            <w:tcBorders>
              <w:top w:val="single" w:sz="8" w:color="004483"/>
              <w:bottom w:val="single" w:sz="8" w:color="004483"/>
            </w:tcBorders>
          </w:tcPr>
          <w:p>
            <w:pPr>
              <w:jc w:val="right"/>
              <w:ind w:right="504"/>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1,567,315</w:t>
            </w:r>
          </w:p>
        </w:tc>
        <w:tc>
          <w:tcPr>
            <w:tcW w:w="100" w:type="dxa"/>
            <w:vAlign w:val="bottom"/>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004483"/>
            </w:tcBorders>
          </w:tcPr>
          <w:p>
            <w:pPr>
              <w:spacing w:after="0" w:line="20" w:lineRule="exact"/>
              <w:rPr>
                <w:sz w:val="1"/>
                <w:szCs w:val="1"/>
                <w:color w:val="auto"/>
              </w:rPr>
            </w:pPr>
          </w:p>
        </w:tc>
        <w:tc>
          <w:tcPr>
            <w:tcW w:w="9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Credit Facility</w:t>
      </w:r>
    </w:p>
    <w:p>
      <w:pPr>
        <w:spacing w:after="0" w:line="139"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We have a revolving credit facility (the Revolving Credit Facility) that terminates on August 2, 2022. The borrowing capacity under the Revolving Credit Facility is $750.0 million until August 2, 2021, after which the aggregate borrowing capacity under the Revolving Credit Facility will be reduced to $665.0 million. The Revolving Credit Facility also includes a swingline loan sublimit of $25.0 million.</w:t>
      </w:r>
    </w:p>
    <w:p>
      <w:pPr>
        <w:spacing w:after="0" w:line="95"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Borrowings under the Revolving Credit Facility are guaranteed by all of the Company’s material subsidiaries. The debt under the Revolving Credit Facility is not rated by ratings agencies. At the Company’s option, principal amounts outstanding under the Revolving Credit Facility bear interest at a variable rate equal to either (i) the Adjusted LIBO Rate (as defined in the Revolving Credit Facility) plus an agreed spread (ranging from 125 to 200 basis points for loans scheduled to mature in 2021 and from 150 to 250 basis points for loans scheduled to mature in 2022), which is established quarterly based on the Company's then Leverage Ratio (as defined in the Revolving Credit Facility); or (ii) an Alternate Base Rate (as defined in the Revolving Credit Facility), which is the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9" w:name="page20"/>
    <w:bookmarkEnd w:id="19"/>
    <w:p>
      <w:pPr>
        <w:spacing w:after="0" w:line="266" w:lineRule="auto"/>
        <w:rPr>
          <w:sz w:val="20"/>
          <w:szCs w:val="20"/>
          <w:color w:val="auto"/>
        </w:rPr>
      </w:pPr>
      <w:r>
        <w:rPr>
          <w:rFonts w:ascii="Arial" w:cs="Arial" w:eastAsia="Arial" w:hAnsi="Arial"/>
          <w:sz w:val="18"/>
          <w:szCs w:val="18"/>
          <w:color w:val="auto"/>
        </w:rPr>
        <w:t>highest of (a) the Prime Rate (as defined in the Revolving Credit Facility), (b) the NYFRB (as defined in the Revolving Credit Facility) plus ½ of 1%, and (c) the Adjusted LIBO Rate for a one-month interest period on such day, plus 1.0%, in each case plus an agreed upon spread (ranging from 25 to 100 basis points for loans scheduled to mature in 2021 and from 50 to 150 basis points for loans scheduled to mature in 2022) which is established quarterly based on the Company's then Leverage Ratio. In the case of loans bearing interest at a rate based on the Alternate Base Rate, interest payments are payable quarterly. In the case of loans bearing interest at a rate based on the Adjusted LIBO Rate, interest is payable at the end of the relevant Interest Period (as defined in the Revolving Credit Facility) for such borrowing unless such Interest Period is for more than three months duration, in which case such interest is payable at intervals of three months duration after the first day of such Interest Period, which can be up to six months at the option of the Company. The Company is also required to pay a commitment fee on unused available borrowings under the Revolving Credit Facility (ranging from 15 to 30 basis points for loans scheduled to mature in 2021 and from 20 to 40 basis points for loans scheduled to mature in 2022) which is established quarterly based on the Company's then Leverage Ratio. The Revolving Credit Facility contains customary covenants that restrict the Company’s and its Restricted Subsidiaries’ ability to incur additional debt; encumber assets; merge with or transfer or sell assets to other persons; make or enter into certain investments, loans, or guaranties; enter into certain swap agreements; enter into affiliate transactions or restrictive transactions; make restricted payments; prepay subordinated indebtedness; and enter into sale and leaseback arrangements. The Revolving Credit Facility also requires the Company to maintain at the end of each fiscal quarter a Leverage Ratio of 4.50:1.00 or less and an Interest Coverage Ratio (as defined in the Revolving Credit Facility) equal to or greater than 2.50 to 1.00.</w:t>
      </w:r>
    </w:p>
    <w:p>
      <w:pPr>
        <w:spacing w:after="0" w:line="109"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We were in compliance with all financial ratios and tests at September 30, 2020. We had $245.0 million of borrowings outstanding under the Revolving Credit Facility at September 30, 2020. We had $500.0 million of available borrowings under the Revolving Credit Facility, net of the outstanding letters of credit, at September 30, 2020, all of which was available for future borrowings based on our current Leverage Ratio.</w:t>
      </w:r>
    </w:p>
    <w:p>
      <w:pPr>
        <w:spacing w:after="0" w:line="78" w:lineRule="exact"/>
        <w:rPr>
          <w:sz w:val="20"/>
          <w:szCs w:val="20"/>
          <w:color w:val="auto"/>
        </w:rPr>
      </w:pPr>
    </w:p>
    <w:p>
      <w:pPr>
        <w:ind w:right="200"/>
        <w:spacing w:after="0" w:line="287" w:lineRule="auto"/>
        <w:rPr>
          <w:sz w:val="20"/>
          <w:szCs w:val="20"/>
          <w:color w:val="auto"/>
        </w:rPr>
      </w:pPr>
      <w:r>
        <w:rPr>
          <w:rFonts w:ascii="Arial" w:cs="Arial" w:eastAsia="Arial" w:hAnsi="Arial"/>
          <w:sz w:val="17"/>
          <w:szCs w:val="17"/>
          <w:color w:val="auto"/>
        </w:rPr>
        <w:t>The Revolving Credit Facility has a $40.0 million letter of credit facility. The Company pays each lender a participation fee with respect to such lender’s participations in letters of credit, which fee accrues at the same Applicable Rate (as defined in the Revolving Credit Facility) used to determine the interest rate applicable to Eurodollar Revolving Loans (as defined in the Revolving Credit Facility) plus a one-time letter of credit fee to the issuing bank of such letters of credit in an amount equal to 0.125% of the initial stated amount. At September 30, 2020, we had $5.0 million of outstanding letters of credit. We previously provided an irrevocable stand-by letter of credit for any borrowings made by our Joint Venture under its credit facility; however, this credit facility was terminated and the letter of credit cancelled in July 2020.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Term Loan</w:t>
      </w:r>
    </w:p>
    <w:p>
      <w:pPr>
        <w:spacing w:after="0" w:line="15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have a term loan credit agreement (the Term Loan Agreement) establishing a $665.0 million term loan facility which we used to pay a portion of the purchase price for the Kosmos Acquisition and fees and expenses incurred in connection with the Kosmos Acquisition in March 2020, which matures on August 2, 2022.</w:t>
      </w:r>
    </w:p>
    <w:p>
      <w:pPr>
        <w:spacing w:after="0" w:line="9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Borrowings under the Term Loan Agreement bear interest, at our option, at a variable rate equal to either (i) the Alternate Base Rate (as defined in the Term Loan Agreement and consistent with the Revolving Credit Facility), plus an agreed spread (ranging from 50 to 150 basis points), or (ii) the Adjusted LIBO Rate (as defined in the Term Loan Agreement) plus an agreed spread (ranging from 150 to 250 basis points), which is established quarterly based on the Company's then Leverage Ratio (as defined in the Term Loan Agreement and consistent with the Revolving Credit Facility). The Company must also maintain a Leverage Ratio and Interest Coverage Ratio consistent with the Revolving Credit Facility.</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auto"/>
        </w:rPr>
        <w:t>4.500% Senior Unsecured Notes Due 2026</w:t>
      </w:r>
    </w:p>
    <w:p>
      <w:pPr>
        <w:spacing w:after="0" w:line="15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On August 2, 2016, the Company issued $350.0 million aggregate principal amount of 4.500% senior notes (Senior Unsecured Notes) due August 2026. Interest on the Senior Unsecured Notes is payable semiannually on February 1 and August 1 of each year until all of the outstanding notes are paid. The Senior Unsecured Notes rank equal to existing and future senior indebtedness, including the Revolving Credit Facility and the Term Loan. Prior to August 1, 2021, we may redeem some or all of the Senior Unsecured Notes at a price equal to 100% of the principal amount, plus a “make-whole” premium. Beginning August 1, 2021, we may redeem some or all of the Senior Unsecured Notes at the redemption prices set forth below (expressed as a percentage of the principal amount being redeemed):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880" w:type="dxa"/>
            <w:vAlign w:val="bottom"/>
            <w:tcBorders>
              <w:bottom w:val="single" w:sz="8" w:color="004483"/>
            </w:tcBorders>
          </w:tcPr>
          <w:p>
            <w:pPr>
              <w:spacing w:after="0"/>
              <w:rPr>
                <w:sz w:val="13"/>
                <w:szCs w:val="13"/>
                <w:color w:val="auto"/>
              </w:rPr>
            </w:pPr>
          </w:p>
        </w:tc>
        <w:tc>
          <w:tcPr>
            <w:tcW w:w="5220" w:type="dxa"/>
            <w:vAlign w:val="bottom"/>
            <w:tcBorders>
              <w:bottom w:val="single" w:sz="8" w:color="004483"/>
            </w:tcBorders>
          </w:tcPr>
          <w:p>
            <w:pPr>
              <w:ind w:left="4600"/>
              <w:spacing w:after="0"/>
              <w:rPr>
                <w:sz w:val="20"/>
                <w:szCs w:val="20"/>
                <w:color w:val="auto"/>
              </w:rPr>
            </w:pPr>
            <w:r>
              <w:rPr>
                <w:rFonts w:ascii="Arial" w:cs="Arial" w:eastAsia="Arial" w:hAnsi="Arial"/>
                <w:sz w:val="13"/>
                <w:szCs w:val="13"/>
                <w:b w:val="1"/>
                <w:bCs w:val="1"/>
                <w:color w:val="auto"/>
                <w:w w:val="85"/>
              </w:rPr>
              <w:t>Percentage</w:t>
            </w:r>
          </w:p>
        </w:tc>
        <w:tc>
          <w:tcPr>
            <w:tcW w:w="120" w:type="dxa"/>
            <w:vAlign w:val="bottom"/>
          </w:tcPr>
          <w:p>
            <w:pPr>
              <w:spacing w:after="0"/>
              <w:rPr>
                <w:sz w:val="13"/>
                <w:szCs w:val="13"/>
                <w:color w:val="auto"/>
              </w:rPr>
            </w:pPr>
          </w:p>
        </w:tc>
      </w:tr>
      <w:tr>
        <w:trPr>
          <w:trHeight w:val="207"/>
        </w:trPr>
        <w:tc>
          <w:tcPr>
            <w:tcW w:w="5880" w:type="dxa"/>
            <w:vAlign w:val="bottom"/>
          </w:tcPr>
          <w:p>
            <w:pPr>
              <w:spacing w:after="0"/>
              <w:rPr>
                <w:sz w:val="20"/>
                <w:szCs w:val="20"/>
                <w:color w:val="auto"/>
              </w:rPr>
            </w:pPr>
            <w:r>
              <w:rPr>
                <w:rFonts w:ascii="Arial" w:cs="Arial" w:eastAsia="Arial" w:hAnsi="Arial"/>
                <w:sz w:val="16"/>
                <w:szCs w:val="16"/>
                <w:color w:val="004483"/>
              </w:rPr>
              <w:t>2021</w:t>
            </w:r>
          </w:p>
        </w:tc>
        <w:tc>
          <w:tcPr>
            <w:tcW w:w="5340" w:type="dxa"/>
            <w:vAlign w:val="bottom"/>
            <w:gridSpan w:val="2"/>
          </w:tcPr>
          <w:p>
            <w:pPr>
              <w:jc w:val="right"/>
              <w:spacing w:after="0"/>
              <w:rPr>
                <w:sz w:val="20"/>
                <w:szCs w:val="20"/>
                <w:color w:val="auto"/>
              </w:rPr>
            </w:pPr>
            <w:r>
              <w:rPr>
                <w:rFonts w:ascii="Arial" w:cs="Arial" w:eastAsia="Arial" w:hAnsi="Arial"/>
                <w:sz w:val="16"/>
                <w:szCs w:val="16"/>
                <w:color w:val="auto"/>
              </w:rPr>
              <w:t>102.25%</w:t>
            </w:r>
          </w:p>
        </w:tc>
      </w:tr>
      <w:tr>
        <w:trPr>
          <w:trHeight w:val="20"/>
        </w:trPr>
        <w:tc>
          <w:tcPr>
            <w:tcW w:w="5880" w:type="dxa"/>
            <w:vAlign w:val="bottom"/>
            <w:shd w:val="clear" w:color="auto" w:fill="A6A6A6"/>
          </w:tcPr>
          <w:p>
            <w:pPr>
              <w:spacing w:after="0" w:line="20" w:lineRule="exact"/>
              <w:rPr>
                <w:sz w:val="1"/>
                <w:szCs w:val="1"/>
                <w:color w:val="auto"/>
              </w:rPr>
            </w:pPr>
          </w:p>
        </w:tc>
        <w:tc>
          <w:tcPr>
            <w:tcW w:w="52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5880" w:type="dxa"/>
            <w:vAlign w:val="bottom"/>
          </w:tcPr>
          <w:p>
            <w:pPr>
              <w:spacing w:after="0"/>
              <w:rPr>
                <w:sz w:val="20"/>
                <w:szCs w:val="20"/>
                <w:color w:val="auto"/>
              </w:rPr>
            </w:pPr>
            <w:r>
              <w:rPr>
                <w:rFonts w:ascii="Arial" w:cs="Arial" w:eastAsia="Arial" w:hAnsi="Arial"/>
                <w:sz w:val="16"/>
                <w:szCs w:val="16"/>
                <w:color w:val="004483"/>
              </w:rPr>
              <w:t>2022</w:t>
            </w:r>
          </w:p>
        </w:tc>
        <w:tc>
          <w:tcPr>
            <w:tcW w:w="5340" w:type="dxa"/>
            <w:vAlign w:val="bottom"/>
            <w:gridSpan w:val="2"/>
          </w:tcPr>
          <w:p>
            <w:pPr>
              <w:jc w:val="right"/>
              <w:spacing w:after="0"/>
              <w:rPr>
                <w:sz w:val="20"/>
                <w:szCs w:val="20"/>
                <w:color w:val="auto"/>
              </w:rPr>
            </w:pPr>
            <w:r>
              <w:rPr>
                <w:rFonts w:ascii="Arial" w:cs="Arial" w:eastAsia="Arial" w:hAnsi="Arial"/>
                <w:sz w:val="16"/>
                <w:szCs w:val="16"/>
                <w:color w:val="auto"/>
              </w:rPr>
              <w:t>101.50%</w:t>
            </w:r>
          </w:p>
        </w:tc>
      </w:tr>
      <w:tr>
        <w:trPr>
          <w:trHeight w:val="20"/>
        </w:trPr>
        <w:tc>
          <w:tcPr>
            <w:tcW w:w="5880" w:type="dxa"/>
            <w:vAlign w:val="bottom"/>
            <w:shd w:val="clear" w:color="auto" w:fill="A6A6A6"/>
          </w:tcPr>
          <w:p>
            <w:pPr>
              <w:spacing w:after="0" w:line="20" w:lineRule="exact"/>
              <w:rPr>
                <w:sz w:val="1"/>
                <w:szCs w:val="1"/>
                <w:color w:val="auto"/>
              </w:rPr>
            </w:pPr>
          </w:p>
        </w:tc>
        <w:tc>
          <w:tcPr>
            <w:tcW w:w="52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5880" w:type="dxa"/>
            <w:vAlign w:val="bottom"/>
          </w:tcPr>
          <w:p>
            <w:pPr>
              <w:spacing w:after="0"/>
              <w:rPr>
                <w:sz w:val="20"/>
                <w:szCs w:val="20"/>
                <w:color w:val="auto"/>
              </w:rPr>
            </w:pPr>
            <w:r>
              <w:rPr>
                <w:rFonts w:ascii="Arial" w:cs="Arial" w:eastAsia="Arial" w:hAnsi="Arial"/>
                <w:sz w:val="16"/>
                <w:szCs w:val="16"/>
                <w:color w:val="004483"/>
              </w:rPr>
              <w:t>2023</w:t>
            </w:r>
          </w:p>
        </w:tc>
        <w:tc>
          <w:tcPr>
            <w:tcW w:w="5340" w:type="dxa"/>
            <w:vAlign w:val="bottom"/>
            <w:gridSpan w:val="2"/>
          </w:tcPr>
          <w:p>
            <w:pPr>
              <w:jc w:val="right"/>
              <w:spacing w:after="0"/>
              <w:rPr>
                <w:sz w:val="20"/>
                <w:szCs w:val="20"/>
                <w:color w:val="auto"/>
              </w:rPr>
            </w:pPr>
            <w:r>
              <w:rPr>
                <w:rFonts w:ascii="Arial" w:cs="Arial" w:eastAsia="Arial" w:hAnsi="Arial"/>
                <w:sz w:val="16"/>
                <w:szCs w:val="16"/>
                <w:color w:val="auto"/>
              </w:rPr>
              <w:t>100.75%</w:t>
            </w:r>
          </w:p>
        </w:tc>
      </w:tr>
      <w:tr>
        <w:trPr>
          <w:trHeight w:val="20"/>
        </w:trPr>
        <w:tc>
          <w:tcPr>
            <w:tcW w:w="5880" w:type="dxa"/>
            <w:vAlign w:val="bottom"/>
            <w:shd w:val="clear" w:color="auto" w:fill="A6A6A6"/>
          </w:tcPr>
          <w:p>
            <w:pPr>
              <w:spacing w:after="0" w:line="20" w:lineRule="exact"/>
              <w:rPr>
                <w:sz w:val="1"/>
                <w:szCs w:val="1"/>
                <w:color w:val="auto"/>
              </w:rPr>
            </w:pPr>
          </w:p>
        </w:tc>
        <w:tc>
          <w:tcPr>
            <w:tcW w:w="52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880" w:type="dxa"/>
            <w:vAlign w:val="bottom"/>
          </w:tcPr>
          <w:p>
            <w:pPr>
              <w:spacing w:after="0"/>
              <w:rPr>
                <w:sz w:val="20"/>
                <w:szCs w:val="20"/>
                <w:color w:val="auto"/>
              </w:rPr>
            </w:pPr>
            <w:r>
              <w:rPr>
                <w:rFonts w:ascii="Arial" w:cs="Arial" w:eastAsia="Arial" w:hAnsi="Arial"/>
                <w:sz w:val="16"/>
                <w:szCs w:val="16"/>
                <w:color w:val="004483"/>
              </w:rPr>
              <w:t>2024 and thereafter</w:t>
            </w:r>
          </w:p>
        </w:tc>
        <w:tc>
          <w:tcPr>
            <w:tcW w:w="5340" w:type="dxa"/>
            <w:vAlign w:val="bottom"/>
            <w:gridSpan w:val="2"/>
          </w:tcPr>
          <w:p>
            <w:pPr>
              <w:jc w:val="right"/>
              <w:spacing w:after="0"/>
              <w:rPr>
                <w:sz w:val="20"/>
                <w:szCs w:val="20"/>
                <w:color w:val="auto"/>
              </w:rPr>
            </w:pPr>
            <w:r>
              <w:rPr>
                <w:rFonts w:ascii="Arial" w:cs="Arial" w:eastAsia="Arial" w:hAnsi="Arial"/>
                <w:sz w:val="16"/>
                <w:szCs w:val="16"/>
                <w:color w:val="auto"/>
              </w:rPr>
              <w:t>100.00%</w:t>
            </w:r>
          </w:p>
        </w:tc>
      </w:tr>
      <w:tr>
        <w:trPr>
          <w:trHeight w:val="20"/>
        </w:trPr>
        <w:tc>
          <w:tcPr>
            <w:tcW w:w="5880" w:type="dxa"/>
            <w:vAlign w:val="bottom"/>
            <w:shd w:val="clear" w:color="auto" w:fill="A6A6A6"/>
          </w:tcPr>
          <w:p>
            <w:pPr>
              <w:spacing w:after="0" w:line="20" w:lineRule="exact"/>
              <w:rPr>
                <w:sz w:val="1"/>
                <w:szCs w:val="1"/>
                <w:color w:val="auto"/>
              </w:rPr>
            </w:pPr>
          </w:p>
        </w:tc>
        <w:tc>
          <w:tcPr>
            <w:tcW w:w="52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80"/>
        <w:spacing w:after="0" w:line="269" w:lineRule="auto"/>
        <w:rPr>
          <w:sz w:val="20"/>
          <w:szCs w:val="20"/>
          <w:color w:val="auto"/>
        </w:rPr>
      </w:pPr>
      <w:r>
        <w:rPr>
          <w:rFonts w:ascii="Arial" w:cs="Arial" w:eastAsia="Arial" w:hAnsi="Arial"/>
          <w:sz w:val="18"/>
          <w:szCs w:val="18"/>
          <w:color w:val="auto"/>
        </w:rPr>
        <w:t>The Senior Unsecured Notes contain covenants that limit our ability and/or our guarantor subsidiaries' ability to create or permit to exist certain liens; enter into sale and leaseback transactions; and consolidate, merge, or transfer all or substantially all of our assets. The Company’s Senior Unsecured Notes are fully, unconditionally, jointly, and severally guaranteed by each of our subsidiaries that are guarantors under the Revolving Credit Facility and Term Loan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Information</w:t>
      </w:r>
    </w:p>
    <w:p>
      <w:pPr>
        <w:spacing w:after="0" w:line="13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lease one of our cement plants from the city of Sugar Creek, Missouri. The city of Sugar Creek issued industrial revenue bonds to partly finance improvements to the cement plant. The lease payments due to the city of Sugar Creek under the cement plant lease, which was entered into upon the sale of the industrial revenue bonds, are equal in amount to the payments required to be made by the city of Sugar Creek to the holders of the industrial revenue bonds. Because we hold all outstanding industrial revenue bonds, no debt is reflected on our financial statements in connection with our lease of the cement plant. Upon expiration of the lease December 2020, we will exercise our option to purchase the cement plant for a nominal amount.</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 SEGMENT INFORMATION</w:t>
      </w:r>
    </w:p>
    <w:p>
      <w:pPr>
        <w:spacing w:after="0" w:line="13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Operating segments are defined as components of an enterprise that engage in business activities that earn revenue, incur expenses, and prepare separate financial information that is evaluated regularly by our chief operating decision maker in order to allocate resources and assess performance. On September 18, 2020, we sold our Oil and Gas Proppants business, which had been reported as an operating segment. The Oil and Gas Proppants business was determined to meet the discontinued operations accounting criteria; therefore, this segment is no longer separately reported in our reportable segment footnote for any of the periods presented. Certain expenses of the Oil and Gas Proppants business that related to assets not included in the sale, namely real property and equipment in south Texas, real property in Illinois, and certain other assets, are included in Other when reconciling segment operating earnings to consolidated operating earnings. See Footnote (C) for more information about the sale of the Oil and Gas Proppants business.</w:t>
      </w:r>
    </w:p>
    <w:p>
      <w:pPr>
        <w:spacing w:after="0" w:line="102"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We are a leading supplier of heavy construction materials and light building materials in the United States. Our primary products are commodities that are essential in commercial and residential construction; public construction projects; and projects to build, expand, and repair roads and highways. Demand for our products is generally cyclical and seasonal, depending on economic and geographic conditions. We distribute our products across many United States markets, which provides us with regional economic diversification.</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3" w:right="359" w:bottom="1440" w:gutter="0" w:footer="0" w:header="0"/>
        </w:sectPr>
      </w:pPr>
    </w:p>
    <w:bookmarkStart w:id="21" w:name="page22"/>
    <w:bookmarkEnd w:id="21"/>
    <w:p>
      <w:pPr>
        <w:ind w:right="340"/>
        <w:spacing w:after="0" w:line="271" w:lineRule="auto"/>
        <w:rPr>
          <w:sz w:val="20"/>
          <w:szCs w:val="20"/>
          <w:color w:val="auto"/>
        </w:rPr>
      </w:pPr>
      <w:r>
        <w:rPr>
          <w:rFonts w:ascii="Arial" w:cs="Arial" w:eastAsia="Arial" w:hAnsi="Arial"/>
          <w:sz w:val="18"/>
          <w:szCs w:val="18"/>
          <w:color w:val="auto"/>
        </w:rPr>
        <w:t>Our remaining businesses are organized into two sectors within which there are four reportable business segments. The Heavy Materials sector includes the Cement and Concrete and Aggregates segments. The Light Materials sector includes the Gypsum Wallboard and Recycled Paperboard segments.</w:t>
      </w:r>
    </w:p>
    <w:p>
      <w:pPr>
        <w:spacing w:after="0" w:line="9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Our operations are conducted in the U.S. and include the mining of limestone for the manufacture, production, distribution, and sale of portland cement (a basic construction material which is the essential binding ingredient in concrete); the grinding and sale of slag; the mining of gypsum for the manufacture and sale of gypsum wallboard; the manufacture and sale of recycled paperboard to the gypsum wallboard industry and other paperboard converters; the sale of readymix concrete; and the mining and sale of aggregates (crushed stone, sand, and gravel).</w:t>
      </w:r>
    </w:p>
    <w:p>
      <w:pPr>
        <w:spacing w:after="0" w:line="100" w:lineRule="exact"/>
        <w:rPr>
          <w:sz w:val="20"/>
          <w:szCs w:val="20"/>
          <w:color w:val="auto"/>
        </w:rPr>
      </w:pPr>
    </w:p>
    <w:p>
      <w:pPr>
        <w:ind w:right="140"/>
        <w:spacing w:after="0" w:line="288" w:lineRule="auto"/>
        <w:rPr>
          <w:sz w:val="20"/>
          <w:szCs w:val="20"/>
          <w:color w:val="auto"/>
        </w:rPr>
      </w:pPr>
      <w:r>
        <w:rPr>
          <w:rFonts w:ascii="Arial" w:cs="Arial" w:eastAsia="Arial" w:hAnsi="Arial"/>
          <w:sz w:val="17"/>
          <w:szCs w:val="17"/>
          <w:color w:val="auto"/>
        </w:rPr>
        <w:t>We operate eight modern cement plants (one of which is operated through a joint venture located in Buda, Texas), one slag grinding facility, and 29 cement distribution terminals. Our cement companies focus on the U.S. heartland and operate as an integrated network selling product primarily in Colorado, Illinois, Indiana, Iowa, Kentucky, Missouri, Nebraska, Nevada, Ohio, Oklahoma, and Texas. We operate 20 readymix concrete batch plants and three aggregates processing plants in markets that are complementary to our cement network. On April 17, 2020 we sold our Concrete and Aggregates companies in northern California. See Footnote (C) for more information about the sale.</w:t>
      </w:r>
    </w:p>
    <w:p>
      <w:pPr>
        <w:spacing w:after="0" w:line="83"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We operate five gypsum wallboard plants and a recycled paperboard mill. We distribute gypsum wallboard and recycled paperboard throughout the continental U.S., with the exception of the Northeast.</w:t>
      </w:r>
    </w:p>
    <w:p>
      <w:pPr>
        <w:spacing w:after="0" w:line="89"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We account for intersegment sales at market prices. For segment reporting purposes only, we proportionately consolidate our 50% share of the Joint Venture Revenue and Operating Earnings, consistent with the way management reports the segments within the Company for making operating decisions and assessing performance.</w:t>
      </w:r>
    </w:p>
    <w:p>
      <w:pPr>
        <w:spacing w:after="0" w:line="9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sets forth certain financial information relating to our operations by segment. We do not allocate interest or taxes at the segment level; these costs are disclosed at the consolidated company level.</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shd w:val="clear" w:color="auto" w:fill="004483"/>
          </w:tcPr>
          <w:p>
            <w:pPr>
              <w:spacing w:after="0"/>
              <w:rPr>
                <w:sz w:val="19"/>
                <w:szCs w:val="19"/>
                <w:color w:val="auto"/>
              </w:rPr>
            </w:pPr>
          </w:p>
        </w:tc>
        <w:tc>
          <w:tcPr>
            <w:tcW w:w="2720" w:type="dxa"/>
            <w:vAlign w:val="bottom"/>
            <w:gridSpan w:val="6"/>
            <w:shd w:val="clear" w:color="auto" w:fill="004483"/>
          </w:tcPr>
          <w:p>
            <w:pPr>
              <w:jc w:val="right"/>
              <w:ind w:right="300"/>
              <w:spacing w:after="0"/>
              <w:rPr>
                <w:sz w:val="20"/>
                <w:szCs w:val="20"/>
                <w:color w:val="auto"/>
              </w:rPr>
            </w:pPr>
            <w:r>
              <w:rPr>
                <w:rFonts w:ascii="Arial" w:cs="Arial" w:eastAsia="Arial" w:hAnsi="Arial"/>
                <w:sz w:val="13"/>
                <w:szCs w:val="13"/>
                <w:b w:val="1"/>
                <w:bCs w:val="1"/>
                <w:color w:val="FFFFFF"/>
                <w:w w:val="89"/>
              </w:rPr>
              <w:t>For the Three Months Ended September 30,</w:t>
            </w:r>
          </w:p>
        </w:tc>
        <w:tc>
          <w:tcPr>
            <w:tcW w:w="140" w:type="dxa"/>
            <w:vAlign w:val="bottom"/>
          </w:tcPr>
          <w:p>
            <w:pPr>
              <w:spacing w:after="0"/>
              <w:rPr>
                <w:sz w:val="19"/>
                <w:szCs w:val="19"/>
                <w:color w:val="auto"/>
              </w:rPr>
            </w:pPr>
          </w:p>
        </w:tc>
        <w:tc>
          <w:tcPr>
            <w:tcW w:w="160" w:type="dxa"/>
            <w:vAlign w:val="bottom"/>
            <w:shd w:val="clear" w:color="auto" w:fill="004483"/>
          </w:tcPr>
          <w:p>
            <w:pPr>
              <w:spacing w:after="0"/>
              <w:rPr>
                <w:sz w:val="19"/>
                <w:szCs w:val="19"/>
                <w:color w:val="auto"/>
              </w:rPr>
            </w:pPr>
          </w:p>
        </w:tc>
        <w:tc>
          <w:tcPr>
            <w:tcW w:w="2720" w:type="dxa"/>
            <w:vAlign w:val="bottom"/>
            <w:gridSpan w:val="7"/>
            <w:shd w:val="clear" w:color="auto" w:fill="004483"/>
          </w:tcPr>
          <w:p>
            <w:pPr>
              <w:jc w:val="right"/>
              <w:ind w:right="400"/>
              <w:spacing w:after="0"/>
              <w:rPr>
                <w:sz w:val="20"/>
                <w:szCs w:val="20"/>
                <w:color w:val="auto"/>
              </w:rPr>
            </w:pPr>
            <w:r>
              <w:rPr>
                <w:rFonts w:ascii="Arial" w:cs="Arial" w:eastAsia="Arial" w:hAnsi="Arial"/>
                <w:sz w:val="13"/>
                <w:szCs w:val="13"/>
                <w:b w:val="1"/>
                <w:bCs w:val="1"/>
                <w:color w:val="FFFFFF"/>
                <w:w w:val="90"/>
              </w:rPr>
              <w:t>For the Six Months Ended September 30,</w:t>
            </w:r>
          </w:p>
        </w:tc>
      </w:tr>
      <w:tr>
        <w:trPr>
          <w:trHeight w:val="148"/>
        </w:trPr>
        <w:tc>
          <w:tcPr>
            <w:tcW w:w="38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2"/>
                <w:szCs w:val="12"/>
                <w:color w:val="auto"/>
              </w:rPr>
            </w:pPr>
          </w:p>
        </w:tc>
      </w:tr>
      <w:tr>
        <w:trPr>
          <w:trHeight w:val="149"/>
        </w:trPr>
        <w:tc>
          <w:tcPr>
            <w:tcW w:w="3800" w:type="dxa"/>
            <w:vAlign w:val="bottom"/>
            <w:tcBorders>
              <w:bottom w:val="single" w:sz="8" w:color="004483"/>
            </w:tcBorders>
          </w:tcPr>
          <w:p>
            <w:pPr>
              <w:spacing w:after="0"/>
              <w:rPr>
                <w:sz w:val="12"/>
                <w:szCs w:val="12"/>
                <w:color w:val="auto"/>
              </w:rPr>
            </w:pPr>
          </w:p>
        </w:tc>
        <w:tc>
          <w:tcPr>
            <w:tcW w:w="1560" w:type="dxa"/>
            <w:vAlign w:val="bottom"/>
            <w:tcBorders>
              <w:bottom w:val="single" w:sz="8" w:color="004483"/>
            </w:tcBorders>
          </w:tcPr>
          <w:p>
            <w:pPr>
              <w:spacing w:after="0"/>
              <w:rPr>
                <w:sz w:val="12"/>
                <w:szCs w:val="12"/>
                <w:color w:val="auto"/>
              </w:rPr>
            </w:pPr>
          </w:p>
        </w:tc>
        <w:tc>
          <w:tcPr>
            <w:tcW w:w="140" w:type="dxa"/>
            <w:vAlign w:val="bottom"/>
            <w:tcBorders>
              <w:bottom w:val="single" w:sz="8" w:color="004483"/>
            </w:tcBorders>
          </w:tcPr>
          <w:p>
            <w:pPr>
              <w:spacing w:after="0"/>
              <w:rPr>
                <w:sz w:val="12"/>
                <w:szCs w:val="12"/>
                <w:color w:val="auto"/>
              </w:rPr>
            </w:pPr>
          </w:p>
        </w:tc>
        <w:tc>
          <w:tcPr>
            <w:tcW w:w="1120" w:type="dxa"/>
            <w:vAlign w:val="bottom"/>
            <w:tcBorders>
              <w:bottom w:val="single" w:sz="8" w:color="004483"/>
            </w:tcBorders>
          </w:tcPr>
          <w:p>
            <w:pPr>
              <w:spacing w:after="0"/>
              <w:rPr>
                <w:sz w:val="12"/>
                <w:szCs w:val="12"/>
                <w:color w:val="auto"/>
              </w:rPr>
            </w:pPr>
          </w:p>
        </w:tc>
        <w:tc>
          <w:tcPr>
            <w:tcW w:w="120" w:type="dxa"/>
            <w:vAlign w:val="bottom"/>
            <w:tcBorders>
              <w:bottom w:val="single" w:sz="8" w:color="004483"/>
            </w:tcBorders>
          </w:tcPr>
          <w:p>
            <w:pPr>
              <w:spacing w:after="0"/>
              <w:rPr>
                <w:sz w:val="12"/>
                <w:szCs w:val="12"/>
                <w:color w:val="auto"/>
              </w:rPr>
            </w:pPr>
          </w:p>
        </w:tc>
        <w:tc>
          <w:tcPr>
            <w:tcW w:w="120" w:type="dxa"/>
            <w:vAlign w:val="bottom"/>
            <w:tcBorders>
              <w:bottom w:val="single" w:sz="8" w:color="004483"/>
            </w:tcBorders>
          </w:tcPr>
          <w:p>
            <w:pPr>
              <w:spacing w:after="0"/>
              <w:rPr>
                <w:sz w:val="12"/>
                <w:szCs w:val="12"/>
                <w:color w:val="auto"/>
              </w:rPr>
            </w:pPr>
          </w:p>
        </w:tc>
        <w:tc>
          <w:tcPr>
            <w:tcW w:w="400" w:type="dxa"/>
            <w:vAlign w:val="bottom"/>
            <w:tcBorders>
              <w:bottom w:val="single" w:sz="8" w:color="004483"/>
            </w:tcBorders>
          </w:tcPr>
          <w:p>
            <w:pPr>
              <w:spacing w:after="0"/>
              <w:rPr>
                <w:sz w:val="12"/>
                <w:szCs w:val="12"/>
                <w:color w:val="auto"/>
              </w:rPr>
            </w:pPr>
          </w:p>
        </w:tc>
        <w:tc>
          <w:tcPr>
            <w:tcW w:w="2580" w:type="dxa"/>
            <w:vAlign w:val="bottom"/>
            <w:tcBorders>
              <w:bottom w:val="single" w:sz="8" w:color="004483"/>
            </w:tcBorders>
            <w:gridSpan w:val="7"/>
          </w:tcPr>
          <w:p>
            <w:pPr>
              <w:ind w:left="440"/>
              <w:spacing w:after="0"/>
              <w:rPr>
                <w:sz w:val="20"/>
                <w:szCs w:val="20"/>
                <w:color w:val="auto"/>
              </w:rPr>
            </w:pPr>
            <w:r>
              <w:rPr>
                <w:rFonts w:ascii="Arial" w:cs="Arial" w:eastAsia="Arial" w:hAnsi="Arial"/>
                <w:sz w:val="13"/>
                <w:szCs w:val="13"/>
                <w:color w:val="auto"/>
              </w:rPr>
              <w:t>(dollars in thousands)</w:t>
            </w:r>
          </w:p>
        </w:tc>
        <w:tc>
          <w:tcPr>
            <w:tcW w:w="20" w:type="dxa"/>
            <w:vAlign w:val="bottom"/>
            <w:tcBorders>
              <w:bottom w:val="single" w:sz="8" w:color="004483"/>
            </w:tcBorders>
          </w:tcPr>
          <w:p>
            <w:pPr>
              <w:spacing w:after="0"/>
              <w:rPr>
                <w:sz w:val="12"/>
                <w:szCs w:val="12"/>
                <w:color w:val="auto"/>
              </w:rPr>
            </w:pPr>
          </w:p>
        </w:tc>
        <w:tc>
          <w:tcPr>
            <w:tcW w:w="400" w:type="dxa"/>
            <w:vAlign w:val="bottom"/>
            <w:tcBorders>
              <w:bottom w:val="single" w:sz="8" w:color="004483"/>
            </w:tcBorders>
          </w:tcPr>
          <w:p>
            <w:pPr>
              <w:spacing w:after="0"/>
              <w:rPr>
                <w:sz w:val="12"/>
                <w:szCs w:val="12"/>
                <w:color w:val="auto"/>
              </w:rPr>
            </w:pPr>
          </w:p>
        </w:tc>
        <w:tc>
          <w:tcPr>
            <w:tcW w:w="880" w:type="dxa"/>
            <w:vAlign w:val="bottom"/>
            <w:tcBorders>
              <w:bottom w:val="single" w:sz="8" w:color="004483"/>
            </w:tcBorders>
          </w:tcPr>
          <w:p>
            <w:pPr>
              <w:spacing w:after="0"/>
              <w:rPr>
                <w:sz w:val="12"/>
                <w:szCs w:val="12"/>
                <w:color w:val="auto"/>
              </w:rPr>
            </w:pPr>
          </w:p>
        </w:tc>
        <w:tc>
          <w:tcPr>
            <w:tcW w:w="100" w:type="dxa"/>
            <w:vAlign w:val="bottom"/>
          </w:tcPr>
          <w:p>
            <w:pPr>
              <w:spacing w:after="0"/>
              <w:rPr>
                <w:sz w:val="12"/>
                <w:szCs w:val="12"/>
                <w:color w:val="auto"/>
              </w:rPr>
            </w:pPr>
          </w:p>
        </w:tc>
      </w:tr>
      <w:tr>
        <w:trPr>
          <w:trHeight w:val="207"/>
        </w:trPr>
        <w:tc>
          <w:tcPr>
            <w:tcW w:w="3800" w:type="dxa"/>
            <w:vAlign w:val="bottom"/>
            <w:tcBorders>
              <w:bottom w:val="single" w:sz="8" w:color="A6A6A6"/>
            </w:tcBorders>
          </w:tcPr>
          <w:p>
            <w:pPr>
              <w:spacing w:after="0"/>
              <w:rPr>
                <w:sz w:val="20"/>
                <w:szCs w:val="20"/>
                <w:color w:val="auto"/>
              </w:rPr>
            </w:pPr>
            <w:r>
              <w:rPr>
                <w:rFonts w:ascii="Arial" w:cs="Arial" w:eastAsia="Arial" w:hAnsi="Arial"/>
                <w:sz w:val="16"/>
                <w:szCs w:val="16"/>
                <w:b w:val="1"/>
                <w:bCs w:val="1"/>
                <w:color w:val="004483"/>
              </w:rPr>
              <w:t>Revenue -</w:t>
            </w:r>
          </w:p>
        </w:tc>
        <w:tc>
          <w:tcPr>
            <w:tcW w:w="1560" w:type="dxa"/>
            <w:vAlign w:val="bottom"/>
            <w:tcBorders>
              <w:bottom w:val="single" w:sz="8" w:color="A6A6A6"/>
            </w:tcBorders>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120" w:type="dxa"/>
            <w:vAlign w:val="bottom"/>
            <w:tcBorders>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400" w:type="dxa"/>
            <w:vAlign w:val="bottom"/>
            <w:tcBorders>
              <w:bottom w:val="single" w:sz="8" w:color="A6A6A6"/>
            </w:tcBorders>
          </w:tcPr>
          <w:p>
            <w:pPr>
              <w:spacing w:after="0"/>
              <w:rPr>
                <w:sz w:val="17"/>
                <w:szCs w:val="17"/>
                <w:color w:val="auto"/>
              </w:rPr>
            </w:pPr>
          </w:p>
        </w:tc>
        <w:tc>
          <w:tcPr>
            <w:tcW w:w="86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60" w:type="dxa"/>
            <w:vAlign w:val="bottom"/>
            <w:tcBorders>
              <w:bottom w:val="single" w:sz="8" w:color="A6A6A6"/>
            </w:tcBorders>
          </w:tcPr>
          <w:p>
            <w:pPr>
              <w:spacing w:after="0"/>
              <w:rPr>
                <w:sz w:val="17"/>
                <w:szCs w:val="17"/>
                <w:color w:val="auto"/>
              </w:rPr>
            </w:pPr>
          </w:p>
        </w:tc>
        <w:tc>
          <w:tcPr>
            <w:tcW w:w="110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20" w:type="dxa"/>
            <w:vAlign w:val="bottom"/>
            <w:tcBorders>
              <w:bottom w:val="single" w:sz="8" w:color="A6A6A6"/>
            </w:tcBorders>
          </w:tcPr>
          <w:p>
            <w:pPr>
              <w:spacing w:after="0"/>
              <w:rPr>
                <w:sz w:val="17"/>
                <w:szCs w:val="17"/>
                <w:color w:val="auto"/>
              </w:rPr>
            </w:pPr>
          </w:p>
        </w:tc>
        <w:tc>
          <w:tcPr>
            <w:tcW w:w="400" w:type="dxa"/>
            <w:vAlign w:val="bottom"/>
            <w:tcBorders>
              <w:bottom w:val="single" w:sz="8" w:color="A6A6A6"/>
            </w:tcBorders>
          </w:tcPr>
          <w:p>
            <w:pPr>
              <w:spacing w:after="0"/>
              <w:rPr>
                <w:sz w:val="17"/>
                <w:szCs w:val="17"/>
                <w:color w:val="auto"/>
              </w:rPr>
            </w:pPr>
          </w:p>
        </w:tc>
        <w:tc>
          <w:tcPr>
            <w:tcW w:w="88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3800" w:type="dxa"/>
            <w:vAlign w:val="bottom"/>
            <w:tcBorders>
              <w:bottom w:val="single" w:sz="8" w:color="A6A6A6"/>
            </w:tcBorders>
          </w:tcPr>
          <w:p>
            <w:pPr>
              <w:ind w:left="260"/>
              <w:spacing w:after="0"/>
              <w:rPr>
                <w:sz w:val="20"/>
                <w:szCs w:val="20"/>
                <w:color w:val="auto"/>
              </w:rPr>
            </w:pPr>
            <w:r>
              <w:rPr>
                <w:rFonts w:ascii="Arial" w:cs="Arial" w:eastAsia="Arial" w:hAnsi="Arial"/>
                <w:sz w:val="16"/>
                <w:szCs w:val="16"/>
                <w:color w:val="277EBF"/>
              </w:rPr>
              <w:t>Cement</w:t>
            </w:r>
          </w:p>
        </w:tc>
        <w:tc>
          <w:tcPr>
            <w:tcW w:w="17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278,062</w:t>
            </w:r>
          </w:p>
        </w:tc>
        <w:tc>
          <w:tcPr>
            <w:tcW w:w="120" w:type="dxa"/>
            <w:vAlign w:val="bottom"/>
          </w:tcPr>
          <w:p>
            <w:pPr>
              <w:spacing w:after="0"/>
              <w:rPr>
                <w:sz w:val="18"/>
                <w:szCs w:val="18"/>
                <w:color w:val="auto"/>
              </w:rPr>
            </w:pPr>
          </w:p>
        </w:tc>
        <w:tc>
          <w:tcPr>
            <w:tcW w:w="520" w:type="dxa"/>
            <w:vAlign w:val="bottom"/>
            <w:tcBorders>
              <w:bottom w:val="single" w:sz="8" w:color="A6A6A6"/>
            </w:tcBorders>
            <w:gridSpan w:val="2"/>
          </w:tcPr>
          <w:p>
            <w:pPr>
              <w:jc w:val="right"/>
              <w:ind w:right="244"/>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227,013</w:t>
            </w:r>
          </w:p>
        </w:tc>
        <w:tc>
          <w:tcPr>
            <w:tcW w:w="100" w:type="dxa"/>
            <w:vAlign w:val="bottom"/>
          </w:tcPr>
          <w:p>
            <w:pPr>
              <w:spacing w:after="0"/>
              <w:rPr>
                <w:sz w:val="18"/>
                <w:szCs w:val="18"/>
                <w:color w:val="auto"/>
              </w:rPr>
            </w:pPr>
          </w:p>
        </w:tc>
        <w:tc>
          <w:tcPr>
            <w:tcW w:w="300" w:type="dxa"/>
            <w:vAlign w:val="bottom"/>
            <w:tcBorders>
              <w:bottom w:val="single" w:sz="8" w:color="A6A6A6"/>
            </w:tcBorders>
            <w:gridSpan w:val="2"/>
          </w:tcPr>
          <w:p>
            <w:pPr>
              <w:jc w:val="right"/>
              <w:ind w:right="4"/>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539,473</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gridSpan w:val="2"/>
          </w:tcPr>
          <w:p>
            <w:pPr>
              <w:jc w:val="right"/>
              <w:ind w:right="244"/>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422,326</w:t>
            </w:r>
          </w:p>
        </w:tc>
        <w:tc>
          <w:tcPr>
            <w:tcW w:w="100" w:type="dxa"/>
            <w:vAlign w:val="bottom"/>
          </w:tcPr>
          <w:p>
            <w:pPr>
              <w:spacing w:after="0"/>
              <w:rPr>
                <w:sz w:val="18"/>
                <w:szCs w:val="18"/>
                <w:color w:val="auto"/>
              </w:rPr>
            </w:pPr>
          </w:p>
        </w:tc>
      </w:tr>
      <w:tr>
        <w:trPr>
          <w:trHeight w:val="209"/>
        </w:trPr>
        <w:tc>
          <w:tcPr>
            <w:tcW w:w="3800" w:type="dxa"/>
            <w:vAlign w:val="bottom"/>
            <w:tcBorders>
              <w:bottom w:val="single" w:sz="8" w:color="A6A6A6"/>
            </w:tcBorders>
          </w:tcPr>
          <w:p>
            <w:pPr>
              <w:ind w:left="260"/>
              <w:spacing w:after="0"/>
              <w:rPr>
                <w:sz w:val="20"/>
                <w:szCs w:val="20"/>
                <w:color w:val="auto"/>
              </w:rPr>
            </w:pPr>
            <w:r>
              <w:rPr>
                <w:rFonts w:ascii="Arial" w:cs="Arial" w:eastAsia="Arial" w:hAnsi="Arial"/>
                <w:sz w:val="16"/>
                <w:szCs w:val="16"/>
                <w:color w:val="00AAC6"/>
              </w:rPr>
              <w:t>Concrete and Aggregates</w:t>
            </w:r>
          </w:p>
        </w:tc>
        <w:tc>
          <w:tcPr>
            <w:tcW w:w="156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46,300</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55,971</w:t>
            </w: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90,490</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95,749</w:t>
            </w:r>
          </w:p>
        </w:tc>
        <w:tc>
          <w:tcPr>
            <w:tcW w:w="100" w:type="dxa"/>
            <w:vAlign w:val="bottom"/>
          </w:tcPr>
          <w:p>
            <w:pPr>
              <w:spacing w:after="0"/>
              <w:rPr>
                <w:sz w:val="18"/>
                <w:szCs w:val="18"/>
                <w:color w:val="auto"/>
              </w:rPr>
            </w:pPr>
          </w:p>
        </w:tc>
      </w:tr>
      <w:tr>
        <w:trPr>
          <w:trHeight w:val="210"/>
        </w:trPr>
        <w:tc>
          <w:tcPr>
            <w:tcW w:w="3800" w:type="dxa"/>
            <w:vAlign w:val="bottom"/>
            <w:tcBorders>
              <w:bottom w:val="single" w:sz="8" w:color="A6A6A6"/>
            </w:tcBorders>
          </w:tcPr>
          <w:p>
            <w:pPr>
              <w:ind w:left="260"/>
              <w:spacing w:after="0"/>
              <w:rPr>
                <w:sz w:val="20"/>
                <w:szCs w:val="20"/>
                <w:color w:val="auto"/>
              </w:rPr>
            </w:pPr>
            <w:r>
              <w:rPr>
                <w:rFonts w:ascii="Arial" w:cs="Arial" w:eastAsia="Arial" w:hAnsi="Arial"/>
                <w:sz w:val="16"/>
                <w:szCs w:val="16"/>
                <w:color w:val="77943C"/>
              </w:rPr>
              <w:t>Gypsum Wallboard</w:t>
            </w:r>
          </w:p>
        </w:tc>
        <w:tc>
          <w:tcPr>
            <w:tcW w:w="156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131,210</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128,660</w:t>
            </w: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261,360</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255,384</w:t>
            </w:r>
          </w:p>
        </w:tc>
        <w:tc>
          <w:tcPr>
            <w:tcW w:w="100" w:type="dxa"/>
            <w:vAlign w:val="bottom"/>
          </w:tcPr>
          <w:p>
            <w:pPr>
              <w:spacing w:after="0"/>
              <w:rPr>
                <w:sz w:val="18"/>
                <w:szCs w:val="18"/>
                <w:color w:val="auto"/>
              </w:rPr>
            </w:pPr>
          </w:p>
        </w:tc>
      </w:tr>
      <w:tr>
        <w:trPr>
          <w:trHeight w:val="210"/>
        </w:trPr>
        <w:tc>
          <w:tcPr>
            <w:tcW w:w="3800" w:type="dxa"/>
            <w:vAlign w:val="bottom"/>
            <w:tcBorders>
              <w:bottom w:val="single" w:sz="8" w:color="A6A6A6"/>
            </w:tcBorders>
          </w:tcPr>
          <w:p>
            <w:pPr>
              <w:ind w:left="260"/>
              <w:spacing w:after="0"/>
              <w:rPr>
                <w:sz w:val="20"/>
                <w:szCs w:val="20"/>
                <w:color w:val="auto"/>
              </w:rPr>
            </w:pPr>
            <w:r>
              <w:rPr>
                <w:rFonts w:ascii="Arial" w:cs="Arial" w:eastAsia="Arial" w:hAnsi="Arial"/>
                <w:sz w:val="16"/>
                <w:szCs w:val="16"/>
                <w:color w:val="AEB949"/>
              </w:rPr>
              <w:t>Paperboard</w:t>
            </w:r>
          </w:p>
        </w:tc>
        <w:tc>
          <w:tcPr>
            <w:tcW w:w="1560" w:type="dxa"/>
            <w:vAlign w:val="bottom"/>
            <w:tcBorders>
              <w:bottom w:val="single" w:sz="8" w:color="A6A6A6"/>
            </w:tcBorders>
          </w:tcPr>
          <w:p>
            <w:pPr>
              <w:spacing w:after="0"/>
              <w:rPr>
                <w:sz w:val="18"/>
                <w:szCs w:val="18"/>
                <w:color w:val="auto"/>
              </w:rPr>
            </w:pPr>
          </w:p>
        </w:tc>
        <w:tc>
          <w:tcPr>
            <w:tcW w:w="14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46,071</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400" w:type="dxa"/>
            <w:vAlign w:val="bottom"/>
            <w:tcBorders>
              <w:bottom w:val="single" w:sz="8" w:color="004483"/>
            </w:tcBorders>
          </w:tcPr>
          <w:p>
            <w:pPr>
              <w:spacing w:after="0"/>
              <w:rPr>
                <w:sz w:val="18"/>
                <w:szCs w:val="18"/>
                <w:color w:val="auto"/>
              </w:rPr>
            </w:pP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41,847</w:t>
            </w: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60" w:type="dxa"/>
            <w:vAlign w:val="bottom"/>
            <w:tcBorders>
              <w:bottom w:val="single" w:sz="8" w:color="004483"/>
            </w:tcBorders>
          </w:tcPr>
          <w:p>
            <w:pPr>
              <w:spacing w:after="0"/>
              <w:rPr>
                <w:sz w:val="18"/>
                <w:szCs w:val="18"/>
                <w:color w:val="auto"/>
              </w:rPr>
            </w:pPr>
          </w:p>
        </w:tc>
        <w:tc>
          <w:tcPr>
            <w:tcW w:w="1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82,815</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400" w:type="dxa"/>
            <w:vAlign w:val="bottom"/>
            <w:tcBorders>
              <w:bottom w:val="single" w:sz="8" w:color="004483"/>
            </w:tcBorders>
          </w:tcPr>
          <w:p>
            <w:pPr>
              <w:spacing w:after="0"/>
              <w:rPr>
                <w:sz w:val="18"/>
                <w:szCs w:val="18"/>
                <w:color w:val="auto"/>
              </w:rPr>
            </w:pPr>
          </w:p>
        </w:tc>
        <w:tc>
          <w:tcPr>
            <w:tcW w:w="8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84,547</w:t>
            </w:r>
          </w:p>
        </w:tc>
        <w:tc>
          <w:tcPr>
            <w:tcW w:w="100" w:type="dxa"/>
            <w:vAlign w:val="bottom"/>
          </w:tcPr>
          <w:p>
            <w:pPr>
              <w:spacing w:after="0"/>
              <w:rPr>
                <w:sz w:val="18"/>
                <w:szCs w:val="18"/>
                <w:color w:val="auto"/>
              </w:rPr>
            </w:pPr>
          </w:p>
        </w:tc>
      </w:tr>
      <w:tr>
        <w:trPr>
          <w:trHeight w:val="209"/>
        </w:trPr>
        <w:tc>
          <w:tcPr>
            <w:tcW w:w="3800" w:type="dxa"/>
            <w:vAlign w:val="bottom"/>
            <w:tcBorders>
              <w:bottom w:val="single" w:sz="8" w:color="A6A6A6"/>
            </w:tcBorders>
          </w:tcPr>
          <w:p>
            <w:pPr>
              <w:spacing w:after="0"/>
              <w:rPr>
                <w:sz w:val="18"/>
                <w:szCs w:val="18"/>
                <w:color w:val="auto"/>
              </w:rPr>
            </w:pPr>
          </w:p>
        </w:tc>
        <w:tc>
          <w:tcPr>
            <w:tcW w:w="156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501,643</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453,491</w:t>
            </w: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974,138</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858,006</w:t>
            </w:r>
          </w:p>
        </w:tc>
        <w:tc>
          <w:tcPr>
            <w:tcW w:w="100" w:type="dxa"/>
            <w:vAlign w:val="bottom"/>
          </w:tcPr>
          <w:p>
            <w:pPr>
              <w:spacing w:after="0"/>
              <w:rPr>
                <w:sz w:val="18"/>
                <w:szCs w:val="18"/>
                <w:color w:val="auto"/>
              </w:rPr>
            </w:pPr>
          </w:p>
        </w:tc>
      </w:tr>
      <w:tr>
        <w:trPr>
          <w:trHeight w:val="210"/>
        </w:trPr>
        <w:tc>
          <w:tcPr>
            <w:tcW w:w="3800" w:type="dxa"/>
            <w:vAlign w:val="bottom"/>
          </w:tcPr>
          <w:p>
            <w:pPr>
              <w:ind w:left="260"/>
              <w:spacing w:after="0"/>
              <w:rPr>
                <w:sz w:val="20"/>
                <w:szCs w:val="20"/>
                <w:color w:val="auto"/>
              </w:rPr>
            </w:pPr>
            <w:r>
              <w:rPr>
                <w:rFonts w:ascii="Arial" w:cs="Arial" w:eastAsia="Arial" w:hAnsi="Arial"/>
                <w:sz w:val="16"/>
                <w:szCs w:val="16"/>
                <w:color w:val="004483"/>
              </w:rPr>
              <w:t>Less: Intersegment Revenue</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(26,766)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(23,034)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(46,972)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(44,679)</w:t>
            </w:r>
          </w:p>
        </w:tc>
      </w:tr>
      <w:tr>
        <w:trPr>
          <w:trHeight w:val="20"/>
        </w:trPr>
        <w:tc>
          <w:tcPr>
            <w:tcW w:w="3800" w:type="dxa"/>
            <w:vAlign w:val="bottom"/>
            <w:shd w:val="clear" w:color="auto" w:fill="A6A6A6"/>
          </w:tcPr>
          <w:p>
            <w:pPr>
              <w:spacing w:after="0" w:line="20" w:lineRule="exact"/>
              <w:rPr>
                <w:sz w:val="1"/>
                <w:szCs w:val="1"/>
                <w:color w:val="auto"/>
              </w:rPr>
            </w:pPr>
          </w:p>
        </w:tc>
        <w:tc>
          <w:tcPr>
            <w:tcW w:w="1560" w:type="dxa"/>
            <w:vAlign w:val="bottom"/>
            <w:shd w:val="clear" w:color="auto" w:fill="A6A6A6"/>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11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8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11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8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800" w:type="dxa"/>
            <w:vAlign w:val="bottom"/>
          </w:tcPr>
          <w:p>
            <w:pPr>
              <w:ind w:left="260"/>
              <w:spacing w:after="0"/>
              <w:rPr>
                <w:sz w:val="20"/>
                <w:szCs w:val="20"/>
                <w:color w:val="auto"/>
              </w:rPr>
            </w:pPr>
            <w:r>
              <w:rPr>
                <w:rFonts w:ascii="Arial" w:cs="Arial" w:eastAsia="Arial" w:hAnsi="Arial"/>
                <w:sz w:val="16"/>
                <w:szCs w:val="16"/>
                <w:color w:val="004483"/>
              </w:rPr>
              <w:t>Less: Joint Venture Revenue</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(27,193)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(29,888)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(52,493)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(57,393)</w:t>
            </w:r>
          </w:p>
        </w:tc>
      </w:tr>
      <w:tr>
        <w:trPr>
          <w:trHeight w:val="210"/>
        </w:trPr>
        <w:tc>
          <w:tcPr>
            <w:tcW w:w="3800" w:type="dxa"/>
            <w:vAlign w:val="bottom"/>
            <w:tcBorders>
              <w:top w:val="single" w:sz="8" w:color="A6A6A6"/>
            </w:tcBorders>
          </w:tcPr>
          <w:p>
            <w:pPr>
              <w:spacing w:after="0"/>
              <w:rPr>
                <w:sz w:val="18"/>
                <w:szCs w:val="18"/>
                <w:color w:val="auto"/>
              </w:rPr>
            </w:pPr>
          </w:p>
        </w:tc>
        <w:tc>
          <w:tcPr>
            <w:tcW w:w="1560" w:type="dxa"/>
            <w:vAlign w:val="bottom"/>
            <w:tcBorders>
              <w:top w:val="single" w:sz="8" w:color="A6A6A6"/>
            </w:tcBorders>
          </w:tcPr>
          <w:p>
            <w:pPr>
              <w:spacing w:after="0"/>
              <w:rPr>
                <w:sz w:val="18"/>
                <w:szCs w:val="18"/>
                <w:color w:val="auto"/>
              </w:rPr>
            </w:pPr>
          </w:p>
        </w:tc>
        <w:tc>
          <w:tcPr>
            <w:tcW w:w="14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447,684</w:t>
            </w:r>
          </w:p>
        </w:tc>
        <w:tc>
          <w:tcPr>
            <w:tcW w:w="120" w:type="dxa"/>
            <w:vAlign w:val="bottom"/>
          </w:tcPr>
          <w:p>
            <w:pPr>
              <w:spacing w:after="0"/>
              <w:rPr>
                <w:sz w:val="18"/>
                <w:szCs w:val="18"/>
                <w:color w:val="auto"/>
              </w:rPr>
            </w:pPr>
          </w:p>
        </w:tc>
        <w:tc>
          <w:tcPr>
            <w:tcW w:w="120" w:type="dxa"/>
            <w:vAlign w:val="bottom"/>
            <w:tcBorders>
              <w:top w:val="single" w:sz="8" w:color="A6A6A6"/>
            </w:tcBorders>
          </w:tcPr>
          <w:p>
            <w:pPr>
              <w:spacing w:after="0"/>
              <w:rPr>
                <w:sz w:val="18"/>
                <w:szCs w:val="18"/>
                <w:color w:val="auto"/>
              </w:rPr>
            </w:pPr>
          </w:p>
        </w:tc>
        <w:tc>
          <w:tcPr>
            <w:tcW w:w="400" w:type="dxa"/>
            <w:vAlign w:val="bottom"/>
            <w:tcBorders>
              <w:top w:val="single" w:sz="8" w:color="004483"/>
              <w:bottom w:val="single" w:sz="8" w:color="004483"/>
            </w:tcBorders>
          </w:tcPr>
          <w:p>
            <w:pPr>
              <w:jc w:val="right"/>
              <w:ind w:right="244"/>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400,569</w:t>
            </w:r>
          </w:p>
        </w:tc>
        <w:tc>
          <w:tcPr>
            <w:tcW w:w="100" w:type="dxa"/>
            <w:vAlign w:val="bottom"/>
          </w:tcPr>
          <w:p>
            <w:pPr>
              <w:spacing w:after="0"/>
              <w:rPr>
                <w:sz w:val="18"/>
                <w:szCs w:val="18"/>
                <w:color w:val="auto"/>
              </w:rPr>
            </w:pPr>
          </w:p>
        </w:tc>
        <w:tc>
          <w:tcPr>
            <w:tcW w:w="140" w:type="dxa"/>
            <w:vAlign w:val="bottom"/>
            <w:tcBorders>
              <w:top w:val="single" w:sz="8" w:color="A6A6A6"/>
            </w:tcBorders>
          </w:tcPr>
          <w:p>
            <w:pPr>
              <w:spacing w:after="0"/>
              <w:rPr>
                <w:sz w:val="18"/>
                <w:szCs w:val="18"/>
                <w:color w:val="auto"/>
              </w:rPr>
            </w:pPr>
          </w:p>
        </w:tc>
        <w:tc>
          <w:tcPr>
            <w:tcW w:w="160" w:type="dxa"/>
            <w:vAlign w:val="bottom"/>
            <w:tcBorders>
              <w:top w:val="single" w:sz="8" w:color="004483"/>
              <w:bottom w:val="single" w:sz="8" w:color="004483"/>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874,673</w:t>
            </w:r>
          </w:p>
        </w:tc>
        <w:tc>
          <w:tcPr>
            <w:tcW w:w="100" w:type="dxa"/>
            <w:vAlign w:val="bottom"/>
          </w:tcPr>
          <w:p>
            <w:pPr>
              <w:spacing w:after="0"/>
              <w:rPr>
                <w:sz w:val="18"/>
                <w:szCs w:val="18"/>
                <w:color w:val="auto"/>
              </w:rPr>
            </w:pPr>
          </w:p>
        </w:tc>
        <w:tc>
          <w:tcPr>
            <w:tcW w:w="120" w:type="dxa"/>
            <w:vAlign w:val="bottom"/>
            <w:tcBorders>
              <w:top w:val="single" w:sz="8" w:color="A6A6A6"/>
            </w:tcBorders>
          </w:tcPr>
          <w:p>
            <w:pPr>
              <w:spacing w:after="0"/>
              <w:rPr>
                <w:sz w:val="18"/>
                <w:szCs w:val="18"/>
                <w:color w:val="auto"/>
              </w:rPr>
            </w:pPr>
          </w:p>
        </w:tc>
        <w:tc>
          <w:tcPr>
            <w:tcW w:w="20" w:type="dxa"/>
            <w:vAlign w:val="bottom"/>
            <w:tcBorders>
              <w:top w:val="single" w:sz="8" w:color="A6A6A6"/>
              <w:bottom w:val="single" w:sz="8" w:color="004483"/>
            </w:tcBorders>
          </w:tcPr>
          <w:p>
            <w:pPr>
              <w:spacing w:after="0"/>
              <w:rPr>
                <w:sz w:val="18"/>
                <w:szCs w:val="18"/>
                <w:color w:val="auto"/>
              </w:rPr>
            </w:pPr>
          </w:p>
        </w:tc>
        <w:tc>
          <w:tcPr>
            <w:tcW w:w="400" w:type="dxa"/>
            <w:vAlign w:val="bottom"/>
            <w:tcBorders>
              <w:top w:val="single" w:sz="8" w:color="004483"/>
              <w:bottom w:val="single" w:sz="8" w:color="004483"/>
            </w:tcBorders>
          </w:tcPr>
          <w:p>
            <w:pPr>
              <w:jc w:val="right"/>
              <w:ind w:right="244"/>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755,934</w:t>
            </w:r>
          </w:p>
        </w:tc>
        <w:tc>
          <w:tcPr>
            <w:tcW w:w="100" w:type="dxa"/>
            <w:vAlign w:val="bottom"/>
          </w:tcPr>
          <w:p>
            <w:pPr>
              <w:spacing w:after="0"/>
              <w:rPr>
                <w:sz w:val="18"/>
                <w:szCs w:val="18"/>
                <w:color w:val="auto"/>
              </w:rPr>
            </w:pPr>
          </w:p>
        </w:tc>
      </w:tr>
      <w:tr>
        <w:trPr>
          <w:trHeight w:val="20"/>
        </w:trPr>
        <w:tc>
          <w:tcPr>
            <w:tcW w:w="3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60" w:type="dxa"/>
            <w:vAlign w:val="bottom"/>
            <w:tcBorders>
              <w:bottom w:val="single" w:sz="8" w:color="004483"/>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80" w:type="dxa"/>
            <w:vAlign w:val="bottom"/>
            <w:tcBorders>
              <w:bottom w:val="single" w:sz="8" w:color="004483"/>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38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20" w:type="dxa"/>
            <w:vAlign w:val="bottom"/>
            <w:gridSpan w:val="6"/>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20" w:type="dxa"/>
            <w:vAlign w:val="bottom"/>
            <w:gridSpan w:val="7"/>
          </w:tcPr>
          <w:p>
            <w:pPr>
              <w:spacing w:after="0"/>
              <w:rPr>
                <w:sz w:val="19"/>
                <w:szCs w:val="19"/>
                <w:color w:val="auto"/>
              </w:rPr>
            </w:pPr>
          </w:p>
        </w:tc>
      </w:tr>
      <w:tr>
        <w:trPr>
          <w:trHeight w:val="230"/>
        </w:trPr>
        <w:tc>
          <w:tcPr>
            <w:tcW w:w="38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shd w:val="clear" w:color="auto" w:fill="004483"/>
          </w:tcPr>
          <w:p>
            <w:pPr>
              <w:spacing w:after="0"/>
              <w:rPr>
                <w:sz w:val="19"/>
                <w:szCs w:val="19"/>
                <w:color w:val="auto"/>
              </w:rPr>
            </w:pPr>
          </w:p>
        </w:tc>
        <w:tc>
          <w:tcPr>
            <w:tcW w:w="2720" w:type="dxa"/>
            <w:vAlign w:val="bottom"/>
            <w:gridSpan w:val="6"/>
            <w:shd w:val="clear" w:color="auto" w:fill="004483"/>
          </w:tcPr>
          <w:p>
            <w:pPr>
              <w:jc w:val="right"/>
              <w:ind w:right="300"/>
              <w:spacing w:after="0"/>
              <w:rPr>
                <w:sz w:val="20"/>
                <w:szCs w:val="20"/>
                <w:color w:val="auto"/>
              </w:rPr>
            </w:pPr>
            <w:r>
              <w:rPr>
                <w:rFonts w:ascii="Arial" w:cs="Arial" w:eastAsia="Arial" w:hAnsi="Arial"/>
                <w:sz w:val="13"/>
                <w:szCs w:val="13"/>
                <w:b w:val="1"/>
                <w:bCs w:val="1"/>
                <w:color w:val="FFFFFF"/>
                <w:w w:val="89"/>
              </w:rPr>
              <w:t>For the Three Months Ended September 30,</w:t>
            </w:r>
          </w:p>
        </w:tc>
        <w:tc>
          <w:tcPr>
            <w:tcW w:w="140" w:type="dxa"/>
            <w:vAlign w:val="bottom"/>
          </w:tcPr>
          <w:p>
            <w:pPr>
              <w:spacing w:after="0"/>
              <w:rPr>
                <w:sz w:val="19"/>
                <w:szCs w:val="19"/>
                <w:color w:val="auto"/>
              </w:rPr>
            </w:pPr>
          </w:p>
        </w:tc>
        <w:tc>
          <w:tcPr>
            <w:tcW w:w="160" w:type="dxa"/>
            <w:vAlign w:val="bottom"/>
            <w:shd w:val="clear" w:color="auto" w:fill="004483"/>
          </w:tcPr>
          <w:p>
            <w:pPr>
              <w:spacing w:after="0"/>
              <w:rPr>
                <w:sz w:val="19"/>
                <w:szCs w:val="19"/>
                <w:color w:val="auto"/>
              </w:rPr>
            </w:pPr>
          </w:p>
        </w:tc>
        <w:tc>
          <w:tcPr>
            <w:tcW w:w="2720" w:type="dxa"/>
            <w:vAlign w:val="bottom"/>
            <w:gridSpan w:val="7"/>
            <w:shd w:val="clear" w:color="auto" w:fill="004483"/>
          </w:tcPr>
          <w:p>
            <w:pPr>
              <w:jc w:val="right"/>
              <w:ind w:right="400"/>
              <w:spacing w:after="0"/>
              <w:rPr>
                <w:sz w:val="20"/>
                <w:szCs w:val="20"/>
                <w:color w:val="auto"/>
              </w:rPr>
            </w:pPr>
            <w:r>
              <w:rPr>
                <w:rFonts w:ascii="Arial" w:cs="Arial" w:eastAsia="Arial" w:hAnsi="Arial"/>
                <w:sz w:val="13"/>
                <w:szCs w:val="13"/>
                <w:b w:val="1"/>
                <w:bCs w:val="1"/>
                <w:color w:val="FFFFFF"/>
                <w:w w:val="90"/>
              </w:rPr>
              <w:t>For the Six Months Ended September 30,</w:t>
            </w:r>
          </w:p>
        </w:tc>
      </w:tr>
      <w:tr>
        <w:trPr>
          <w:trHeight w:val="148"/>
        </w:trPr>
        <w:tc>
          <w:tcPr>
            <w:tcW w:w="38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2"/>
                <w:szCs w:val="12"/>
                <w:color w:val="auto"/>
              </w:rPr>
            </w:pPr>
          </w:p>
        </w:tc>
      </w:tr>
      <w:tr>
        <w:trPr>
          <w:trHeight w:val="149"/>
        </w:trPr>
        <w:tc>
          <w:tcPr>
            <w:tcW w:w="3800" w:type="dxa"/>
            <w:vAlign w:val="bottom"/>
            <w:tcBorders>
              <w:bottom w:val="single" w:sz="8" w:color="004483"/>
            </w:tcBorders>
          </w:tcPr>
          <w:p>
            <w:pPr>
              <w:spacing w:after="0"/>
              <w:rPr>
                <w:sz w:val="12"/>
                <w:szCs w:val="12"/>
                <w:color w:val="auto"/>
              </w:rPr>
            </w:pPr>
          </w:p>
        </w:tc>
        <w:tc>
          <w:tcPr>
            <w:tcW w:w="1560" w:type="dxa"/>
            <w:vAlign w:val="bottom"/>
            <w:tcBorders>
              <w:bottom w:val="single" w:sz="8" w:color="004483"/>
            </w:tcBorders>
          </w:tcPr>
          <w:p>
            <w:pPr>
              <w:spacing w:after="0"/>
              <w:rPr>
                <w:sz w:val="12"/>
                <w:szCs w:val="12"/>
                <w:color w:val="auto"/>
              </w:rPr>
            </w:pPr>
          </w:p>
        </w:tc>
        <w:tc>
          <w:tcPr>
            <w:tcW w:w="140" w:type="dxa"/>
            <w:vAlign w:val="bottom"/>
            <w:tcBorders>
              <w:bottom w:val="single" w:sz="8" w:color="004483"/>
            </w:tcBorders>
          </w:tcPr>
          <w:p>
            <w:pPr>
              <w:spacing w:after="0"/>
              <w:rPr>
                <w:sz w:val="12"/>
                <w:szCs w:val="12"/>
                <w:color w:val="auto"/>
              </w:rPr>
            </w:pPr>
          </w:p>
        </w:tc>
        <w:tc>
          <w:tcPr>
            <w:tcW w:w="1120" w:type="dxa"/>
            <w:vAlign w:val="bottom"/>
            <w:tcBorders>
              <w:bottom w:val="single" w:sz="8" w:color="004483"/>
            </w:tcBorders>
          </w:tcPr>
          <w:p>
            <w:pPr>
              <w:spacing w:after="0"/>
              <w:rPr>
                <w:sz w:val="12"/>
                <w:szCs w:val="12"/>
                <w:color w:val="auto"/>
              </w:rPr>
            </w:pPr>
          </w:p>
        </w:tc>
        <w:tc>
          <w:tcPr>
            <w:tcW w:w="120" w:type="dxa"/>
            <w:vAlign w:val="bottom"/>
            <w:tcBorders>
              <w:bottom w:val="single" w:sz="8" w:color="004483"/>
            </w:tcBorders>
          </w:tcPr>
          <w:p>
            <w:pPr>
              <w:spacing w:after="0"/>
              <w:rPr>
                <w:sz w:val="12"/>
                <w:szCs w:val="12"/>
                <w:color w:val="auto"/>
              </w:rPr>
            </w:pPr>
          </w:p>
        </w:tc>
        <w:tc>
          <w:tcPr>
            <w:tcW w:w="120" w:type="dxa"/>
            <w:vAlign w:val="bottom"/>
            <w:tcBorders>
              <w:bottom w:val="single" w:sz="8" w:color="004483"/>
            </w:tcBorders>
          </w:tcPr>
          <w:p>
            <w:pPr>
              <w:spacing w:after="0"/>
              <w:rPr>
                <w:sz w:val="12"/>
                <w:szCs w:val="12"/>
                <w:color w:val="auto"/>
              </w:rPr>
            </w:pPr>
          </w:p>
        </w:tc>
        <w:tc>
          <w:tcPr>
            <w:tcW w:w="400" w:type="dxa"/>
            <w:vAlign w:val="bottom"/>
            <w:tcBorders>
              <w:bottom w:val="single" w:sz="8" w:color="004483"/>
            </w:tcBorders>
          </w:tcPr>
          <w:p>
            <w:pPr>
              <w:spacing w:after="0"/>
              <w:rPr>
                <w:sz w:val="12"/>
                <w:szCs w:val="12"/>
                <w:color w:val="auto"/>
              </w:rPr>
            </w:pPr>
          </w:p>
        </w:tc>
        <w:tc>
          <w:tcPr>
            <w:tcW w:w="2580" w:type="dxa"/>
            <w:vAlign w:val="bottom"/>
            <w:tcBorders>
              <w:bottom w:val="single" w:sz="8" w:color="004483"/>
            </w:tcBorders>
            <w:gridSpan w:val="7"/>
          </w:tcPr>
          <w:p>
            <w:pPr>
              <w:ind w:left="440"/>
              <w:spacing w:after="0"/>
              <w:rPr>
                <w:sz w:val="20"/>
                <w:szCs w:val="20"/>
                <w:color w:val="auto"/>
              </w:rPr>
            </w:pPr>
            <w:r>
              <w:rPr>
                <w:rFonts w:ascii="Arial" w:cs="Arial" w:eastAsia="Arial" w:hAnsi="Arial"/>
                <w:sz w:val="13"/>
                <w:szCs w:val="13"/>
                <w:color w:val="auto"/>
              </w:rPr>
              <w:t>(dollars in thousands)</w:t>
            </w:r>
          </w:p>
        </w:tc>
        <w:tc>
          <w:tcPr>
            <w:tcW w:w="20" w:type="dxa"/>
            <w:vAlign w:val="bottom"/>
            <w:tcBorders>
              <w:bottom w:val="single" w:sz="8" w:color="004483"/>
            </w:tcBorders>
          </w:tcPr>
          <w:p>
            <w:pPr>
              <w:spacing w:after="0"/>
              <w:rPr>
                <w:sz w:val="12"/>
                <w:szCs w:val="12"/>
                <w:color w:val="auto"/>
              </w:rPr>
            </w:pPr>
          </w:p>
        </w:tc>
        <w:tc>
          <w:tcPr>
            <w:tcW w:w="400" w:type="dxa"/>
            <w:vAlign w:val="bottom"/>
            <w:tcBorders>
              <w:bottom w:val="single" w:sz="8" w:color="004483"/>
            </w:tcBorders>
          </w:tcPr>
          <w:p>
            <w:pPr>
              <w:spacing w:after="0"/>
              <w:rPr>
                <w:sz w:val="12"/>
                <w:szCs w:val="12"/>
                <w:color w:val="auto"/>
              </w:rPr>
            </w:pPr>
          </w:p>
        </w:tc>
        <w:tc>
          <w:tcPr>
            <w:tcW w:w="880" w:type="dxa"/>
            <w:vAlign w:val="bottom"/>
            <w:tcBorders>
              <w:bottom w:val="single" w:sz="8" w:color="004483"/>
            </w:tcBorders>
          </w:tcPr>
          <w:p>
            <w:pPr>
              <w:spacing w:after="0"/>
              <w:rPr>
                <w:sz w:val="12"/>
                <w:szCs w:val="12"/>
                <w:color w:val="auto"/>
              </w:rPr>
            </w:pPr>
          </w:p>
        </w:tc>
        <w:tc>
          <w:tcPr>
            <w:tcW w:w="100" w:type="dxa"/>
            <w:vAlign w:val="bottom"/>
          </w:tcPr>
          <w:p>
            <w:pPr>
              <w:spacing w:after="0"/>
              <w:rPr>
                <w:sz w:val="12"/>
                <w:szCs w:val="12"/>
                <w:color w:val="auto"/>
              </w:rPr>
            </w:pPr>
          </w:p>
        </w:tc>
      </w:tr>
      <w:tr>
        <w:trPr>
          <w:trHeight w:val="207"/>
        </w:trPr>
        <w:tc>
          <w:tcPr>
            <w:tcW w:w="3800" w:type="dxa"/>
            <w:vAlign w:val="bottom"/>
            <w:tcBorders>
              <w:bottom w:val="single" w:sz="8" w:color="A6A6A6"/>
            </w:tcBorders>
          </w:tcPr>
          <w:p>
            <w:pPr>
              <w:spacing w:after="0"/>
              <w:rPr>
                <w:sz w:val="20"/>
                <w:szCs w:val="20"/>
                <w:color w:val="auto"/>
              </w:rPr>
            </w:pPr>
            <w:r>
              <w:rPr>
                <w:rFonts w:ascii="Arial" w:cs="Arial" w:eastAsia="Arial" w:hAnsi="Arial"/>
                <w:sz w:val="16"/>
                <w:szCs w:val="16"/>
                <w:b w:val="1"/>
                <w:bCs w:val="1"/>
                <w:color w:val="004483"/>
              </w:rPr>
              <w:t>Intersegment Revenue -</w:t>
            </w:r>
          </w:p>
        </w:tc>
        <w:tc>
          <w:tcPr>
            <w:tcW w:w="1560" w:type="dxa"/>
            <w:vAlign w:val="bottom"/>
            <w:tcBorders>
              <w:bottom w:val="single" w:sz="8" w:color="A6A6A6"/>
            </w:tcBorders>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120" w:type="dxa"/>
            <w:vAlign w:val="bottom"/>
            <w:tcBorders>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400" w:type="dxa"/>
            <w:vAlign w:val="bottom"/>
            <w:tcBorders>
              <w:bottom w:val="single" w:sz="8" w:color="A6A6A6"/>
            </w:tcBorders>
          </w:tcPr>
          <w:p>
            <w:pPr>
              <w:spacing w:after="0"/>
              <w:rPr>
                <w:sz w:val="17"/>
                <w:szCs w:val="17"/>
                <w:color w:val="auto"/>
              </w:rPr>
            </w:pPr>
          </w:p>
        </w:tc>
        <w:tc>
          <w:tcPr>
            <w:tcW w:w="86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60" w:type="dxa"/>
            <w:vAlign w:val="bottom"/>
            <w:tcBorders>
              <w:bottom w:val="single" w:sz="8" w:color="A6A6A6"/>
            </w:tcBorders>
          </w:tcPr>
          <w:p>
            <w:pPr>
              <w:spacing w:after="0"/>
              <w:rPr>
                <w:sz w:val="17"/>
                <w:szCs w:val="17"/>
                <w:color w:val="auto"/>
              </w:rPr>
            </w:pPr>
          </w:p>
        </w:tc>
        <w:tc>
          <w:tcPr>
            <w:tcW w:w="110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20" w:type="dxa"/>
            <w:vAlign w:val="bottom"/>
            <w:tcBorders>
              <w:bottom w:val="single" w:sz="8" w:color="A6A6A6"/>
            </w:tcBorders>
          </w:tcPr>
          <w:p>
            <w:pPr>
              <w:spacing w:after="0"/>
              <w:rPr>
                <w:sz w:val="17"/>
                <w:szCs w:val="17"/>
                <w:color w:val="auto"/>
              </w:rPr>
            </w:pPr>
          </w:p>
        </w:tc>
        <w:tc>
          <w:tcPr>
            <w:tcW w:w="400" w:type="dxa"/>
            <w:vAlign w:val="bottom"/>
            <w:tcBorders>
              <w:bottom w:val="single" w:sz="8" w:color="A6A6A6"/>
            </w:tcBorders>
          </w:tcPr>
          <w:p>
            <w:pPr>
              <w:spacing w:after="0"/>
              <w:rPr>
                <w:sz w:val="17"/>
                <w:szCs w:val="17"/>
                <w:color w:val="auto"/>
              </w:rPr>
            </w:pPr>
          </w:p>
        </w:tc>
        <w:tc>
          <w:tcPr>
            <w:tcW w:w="88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3800" w:type="dxa"/>
            <w:vAlign w:val="bottom"/>
            <w:tcBorders>
              <w:bottom w:val="single" w:sz="8" w:color="A6A6A6"/>
            </w:tcBorders>
          </w:tcPr>
          <w:p>
            <w:pPr>
              <w:ind w:left="260"/>
              <w:spacing w:after="0"/>
              <w:rPr>
                <w:sz w:val="20"/>
                <w:szCs w:val="20"/>
                <w:color w:val="auto"/>
              </w:rPr>
            </w:pPr>
            <w:r>
              <w:rPr>
                <w:rFonts w:ascii="Arial" w:cs="Arial" w:eastAsia="Arial" w:hAnsi="Arial"/>
                <w:sz w:val="16"/>
                <w:szCs w:val="16"/>
                <w:color w:val="277EBF"/>
              </w:rPr>
              <w:t>Cement</w:t>
            </w:r>
          </w:p>
        </w:tc>
        <w:tc>
          <w:tcPr>
            <w:tcW w:w="17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6,267</w:t>
            </w:r>
          </w:p>
        </w:tc>
        <w:tc>
          <w:tcPr>
            <w:tcW w:w="120" w:type="dxa"/>
            <w:vAlign w:val="bottom"/>
          </w:tcPr>
          <w:p>
            <w:pPr>
              <w:spacing w:after="0"/>
              <w:rPr>
                <w:sz w:val="18"/>
                <w:szCs w:val="18"/>
                <w:color w:val="auto"/>
              </w:rPr>
            </w:pPr>
          </w:p>
        </w:tc>
        <w:tc>
          <w:tcPr>
            <w:tcW w:w="520" w:type="dxa"/>
            <w:vAlign w:val="bottom"/>
            <w:tcBorders>
              <w:bottom w:val="single" w:sz="8" w:color="A6A6A6"/>
            </w:tcBorders>
            <w:gridSpan w:val="2"/>
          </w:tcPr>
          <w:p>
            <w:pPr>
              <w:jc w:val="right"/>
              <w:ind w:right="244"/>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6,703</w:t>
            </w:r>
          </w:p>
        </w:tc>
        <w:tc>
          <w:tcPr>
            <w:tcW w:w="100" w:type="dxa"/>
            <w:vAlign w:val="bottom"/>
          </w:tcPr>
          <w:p>
            <w:pPr>
              <w:spacing w:after="0"/>
              <w:rPr>
                <w:sz w:val="18"/>
                <w:szCs w:val="18"/>
                <w:color w:val="auto"/>
              </w:rPr>
            </w:pPr>
          </w:p>
        </w:tc>
        <w:tc>
          <w:tcPr>
            <w:tcW w:w="300" w:type="dxa"/>
            <w:vAlign w:val="bottom"/>
            <w:tcBorders>
              <w:bottom w:val="single" w:sz="8" w:color="A6A6A6"/>
            </w:tcBorders>
            <w:gridSpan w:val="2"/>
          </w:tcPr>
          <w:p>
            <w:pPr>
              <w:jc w:val="right"/>
              <w:ind w:right="4"/>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12,298</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gridSpan w:val="2"/>
          </w:tcPr>
          <w:p>
            <w:pPr>
              <w:jc w:val="right"/>
              <w:ind w:right="244"/>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10,956</w:t>
            </w:r>
          </w:p>
        </w:tc>
        <w:tc>
          <w:tcPr>
            <w:tcW w:w="100" w:type="dxa"/>
            <w:vAlign w:val="bottom"/>
          </w:tcPr>
          <w:p>
            <w:pPr>
              <w:spacing w:after="0"/>
              <w:rPr>
                <w:sz w:val="18"/>
                <w:szCs w:val="18"/>
                <w:color w:val="auto"/>
              </w:rPr>
            </w:pPr>
          </w:p>
        </w:tc>
      </w:tr>
      <w:tr>
        <w:trPr>
          <w:trHeight w:val="209"/>
        </w:trPr>
        <w:tc>
          <w:tcPr>
            <w:tcW w:w="3800" w:type="dxa"/>
            <w:vAlign w:val="bottom"/>
          </w:tcPr>
          <w:p>
            <w:pPr>
              <w:ind w:left="260"/>
              <w:spacing w:after="0"/>
              <w:rPr>
                <w:sz w:val="20"/>
                <w:szCs w:val="20"/>
                <w:color w:val="auto"/>
              </w:rPr>
            </w:pPr>
            <w:r>
              <w:rPr>
                <w:rFonts w:ascii="Arial" w:cs="Arial" w:eastAsia="Arial" w:hAnsi="Arial"/>
                <w:sz w:val="16"/>
                <w:szCs w:val="16"/>
                <w:color w:val="00AAC6"/>
              </w:rPr>
              <w:t>Concrete and Aggregates</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784</w:t>
            </w:r>
          </w:p>
        </w:tc>
        <w:tc>
          <w:tcPr>
            <w:tcW w:w="100" w:type="dxa"/>
            <w:vAlign w:val="bottom"/>
          </w:tcPr>
          <w:p>
            <w:pPr>
              <w:spacing w:after="0"/>
              <w:rPr>
                <w:sz w:val="18"/>
                <w:szCs w:val="18"/>
                <w:color w:val="auto"/>
              </w:rPr>
            </w:pPr>
          </w:p>
        </w:tc>
      </w:tr>
      <w:tr>
        <w:trPr>
          <w:trHeight w:val="210"/>
        </w:trPr>
        <w:tc>
          <w:tcPr>
            <w:tcW w:w="3800" w:type="dxa"/>
            <w:vAlign w:val="bottom"/>
            <w:tcBorders>
              <w:top w:val="single" w:sz="8" w:color="A6A6A6"/>
              <w:bottom w:val="single" w:sz="8" w:color="A6A6A6"/>
            </w:tcBorders>
          </w:tcPr>
          <w:p>
            <w:pPr>
              <w:ind w:left="260"/>
              <w:spacing w:after="0"/>
              <w:rPr>
                <w:sz w:val="20"/>
                <w:szCs w:val="20"/>
                <w:color w:val="auto"/>
              </w:rPr>
            </w:pPr>
            <w:r>
              <w:rPr>
                <w:rFonts w:ascii="Arial" w:cs="Arial" w:eastAsia="Arial" w:hAnsi="Arial"/>
                <w:sz w:val="16"/>
                <w:szCs w:val="16"/>
                <w:color w:val="AEB949"/>
              </w:rPr>
              <w:t>Paperboard</w:t>
            </w:r>
          </w:p>
        </w:tc>
        <w:tc>
          <w:tcPr>
            <w:tcW w:w="1560" w:type="dxa"/>
            <w:vAlign w:val="bottom"/>
            <w:tcBorders>
              <w:top w:val="single" w:sz="8" w:color="A6A6A6"/>
              <w:bottom w:val="single" w:sz="8" w:color="A6A6A6"/>
            </w:tcBorders>
          </w:tcPr>
          <w:p>
            <w:pPr>
              <w:spacing w:after="0"/>
              <w:rPr>
                <w:sz w:val="18"/>
                <w:szCs w:val="18"/>
                <w:color w:val="auto"/>
              </w:rPr>
            </w:pPr>
          </w:p>
        </w:tc>
        <w:tc>
          <w:tcPr>
            <w:tcW w:w="140" w:type="dxa"/>
            <w:vAlign w:val="bottom"/>
            <w:tcBorders>
              <w:top w:val="single" w:sz="8" w:color="A6A6A6"/>
              <w:bottom w:val="single" w:sz="8" w:color="004483"/>
            </w:tcBorders>
          </w:tcPr>
          <w:p>
            <w:pPr>
              <w:spacing w:after="0"/>
              <w:rPr>
                <w:sz w:val="18"/>
                <w:szCs w:val="18"/>
                <w:color w:val="auto"/>
              </w:rPr>
            </w:pPr>
          </w:p>
        </w:tc>
        <w:tc>
          <w:tcPr>
            <w:tcW w:w="112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20,499</w:t>
            </w: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400" w:type="dxa"/>
            <w:vAlign w:val="bottom"/>
            <w:tcBorders>
              <w:top w:val="single" w:sz="8" w:color="A6A6A6"/>
              <w:bottom w:val="single" w:sz="8" w:color="004483"/>
            </w:tcBorders>
          </w:tcPr>
          <w:p>
            <w:pPr>
              <w:spacing w:after="0"/>
              <w:rPr>
                <w:sz w:val="18"/>
                <w:szCs w:val="18"/>
                <w:color w:val="auto"/>
              </w:rPr>
            </w:pPr>
          </w:p>
        </w:tc>
        <w:tc>
          <w:tcPr>
            <w:tcW w:w="86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15,924</w:t>
            </w:r>
          </w:p>
        </w:tc>
        <w:tc>
          <w:tcPr>
            <w:tcW w:w="100" w:type="dxa"/>
            <w:vAlign w:val="bottom"/>
          </w:tcPr>
          <w:p>
            <w:pPr>
              <w:spacing w:after="0"/>
              <w:rPr>
                <w:sz w:val="18"/>
                <w:szCs w:val="18"/>
                <w:color w:val="auto"/>
              </w:rPr>
            </w:pPr>
          </w:p>
        </w:tc>
        <w:tc>
          <w:tcPr>
            <w:tcW w:w="140" w:type="dxa"/>
            <w:vAlign w:val="bottom"/>
            <w:tcBorders>
              <w:top w:val="single" w:sz="8" w:color="A6A6A6"/>
              <w:bottom w:val="single" w:sz="8" w:color="A6A6A6"/>
            </w:tcBorders>
          </w:tcPr>
          <w:p>
            <w:pPr>
              <w:spacing w:after="0"/>
              <w:rPr>
                <w:sz w:val="18"/>
                <w:szCs w:val="18"/>
                <w:color w:val="auto"/>
              </w:rPr>
            </w:pPr>
          </w:p>
        </w:tc>
        <w:tc>
          <w:tcPr>
            <w:tcW w:w="160" w:type="dxa"/>
            <w:vAlign w:val="bottom"/>
            <w:tcBorders>
              <w:top w:val="single" w:sz="8" w:color="A6A6A6"/>
              <w:bottom w:val="single" w:sz="8" w:color="004483"/>
            </w:tcBorders>
          </w:tcPr>
          <w:p>
            <w:pPr>
              <w:spacing w:after="0"/>
              <w:rPr>
                <w:sz w:val="18"/>
                <w:szCs w:val="18"/>
                <w:color w:val="auto"/>
              </w:rPr>
            </w:pPr>
          </w:p>
        </w:tc>
        <w:tc>
          <w:tcPr>
            <w:tcW w:w="11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34,568</w:t>
            </w: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0" w:type="dxa"/>
            <w:vAlign w:val="bottom"/>
            <w:tcBorders>
              <w:top w:val="single" w:sz="8" w:color="A6A6A6"/>
              <w:bottom w:val="single" w:sz="8" w:color="A6A6A6"/>
            </w:tcBorders>
          </w:tcPr>
          <w:p>
            <w:pPr>
              <w:spacing w:after="0"/>
              <w:rPr>
                <w:sz w:val="18"/>
                <w:szCs w:val="18"/>
                <w:color w:val="auto"/>
              </w:rPr>
            </w:pPr>
          </w:p>
        </w:tc>
        <w:tc>
          <w:tcPr>
            <w:tcW w:w="400" w:type="dxa"/>
            <w:vAlign w:val="bottom"/>
            <w:tcBorders>
              <w:top w:val="single" w:sz="8" w:color="A6A6A6"/>
              <w:bottom w:val="single" w:sz="8" w:color="004483"/>
            </w:tcBorders>
          </w:tcPr>
          <w:p>
            <w:pPr>
              <w:spacing w:after="0"/>
              <w:rPr>
                <w:sz w:val="18"/>
                <w:szCs w:val="18"/>
                <w:color w:val="auto"/>
              </w:rPr>
            </w:pPr>
          </w:p>
        </w:tc>
        <w:tc>
          <w:tcPr>
            <w:tcW w:w="8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32,939</w:t>
            </w:r>
          </w:p>
        </w:tc>
        <w:tc>
          <w:tcPr>
            <w:tcW w:w="100" w:type="dxa"/>
            <w:vAlign w:val="bottom"/>
          </w:tcPr>
          <w:p>
            <w:pPr>
              <w:spacing w:after="0"/>
              <w:rPr>
                <w:sz w:val="18"/>
                <w:szCs w:val="18"/>
                <w:color w:val="auto"/>
              </w:rPr>
            </w:pPr>
          </w:p>
        </w:tc>
      </w:tr>
      <w:tr>
        <w:trPr>
          <w:trHeight w:val="250"/>
        </w:trPr>
        <w:tc>
          <w:tcPr>
            <w:tcW w:w="3800" w:type="dxa"/>
            <w:vAlign w:val="bottom"/>
            <w:tcBorders>
              <w:bottom w:val="single" w:sz="8" w:color="A6A6A6"/>
            </w:tcBorders>
          </w:tcPr>
          <w:p>
            <w:pPr>
              <w:spacing w:after="0"/>
              <w:rPr>
                <w:sz w:val="21"/>
                <w:szCs w:val="21"/>
                <w:color w:val="auto"/>
              </w:rPr>
            </w:pPr>
          </w:p>
        </w:tc>
        <w:tc>
          <w:tcPr>
            <w:tcW w:w="1560" w:type="dxa"/>
            <w:vAlign w:val="bottom"/>
            <w:tcBorders>
              <w:bottom w:val="single" w:sz="8" w:color="A6A6A6"/>
            </w:tcBorders>
          </w:tcPr>
          <w:p>
            <w:pPr>
              <w:spacing w:after="0"/>
              <w:rPr>
                <w:sz w:val="21"/>
                <w:szCs w:val="21"/>
                <w:color w:val="auto"/>
              </w:rPr>
            </w:pPr>
          </w:p>
        </w:tc>
        <w:tc>
          <w:tcPr>
            <w:tcW w:w="140" w:type="dxa"/>
            <w:vAlign w:val="bottom"/>
            <w:tcBorders>
              <w:bottom w:val="single" w:sz="8" w:color="004483"/>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26,766</w:t>
            </w:r>
          </w:p>
        </w:tc>
        <w:tc>
          <w:tcPr>
            <w:tcW w:w="120" w:type="dxa"/>
            <w:vAlign w:val="bottom"/>
          </w:tcPr>
          <w:p>
            <w:pPr>
              <w:spacing w:after="0"/>
              <w:rPr>
                <w:sz w:val="21"/>
                <w:szCs w:val="21"/>
                <w:color w:val="auto"/>
              </w:rPr>
            </w:pPr>
          </w:p>
        </w:tc>
        <w:tc>
          <w:tcPr>
            <w:tcW w:w="120" w:type="dxa"/>
            <w:vAlign w:val="bottom"/>
            <w:tcBorders>
              <w:bottom w:val="single" w:sz="8" w:color="A6A6A6"/>
            </w:tcBorders>
          </w:tcPr>
          <w:p>
            <w:pPr>
              <w:spacing w:after="0"/>
              <w:rPr>
                <w:sz w:val="21"/>
                <w:szCs w:val="21"/>
                <w:color w:val="auto"/>
              </w:rPr>
            </w:pPr>
          </w:p>
        </w:tc>
        <w:tc>
          <w:tcPr>
            <w:tcW w:w="400" w:type="dxa"/>
            <w:vAlign w:val="bottom"/>
            <w:tcBorders>
              <w:bottom w:val="single" w:sz="8" w:color="004483"/>
            </w:tcBorders>
          </w:tcPr>
          <w:p>
            <w:pPr>
              <w:jc w:val="right"/>
              <w:ind w:right="244"/>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23,034</w:t>
            </w:r>
          </w:p>
        </w:tc>
        <w:tc>
          <w:tcPr>
            <w:tcW w:w="100" w:type="dxa"/>
            <w:vAlign w:val="bottom"/>
          </w:tcPr>
          <w:p>
            <w:pPr>
              <w:spacing w:after="0"/>
              <w:rPr>
                <w:sz w:val="21"/>
                <w:szCs w:val="21"/>
                <w:color w:val="auto"/>
              </w:rPr>
            </w:pPr>
          </w:p>
        </w:tc>
        <w:tc>
          <w:tcPr>
            <w:tcW w:w="140" w:type="dxa"/>
            <w:vAlign w:val="bottom"/>
            <w:tcBorders>
              <w:bottom w:val="single" w:sz="8" w:color="A6A6A6"/>
            </w:tcBorders>
          </w:tcPr>
          <w:p>
            <w:pPr>
              <w:spacing w:after="0"/>
              <w:rPr>
                <w:sz w:val="21"/>
                <w:szCs w:val="21"/>
                <w:color w:val="auto"/>
              </w:rPr>
            </w:pPr>
          </w:p>
        </w:tc>
        <w:tc>
          <w:tcPr>
            <w:tcW w:w="160" w:type="dxa"/>
            <w:vAlign w:val="bottom"/>
            <w:tcBorders>
              <w:bottom w:val="single" w:sz="8" w:color="004483"/>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46,972</w:t>
            </w:r>
          </w:p>
        </w:tc>
        <w:tc>
          <w:tcPr>
            <w:tcW w:w="100" w:type="dxa"/>
            <w:vAlign w:val="bottom"/>
          </w:tcPr>
          <w:p>
            <w:pPr>
              <w:spacing w:after="0"/>
              <w:rPr>
                <w:sz w:val="21"/>
                <w:szCs w:val="21"/>
                <w:color w:val="auto"/>
              </w:rPr>
            </w:pPr>
          </w:p>
        </w:tc>
        <w:tc>
          <w:tcPr>
            <w:tcW w:w="120" w:type="dxa"/>
            <w:vAlign w:val="bottom"/>
            <w:tcBorders>
              <w:bottom w:val="single" w:sz="8" w:color="A6A6A6"/>
            </w:tcBorders>
          </w:tcPr>
          <w:p>
            <w:pPr>
              <w:spacing w:after="0"/>
              <w:rPr>
                <w:sz w:val="21"/>
                <w:szCs w:val="21"/>
                <w:color w:val="auto"/>
              </w:rPr>
            </w:pPr>
          </w:p>
        </w:tc>
        <w:tc>
          <w:tcPr>
            <w:tcW w:w="20" w:type="dxa"/>
            <w:vAlign w:val="bottom"/>
            <w:tcBorders>
              <w:bottom w:val="single" w:sz="8" w:color="A6A6A6"/>
            </w:tcBorders>
          </w:tcPr>
          <w:p>
            <w:pPr>
              <w:spacing w:after="0"/>
              <w:rPr>
                <w:sz w:val="21"/>
                <w:szCs w:val="21"/>
                <w:color w:val="auto"/>
              </w:rPr>
            </w:pPr>
          </w:p>
        </w:tc>
        <w:tc>
          <w:tcPr>
            <w:tcW w:w="400" w:type="dxa"/>
            <w:vAlign w:val="bottom"/>
            <w:tcBorders>
              <w:bottom w:val="single" w:sz="8" w:color="004483"/>
            </w:tcBorders>
          </w:tcPr>
          <w:p>
            <w:pPr>
              <w:jc w:val="right"/>
              <w:ind w:right="244"/>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44,679</w:t>
            </w:r>
          </w:p>
        </w:tc>
        <w:tc>
          <w:tcPr>
            <w:tcW w:w="100" w:type="dxa"/>
            <w:vAlign w:val="bottom"/>
          </w:tcPr>
          <w:p>
            <w:pPr>
              <w:spacing w:after="0"/>
              <w:rPr>
                <w:sz w:val="21"/>
                <w:szCs w:val="21"/>
                <w:color w:val="auto"/>
              </w:rPr>
            </w:pPr>
          </w:p>
        </w:tc>
      </w:tr>
      <w:tr>
        <w:trPr>
          <w:trHeight w:val="193"/>
        </w:trPr>
        <w:tc>
          <w:tcPr>
            <w:tcW w:w="3800" w:type="dxa"/>
            <w:vAlign w:val="bottom"/>
            <w:tcBorders>
              <w:bottom w:val="single" w:sz="8" w:color="A6A6A6"/>
            </w:tcBorders>
          </w:tcPr>
          <w:p>
            <w:pPr>
              <w:spacing w:after="0"/>
              <w:rPr>
                <w:sz w:val="20"/>
                <w:szCs w:val="20"/>
                <w:color w:val="auto"/>
              </w:rPr>
            </w:pPr>
            <w:r>
              <w:rPr>
                <w:rFonts w:ascii="Arial" w:cs="Arial" w:eastAsia="Arial" w:hAnsi="Arial"/>
                <w:sz w:val="16"/>
                <w:szCs w:val="16"/>
                <w:b w:val="1"/>
                <w:bCs w:val="1"/>
                <w:color w:val="004483"/>
              </w:rPr>
              <w:t>Cement Sales Volume (M tons) -</w:t>
            </w:r>
          </w:p>
        </w:tc>
        <w:tc>
          <w:tcPr>
            <w:tcW w:w="1560" w:type="dxa"/>
            <w:vAlign w:val="bottom"/>
            <w:tcBorders>
              <w:bottom w:val="single" w:sz="8" w:color="A6A6A6"/>
            </w:tcBorders>
          </w:tcPr>
          <w:p>
            <w:pPr>
              <w:spacing w:after="0"/>
              <w:rPr>
                <w:sz w:val="16"/>
                <w:szCs w:val="16"/>
                <w:color w:val="auto"/>
              </w:rPr>
            </w:pPr>
          </w:p>
        </w:tc>
        <w:tc>
          <w:tcPr>
            <w:tcW w:w="140" w:type="dxa"/>
            <w:vAlign w:val="bottom"/>
            <w:tcBorders>
              <w:bottom w:val="single" w:sz="8" w:color="A6A6A6"/>
            </w:tcBorders>
          </w:tcPr>
          <w:p>
            <w:pPr>
              <w:spacing w:after="0"/>
              <w:rPr>
                <w:sz w:val="16"/>
                <w:szCs w:val="16"/>
                <w:color w:val="auto"/>
              </w:rPr>
            </w:pPr>
          </w:p>
        </w:tc>
        <w:tc>
          <w:tcPr>
            <w:tcW w:w="1120" w:type="dxa"/>
            <w:vAlign w:val="bottom"/>
            <w:tcBorders>
              <w:bottom w:val="single" w:sz="8" w:color="A6A6A6"/>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400" w:type="dxa"/>
            <w:vAlign w:val="bottom"/>
            <w:tcBorders>
              <w:bottom w:val="single" w:sz="8" w:color="A6A6A6"/>
            </w:tcBorders>
          </w:tcPr>
          <w:p>
            <w:pPr>
              <w:spacing w:after="0"/>
              <w:rPr>
                <w:sz w:val="16"/>
                <w:szCs w:val="16"/>
                <w:color w:val="auto"/>
              </w:rPr>
            </w:pPr>
          </w:p>
        </w:tc>
        <w:tc>
          <w:tcPr>
            <w:tcW w:w="86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6A6A6"/>
            </w:tcBorders>
          </w:tcPr>
          <w:p>
            <w:pPr>
              <w:spacing w:after="0"/>
              <w:rPr>
                <w:sz w:val="16"/>
                <w:szCs w:val="16"/>
                <w:color w:val="auto"/>
              </w:rPr>
            </w:pPr>
          </w:p>
        </w:tc>
        <w:tc>
          <w:tcPr>
            <w:tcW w:w="160" w:type="dxa"/>
            <w:vAlign w:val="bottom"/>
            <w:tcBorders>
              <w:bottom w:val="single" w:sz="8" w:color="A6A6A6"/>
            </w:tcBorders>
          </w:tcPr>
          <w:p>
            <w:pPr>
              <w:spacing w:after="0"/>
              <w:rPr>
                <w:sz w:val="16"/>
                <w:szCs w:val="16"/>
                <w:color w:val="auto"/>
              </w:rPr>
            </w:pPr>
          </w:p>
        </w:tc>
        <w:tc>
          <w:tcPr>
            <w:tcW w:w="110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20" w:type="dxa"/>
            <w:vAlign w:val="bottom"/>
            <w:tcBorders>
              <w:bottom w:val="single" w:sz="8" w:color="A6A6A6"/>
            </w:tcBorders>
          </w:tcPr>
          <w:p>
            <w:pPr>
              <w:spacing w:after="0"/>
              <w:rPr>
                <w:sz w:val="16"/>
                <w:szCs w:val="16"/>
                <w:color w:val="auto"/>
              </w:rPr>
            </w:pPr>
          </w:p>
        </w:tc>
        <w:tc>
          <w:tcPr>
            <w:tcW w:w="400" w:type="dxa"/>
            <w:vAlign w:val="bottom"/>
            <w:tcBorders>
              <w:bottom w:val="single" w:sz="8" w:color="A6A6A6"/>
            </w:tcBorders>
          </w:tcPr>
          <w:p>
            <w:pPr>
              <w:spacing w:after="0"/>
              <w:rPr>
                <w:sz w:val="16"/>
                <w:szCs w:val="16"/>
                <w:color w:val="auto"/>
              </w:rPr>
            </w:pPr>
          </w:p>
        </w:tc>
        <w:tc>
          <w:tcPr>
            <w:tcW w:w="88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3800" w:type="dxa"/>
            <w:vAlign w:val="bottom"/>
            <w:tcBorders>
              <w:bottom w:val="single" w:sz="8" w:color="A6A6A6"/>
            </w:tcBorders>
          </w:tcPr>
          <w:p>
            <w:pPr>
              <w:ind w:left="260"/>
              <w:spacing w:after="0"/>
              <w:rPr>
                <w:sz w:val="20"/>
                <w:szCs w:val="20"/>
                <w:color w:val="auto"/>
              </w:rPr>
            </w:pPr>
            <w:r>
              <w:rPr>
                <w:rFonts w:ascii="Arial" w:cs="Arial" w:eastAsia="Arial" w:hAnsi="Arial"/>
                <w:sz w:val="16"/>
                <w:szCs w:val="16"/>
                <w:color w:val="004483"/>
              </w:rPr>
              <w:t>Wholly Owned</w:t>
            </w:r>
          </w:p>
        </w:tc>
        <w:tc>
          <w:tcPr>
            <w:tcW w:w="156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1,947</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1,529</w:t>
            </w: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3,813</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2,847</w:t>
            </w:r>
          </w:p>
        </w:tc>
        <w:tc>
          <w:tcPr>
            <w:tcW w:w="100" w:type="dxa"/>
            <w:vAlign w:val="bottom"/>
          </w:tcPr>
          <w:p>
            <w:pPr>
              <w:spacing w:after="0"/>
              <w:rPr>
                <w:sz w:val="18"/>
                <w:szCs w:val="18"/>
                <w:color w:val="auto"/>
              </w:rPr>
            </w:pPr>
          </w:p>
        </w:tc>
      </w:tr>
      <w:tr>
        <w:trPr>
          <w:trHeight w:val="210"/>
        </w:trPr>
        <w:tc>
          <w:tcPr>
            <w:tcW w:w="3800" w:type="dxa"/>
            <w:vAlign w:val="bottom"/>
            <w:tcBorders>
              <w:bottom w:val="single" w:sz="8" w:color="A6A6A6"/>
            </w:tcBorders>
          </w:tcPr>
          <w:p>
            <w:pPr>
              <w:ind w:left="260"/>
              <w:spacing w:after="0"/>
              <w:rPr>
                <w:sz w:val="20"/>
                <w:szCs w:val="20"/>
                <w:color w:val="auto"/>
              </w:rPr>
            </w:pPr>
            <w:r>
              <w:rPr>
                <w:rFonts w:ascii="Arial" w:cs="Arial" w:eastAsia="Arial" w:hAnsi="Arial"/>
                <w:sz w:val="16"/>
                <w:szCs w:val="16"/>
                <w:color w:val="004483"/>
              </w:rPr>
              <w:t>Joint Venture</w:t>
            </w:r>
          </w:p>
        </w:tc>
        <w:tc>
          <w:tcPr>
            <w:tcW w:w="1560" w:type="dxa"/>
            <w:vAlign w:val="bottom"/>
            <w:tcBorders>
              <w:bottom w:val="single" w:sz="8" w:color="A6A6A6"/>
            </w:tcBorders>
          </w:tcPr>
          <w:p>
            <w:pPr>
              <w:spacing w:after="0"/>
              <w:rPr>
                <w:sz w:val="18"/>
                <w:szCs w:val="18"/>
                <w:color w:val="auto"/>
              </w:rPr>
            </w:pPr>
          </w:p>
        </w:tc>
        <w:tc>
          <w:tcPr>
            <w:tcW w:w="14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400" w:type="dxa"/>
            <w:vAlign w:val="bottom"/>
            <w:tcBorders>
              <w:bottom w:val="single" w:sz="8" w:color="004483"/>
            </w:tcBorders>
          </w:tcPr>
          <w:p>
            <w:pPr>
              <w:spacing w:after="0"/>
              <w:rPr>
                <w:sz w:val="18"/>
                <w:szCs w:val="18"/>
                <w:color w:val="auto"/>
              </w:rPr>
            </w:pP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60" w:type="dxa"/>
            <w:vAlign w:val="bottom"/>
            <w:tcBorders>
              <w:bottom w:val="single" w:sz="8" w:color="004483"/>
            </w:tcBorders>
          </w:tcPr>
          <w:p>
            <w:pPr>
              <w:spacing w:after="0"/>
              <w:rPr>
                <w:sz w:val="18"/>
                <w:szCs w:val="18"/>
                <w:color w:val="auto"/>
              </w:rPr>
            </w:pPr>
          </w:p>
        </w:tc>
        <w:tc>
          <w:tcPr>
            <w:tcW w:w="1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452</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400" w:type="dxa"/>
            <w:vAlign w:val="bottom"/>
            <w:tcBorders>
              <w:bottom w:val="single" w:sz="8" w:color="004483"/>
            </w:tcBorders>
          </w:tcPr>
          <w:p>
            <w:pPr>
              <w:spacing w:after="0"/>
              <w:rPr>
                <w:sz w:val="18"/>
                <w:szCs w:val="18"/>
                <w:color w:val="auto"/>
              </w:rPr>
            </w:pPr>
          </w:p>
        </w:tc>
        <w:tc>
          <w:tcPr>
            <w:tcW w:w="8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481</w:t>
            </w:r>
          </w:p>
        </w:tc>
        <w:tc>
          <w:tcPr>
            <w:tcW w:w="100" w:type="dxa"/>
            <w:vAlign w:val="bottom"/>
          </w:tcPr>
          <w:p>
            <w:pPr>
              <w:spacing w:after="0"/>
              <w:rPr>
                <w:sz w:val="18"/>
                <w:szCs w:val="18"/>
                <w:color w:val="auto"/>
              </w:rPr>
            </w:pPr>
          </w:p>
        </w:tc>
      </w:tr>
      <w:tr>
        <w:trPr>
          <w:trHeight w:val="210"/>
        </w:trPr>
        <w:tc>
          <w:tcPr>
            <w:tcW w:w="38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2,180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004483"/>
            </w:tcBorders>
          </w:tcPr>
          <w:p>
            <w:pPr>
              <w:spacing w:after="0"/>
              <w:rPr>
                <w:sz w:val="18"/>
                <w:szCs w:val="18"/>
                <w:color w:val="auto"/>
              </w:rPr>
            </w:pP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1,778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004483"/>
            </w:tcBorders>
          </w:tcPr>
          <w:p>
            <w:pPr>
              <w:spacing w:after="0"/>
              <w:rPr>
                <w:sz w:val="18"/>
                <w:szCs w:val="18"/>
                <w:color w:val="auto"/>
              </w:rPr>
            </w:pPr>
          </w:p>
        </w:tc>
        <w:tc>
          <w:tcPr>
            <w:tcW w:w="1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4,265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bottom w:val="single" w:sz="8" w:color="004483"/>
            </w:tcBorders>
          </w:tcPr>
          <w:p>
            <w:pPr>
              <w:spacing w:after="0"/>
              <w:rPr>
                <w:sz w:val="18"/>
                <w:szCs w:val="18"/>
                <w:color w:val="auto"/>
              </w:rPr>
            </w:pPr>
          </w:p>
        </w:tc>
        <w:tc>
          <w:tcPr>
            <w:tcW w:w="8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3,328</w:t>
            </w:r>
          </w:p>
        </w:tc>
        <w:tc>
          <w:tcPr>
            <w:tcW w:w="100" w:type="dxa"/>
            <w:vAlign w:val="bottom"/>
          </w:tcPr>
          <w:p>
            <w:pPr>
              <w:spacing w:after="0"/>
              <w:rPr>
                <w:sz w:val="18"/>
                <w:szCs w:val="18"/>
                <w:color w:val="auto"/>
              </w:rPr>
            </w:pPr>
          </w:p>
        </w:tc>
      </w:tr>
      <w:tr>
        <w:trPr>
          <w:trHeight w:val="20"/>
        </w:trPr>
        <w:tc>
          <w:tcPr>
            <w:tcW w:w="3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004483"/>
            </w:tcBorders>
          </w:tcPr>
          <w:p>
            <w:pPr>
              <w:spacing w:after="0" w:line="20" w:lineRule="exact"/>
              <w:rPr>
                <w:sz w:val="1"/>
                <w:szCs w:val="1"/>
                <w:color w:val="auto"/>
              </w:rPr>
            </w:pPr>
          </w:p>
        </w:tc>
        <w:tc>
          <w:tcPr>
            <w:tcW w:w="8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29"/>
        </w:trPr>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shd w:val="clear" w:color="auto" w:fill="004483"/>
          </w:tcPr>
          <w:p>
            <w:pPr>
              <w:spacing w:after="0"/>
              <w:rPr>
                <w:sz w:val="19"/>
                <w:szCs w:val="19"/>
                <w:color w:val="auto"/>
              </w:rPr>
            </w:pPr>
          </w:p>
        </w:tc>
        <w:tc>
          <w:tcPr>
            <w:tcW w:w="2720" w:type="dxa"/>
            <w:vAlign w:val="bottom"/>
            <w:gridSpan w:val="7"/>
            <w:shd w:val="clear" w:color="auto" w:fill="004483"/>
          </w:tcPr>
          <w:p>
            <w:pPr>
              <w:jc w:val="right"/>
              <w:ind w:right="300"/>
              <w:spacing w:after="0"/>
              <w:rPr>
                <w:sz w:val="20"/>
                <w:szCs w:val="20"/>
                <w:color w:val="auto"/>
              </w:rPr>
            </w:pPr>
            <w:r>
              <w:rPr>
                <w:rFonts w:ascii="Arial" w:cs="Arial" w:eastAsia="Arial" w:hAnsi="Arial"/>
                <w:sz w:val="13"/>
                <w:szCs w:val="13"/>
                <w:b w:val="1"/>
                <w:bCs w:val="1"/>
                <w:color w:val="FFFFFF"/>
                <w:w w:val="89"/>
              </w:rPr>
              <w:t>For the Three Months Ended September 30,</w:t>
            </w:r>
          </w:p>
        </w:tc>
        <w:tc>
          <w:tcPr>
            <w:tcW w:w="140" w:type="dxa"/>
            <w:vAlign w:val="bottom"/>
          </w:tcPr>
          <w:p>
            <w:pPr>
              <w:spacing w:after="0"/>
              <w:rPr>
                <w:sz w:val="19"/>
                <w:szCs w:val="19"/>
                <w:color w:val="auto"/>
              </w:rPr>
            </w:pPr>
          </w:p>
        </w:tc>
        <w:tc>
          <w:tcPr>
            <w:tcW w:w="100" w:type="dxa"/>
            <w:vAlign w:val="bottom"/>
            <w:shd w:val="clear" w:color="auto" w:fill="004483"/>
          </w:tcPr>
          <w:p>
            <w:pPr>
              <w:spacing w:after="0"/>
              <w:rPr>
                <w:sz w:val="19"/>
                <w:szCs w:val="19"/>
                <w:color w:val="auto"/>
              </w:rPr>
            </w:pPr>
          </w:p>
        </w:tc>
        <w:tc>
          <w:tcPr>
            <w:tcW w:w="2780" w:type="dxa"/>
            <w:vAlign w:val="bottom"/>
            <w:gridSpan w:val="10"/>
            <w:shd w:val="clear" w:color="auto" w:fill="004483"/>
          </w:tcPr>
          <w:p>
            <w:pPr>
              <w:jc w:val="right"/>
              <w:ind w:right="400"/>
              <w:spacing w:after="0"/>
              <w:rPr>
                <w:sz w:val="20"/>
                <w:szCs w:val="20"/>
                <w:color w:val="auto"/>
              </w:rPr>
            </w:pPr>
            <w:r>
              <w:rPr>
                <w:rFonts w:ascii="Arial" w:cs="Arial" w:eastAsia="Arial" w:hAnsi="Arial"/>
                <w:sz w:val="13"/>
                <w:szCs w:val="13"/>
                <w:b w:val="1"/>
                <w:bCs w:val="1"/>
                <w:color w:val="FFFFFF"/>
                <w:w w:val="93"/>
              </w:rPr>
              <w:t>For the Six Months Ended September 30,</w:t>
            </w:r>
          </w:p>
        </w:tc>
      </w:tr>
      <w:tr>
        <w:trPr>
          <w:trHeight w:val="148"/>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gridSpan w:val="2"/>
          </w:tcPr>
          <w:p>
            <w:pPr>
              <w:jc w:val="right"/>
              <w:spacing w:after="0" w:line="148"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gridSpan w:val="3"/>
          </w:tcPr>
          <w:p>
            <w:pPr>
              <w:jc w:val="right"/>
              <w:spacing w:after="0" w:line="148"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2"/>
                <w:szCs w:val="12"/>
                <w:color w:val="auto"/>
              </w:rPr>
            </w:pPr>
          </w:p>
        </w:tc>
      </w:tr>
      <w:tr>
        <w:trPr>
          <w:trHeight w:val="149"/>
        </w:trPr>
        <w:tc>
          <w:tcPr>
            <w:tcW w:w="5240" w:type="dxa"/>
            <w:vAlign w:val="bottom"/>
            <w:tcBorders>
              <w:bottom w:val="single" w:sz="8" w:color="004483"/>
            </w:tcBorders>
          </w:tcPr>
          <w:p>
            <w:pPr>
              <w:spacing w:after="0"/>
              <w:rPr>
                <w:sz w:val="12"/>
                <w:szCs w:val="12"/>
                <w:color w:val="auto"/>
              </w:rPr>
            </w:pPr>
          </w:p>
        </w:tc>
        <w:tc>
          <w:tcPr>
            <w:tcW w:w="120" w:type="dxa"/>
            <w:vAlign w:val="bottom"/>
            <w:tcBorders>
              <w:bottom w:val="single" w:sz="8" w:color="004483"/>
            </w:tcBorders>
          </w:tcPr>
          <w:p>
            <w:pPr>
              <w:spacing w:after="0"/>
              <w:rPr>
                <w:sz w:val="12"/>
                <w:szCs w:val="12"/>
                <w:color w:val="auto"/>
              </w:rPr>
            </w:pPr>
          </w:p>
        </w:tc>
        <w:tc>
          <w:tcPr>
            <w:tcW w:w="140" w:type="dxa"/>
            <w:vAlign w:val="bottom"/>
            <w:tcBorders>
              <w:bottom w:val="single" w:sz="8" w:color="004483"/>
            </w:tcBorders>
          </w:tcPr>
          <w:p>
            <w:pPr>
              <w:spacing w:after="0"/>
              <w:rPr>
                <w:sz w:val="12"/>
                <w:szCs w:val="12"/>
                <w:color w:val="auto"/>
              </w:rPr>
            </w:pPr>
          </w:p>
        </w:tc>
        <w:tc>
          <w:tcPr>
            <w:tcW w:w="1940" w:type="dxa"/>
            <w:vAlign w:val="bottom"/>
            <w:tcBorders>
              <w:bottom w:val="single" w:sz="8" w:color="004483"/>
            </w:tcBorders>
            <w:gridSpan w:val="4"/>
          </w:tcPr>
          <w:p>
            <w:pPr>
              <w:jc w:val="right"/>
              <w:ind w:right="84"/>
              <w:spacing w:after="0"/>
              <w:rPr>
                <w:sz w:val="20"/>
                <w:szCs w:val="20"/>
                <w:color w:val="auto"/>
              </w:rPr>
            </w:pPr>
            <w:r>
              <w:rPr>
                <w:rFonts w:ascii="Arial" w:cs="Arial" w:eastAsia="Arial" w:hAnsi="Arial"/>
                <w:sz w:val="13"/>
                <w:szCs w:val="13"/>
                <w:color w:val="auto"/>
              </w:rPr>
              <w:t>(dollars in thousands)</w:t>
            </w:r>
          </w:p>
        </w:tc>
        <w:tc>
          <w:tcPr>
            <w:tcW w:w="280" w:type="dxa"/>
            <w:vAlign w:val="bottom"/>
            <w:tcBorders>
              <w:bottom w:val="single" w:sz="8" w:color="004483"/>
            </w:tcBorders>
          </w:tcPr>
          <w:p>
            <w:pPr>
              <w:spacing w:after="0"/>
              <w:rPr>
                <w:sz w:val="12"/>
                <w:szCs w:val="12"/>
                <w:color w:val="auto"/>
              </w:rPr>
            </w:pPr>
          </w:p>
        </w:tc>
        <w:tc>
          <w:tcPr>
            <w:tcW w:w="400" w:type="dxa"/>
            <w:vAlign w:val="bottom"/>
            <w:tcBorders>
              <w:bottom w:val="single" w:sz="8" w:color="004483"/>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004483"/>
            </w:tcBorders>
          </w:tcPr>
          <w:p>
            <w:pPr>
              <w:spacing w:after="0"/>
              <w:rPr>
                <w:sz w:val="12"/>
                <w:szCs w:val="12"/>
                <w:color w:val="auto"/>
              </w:rPr>
            </w:pPr>
          </w:p>
        </w:tc>
        <w:tc>
          <w:tcPr>
            <w:tcW w:w="100" w:type="dxa"/>
            <w:vAlign w:val="bottom"/>
            <w:tcBorders>
              <w:bottom w:val="single" w:sz="8" w:color="004483"/>
            </w:tcBorders>
          </w:tcPr>
          <w:p>
            <w:pPr>
              <w:spacing w:after="0"/>
              <w:rPr>
                <w:sz w:val="12"/>
                <w:szCs w:val="12"/>
                <w:color w:val="auto"/>
              </w:rPr>
            </w:pPr>
          </w:p>
        </w:tc>
        <w:tc>
          <w:tcPr>
            <w:tcW w:w="1920" w:type="dxa"/>
            <w:vAlign w:val="bottom"/>
            <w:tcBorders>
              <w:bottom w:val="single" w:sz="8" w:color="004483"/>
            </w:tcBorders>
            <w:gridSpan w:val="8"/>
          </w:tcPr>
          <w:p>
            <w:pPr>
              <w:jc w:val="right"/>
              <w:ind w:right="24"/>
              <w:spacing w:after="0"/>
              <w:rPr>
                <w:sz w:val="20"/>
                <w:szCs w:val="20"/>
                <w:color w:val="auto"/>
              </w:rPr>
            </w:pPr>
            <w:r>
              <w:rPr>
                <w:rFonts w:ascii="Arial" w:cs="Arial" w:eastAsia="Arial" w:hAnsi="Arial"/>
                <w:sz w:val="13"/>
                <w:szCs w:val="13"/>
                <w:color w:val="auto"/>
              </w:rPr>
              <w:t>(dollars in thousands)</w:t>
            </w:r>
          </w:p>
        </w:tc>
        <w:tc>
          <w:tcPr>
            <w:tcW w:w="760" w:type="dxa"/>
            <w:vAlign w:val="bottom"/>
            <w:tcBorders>
              <w:bottom w:val="single" w:sz="8" w:color="004483"/>
            </w:tcBorders>
          </w:tcPr>
          <w:p>
            <w:pPr>
              <w:spacing w:after="0"/>
              <w:rPr>
                <w:sz w:val="12"/>
                <w:szCs w:val="12"/>
                <w:color w:val="auto"/>
              </w:rPr>
            </w:pPr>
          </w:p>
        </w:tc>
        <w:tc>
          <w:tcPr>
            <w:tcW w:w="100" w:type="dxa"/>
            <w:vAlign w:val="bottom"/>
          </w:tcPr>
          <w:p>
            <w:pPr>
              <w:spacing w:after="0"/>
              <w:rPr>
                <w:sz w:val="12"/>
                <w:szCs w:val="12"/>
                <w:color w:val="auto"/>
              </w:rPr>
            </w:pPr>
          </w:p>
        </w:tc>
      </w:tr>
      <w:tr>
        <w:trPr>
          <w:trHeight w:val="207"/>
        </w:trPr>
        <w:tc>
          <w:tcPr>
            <w:tcW w:w="5240" w:type="dxa"/>
            <w:vAlign w:val="bottom"/>
            <w:tcBorders>
              <w:bottom w:val="single" w:sz="8" w:color="A6A6A6"/>
            </w:tcBorders>
          </w:tcPr>
          <w:p>
            <w:pPr>
              <w:spacing w:after="0"/>
              <w:rPr>
                <w:sz w:val="20"/>
                <w:szCs w:val="20"/>
                <w:color w:val="auto"/>
              </w:rPr>
            </w:pPr>
            <w:r>
              <w:rPr>
                <w:rFonts w:ascii="Arial" w:cs="Arial" w:eastAsia="Arial" w:hAnsi="Arial"/>
                <w:sz w:val="16"/>
                <w:szCs w:val="16"/>
                <w:b w:val="1"/>
                <w:bCs w:val="1"/>
                <w:color w:val="auto"/>
              </w:rPr>
              <w:t>Operating Earnings -</w:t>
            </w:r>
          </w:p>
        </w:tc>
        <w:tc>
          <w:tcPr>
            <w:tcW w:w="120" w:type="dxa"/>
            <w:vAlign w:val="bottom"/>
            <w:tcBorders>
              <w:bottom w:val="single" w:sz="8" w:color="A6A6A6"/>
            </w:tcBorders>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120" w:type="dxa"/>
            <w:vAlign w:val="bottom"/>
            <w:tcBorders>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580" w:type="dxa"/>
            <w:vAlign w:val="bottom"/>
            <w:tcBorders>
              <w:bottom w:val="single" w:sz="8" w:color="A6A6A6"/>
            </w:tcBorders>
          </w:tcPr>
          <w:p>
            <w:pPr>
              <w:spacing w:after="0"/>
              <w:rPr>
                <w:sz w:val="17"/>
                <w:szCs w:val="17"/>
                <w:color w:val="auto"/>
              </w:rPr>
            </w:pPr>
          </w:p>
        </w:tc>
        <w:tc>
          <w:tcPr>
            <w:tcW w:w="280" w:type="dxa"/>
            <w:vAlign w:val="bottom"/>
            <w:tcBorders>
              <w:bottom w:val="single" w:sz="8" w:color="A6A6A6"/>
            </w:tcBorders>
          </w:tcPr>
          <w:p>
            <w:pPr>
              <w:spacing w:after="0"/>
              <w:rPr>
                <w:sz w:val="17"/>
                <w:szCs w:val="17"/>
                <w:color w:val="auto"/>
              </w:rPr>
            </w:pPr>
          </w:p>
        </w:tc>
        <w:tc>
          <w:tcPr>
            <w:tcW w:w="40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00" w:type="dxa"/>
            <w:vAlign w:val="bottom"/>
            <w:tcBorders>
              <w:bottom w:val="single" w:sz="8" w:color="A6A6A6"/>
            </w:tcBorders>
          </w:tcPr>
          <w:p>
            <w:pPr>
              <w:spacing w:after="0"/>
              <w:rPr>
                <w:sz w:val="17"/>
                <w:szCs w:val="17"/>
                <w:color w:val="auto"/>
              </w:rPr>
            </w:pPr>
          </w:p>
        </w:tc>
        <w:tc>
          <w:tcPr>
            <w:tcW w:w="80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6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20" w:type="dxa"/>
            <w:vAlign w:val="bottom"/>
            <w:tcBorders>
              <w:bottom w:val="single" w:sz="8" w:color="A6A6A6"/>
            </w:tcBorders>
          </w:tcPr>
          <w:p>
            <w:pPr>
              <w:spacing w:after="0"/>
              <w:rPr>
                <w:sz w:val="17"/>
                <w:szCs w:val="17"/>
                <w:color w:val="auto"/>
              </w:rPr>
            </w:pPr>
          </w:p>
        </w:tc>
        <w:tc>
          <w:tcPr>
            <w:tcW w:w="520" w:type="dxa"/>
            <w:vAlign w:val="bottom"/>
            <w:tcBorders>
              <w:bottom w:val="single" w:sz="8" w:color="A6A6A6"/>
            </w:tcBorders>
          </w:tcPr>
          <w:p>
            <w:pPr>
              <w:spacing w:after="0"/>
              <w:rPr>
                <w:sz w:val="17"/>
                <w:szCs w:val="17"/>
                <w:color w:val="auto"/>
              </w:rPr>
            </w:pPr>
          </w:p>
        </w:tc>
        <w:tc>
          <w:tcPr>
            <w:tcW w:w="76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5240" w:type="dxa"/>
            <w:vAlign w:val="bottom"/>
            <w:tcBorders>
              <w:bottom w:val="single" w:sz="8" w:color="A6A6A6"/>
            </w:tcBorders>
          </w:tcPr>
          <w:p>
            <w:pPr>
              <w:ind w:left="260"/>
              <w:spacing w:after="0"/>
              <w:rPr>
                <w:sz w:val="20"/>
                <w:szCs w:val="20"/>
                <w:color w:val="auto"/>
              </w:rPr>
            </w:pPr>
            <w:r>
              <w:rPr>
                <w:rFonts w:ascii="Arial" w:cs="Arial" w:eastAsia="Arial" w:hAnsi="Arial"/>
                <w:sz w:val="16"/>
                <w:szCs w:val="16"/>
                <w:color w:val="277EBF"/>
              </w:rPr>
              <w:t>Cement</w:t>
            </w:r>
          </w:p>
        </w:tc>
        <w:tc>
          <w:tcPr>
            <w:tcW w:w="26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79,913</w:t>
            </w:r>
          </w:p>
        </w:tc>
        <w:tc>
          <w:tcPr>
            <w:tcW w:w="120" w:type="dxa"/>
            <w:vAlign w:val="bottom"/>
          </w:tcPr>
          <w:p>
            <w:pPr>
              <w:spacing w:after="0"/>
              <w:rPr>
                <w:sz w:val="18"/>
                <w:szCs w:val="18"/>
                <w:color w:val="auto"/>
              </w:rPr>
            </w:pPr>
          </w:p>
        </w:tc>
        <w:tc>
          <w:tcPr>
            <w:tcW w:w="700" w:type="dxa"/>
            <w:vAlign w:val="bottom"/>
            <w:tcBorders>
              <w:bottom w:val="single" w:sz="8" w:color="A6A6A6"/>
            </w:tcBorders>
            <w:gridSpan w:val="2"/>
          </w:tcPr>
          <w:p>
            <w:pPr>
              <w:jc w:val="right"/>
              <w:ind w:right="424"/>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66,526</w:t>
            </w:r>
          </w:p>
        </w:tc>
        <w:tc>
          <w:tcPr>
            <w:tcW w:w="100" w:type="dxa"/>
            <w:vAlign w:val="bottom"/>
          </w:tcPr>
          <w:p>
            <w:pPr>
              <w:spacing w:after="0"/>
              <w:rPr>
                <w:sz w:val="18"/>
                <w:szCs w:val="18"/>
                <w:color w:val="auto"/>
              </w:rPr>
            </w:pPr>
          </w:p>
        </w:tc>
        <w:tc>
          <w:tcPr>
            <w:tcW w:w="24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6A6A6"/>
            </w:tcBorders>
            <w:gridSpan w:val="4"/>
          </w:tcPr>
          <w:p>
            <w:pPr>
              <w:jc w:val="right"/>
              <w:spacing w:after="0"/>
              <w:rPr>
                <w:sz w:val="20"/>
                <w:szCs w:val="20"/>
                <w:color w:val="auto"/>
              </w:rPr>
            </w:pPr>
            <w:r>
              <w:rPr>
                <w:rFonts w:ascii="Arial" w:cs="Arial" w:eastAsia="Arial" w:hAnsi="Arial"/>
                <w:sz w:val="16"/>
                <w:szCs w:val="16"/>
                <w:color w:val="auto"/>
              </w:rPr>
              <w:t>140,368</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40" w:type="dxa"/>
            <w:vAlign w:val="bottom"/>
            <w:tcBorders>
              <w:bottom w:val="single" w:sz="8" w:color="A6A6A6"/>
            </w:tcBorders>
            <w:gridSpan w:val="2"/>
          </w:tcPr>
          <w:p>
            <w:pPr>
              <w:jc w:val="right"/>
              <w:ind w:right="364"/>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102,647</w:t>
            </w:r>
          </w:p>
        </w:tc>
        <w:tc>
          <w:tcPr>
            <w:tcW w:w="100" w:type="dxa"/>
            <w:vAlign w:val="bottom"/>
          </w:tcPr>
          <w:p>
            <w:pPr>
              <w:spacing w:after="0"/>
              <w:rPr>
                <w:sz w:val="18"/>
                <w:szCs w:val="18"/>
                <w:color w:val="auto"/>
              </w:rPr>
            </w:pPr>
          </w:p>
        </w:tc>
      </w:tr>
      <w:tr>
        <w:trPr>
          <w:trHeight w:val="209"/>
        </w:trPr>
        <w:tc>
          <w:tcPr>
            <w:tcW w:w="5240" w:type="dxa"/>
            <w:vAlign w:val="bottom"/>
            <w:tcBorders>
              <w:bottom w:val="single" w:sz="8" w:color="A6A6A6"/>
            </w:tcBorders>
          </w:tcPr>
          <w:p>
            <w:pPr>
              <w:ind w:left="260"/>
              <w:spacing w:after="0"/>
              <w:rPr>
                <w:sz w:val="20"/>
                <w:szCs w:val="20"/>
                <w:color w:val="auto"/>
              </w:rPr>
            </w:pPr>
            <w:r>
              <w:rPr>
                <w:rFonts w:ascii="Arial" w:cs="Arial" w:eastAsia="Arial" w:hAnsi="Arial"/>
                <w:sz w:val="16"/>
                <w:szCs w:val="16"/>
                <w:color w:val="00AAC6"/>
              </w:rPr>
              <w:t>Concrete and Aggregates</w:t>
            </w:r>
          </w:p>
        </w:tc>
        <w:tc>
          <w:tcPr>
            <w:tcW w:w="12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5,255</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7,255</w:t>
            </w: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gridSpan w:val="4"/>
          </w:tcPr>
          <w:p>
            <w:pPr>
              <w:jc w:val="right"/>
              <w:spacing w:after="0"/>
              <w:rPr>
                <w:sz w:val="20"/>
                <w:szCs w:val="20"/>
                <w:color w:val="auto"/>
              </w:rPr>
            </w:pPr>
            <w:r>
              <w:rPr>
                <w:rFonts w:ascii="Arial" w:cs="Arial" w:eastAsia="Arial" w:hAnsi="Arial"/>
                <w:sz w:val="16"/>
                <w:szCs w:val="16"/>
                <w:color w:val="auto"/>
              </w:rPr>
              <w:t>10,673</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11,689</w:t>
            </w:r>
          </w:p>
        </w:tc>
        <w:tc>
          <w:tcPr>
            <w:tcW w:w="100" w:type="dxa"/>
            <w:vAlign w:val="bottom"/>
          </w:tcPr>
          <w:p>
            <w:pPr>
              <w:spacing w:after="0"/>
              <w:rPr>
                <w:sz w:val="18"/>
                <w:szCs w:val="18"/>
                <w:color w:val="auto"/>
              </w:rPr>
            </w:pPr>
          </w:p>
        </w:tc>
      </w:tr>
      <w:tr>
        <w:trPr>
          <w:trHeight w:val="209"/>
        </w:trPr>
        <w:tc>
          <w:tcPr>
            <w:tcW w:w="5240" w:type="dxa"/>
            <w:vAlign w:val="bottom"/>
            <w:tcBorders>
              <w:bottom w:val="single" w:sz="8" w:color="A6A6A6"/>
            </w:tcBorders>
          </w:tcPr>
          <w:p>
            <w:pPr>
              <w:ind w:left="260"/>
              <w:spacing w:after="0"/>
              <w:rPr>
                <w:sz w:val="20"/>
                <w:szCs w:val="20"/>
                <w:color w:val="auto"/>
              </w:rPr>
            </w:pPr>
            <w:r>
              <w:rPr>
                <w:rFonts w:ascii="Arial" w:cs="Arial" w:eastAsia="Arial" w:hAnsi="Arial"/>
                <w:sz w:val="16"/>
                <w:szCs w:val="16"/>
                <w:color w:val="77943C"/>
              </w:rPr>
              <w:t>Gypsum Wallboard</w:t>
            </w:r>
          </w:p>
        </w:tc>
        <w:tc>
          <w:tcPr>
            <w:tcW w:w="12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37,606</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38,456</w:t>
            </w: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gridSpan w:val="4"/>
          </w:tcPr>
          <w:p>
            <w:pPr>
              <w:jc w:val="right"/>
              <w:spacing w:after="0"/>
              <w:rPr>
                <w:sz w:val="20"/>
                <w:szCs w:val="20"/>
                <w:color w:val="auto"/>
              </w:rPr>
            </w:pPr>
            <w:r>
              <w:rPr>
                <w:rFonts w:ascii="Arial" w:cs="Arial" w:eastAsia="Arial" w:hAnsi="Arial"/>
                <w:sz w:val="16"/>
                <w:szCs w:val="16"/>
                <w:color w:val="auto"/>
              </w:rPr>
              <w:t>78,931</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76,388</w:t>
            </w:r>
          </w:p>
        </w:tc>
        <w:tc>
          <w:tcPr>
            <w:tcW w:w="100" w:type="dxa"/>
            <w:vAlign w:val="bottom"/>
          </w:tcPr>
          <w:p>
            <w:pPr>
              <w:spacing w:after="0"/>
              <w:rPr>
                <w:sz w:val="18"/>
                <w:szCs w:val="18"/>
                <w:color w:val="auto"/>
              </w:rPr>
            </w:pPr>
          </w:p>
        </w:tc>
      </w:tr>
      <w:tr>
        <w:trPr>
          <w:trHeight w:val="210"/>
        </w:trPr>
        <w:tc>
          <w:tcPr>
            <w:tcW w:w="5240" w:type="dxa"/>
            <w:vAlign w:val="bottom"/>
            <w:tcBorders>
              <w:bottom w:val="single" w:sz="8" w:color="A6A6A6"/>
            </w:tcBorders>
          </w:tcPr>
          <w:p>
            <w:pPr>
              <w:ind w:left="260"/>
              <w:spacing w:after="0"/>
              <w:rPr>
                <w:sz w:val="20"/>
                <w:szCs w:val="20"/>
                <w:color w:val="auto"/>
              </w:rPr>
            </w:pPr>
            <w:r>
              <w:rPr>
                <w:rFonts w:ascii="Arial" w:cs="Arial" w:eastAsia="Arial" w:hAnsi="Arial"/>
                <w:sz w:val="16"/>
                <w:szCs w:val="16"/>
                <w:color w:val="AEB949"/>
              </w:rPr>
              <w:t>Paperboard</w:t>
            </w:r>
          </w:p>
        </w:tc>
        <w:tc>
          <w:tcPr>
            <w:tcW w:w="12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10,652</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10,095</w:t>
            </w: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gridSpan w:val="4"/>
          </w:tcPr>
          <w:p>
            <w:pPr>
              <w:jc w:val="right"/>
              <w:spacing w:after="0"/>
              <w:rPr>
                <w:sz w:val="20"/>
                <w:szCs w:val="20"/>
                <w:color w:val="auto"/>
              </w:rPr>
            </w:pPr>
            <w:r>
              <w:rPr>
                <w:rFonts w:ascii="Arial" w:cs="Arial" w:eastAsia="Arial" w:hAnsi="Arial"/>
                <w:sz w:val="16"/>
                <w:szCs w:val="16"/>
                <w:color w:val="auto"/>
              </w:rPr>
              <w:t>13,547</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20,039</w:t>
            </w:r>
          </w:p>
        </w:tc>
        <w:tc>
          <w:tcPr>
            <w:tcW w:w="100" w:type="dxa"/>
            <w:vAlign w:val="bottom"/>
          </w:tcPr>
          <w:p>
            <w:pPr>
              <w:spacing w:after="0"/>
              <w:rPr>
                <w:sz w:val="18"/>
                <w:szCs w:val="18"/>
                <w:color w:val="auto"/>
              </w:rPr>
            </w:pPr>
          </w:p>
        </w:tc>
      </w:tr>
      <w:tr>
        <w:trPr>
          <w:trHeight w:val="209"/>
        </w:trPr>
        <w:tc>
          <w:tcPr>
            <w:tcW w:w="5240" w:type="dxa"/>
            <w:vAlign w:val="bottom"/>
          </w:tcPr>
          <w:p>
            <w:pPr>
              <w:ind w:left="260"/>
              <w:spacing w:after="0"/>
              <w:rPr>
                <w:sz w:val="20"/>
                <w:szCs w:val="20"/>
                <w:color w:val="auto"/>
              </w:rPr>
            </w:pPr>
            <w:r>
              <w:rPr>
                <w:rFonts w:ascii="Arial" w:cs="Arial" w:eastAsia="Arial" w:hAnsi="Arial"/>
                <w:sz w:val="16"/>
                <w:szCs w:val="16"/>
                <w:color w:val="7A1C30"/>
              </w:rPr>
              <w:t>Other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6"/>
                <w:szCs w:val="16"/>
                <w:color w:val="auto"/>
              </w:rPr>
              <w:t>(955)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(1,860)</w:t>
            </w:r>
          </w:p>
        </w:tc>
      </w:tr>
      <w:tr>
        <w:trPr>
          <w:trHeight w:val="209"/>
        </w:trPr>
        <w:tc>
          <w:tcPr>
            <w:tcW w:w="5240" w:type="dxa"/>
            <w:vAlign w:val="bottom"/>
            <w:tcBorders>
              <w:top w:val="single" w:sz="8" w:color="A6A6A6"/>
              <w:bottom w:val="single" w:sz="8" w:color="A6A6A6"/>
            </w:tcBorders>
          </w:tcPr>
          <w:p>
            <w:pPr>
              <w:ind w:left="500"/>
              <w:spacing w:after="0"/>
              <w:rPr>
                <w:sz w:val="20"/>
                <w:szCs w:val="20"/>
                <w:color w:val="auto"/>
              </w:rPr>
            </w:pPr>
            <w:r>
              <w:rPr>
                <w:rFonts w:ascii="Arial" w:cs="Arial" w:eastAsia="Arial" w:hAnsi="Arial"/>
                <w:sz w:val="16"/>
                <w:szCs w:val="16"/>
                <w:color w:val="004483"/>
              </w:rPr>
              <w:t>Sub-Total</w:t>
            </w:r>
          </w:p>
        </w:tc>
        <w:tc>
          <w:tcPr>
            <w:tcW w:w="120" w:type="dxa"/>
            <w:vAlign w:val="bottom"/>
            <w:tcBorders>
              <w:top w:val="single" w:sz="8" w:color="A6A6A6"/>
              <w:bottom w:val="single" w:sz="8" w:color="A6A6A6"/>
            </w:tcBorders>
          </w:tcPr>
          <w:p>
            <w:pPr>
              <w:spacing w:after="0"/>
              <w:rPr>
                <w:sz w:val="18"/>
                <w:szCs w:val="18"/>
                <w:color w:val="auto"/>
              </w:rPr>
            </w:pPr>
          </w:p>
        </w:tc>
        <w:tc>
          <w:tcPr>
            <w:tcW w:w="140" w:type="dxa"/>
            <w:vAlign w:val="bottom"/>
            <w:tcBorders>
              <w:top w:val="single" w:sz="8" w:color="004483"/>
              <w:bottom w:val="single" w:sz="8" w:color="A6A6A6"/>
            </w:tcBorders>
          </w:tcPr>
          <w:p>
            <w:pPr>
              <w:spacing w:after="0"/>
              <w:rPr>
                <w:sz w:val="18"/>
                <w:szCs w:val="18"/>
                <w:color w:val="auto"/>
              </w:rPr>
            </w:pPr>
          </w:p>
        </w:tc>
        <w:tc>
          <w:tcPr>
            <w:tcW w:w="112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133,426</w:t>
            </w: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580" w:type="dxa"/>
            <w:vAlign w:val="bottom"/>
            <w:tcBorders>
              <w:top w:val="single" w:sz="8" w:color="004483"/>
              <w:bottom w:val="single" w:sz="8" w:color="A6A6A6"/>
            </w:tcBorders>
          </w:tcPr>
          <w:p>
            <w:pPr>
              <w:spacing w:after="0"/>
              <w:rPr>
                <w:sz w:val="18"/>
                <w:szCs w:val="18"/>
                <w:color w:val="auto"/>
              </w:rPr>
            </w:pPr>
          </w:p>
        </w:tc>
        <w:tc>
          <w:tcPr>
            <w:tcW w:w="680" w:type="dxa"/>
            <w:vAlign w:val="bottom"/>
            <w:tcBorders>
              <w:top w:val="single" w:sz="8" w:color="004483"/>
              <w:bottom w:val="single" w:sz="8" w:color="A6A6A6"/>
            </w:tcBorders>
            <w:gridSpan w:val="2"/>
          </w:tcPr>
          <w:p>
            <w:pPr>
              <w:jc w:val="right"/>
              <w:spacing w:after="0"/>
              <w:rPr>
                <w:sz w:val="20"/>
                <w:szCs w:val="20"/>
                <w:color w:val="auto"/>
              </w:rPr>
            </w:pPr>
            <w:r>
              <w:rPr>
                <w:rFonts w:ascii="Arial" w:cs="Arial" w:eastAsia="Arial" w:hAnsi="Arial"/>
                <w:sz w:val="16"/>
                <w:szCs w:val="16"/>
                <w:color w:val="auto"/>
              </w:rPr>
              <w:t>121,377</w:t>
            </w:r>
          </w:p>
        </w:tc>
        <w:tc>
          <w:tcPr>
            <w:tcW w:w="100" w:type="dxa"/>
            <w:vAlign w:val="bottom"/>
          </w:tcPr>
          <w:p>
            <w:pPr>
              <w:spacing w:after="0"/>
              <w:rPr>
                <w:sz w:val="18"/>
                <w:szCs w:val="18"/>
                <w:color w:val="auto"/>
              </w:rPr>
            </w:pPr>
          </w:p>
        </w:tc>
        <w:tc>
          <w:tcPr>
            <w:tcW w:w="140" w:type="dxa"/>
            <w:vAlign w:val="bottom"/>
            <w:tcBorders>
              <w:top w:val="single" w:sz="8" w:color="A6A6A6"/>
              <w:bottom w:val="single" w:sz="8" w:color="A6A6A6"/>
            </w:tcBorders>
          </w:tcPr>
          <w:p>
            <w:pPr>
              <w:spacing w:after="0"/>
              <w:rPr>
                <w:sz w:val="18"/>
                <w:szCs w:val="18"/>
                <w:color w:val="auto"/>
              </w:rPr>
            </w:pPr>
          </w:p>
        </w:tc>
        <w:tc>
          <w:tcPr>
            <w:tcW w:w="100" w:type="dxa"/>
            <w:vAlign w:val="bottom"/>
            <w:tcBorders>
              <w:top w:val="single" w:sz="8" w:color="004483"/>
              <w:bottom w:val="single" w:sz="8" w:color="A6A6A6"/>
            </w:tcBorders>
          </w:tcPr>
          <w:p>
            <w:pPr>
              <w:spacing w:after="0"/>
              <w:rPr>
                <w:sz w:val="18"/>
                <w:szCs w:val="18"/>
                <w:color w:val="auto"/>
              </w:rPr>
            </w:pPr>
          </w:p>
        </w:tc>
        <w:tc>
          <w:tcPr>
            <w:tcW w:w="1160" w:type="dxa"/>
            <w:vAlign w:val="bottom"/>
            <w:tcBorders>
              <w:top w:val="single" w:sz="8" w:color="004483"/>
              <w:bottom w:val="single" w:sz="8" w:color="A6A6A6"/>
            </w:tcBorders>
            <w:gridSpan w:val="4"/>
          </w:tcPr>
          <w:p>
            <w:pPr>
              <w:jc w:val="right"/>
              <w:spacing w:after="0"/>
              <w:rPr>
                <w:sz w:val="20"/>
                <w:szCs w:val="20"/>
                <w:color w:val="auto"/>
              </w:rPr>
            </w:pPr>
            <w:r>
              <w:rPr>
                <w:rFonts w:ascii="Arial" w:cs="Arial" w:eastAsia="Arial" w:hAnsi="Arial"/>
                <w:sz w:val="16"/>
                <w:szCs w:val="16"/>
                <w:color w:val="auto"/>
              </w:rPr>
              <w:t>243,519</w:t>
            </w: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0" w:type="dxa"/>
            <w:vAlign w:val="bottom"/>
            <w:tcBorders>
              <w:top w:val="single" w:sz="8" w:color="A6A6A6"/>
              <w:bottom w:val="single" w:sz="8" w:color="A6A6A6"/>
            </w:tcBorders>
          </w:tcPr>
          <w:p>
            <w:pPr>
              <w:spacing w:after="0"/>
              <w:rPr>
                <w:sz w:val="18"/>
                <w:szCs w:val="18"/>
                <w:color w:val="auto"/>
              </w:rPr>
            </w:pPr>
          </w:p>
        </w:tc>
        <w:tc>
          <w:tcPr>
            <w:tcW w:w="520" w:type="dxa"/>
            <w:vAlign w:val="bottom"/>
            <w:tcBorders>
              <w:top w:val="single" w:sz="8" w:color="004483"/>
              <w:bottom w:val="single" w:sz="8" w:color="A6A6A6"/>
            </w:tcBorders>
          </w:tcPr>
          <w:p>
            <w:pPr>
              <w:spacing w:after="0"/>
              <w:rPr>
                <w:sz w:val="18"/>
                <w:szCs w:val="18"/>
                <w:color w:val="auto"/>
              </w:rPr>
            </w:pPr>
          </w:p>
        </w:tc>
        <w:tc>
          <w:tcPr>
            <w:tcW w:w="7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208,903</w:t>
            </w:r>
          </w:p>
        </w:tc>
        <w:tc>
          <w:tcPr>
            <w:tcW w:w="100" w:type="dxa"/>
            <w:vAlign w:val="bottom"/>
          </w:tcPr>
          <w:p>
            <w:pPr>
              <w:spacing w:after="0"/>
              <w:rPr>
                <w:sz w:val="18"/>
                <w:szCs w:val="18"/>
                <w:color w:val="auto"/>
              </w:rPr>
            </w:pPr>
          </w:p>
        </w:tc>
      </w:tr>
      <w:tr>
        <w:trPr>
          <w:trHeight w:val="209"/>
        </w:trPr>
        <w:tc>
          <w:tcPr>
            <w:tcW w:w="5240" w:type="dxa"/>
            <w:vAlign w:val="bottom"/>
          </w:tcPr>
          <w:p>
            <w:pPr>
              <w:ind w:left="260"/>
              <w:spacing w:after="0"/>
              <w:rPr>
                <w:sz w:val="20"/>
                <w:szCs w:val="20"/>
                <w:color w:val="auto"/>
              </w:rPr>
            </w:pPr>
            <w:r>
              <w:rPr>
                <w:rFonts w:ascii="Arial" w:cs="Arial" w:eastAsia="Arial" w:hAnsi="Arial"/>
                <w:sz w:val="16"/>
                <w:szCs w:val="16"/>
                <w:color w:val="004483"/>
              </w:rPr>
              <w:t>Corporate General and Administrative Expense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(11,109)</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6"/>
                <w:szCs w:val="16"/>
                <w:color w:val="auto"/>
              </w:rPr>
              <w:t>(13,458)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5"/>
          </w:tcPr>
          <w:p>
            <w:pPr>
              <w:jc w:val="right"/>
              <w:ind w:right="40"/>
              <w:spacing w:after="0"/>
              <w:rPr>
                <w:sz w:val="20"/>
                <w:szCs w:val="20"/>
                <w:color w:val="auto"/>
              </w:rPr>
            </w:pPr>
            <w:r>
              <w:rPr>
                <w:rFonts w:ascii="Arial" w:cs="Arial" w:eastAsia="Arial" w:hAnsi="Arial"/>
                <w:sz w:val="16"/>
                <w:szCs w:val="16"/>
                <w:color w:val="auto"/>
              </w:rPr>
              <w:t>(28,898)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(34,712)</w:t>
            </w:r>
          </w:p>
        </w:tc>
      </w:tr>
      <w:tr>
        <w:trPr>
          <w:trHeight w:val="209"/>
        </w:trPr>
        <w:tc>
          <w:tcPr>
            <w:tcW w:w="5240" w:type="dxa"/>
            <w:vAlign w:val="bottom"/>
            <w:tcBorders>
              <w:top w:val="single" w:sz="8" w:color="A6A6A6"/>
              <w:bottom w:val="single" w:sz="8" w:color="A6A6A6"/>
            </w:tcBorders>
          </w:tcPr>
          <w:p>
            <w:pPr>
              <w:ind w:left="260"/>
              <w:spacing w:after="0"/>
              <w:rPr>
                <w:sz w:val="20"/>
                <w:szCs w:val="20"/>
                <w:color w:val="auto"/>
              </w:rPr>
            </w:pPr>
            <w:r>
              <w:rPr>
                <w:rFonts w:ascii="Arial" w:cs="Arial" w:eastAsia="Arial" w:hAnsi="Arial"/>
                <w:sz w:val="16"/>
                <w:szCs w:val="16"/>
                <w:color w:val="17385E"/>
              </w:rPr>
              <w:t>Gain on Sale of Businesses</w:t>
            </w:r>
          </w:p>
        </w:tc>
        <w:tc>
          <w:tcPr>
            <w:tcW w:w="120" w:type="dxa"/>
            <w:vAlign w:val="bottom"/>
            <w:tcBorders>
              <w:top w:val="single" w:sz="8" w:color="A6A6A6"/>
              <w:bottom w:val="single" w:sz="8" w:color="A6A6A6"/>
            </w:tcBorders>
          </w:tcPr>
          <w:p>
            <w:pPr>
              <w:spacing w:after="0"/>
              <w:rPr>
                <w:sz w:val="18"/>
                <w:szCs w:val="18"/>
                <w:color w:val="auto"/>
              </w:rPr>
            </w:pPr>
          </w:p>
        </w:tc>
        <w:tc>
          <w:tcPr>
            <w:tcW w:w="140" w:type="dxa"/>
            <w:vAlign w:val="bottom"/>
            <w:tcBorders>
              <w:top w:val="single" w:sz="8" w:color="A6A6A6"/>
              <w:bottom w:val="single" w:sz="8" w:color="A6A6A6"/>
            </w:tcBorders>
          </w:tcPr>
          <w:p>
            <w:pPr>
              <w:spacing w:after="0"/>
              <w:rPr>
                <w:sz w:val="18"/>
                <w:szCs w:val="18"/>
                <w:color w:val="auto"/>
              </w:rPr>
            </w:pPr>
          </w:p>
        </w:tc>
        <w:tc>
          <w:tcPr>
            <w:tcW w:w="11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580" w:type="dxa"/>
            <w:vAlign w:val="bottom"/>
            <w:tcBorders>
              <w:top w:val="single" w:sz="8" w:color="A6A6A6"/>
              <w:bottom w:val="single" w:sz="8" w:color="A6A6A6"/>
            </w:tcBorders>
          </w:tcPr>
          <w:p>
            <w:pPr>
              <w:spacing w:after="0"/>
              <w:rPr>
                <w:sz w:val="18"/>
                <w:szCs w:val="18"/>
                <w:color w:val="auto"/>
              </w:rPr>
            </w:pPr>
          </w:p>
        </w:tc>
        <w:tc>
          <w:tcPr>
            <w:tcW w:w="280" w:type="dxa"/>
            <w:vAlign w:val="bottom"/>
            <w:tcBorders>
              <w:top w:val="single" w:sz="8" w:color="A6A6A6"/>
              <w:bottom w:val="single" w:sz="8" w:color="A6A6A6"/>
            </w:tcBorders>
          </w:tcPr>
          <w:p>
            <w:pPr>
              <w:spacing w:after="0"/>
              <w:rPr>
                <w:sz w:val="18"/>
                <w:szCs w:val="18"/>
                <w:color w:val="auto"/>
              </w:rPr>
            </w:pPr>
          </w:p>
        </w:tc>
        <w:tc>
          <w:tcPr>
            <w:tcW w:w="4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6A6A6"/>
              <w:bottom w:val="single" w:sz="8" w:color="A6A6A6"/>
            </w:tcBorders>
          </w:tcPr>
          <w:p>
            <w:pPr>
              <w:spacing w:after="0"/>
              <w:rPr>
                <w:sz w:val="18"/>
                <w:szCs w:val="18"/>
                <w:color w:val="auto"/>
              </w:rPr>
            </w:pPr>
          </w:p>
        </w:tc>
        <w:tc>
          <w:tcPr>
            <w:tcW w:w="100" w:type="dxa"/>
            <w:vAlign w:val="bottom"/>
            <w:tcBorders>
              <w:top w:val="single" w:sz="8" w:color="A6A6A6"/>
              <w:bottom w:val="single" w:sz="8" w:color="A6A6A6"/>
            </w:tcBorders>
          </w:tcPr>
          <w:p>
            <w:pPr>
              <w:spacing w:after="0"/>
              <w:rPr>
                <w:sz w:val="18"/>
                <w:szCs w:val="18"/>
                <w:color w:val="auto"/>
              </w:rPr>
            </w:pPr>
          </w:p>
        </w:tc>
        <w:tc>
          <w:tcPr>
            <w:tcW w:w="1160" w:type="dxa"/>
            <w:vAlign w:val="bottom"/>
            <w:tcBorders>
              <w:top w:val="single" w:sz="8" w:color="A6A6A6"/>
              <w:bottom w:val="single" w:sz="8" w:color="A6A6A6"/>
            </w:tcBorders>
            <w:gridSpan w:val="4"/>
          </w:tcPr>
          <w:p>
            <w:pPr>
              <w:jc w:val="right"/>
              <w:spacing w:after="0"/>
              <w:rPr>
                <w:sz w:val="20"/>
                <w:szCs w:val="20"/>
                <w:color w:val="auto"/>
              </w:rPr>
            </w:pPr>
            <w:r>
              <w:rPr>
                <w:rFonts w:ascii="Arial" w:cs="Arial" w:eastAsia="Arial" w:hAnsi="Arial"/>
                <w:sz w:val="16"/>
                <w:szCs w:val="16"/>
                <w:color w:val="auto"/>
              </w:rPr>
              <w:t>51,973</w:t>
            </w: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0" w:type="dxa"/>
            <w:vAlign w:val="bottom"/>
            <w:tcBorders>
              <w:top w:val="single" w:sz="8" w:color="A6A6A6"/>
              <w:bottom w:val="single" w:sz="8" w:color="A6A6A6"/>
            </w:tcBorders>
          </w:tcPr>
          <w:p>
            <w:pPr>
              <w:spacing w:after="0"/>
              <w:rPr>
                <w:sz w:val="18"/>
                <w:szCs w:val="18"/>
                <w:color w:val="auto"/>
              </w:rPr>
            </w:pPr>
          </w:p>
        </w:tc>
        <w:tc>
          <w:tcPr>
            <w:tcW w:w="520" w:type="dxa"/>
            <w:vAlign w:val="bottom"/>
            <w:tcBorders>
              <w:top w:val="single" w:sz="8" w:color="A6A6A6"/>
              <w:bottom w:val="single" w:sz="8" w:color="A6A6A6"/>
            </w:tcBorders>
          </w:tcPr>
          <w:p>
            <w:pPr>
              <w:spacing w:after="0"/>
              <w:rPr>
                <w:sz w:val="18"/>
                <w:szCs w:val="18"/>
                <w:color w:val="auto"/>
              </w:rPr>
            </w:pPr>
          </w:p>
        </w:tc>
        <w:tc>
          <w:tcPr>
            <w:tcW w:w="7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10"/>
        </w:trPr>
        <w:tc>
          <w:tcPr>
            <w:tcW w:w="5240" w:type="dxa"/>
            <w:vAlign w:val="bottom"/>
          </w:tcPr>
          <w:p>
            <w:pPr>
              <w:ind w:left="260"/>
              <w:spacing w:after="0"/>
              <w:rPr>
                <w:sz w:val="20"/>
                <w:szCs w:val="20"/>
                <w:color w:val="auto"/>
              </w:rPr>
            </w:pPr>
            <w:r>
              <w:rPr>
                <w:rFonts w:ascii="Arial" w:cs="Arial" w:eastAsia="Arial" w:hAnsi="Arial"/>
                <w:sz w:val="16"/>
                <w:szCs w:val="16"/>
                <w:color w:val="004483"/>
              </w:rPr>
              <w:t>Other Non-Operating Income (Loss)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gridSpan w:val="4"/>
          </w:tcPr>
          <w:p>
            <w:pPr>
              <w:jc w:val="right"/>
              <w:ind w:right="40"/>
              <w:spacing w:after="0"/>
              <w:rPr>
                <w:sz w:val="20"/>
                <w:szCs w:val="20"/>
                <w:color w:val="auto"/>
              </w:rPr>
            </w:pPr>
            <w:r>
              <w:rPr>
                <w:rFonts w:ascii="Arial" w:cs="Arial" w:eastAsia="Arial" w:hAnsi="Arial"/>
                <w:sz w:val="16"/>
                <w:szCs w:val="16"/>
                <w:color w:val="auto"/>
              </w:rPr>
              <w:t>(399)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723</w:t>
            </w:r>
          </w:p>
        </w:tc>
        <w:tc>
          <w:tcPr>
            <w:tcW w:w="100" w:type="dxa"/>
            <w:vAlign w:val="bottom"/>
          </w:tcPr>
          <w:p>
            <w:pPr>
              <w:spacing w:after="0"/>
              <w:rPr>
                <w:sz w:val="18"/>
                <w:szCs w:val="18"/>
                <w:color w:val="auto"/>
              </w:rPr>
            </w:pPr>
          </w:p>
        </w:tc>
      </w:tr>
      <w:tr>
        <w:trPr>
          <w:trHeight w:val="210"/>
        </w:trPr>
        <w:tc>
          <w:tcPr>
            <w:tcW w:w="5240" w:type="dxa"/>
            <w:vAlign w:val="bottom"/>
            <w:tcBorders>
              <w:top w:val="single" w:sz="8" w:color="A6A6A6"/>
              <w:bottom w:val="single" w:sz="8" w:color="A6A6A6"/>
            </w:tcBorders>
          </w:tcPr>
          <w:p>
            <w:pPr>
              <w:ind w:left="260"/>
              <w:spacing w:after="0"/>
              <w:rPr>
                <w:sz w:val="20"/>
                <w:szCs w:val="20"/>
                <w:color w:val="auto"/>
              </w:rPr>
            </w:pPr>
            <w:r>
              <w:rPr>
                <w:rFonts w:ascii="Arial" w:cs="Arial" w:eastAsia="Arial" w:hAnsi="Arial"/>
                <w:sz w:val="16"/>
                <w:szCs w:val="16"/>
                <w:color w:val="004483"/>
              </w:rPr>
              <w:t>Earnings Before Interest and Income Taxes</w:t>
            </w:r>
          </w:p>
        </w:tc>
        <w:tc>
          <w:tcPr>
            <w:tcW w:w="120" w:type="dxa"/>
            <w:vAlign w:val="bottom"/>
            <w:tcBorders>
              <w:top w:val="single" w:sz="8" w:color="A6A6A6"/>
              <w:bottom w:val="single" w:sz="8" w:color="A6A6A6"/>
            </w:tcBorders>
          </w:tcPr>
          <w:p>
            <w:pPr>
              <w:spacing w:after="0"/>
              <w:rPr>
                <w:sz w:val="18"/>
                <w:szCs w:val="18"/>
                <w:color w:val="auto"/>
              </w:rPr>
            </w:pPr>
          </w:p>
        </w:tc>
        <w:tc>
          <w:tcPr>
            <w:tcW w:w="140" w:type="dxa"/>
            <w:vAlign w:val="bottom"/>
            <w:tcBorders>
              <w:top w:val="single" w:sz="8" w:color="004483"/>
              <w:bottom w:val="single" w:sz="8" w:color="A6A6A6"/>
            </w:tcBorders>
          </w:tcPr>
          <w:p>
            <w:pPr>
              <w:spacing w:after="0"/>
              <w:rPr>
                <w:sz w:val="18"/>
                <w:szCs w:val="18"/>
                <w:color w:val="auto"/>
              </w:rPr>
            </w:pPr>
          </w:p>
        </w:tc>
        <w:tc>
          <w:tcPr>
            <w:tcW w:w="112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122,227</w:t>
            </w: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580" w:type="dxa"/>
            <w:vAlign w:val="bottom"/>
            <w:tcBorders>
              <w:top w:val="single" w:sz="8" w:color="004483"/>
              <w:bottom w:val="single" w:sz="8" w:color="A6A6A6"/>
            </w:tcBorders>
          </w:tcPr>
          <w:p>
            <w:pPr>
              <w:spacing w:after="0"/>
              <w:rPr>
                <w:sz w:val="18"/>
                <w:szCs w:val="18"/>
                <w:color w:val="auto"/>
              </w:rPr>
            </w:pPr>
          </w:p>
        </w:tc>
        <w:tc>
          <w:tcPr>
            <w:tcW w:w="680" w:type="dxa"/>
            <w:vAlign w:val="bottom"/>
            <w:tcBorders>
              <w:top w:val="single" w:sz="8" w:color="004483"/>
              <w:bottom w:val="single" w:sz="8" w:color="A6A6A6"/>
            </w:tcBorders>
            <w:gridSpan w:val="2"/>
          </w:tcPr>
          <w:p>
            <w:pPr>
              <w:jc w:val="right"/>
              <w:spacing w:after="0"/>
              <w:rPr>
                <w:sz w:val="20"/>
                <w:szCs w:val="20"/>
                <w:color w:val="auto"/>
              </w:rPr>
            </w:pPr>
            <w:r>
              <w:rPr>
                <w:rFonts w:ascii="Arial" w:cs="Arial" w:eastAsia="Arial" w:hAnsi="Arial"/>
                <w:sz w:val="16"/>
                <w:szCs w:val="16"/>
                <w:color w:val="auto"/>
              </w:rPr>
              <w:t>108,504</w:t>
            </w:r>
          </w:p>
        </w:tc>
        <w:tc>
          <w:tcPr>
            <w:tcW w:w="100" w:type="dxa"/>
            <w:vAlign w:val="bottom"/>
          </w:tcPr>
          <w:p>
            <w:pPr>
              <w:spacing w:after="0"/>
              <w:rPr>
                <w:sz w:val="18"/>
                <w:szCs w:val="18"/>
                <w:color w:val="auto"/>
              </w:rPr>
            </w:pPr>
          </w:p>
        </w:tc>
        <w:tc>
          <w:tcPr>
            <w:tcW w:w="140" w:type="dxa"/>
            <w:vAlign w:val="bottom"/>
            <w:tcBorders>
              <w:top w:val="single" w:sz="8" w:color="A6A6A6"/>
              <w:bottom w:val="single" w:sz="8" w:color="A6A6A6"/>
            </w:tcBorders>
          </w:tcPr>
          <w:p>
            <w:pPr>
              <w:spacing w:after="0"/>
              <w:rPr>
                <w:sz w:val="18"/>
                <w:szCs w:val="18"/>
                <w:color w:val="auto"/>
              </w:rPr>
            </w:pPr>
          </w:p>
        </w:tc>
        <w:tc>
          <w:tcPr>
            <w:tcW w:w="100" w:type="dxa"/>
            <w:vAlign w:val="bottom"/>
            <w:tcBorders>
              <w:top w:val="single" w:sz="8" w:color="004483"/>
              <w:bottom w:val="single" w:sz="8" w:color="A6A6A6"/>
            </w:tcBorders>
          </w:tcPr>
          <w:p>
            <w:pPr>
              <w:spacing w:after="0"/>
              <w:rPr>
                <w:sz w:val="18"/>
                <w:szCs w:val="18"/>
                <w:color w:val="auto"/>
              </w:rPr>
            </w:pPr>
          </w:p>
        </w:tc>
        <w:tc>
          <w:tcPr>
            <w:tcW w:w="1160" w:type="dxa"/>
            <w:vAlign w:val="bottom"/>
            <w:tcBorders>
              <w:top w:val="single" w:sz="8" w:color="004483"/>
              <w:bottom w:val="single" w:sz="8" w:color="A6A6A6"/>
            </w:tcBorders>
            <w:gridSpan w:val="4"/>
          </w:tcPr>
          <w:p>
            <w:pPr>
              <w:jc w:val="right"/>
              <w:spacing w:after="0"/>
              <w:rPr>
                <w:sz w:val="20"/>
                <w:szCs w:val="20"/>
                <w:color w:val="auto"/>
              </w:rPr>
            </w:pPr>
            <w:r>
              <w:rPr>
                <w:rFonts w:ascii="Arial" w:cs="Arial" w:eastAsia="Arial" w:hAnsi="Arial"/>
                <w:sz w:val="16"/>
                <w:szCs w:val="16"/>
                <w:color w:val="auto"/>
              </w:rPr>
              <w:t>266,195</w:t>
            </w: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0" w:type="dxa"/>
            <w:vAlign w:val="bottom"/>
            <w:tcBorders>
              <w:top w:val="single" w:sz="8" w:color="A6A6A6"/>
              <w:bottom w:val="single" w:sz="8" w:color="A6A6A6"/>
            </w:tcBorders>
          </w:tcPr>
          <w:p>
            <w:pPr>
              <w:spacing w:after="0"/>
              <w:rPr>
                <w:sz w:val="18"/>
                <w:szCs w:val="18"/>
                <w:color w:val="auto"/>
              </w:rPr>
            </w:pPr>
          </w:p>
        </w:tc>
        <w:tc>
          <w:tcPr>
            <w:tcW w:w="520" w:type="dxa"/>
            <w:vAlign w:val="bottom"/>
            <w:tcBorders>
              <w:top w:val="single" w:sz="8" w:color="004483"/>
              <w:bottom w:val="single" w:sz="8" w:color="A6A6A6"/>
            </w:tcBorders>
          </w:tcPr>
          <w:p>
            <w:pPr>
              <w:spacing w:after="0"/>
              <w:rPr>
                <w:sz w:val="18"/>
                <w:szCs w:val="18"/>
                <w:color w:val="auto"/>
              </w:rPr>
            </w:pPr>
          </w:p>
        </w:tc>
        <w:tc>
          <w:tcPr>
            <w:tcW w:w="7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174,914</w:t>
            </w:r>
          </w:p>
        </w:tc>
        <w:tc>
          <w:tcPr>
            <w:tcW w:w="100" w:type="dxa"/>
            <w:vAlign w:val="bottom"/>
          </w:tcPr>
          <w:p>
            <w:pPr>
              <w:spacing w:after="0"/>
              <w:rPr>
                <w:sz w:val="18"/>
                <w:szCs w:val="18"/>
                <w:color w:val="auto"/>
              </w:rPr>
            </w:pPr>
          </w:p>
        </w:tc>
      </w:tr>
      <w:tr>
        <w:trPr>
          <w:trHeight w:val="209"/>
        </w:trPr>
        <w:tc>
          <w:tcPr>
            <w:tcW w:w="5240" w:type="dxa"/>
            <w:vAlign w:val="bottom"/>
          </w:tcPr>
          <w:p>
            <w:pPr>
              <w:ind w:left="260"/>
              <w:spacing w:after="0"/>
              <w:rPr>
                <w:sz w:val="20"/>
                <w:szCs w:val="20"/>
                <w:color w:val="auto"/>
              </w:rPr>
            </w:pPr>
            <w:r>
              <w:rPr>
                <w:rFonts w:ascii="Arial" w:cs="Arial" w:eastAsia="Arial" w:hAnsi="Arial"/>
                <w:sz w:val="16"/>
                <w:szCs w:val="16"/>
                <w:color w:val="004483"/>
              </w:rPr>
              <w:t>Interest Expense,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(12,556)</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6"/>
                <w:szCs w:val="16"/>
                <w:color w:val="auto"/>
              </w:rPr>
              <w:t>(10,137)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5"/>
          </w:tcPr>
          <w:p>
            <w:pPr>
              <w:jc w:val="right"/>
              <w:ind w:right="40"/>
              <w:spacing w:after="0"/>
              <w:rPr>
                <w:sz w:val="20"/>
                <w:szCs w:val="20"/>
                <w:color w:val="auto"/>
              </w:rPr>
            </w:pPr>
            <w:r>
              <w:rPr>
                <w:rFonts w:ascii="Arial" w:cs="Arial" w:eastAsia="Arial" w:hAnsi="Arial"/>
                <w:sz w:val="16"/>
                <w:szCs w:val="16"/>
                <w:color w:val="auto"/>
              </w:rPr>
              <w:t>(26,597)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(18,983)</w:t>
            </w:r>
          </w:p>
        </w:tc>
      </w:tr>
      <w:tr>
        <w:trPr>
          <w:trHeight w:val="250"/>
        </w:trPr>
        <w:tc>
          <w:tcPr>
            <w:tcW w:w="5240" w:type="dxa"/>
            <w:vAlign w:val="bottom"/>
            <w:tcBorders>
              <w:top w:val="single" w:sz="8" w:color="A6A6A6"/>
              <w:bottom w:val="single" w:sz="8" w:color="A6A6A6"/>
            </w:tcBorders>
          </w:tcPr>
          <w:p>
            <w:pPr>
              <w:ind w:left="260"/>
              <w:spacing w:after="0"/>
              <w:rPr>
                <w:sz w:val="20"/>
                <w:szCs w:val="20"/>
                <w:color w:val="auto"/>
              </w:rPr>
            </w:pPr>
            <w:r>
              <w:rPr>
                <w:rFonts w:ascii="Arial" w:cs="Arial" w:eastAsia="Arial" w:hAnsi="Arial"/>
                <w:sz w:val="16"/>
                <w:szCs w:val="16"/>
                <w:b w:val="1"/>
                <w:bCs w:val="1"/>
                <w:color w:val="004483"/>
              </w:rPr>
              <w:t>Earnings from Continuing Operations Before Income Taxes</w:t>
            </w:r>
          </w:p>
        </w:tc>
        <w:tc>
          <w:tcPr>
            <w:tcW w:w="120" w:type="dxa"/>
            <w:vAlign w:val="bottom"/>
            <w:tcBorders>
              <w:top w:val="single" w:sz="8" w:color="A6A6A6"/>
              <w:bottom w:val="single" w:sz="8" w:color="A6A6A6"/>
            </w:tcBorders>
          </w:tcPr>
          <w:p>
            <w:pPr>
              <w:spacing w:after="0"/>
              <w:rPr>
                <w:sz w:val="21"/>
                <w:szCs w:val="21"/>
                <w:color w:val="auto"/>
              </w:rPr>
            </w:pPr>
          </w:p>
        </w:tc>
        <w:tc>
          <w:tcPr>
            <w:tcW w:w="14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109,671</w:t>
            </w:r>
          </w:p>
        </w:tc>
        <w:tc>
          <w:tcPr>
            <w:tcW w:w="120" w:type="dxa"/>
            <w:vAlign w:val="bottom"/>
          </w:tcPr>
          <w:p>
            <w:pPr>
              <w:spacing w:after="0"/>
              <w:rPr>
                <w:sz w:val="21"/>
                <w:szCs w:val="21"/>
                <w:color w:val="auto"/>
              </w:rPr>
            </w:pPr>
          </w:p>
        </w:tc>
        <w:tc>
          <w:tcPr>
            <w:tcW w:w="120" w:type="dxa"/>
            <w:vAlign w:val="bottom"/>
            <w:tcBorders>
              <w:top w:val="single" w:sz="8" w:color="A6A6A6"/>
              <w:bottom w:val="single" w:sz="8" w:color="A6A6A6"/>
            </w:tcBorders>
          </w:tcPr>
          <w:p>
            <w:pPr>
              <w:spacing w:after="0"/>
              <w:rPr>
                <w:sz w:val="21"/>
                <w:szCs w:val="21"/>
                <w:color w:val="auto"/>
              </w:rPr>
            </w:pPr>
          </w:p>
        </w:tc>
        <w:tc>
          <w:tcPr>
            <w:tcW w:w="580" w:type="dxa"/>
            <w:vAlign w:val="bottom"/>
            <w:tcBorders>
              <w:top w:val="single" w:sz="8" w:color="004483"/>
              <w:bottom w:val="single" w:sz="8" w:color="004483"/>
            </w:tcBorders>
          </w:tcPr>
          <w:p>
            <w:pPr>
              <w:jc w:val="right"/>
              <w:ind w:right="424"/>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004483"/>
              <w:bottom w:val="single" w:sz="8" w:color="004483"/>
            </w:tcBorders>
            <w:gridSpan w:val="2"/>
          </w:tcPr>
          <w:p>
            <w:pPr>
              <w:jc w:val="right"/>
              <w:spacing w:after="0"/>
              <w:rPr>
                <w:sz w:val="20"/>
                <w:szCs w:val="20"/>
                <w:color w:val="auto"/>
              </w:rPr>
            </w:pPr>
            <w:r>
              <w:rPr>
                <w:rFonts w:ascii="Arial" w:cs="Arial" w:eastAsia="Arial" w:hAnsi="Arial"/>
                <w:sz w:val="16"/>
                <w:szCs w:val="16"/>
                <w:b w:val="1"/>
                <w:bCs w:val="1"/>
                <w:color w:val="auto"/>
              </w:rPr>
              <w:t>98,367</w:t>
            </w:r>
          </w:p>
        </w:tc>
        <w:tc>
          <w:tcPr>
            <w:tcW w:w="100" w:type="dxa"/>
            <w:vAlign w:val="bottom"/>
          </w:tcPr>
          <w:p>
            <w:pPr>
              <w:spacing w:after="0"/>
              <w:rPr>
                <w:sz w:val="21"/>
                <w:szCs w:val="21"/>
                <w:color w:val="auto"/>
              </w:rPr>
            </w:pPr>
          </w:p>
        </w:tc>
        <w:tc>
          <w:tcPr>
            <w:tcW w:w="140" w:type="dxa"/>
            <w:vAlign w:val="bottom"/>
            <w:tcBorders>
              <w:top w:val="single" w:sz="8" w:color="A6A6A6"/>
              <w:bottom w:val="single" w:sz="8" w:color="A6A6A6"/>
            </w:tcBorders>
          </w:tcPr>
          <w:p>
            <w:pPr>
              <w:spacing w:after="0"/>
              <w:rPr>
                <w:sz w:val="21"/>
                <w:szCs w:val="21"/>
                <w:color w:val="auto"/>
              </w:rPr>
            </w:pPr>
          </w:p>
        </w:tc>
        <w:tc>
          <w:tcPr>
            <w:tcW w:w="1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004483"/>
              <w:bottom w:val="single" w:sz="8" w:color="004483"/>
            </w:tcBorders>
            <w:gridSpan w:val="4"/>
          </w:tcPr>
          <w:p>
            <w:pPr>
              <w:jc w:val="right"/>
              <w:spacing w:after="0"/>
              <w:rPr>
                <w:sz w:val="20"/>
                <w:szCs w:val="20"/>
                <w:color w:val="auto"/>
              </w:rPr>
            </w:pPr>
            <w:r>
              <w:rPr>
                <w:rFonts w:ascii="Arial" w:cs="Arial" w:eastAsia="Arial" w:hAnsi="Arial"/>
                <w:sz w:val="16"/>
                <w:szCs w:val="16"/>
                <w:b w:val="1"/>
                <w:bCs w:val="1"/>
                <w:color w:val="auto"/>
              </w:rPr>
              <w:t>239,598</w:t>
            </w:r>
          </w:p>
        </w:tc>
        <w:tc>
          <w:tcPr>
            <w:tcW w:w="100" w:type="dxa"/>
            <w:vAlign w:val="bottom"/>
          </w:tcPr>
          <w:p>
            <w:pPr>
              <w:spacing w:after="0"/>
              <w:rPr>
                <w:sz w:val="21"/>
                <w:szCs w:val="21"/>
                <w:color w:val="auto"/>
              </w:rPr>
            </w:pPr>
          </w:p>
        </w:tc>
        <w:tc>
          <w:tcPr>
            <w:tcW w:w="120" w:type="dxa"/>
            <w:vAlign w:val="bottom"/>
            <w:tcBorders>
              <w:top w:val="single" w:sz="8" w:color="A6A6A6"/>
              <w:bottom w:val="single" w:sz="8" w:color="A6A6A6"/>
            </w:tcBorders>
          </w:tcPr>
          <w:p>
            <w:pPr>
              <w:spacing w:after="0"/>
              <w:rPr>
                <w:sz w:val="21"/>
                <w:szCs w:val="21"/>
                <w:color w:val="auto"/>
              </w:rPr>
            </w:pPr>
          </w:p>
        </w:tc>
        <w:tc>
          <w:tcPr>
            <w:tcW w:w="20" w:type="dxa"/>
            <w:vAlign w:val="bottom"/>
            <w:tcBorders>
              <w:top w:val="single" w:sz="8" w:color="A6A6A6"/>
              <w:bottom w:val="single" w:sz="8" w:color="A6A6A6"/>
            </w:tcBorders>
          </w:tcPr>
          <w:p>
            <w:pPr>
              <w:spacing w:after="0"/>
              <w:rPr>
                <w:sz w:val="21"/>
                <w:szCs w:val="21"/>
                <w:color w:val="auto"/>
              </w:rPr>
            </w:pPr>
          </w:p>
        </w:tc>
        <w:tc>
          <w:tcPr>
            <w:tcW w:w="520" w:type="dxa"/>
            <w:vAlign w:val="bottom"/>
            <w:tcBorders>
              <w:top w:val="single" w:sz="8" w:color="004483"/>
              <w:bottom w:val="single" w:sz="8" w:color="004483"/>
            </w:tcBorders>
          </w:tcPr>
          <w:p>
            <w:pPr>
              <w:jc w:val="right"/>
              <w:ind w:right="364"/>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155,931</w:t>
            </w:r>
          </w:p>
        </w:tc>
        <w:tc>
          <w:tcPr>
            <w:tcW w:w="100" w:type="dxa"/>
            <w:vAlign w:val="bottom"/>
          </w:tcPr>
          <w:p>
            <w:pPr>
              <w:spacing w:after="0"/>
              <w:rPr>
                <w:sz w:val="21"/>
                <w:szCs w:val="21"/>
                <w:color w:val="auto"/>
              </w:rPr>
            </w:pPr>
          </w:p>
        </w:tc>
      </w:tr>
      <w:tr>
        <w:trPr>
          <w:trHeight w:val="193"/>
        </w:trPr>
        <w:tc>
          <w:tcPr>
            <w:tcW w:w="5240" w:type="dxa"/>
            <w:vAlign w:val="bottom"/>
            <w:tcBorders>
              <w:bottom w:val="single" w:sz="8" w:color="A6A6A6"/>
            </w:tcBorders>
          </w:tcPr>
          <w:p>
            <w:pPr>
              <w:spacing w:after="0"/>
              <w:rPr>
                <w:sz w:val="20"/>
                <w:szCs w:val="20"/>
                <w:color w:val="auto"/>
              </w:rPr>
            </w:pPr>
            <w:r>
              <w:rPr>
                <w:rFonts w:ascii="Arial" w:cs="Arial" w:eastAsia="Arial" w:hAnsi="Arial"/>
                <w:sz w:val="16"/>
                <w:szCs w:val="16"/>
                <w:color w:val="004483"/>
              </w:rPr>
              <w:t>Cement Operating Earnings -</w:t>
            </w:r>
          </w:p>
        </w:tc>
        <w:tc>
          <w:tcPr>
            <w:tcW w:w="120" w:type="dxa"/>
            <w:vAlign w:val="bottom"/>
            <w:tcBorders>
              <w:bottom w:val="single" w:sz="8" w:color="A6A6A6"/>
            </w:tcBorders>
          </w:tcPr>
          <w:p>
            <w:pPr>
              <w:spacing w:after="0"/>
              <w:rPr>
                <w:sz w:val="16"/>
                <w:szCs w:val="16"/>
                <w:color w:val="auto"/>
              </w:rPr>
            </w:pPr>
          </w:p>
        </w:tc>
        <w:tc>
          <w:tcPr>
            <w:tcW w:w="140" w:type="dxa"/>
            <w:vAlign w:val="bottom"/>
            <w:tcBorders>
              <w:bottom w:val="single" w:sz="8" w:color="A6A6A6"/>
            </w:tcBorders>
          </w:tcPr>
          <w:p>
            <w:pPr>
              <w:spacing w:after="0"/>
              <w:rPr>
                <w:sz w:val="16"/>
                <w:szCs w:val="16"/>
                <w:color w:val="auto"/>
              </w:rPr>
            </w:pPr>
          </w:p>
        </w:tc>
        <w:tc>
          <w:tcPr>
            <w:tcW w:w="1120" w:type="dxa"/>
            <w:vAlign w:val="bottom"/>
            <w:tcBorders>
              <w:bottom w:val="single" w:sz="8" w:color="A6A6A6"/>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580" w:type="dxa"/>
            <w:vAlign w:val="bottom"/>
            <w:tcBorders>
              <w:bottom w:val="single" w:sz="8" w:color="A6A6A6"/>
            </w:tcBorders>
          </w:tcPr>
          <w:p>
            <w:pPr>
              <w:spacing w:after="0"/>
              <w:rPr>
                <w:sz w:val="16"/>
                <w:szCs w:val="16"/>
                <w:color w:val="auto"/>
              </w:rPr>
            </w:pPr>
          </w:p>
        </w:tc>
        <w:tc>
          <w:tcPr>
            <w:tcW w:w="280" w:type="dxa"/>
            <w:vAlign w:val="bottom"/>
            <w:tcBorders>
              <w:bottom w:val="single" w:sz="8" w:color="A6A6A6"/>
            </w:tcBorders>
          </w:tcPr>
          <w:p>
            <w:pPr>
              <w:spacing w:after="0"/>
              <w:rPr>
                <w:sz w:val="16"/>
                <w:szCs w:val="16"/>
                <w:color w:val="auto"/>
              </w:rPr>
            </w:pPr>
          </w:p>
        </w:tc>
        <w:tc>
          <w:tcPr>
            <w:tcW w:w="40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6A6A6"/>
            </w:tcBorders>
          </w:tcPr>
          <w:p>
            <w:pPr>
              <w:spacing w:after="0"/>
              <w:rPr>
                <w:sz w:val="16"/>
                <w:szCs w:val="16"/>
                <w:color w:val="auto"/>
              </w:rPr>
            </w:pPr>
          </w:p>
        </w:tc>
        <w:tc>
          <w:tcPr>
            <w:tcW w:w="100" w:type="dxa"/>
            <w:vAlign w:val="bottom"/>
            <w:tcBorders>
              <w:bottom w:val="single" w:sz="8" w:color="A6A6A6"/>
            </w:tcBorders>
          </w:tcPr>
          <w:p>
            <w:pPr>
              <w:spacing w:after="0"/>
              <w:rPr>
                <w:sz w:val="16"/>
                <w:szCs w:val="16"/>
                <w:color w:val="auto"/>
              </w:rPr>
            </w:pPr>
          </w:p>
        </w:tc>
        <w:tc>
          <w:tcPr>
            <w:tcW w:w="800" w:type="dxa"/>
            <w:vAlign w:val="bottom"/>
            <w:tcBorders>
              <w:bottom w:val="single" w:sz="8" w:color="A6A6A6"/>
            </w:tcBorders>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180" w:type="dxa"/>
            <w:vAlign w:val="bottom"/>
            <w:tcBorders>
              <w:bottom w:val="single" w:sz="8" w:color="A6A6A6"/>
            </w:tcBorders>
          </w:tcPr>
          <w:p>
            <w:pPr>
              <w:spacing w:after="0"/>
              <w:rPr>
                <w:sz w:val="16"/>
                <w:szCs w:val="16"/>
                <w:color w:val="auto"/>
              </w:rPr>
            </w:pPr>
          </w:p>
        </w:tc>
        <w:tc>
          <w:tcPr>
            <w:tcW w:w="6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20" w:type="dxa"/>
            <w:vAlign w:val="bottom"/>
            <w:tcBorders>
              <w:bottom w:val="single" w:sz="8" w:color="A6A6A6"/>
            </w:tcBorders>
          </w:tcPr>
          <w:p>
            <w:pPr>
              <w:spacing w:after="0"/>
              <w:rPr>
                <w:sz w:val="16"/>
                <w:szCs w:val="16"/>
                <w:color w:val="auto"/>
              </w:rPr>
            </w:pPr>
          </w:p>
        </w:tc>
        <w:tc>
          <w:tcPr>
            <w:tcW w:w="520" w:type="dxa"/>
            <w:vAlign w:val="bottom"/>
            <w:tcBorders>
              <w:bottom w:val="single" w:sz="8" w:color="A6A6A6"/>
            </w:tcBorders>
          </w:tcPr>
          <w:p>
            <w:pPr>
              <w:spacing w:after="0"/>
              <w:rPr>
                <w:sz w:val="16"/>
                <w:szCs w:val="16"/>
                <w:color w:val="auto"/>
              </w:rPr>
            </w:pPr>
          </w:p>
        </w:tc>
        <w:tc>
          <w:tcPr>
            <w:tcW w:w="76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5240" w:type="dxa"/>
            <w:vAlign w:val="bottom"/>
            <w:tcBorders>
              <w:bottom w:val="single" w:sz="8" w:color="A6A6A6"/>
            </w:tcBorders>
          </w:tcPr>
          <w:p>
            <w:pPr>
              <w:ind w:left="260"/>
              <w:spacing w:after="0"/>
              <w:rPr>
                <w:sz w:val="20"/>
                <w:szCs w:val="20"/>
                <w:color w:val="auto"/>
              </w:rPr>
            </w:pPr>
            <w:r>
              <w:rPr>
                <w:rFonts w:ascii="Arial" w:cs="Arial" w:eastAsia="Arial" w:hAnsi="Arial"/>
                <w:sz w:val="16"/>
                <w:szCs w:val="16"/>
                <w:color w:val="004483"/>
              </w:rPr>
              <w:t>Wholly Owned</w:t>
            </w:r>
          </w:p>
        </w:tc>
        <w:tc>
          <w:tcPr>
            <w:tcW w:w="26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69,336</w:t>
            </w:r>
          </w:p>
        </w:tc>
        <w:tc>
          <w:tcPr>
            <w:tcW w:w="120" w:type="dxa"/>
            <w:vAlign w:val="bottom"/>
          </w:tcPr>
          <w:p>
            <w:pPr>
              <w:spacing w:after="0"/>
              <w:rPr>
                <w:sz w:val="18"/>
                <w:szCs w:val="18"/>
                <w:color w:val="auto"/>
              </w:rPr>
            </w:pPr>
          </w:p>
        </w:tc>
        <w:tc>
          <w:tcPr>
            <w:tcW w:w="700" w:type="dxa"/>
            <w:vAlign w:val="bottom"/>
            <w:tcBorders>
              <w:bottom w:val="single" w:sz="8" w:color="A6A6A6"/>
            </w:tcBorders>
            <w:gridSpan w:val="2"/>
          </w:tcPr>
          <w:p>
            <w:pPr>
              <w:jc w:val="right"/>
              <w:ind w:right="424"/>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54,169</w:t>
            </w:r>
          </w:p>
        </w:tc>
        <w:tc>
          <w:tcPr>
            <w:tcW w:w="100" w:type="dxa"/>
            <w:vAlign w:val="bottom"/>
          </w:tcPr>
          <w:p>
            <w:pPr>
              <w:spacing w:after="0"/>
              <w:rPr>
                <w:sz w:val="18"/>
                <w:szCs w:val="18"/>
                <w:color w:val="auto"/>
              </w:rPr>
            </w:pPr>
          </w:p>
        </w:tc>
        <w:tc>
          <w:tcPr>
            <w:tcW w:w="24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6A6A6"/>
            </w:tcBorders>
            <w:gridSpan w:val="4"/>
          </w:tcPr>
          <w:p>
            <w:pPr>
              <w:jc w:val="right"/>
              <w:spacing w:after="0"/>
              <w:rPr>
                <w:sz w:val="20"/>
                <w:szCs w:val="20"/>
                <w:color w:val="auto"/>
              </w:rPr>
            </w:pPr>
            <w:r>
              <w:rPr>
                <w:rFonts w:ascii="Arial" w:cs="Arial" w:eastAsia="Arial" w:hAnsi="Arial"/>
                <w:sz w:val="16"/>
                <w:szCs w:val="16"/>
                <w:color w:val="auto"/>
              </w:rPr>
              <w:t>121,995</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40" w:type="dxa"/>
            <w:vAlign w:val="bottom"/>
            <w:tcBorders>
              <w:bottom w:val="single" w:sz="8" w:color="A6A6A6"/>
            </w:tcBorders>
            <w:gridSpan w:val="2"/>
          </w:tcPr>
          <w:p>
            <w:pPr>
              <w:jc w:val="right"/>
              <w:ind w:right="364"/>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80,858</w:t>
            </w:r>
          </w:p>
        </w:tc>
        <w:tc>
          <w:tcPr>
            <w:tcW w:w="100" w:type="dxa"/>
            <w:vAlign w:val="bottom"/>
          </w:tcPr>
          <w:p>
            <w:pPr>
              <w:spacing w:after="0"/>
              <w:rPr>
                <w:sz w:val="18"/>
                <w:szCs w:val="18"/>
                <w:color w:val="auto"/>
              </w:rPr>
            </w:pPr>
          </w:p>
        </w:tc>
      </w:tr>
      <w:tr>
        <w:trPr>
          <w:trHeight w:val="209"/>
        </w:trPr>
        <w:tc>
          <w:tcPr>
            <w:tcW w:w="5240" w:type="dxa"/>
            <w:vAlign w:val="bottom"/>
            <w:tcBorders>
              <w:bottom w:val="single" w:sz="8" w:color="A6A6A6"/>
            </w:tcBorders>
          </w:tcPr>
          <w:p>
            <w:pPr>
              <w:ind w:left="260"/>
              <w:spacing w:after="0"/>
              <w:rPr>
                <w:sz w:val="20"/>
                <w:szCs w:val="20"/>
                <w:color w:val="auto"/>
              </w:rPr>
            </w:pPr>
            <w:r>
              <w:rPr>
                <w:rFonts w:ascii="Arial" w:cs="Arial" w:eastAsia="Arial" w:hAnsi="Arial"/>
                <w:sz w:val="16"/>
                <w:szCs w:val="16"/>
                <w:color w:val="004483"/>
              </w:rPr>
              <w:t>Joint Venture</w:t>
            </w:r>
          </w:p>
        </w:tc>
        <w:tc>
          <w:tcPr>
            <w:tcW w:w="120" w:type="dxa"/>
            <w:vAlign w:val="bottom"/>
            <w:tcBorders>
              <w:bottom w:val="single" w:sz="8" w:color="A6A6A6"/>
            </w:tcBorders>
          </w:tcPr>
          <w:p>
            <w:pPr>
              <w:spacing w:after="0"/>
              <w:rPr>
                <w:sz w:val="18"/>
                <w:szCs w:val="18"/>
                <w:color w:val="auto"/>
              </w:rPr>
            </w:pPr>
          </w:p>
        </w:tc>
        <w:tc>
          <w:tcPr>
            <w:tcW w:w="14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10,577</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80" w:type="dxa"/>
            <w:vAlign w:val="bottom"/>
            <w:tcBorders>
              <w:bottom w:val="single" w:sz="8" w:color="004483"/>
            </w:tcBorders>
          </w:tcPr>
          <w:p>
            <w:pPr>
              <w:spacing w:after="0"/>
              <w:rPr>
                <w:sz w:val="18"/>
                <w:szCs w:val="18"/>
                <w:color w:val="auto"/>
              </w:rPr>
            </w:pPr>
          </w:p>
        </w:tc>
        <w:tc>
          <w:tcPr>
            <w:tcW w:w="680" w:type="dxa"/>
            <w:vAlign w:val="bottom"/>
            <w:tcBorders>
              <w:bottom w:val="single" w:sz="8" w:color="004483"/>
            </w:tcBorders>
            <w:gridSpan w:val="2"/>
          </w:tcPr>
          <w:p>
            <w:pPr>
              <w:jc w:val="right"/>
              <w:spacing w:after="0"/>
              <w:rPr>
                <w:sz w:val="20"/>
                <w:szCs w:val="20"/>
                <w:color w:val="auto"/>
              </w:rPr>
            </w:pPr>
            <w:r>
              <w:rPr>
                <w:rFonts w:ascii="Arial" w:cs="Arial" w:eastAsia="Arial" w:hAnsi="Arial"/>
                <w:sz w:val="16"/>
                <w:szCs w:val="16"/>
                <w:color w:val="auto"/>
              </w:rPr>
              <w:t>12,357</w:t>
            </w: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00" w:type="dxa"/>
            <w:vAlign w:val="bottom"/>
            <w:tcBorders>
              <w:bottom w:val="single" w:sz="8" w:color="004483"/>
            </w:tcBorders>
          </w:tcPr>
          <w:p>
            <w:pPr>
              <w:spacing w:after="0"/>
              <w:rPr>
                <w:sz w:val="18"/>
                <w:szCs w:val="18"/>
                <w:color w:val="auto"/>
              </w:rPr>
            </w:pPr>
          </w:p>
        </w:tc>
        <w:tc>
          <w:tcPr>
            <w:tcW w:w="1160" w:type="dxa"/>
            <w:vAlign w:val="bottom"/>
            <w:tcBorders>
              <w:bottom w:val="single" w:sz="8" w:color="004483"/>
            </w:tcBorders>
            <w:gridSpan w:val="4"/>
          </w:tcPr>
          <w:p>
            <w:pPr>
              <w:jc w:val="right"/>
              <w:spacing w:after="0"/>
              <w:rPr>
                <w:sz w:val="20"/>
                <w:szCs w:val="20"/>
                <w:color w:val="auto"/>
              </w:rPr>
            </w:pPr>
            <w:r>
              <w:rPr>
                <w:rFonts w:ascii="Arial" w:cs="Arial" w:eastAsia="Arial" w:hAnsi="Arial"/>
                <w:sz w:val="16"/>
                <w:szCs w:val="16"/>
                <w:color w:val="auto"/>
              </w:rPr>
              <w:t>18,373</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520" w:type="dxa"/>
            <w:vAlign w:val="bottom"/>
            <w:tcBorders>
              <w:bottom w:val="single" w:sz="8" w:color="004483"/>
            </w:tcBorders>
          </w:tcPr>
          <w:p>
            <w:pPr>
              <w:spacing w:after="0"/>
              <w:rPr>
                <w:sz w:val="18"/>
                <w:szCs w:val="18"/>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21,789</w:t>
            </w:r>
          </w:p>
        </w:tc>
        <w:tc>
          <w:tcPr>
            <w:tcW w:w="100" w:type="dxa"/>
            <w:vAlign w:val="bottom"/>
          </w:tcPr>
          <w:p>
            <w:pPr>
              <w:spacing w:after="0"/>
              <w:rPr>
                <w:sz w:val="18"/>
                <w:szCs w:val="18"/>
                <w:color w:val="auto"/>
              </w:rPr>
            </w:pPr>
          </w:p>
        </w:tc>
      </w:tr>
      <w:tr>
        <w:trPr>
          <w:trHeight w:val="250"/>
        </w:trPr>
        <w:tc>
          <w:tcPr>
            <w:tcW w:w="5240" w:type="dxa"/>
            <w:vAlign w:val="bottom"/>
            <w:tcBorders>
              <w:bottom w:val="single" w:sz="8" w:color="A6A6A6"/>
            </w:tcBorders>
          </w:tcPr>
          <w:p>
            <w:pPr>
              <w:spacing w:after="0"/>
              <w:rPr>
                <w:sz w:val="21"/>
                <w:szCs w:val="21"/>
                <w:color w:val="auto"/>
              </w:rPr>
            </w:pPr>
          </w:p>
        </w:tc>
        <w:tc>
          <w:tcPr>
            <w:tcW w:w="120" w:type="dxa"/>
            <w:vAlign w:val="bottom"/>
            <w:tcBorders>
              <w:bottom w:val="single" w:sz="8" w:color="A6A6A6"/>
            </w:tcBorders>
          </w:tcPr>
          <w:p>
            <w:pPr>
              <w:spacing w:after="0"/>
              <w:rPr>
                <w:sz w:val="21"/>
                <w:szCs w:val="21"/>
                <w:color w:val="auto"/>
              </w:rPr>
            </w:pPr>
          </w:p>
        </w:tc>
        <w:tc>
          <w:tcPr>
            <w:tcW w:w="140" w:type="dxa"/>
            <w:vAlign w:val="bottom"/>
            <w:tcBorders>
              <w:bottom w:val="single" w:sz="8" w:color="004483"/>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79,913</w:t>
            </w:r>
          </w:p>
        </w:tc>
        <w:tc>
          <w:tcPr>
            <w:tcW w:w="120" w:type="dxa"/>
            <w:vAlign w:val="bottom"/>
          </w:tcPr>
          <w:p>
            <w:pPr>
              <w:spacing w:after="0"/>
              <w:rPr>
                <w:sz w:val="21"/>
                <w:szCs w:val="21"/>
                <w:color w:val="auto"/>
              </w:rPr>
            </w:pPr>
          </w:p>
        </w:tc>
        <w:tc>
          <w:tcPr>
            <w:tcW w:w="120" w:type="dxa"/>
            <w:vAlign w:val="bottom"/>
            <w:tcBorders>
              <w:bottom w:val="single" w:sz="8" w:color="A6A6A6"/>
            </w:tcBorders>
          </w:tcPr>
          <w:p>
            <w:pPr>
              <w:spacing w:after="0"/>
              <w:rPr>
                <w:sz w:val="21"/>
                <w:szCs w:val="21"/>
                <w:color w:val="auto"/>
              </w:rPr>
            </w:pPr>
          </w:p>
        </w:tc>
        <w:tc>
          <w:tcPr>
            <w:tcW w:w="580" w:type="dxa"/>
            <w:vAlign w:val="bottom"/>
            <w:tcBorders>
              <w:bottom w:val="single" w:sz="8" w:color="004483"/>
            </w:tcBorders>
          </w:tcPr>
          <w:p>
            <w:pPr>
              <w:jc w:val="right"/>
              <w:ind w:right="424"/>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004483"/>
            </w:tcBorders>
            <w:gridSpan w:val="2"/>
          </w:tcPr>
          <w:p>
            <w:pPr>
              <w:jc w:val="right"/>
              <w:spacing w:after="0"/>
              <w:rPr>
                <w:sz w:val="20"/>
                <w:szCs w:val="20"/>
                <w:color w:val="auto"/>
              </w:rPr>
            </w:pPr>
            <w:r>
              <w:rPr>
                <w:rFonts w:ascii="Arial" w:cs="Arial" w:eastAsia="Arial" w:hAnsi="Arial"/>
                <w:sz w:val="16"/>
                <w:szCs w:val="16"/>
                <w:b w:val="1"/>
                <w:bCs w:val="1"/>
                <w:color w:val="auto"/>
              </w:rPr>
              <w:t>66,526</w:t>
            </w:r>
          </w:p>
        </w:tc>
        <w:tc>
          <w:tcPr>
            <w:tcW w:w="100" w:type="dxa"/>
            <w:vAlign w:val="bottom"/>
          </w:tcPr>
          <w:p>
            <w:pPr>
              <w:spacing w:after="0"/>
              <w:rPr>
                <w:sz w:val="21"/>
                <w:szCs w:val="21"/>
                <w:color w:val="auto"/>
              </w:rPr>
            </w:pPr>
          </w:p>
        </w:tc>
        <w:tc>
          <w:tcPr>
            <w:tcW w:w="140" w:type="dxa"/>
            <w:vAlign w:val="bottom"/>
            <w:tcBorders>
              <w:bottom w:val="single" w:sz="8" w:color="A6A6A6"/>
            </w:tcBorders>
          </w:tcPr>
          <w:p>
            <w:pPr>
              <w:spacing w:after="0"/>
              <w:rPr>
                <w:sz w:val="21"/>
                <w:szCs w:val="21"/>
                <w:color w:val="auto"/>
              </w:rPr>
            </w:pPr>
          </w:p>
        </w:tc>
        <w:tc>
          <w:tcPr>
            <w:tcW w:w="100" w:type="dxa"/>
            <w:vAlign w:val="bottom"/>
            <w:tcBorders>
              <w:bottom w:val="single" w:sz="8" w:color="004483"/>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004483"/>
            </w:tcBorders>
            <w:gridSpan w:val="4"/>
          </w:tcPr>
          <w:p>
            <w:pPr>
              <w:jc w:val="right"/>
              <w:spacing w:after="0"/>
              <w:rPr>
                <w:sz w:val="20"/>
                <w:szCs w:val="20"/>
                <w:color w:val="auto"/>
              </w:rPr>
            </w:pPr>
            <w:r>
              <w:rPr>
                <w:rFonts w:ascii="Arial" w:cs="Arial" w:eastAsia="Arial" w:hAnsi="Arial"/>
                <w:sz w:val="16"/>
                <w:szCs w:val="16"/>
                <w:b w:val="1"/>
                <w:bCs w:val="1"/>
                <w:color w:val="auto"/>
              </w:rPr>
              <w:t>140,368</w:t>
            </w:r>
          </w:p>
        </w:tc>
        <w:tc>
          <w:tcPr>
            <w:tcW w:w="100" w:type="dxa"/>
            <w:vAlign w:val="bottom"/>
          </w:tcPr>
          <w:p>
            <w:pPr>
              <w:spacing w:after="0"/>
              <w:rPr>
                <w:sz w:val="21"/>
                <w:szCs w:val="21"/>
                <w:color w:val="auto"/>
              </w:rPr>
            </w:pPr>
          </w:p>
        </w:tc>
        <w:tc>
          <w:tcPr>
            <w:tcW w:w="120" w:type="dxa"/>
            <w:vAlign w:val="bottom"/>
            <w:tcBorders>
              <w:bottom w:val="single" w:sz="8" w:color="A6A6A6"/>
            </w:tcBorders>
          </w:tcPr>
          <w:p>
            <w:pPr>
              <w:spacing w:after="0"/>
              <w:rPr>
                <w:sz w:val="21"/>
                <w:szCs w:val="21"/>
                <w:color w:val="auto"/>
              </w:rPr>
            </w:pPr>
          </w:p>
        </w:tc>
        <w:tc>
          <w:tcPr>
            <w:tcW w:w="20" w:type="dxa"/>
            <w:vAlign w:val="bottom"/>
            <w:tcBorders>
              <w:bottom w:val="single" w:sz="8" w:color="A6A6A6"/>
            </w:tcBorders>
          </w:tcPr>
          <w:p>
            <w:pPr>
              <w:spacing w:after="0"/>
              <w:rPr>
                <w:sz w:val="21"/>
                <w:szCs w:val="21"/>
                <w:color w:val="auto"/>
              </w:rPr>
            </w:pPr>
          </w:p>
        </w:tc>
        <w:tc>
          <w:tcPr>
            <w:tcW w:w="520" w:type="dxa"/>
            <w:vAlign w:val="bottom"/>
            <w:tcBorders>
              <w:bottom w:val="single" w:sz="8" w:color="004483"/>
            </w:tcBorders>
          </w:tcPr>
          <w:p>
            <w:pPr>
              <w:jc w:val="right"/>
              <w:ind w:right="364"/>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102,647</w:t>
            </w:r>
          </w:p>
        </w:tc>
        <w:tc>
          <w:tcPr>
            <w:tcW w:w="100" w:type="dxa"/>
            <w:vAlign w:val="bottom"/>
          </w:tcPr>
          <w:p>
            <w:pPr>
              <w:spacing w:after="0"/>
              <w:rPr>
                <w:sz w:val="21"/>
                <w:szCs w:val="21"/>
                <w:color w:val="auto"/>
              </w:rPr>
            </w:pPr>
          </w:p>
        </w:tc>
      </w:tr>
      <w:tr>
        <w:trPr>
          <w:trHeight w:val="193"/>
        </w:trPr>
        <w:tc>
          <w:tcPr>
            <w:tcW w:w="5240" w:type="dxa"/>
            <w:vAlign w:val="bottom"/>
            <w:tcBorders>
              <w:bottom w:val="single" w:sz="8" w:color="A6A6A6"/>
            </w:tcBorders>
          </w:tcPr>
          <w:p>
            <w:pPr>
              <w:spacing w:after="0"/>
              <w:rPr>
                <w:sz w:val="20"/>
                <w:szCs w:val="20"/>
                <w:color w:val="auto"/>
              </w:rPr>
            </w:pPr>
            <w:r>
              <w:rPr>
                <w:rFonts w:ascii="Arial" w:cs="Arial" w:eastAsia="Arial" w:hAnsi="Arial"/>
                <w:sz w:val="16"/>
                <w:szCs w:val="16"/>
                <w:b w:val="1"/>
                <w:bCs w:val="1"/>
                <w:color w:val="auto"/>
              </w:rPr>
              <w:t>Capital Expenditures -</w:t>
            </w:r>
          </w:p>
        </w:tc>
        <w:tc>
          <w:tcPr>
            <w:tcW w:w="120" w:type="dxa"/>
            <w:vAlign w:val="bottom"/>
            <w:tcBorders>
              <w:bottom w:val="single" w:sz="8" w:color="A6A6A6"/>
            </w:tcBorders>
          </w:tcPr>
          <w:p>
            <w:pPr>
              <w:spacing w:after="0"/>
              <w:rPr>
                <w:sz w:val="16"/>
                <w:szCs w:val="16"/>
                <w:color w:val="auto"/>
              </w:rPr>
            </w:pPr>
          </w:p>
        </w:tc>
        <w:tc>
          <w:tcPr>
            <w:tcW w:w="140" w:type="dxa"/>
            <w:vAlign w:val="bottom"/>
            <w:tcBorders>
              <w:bottom w:val="single" w:sz="8" w:color="A6A6A6"/>
            </w:tcBorders>
          </w:tcPr>
          <w:p>
            <w:pPr>
              <w:spacing w:after="0"/>
              <w:rPr>
                <w:sz w:val="16"/>
                <w:szCs w:val="16"/>
                <w:color w:val="auto"/>
              </w:rPr>
            </w:pPr>
          </w:p>
        </w:tc>
        <w:tc>
          <w:tcPr>
            <w:tcW w:w="1120" w:type="dxa"/>
            <w:vAlign w:val="bottom"/>
            <w:tcBorders>
              <w:bottom w:val="single" w:sz="8" w:color="A6A6A6"/>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580" w:type="dxa"/>
            <w:vAlign w:val="bottom"/>
            <w:tcBorders>
              <w:bottom w:val="single" w:sz="8" w:color="A6A6A6"/>
            </w:tcBorders>
          </w:tcPr>
          <w:p>
            <w:pPr>
              <w:spacing w:after="0"/>
              <w:rPr>
                <w:sz w:val="16"/>
                <w:szCs w:val="16"/>
                <w:color w:val="auto"/>
              </w:rPr>
            </w:pPr>
          </w:p>
        </w:tc>
        <w:tc>
          <w:tcPr>
            <w:tcW w:w="280" w:type="dxa"/>
            <w:vAlign w:val="bottom"/>
            <w:tcBorders>
              <w:bottom w:val="single" w:sz="8" w:color="A6A6A6"/>
            </w:tcBorders>
          </w:tcPr>
          <w:p>
            <w:pPr>
              <w:spacing w:after="0"/>
              <w:rPr>
                <w:sz w:val="16"/>
                <w:szCs w:val="16"/>
                <w:color w:val="auto"/>
              </w:rPr>
            </w:pPr>
          </w:p>
        </w:tc>
        <w:tc>
          <w:tcPr>
            <w:tcW w:w="40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6A6A6"/>
            </w:tcBorders>
          </w:tcPr>
          <w:p>
            <w:pPr>
              <w:spacing w:after="0"/>
              <w:rPr>
                <w:sz w:val="16"/>
                <w:szCs w:val="16"/>
                <w:color w:val="auto"/>
              </w:rPr>
            </w:pPr>
          </w:p>
        </w:tc>
        <w:tc>
          <w:tcPr>
            <w:tcW w:w="100" w:type="dxa"/>
            <w:vAlign w:val="bottom"/>
            <w:tcBorders>
              <w:bottom w:val="single" w:sz="8" w:color="A6A6A6"/>
            </w:tcBorders>
          </w:tcPr>
          <w:p>
            <w:pPr>
              <w:spacing w:after="0"/>
              <w:rPr>
                <w:sz w:val="16"/>
                <w:szCs w:val="16"/>
                <w:color w:val="auto"/>
              </w:rPr>
            </w:pPr>
          </w:p>
        </w:tc>
        <w:tc>
          <w:tcPr>
            <w:tcW w:w="800" w:type="dxa"/>
            <w:vAlign w:val="bottom"/>
            <w:tcBorders>
              <w:bottom w:val="single" w:sz="8" w:color="A6A6A6"/>
            </w:tcBorders>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180" w:type="dxa"/>
            <w:vAlign w:val="bottom"/>
            <w:tcBorders>
              <w:bottom w:val="single" w:sz="8" w:color="A6A6A6"/>
            </w:tcBorders>
          </w:tcPr>
          <w:p>
            <w:pPr>
              <w:spacing w:after="0"/>
              <w:rPr>
                <w:sz w:val="16"/>
                <w:szCs w:val="16"/>
                <w:color w:val="auto"/>
              </w:rPr>
            </w:pPr>
          </w:p>
        </w:tc>
        <w:tc>
          <w:tcPr>
            <w:tcW w:w="6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20" w:type="dxa"/>
            <w:vAlign w:val="bottom"/>
            <w:tcBorders>
              <w:bottom w:val="single" w:sz="8" w:color="A6A6A6"/>
            </w:tcBorders>
          </w:tcPr>
          <w:p>
            <w:pPr>
              <w:spacing w:after="0"/>
              <w:rPr>
                <w:sz w:val="16"/>
                <w:szCs w:val="16"/>
                <w:color w:val="auto"/>
              </w:rPr>
            </w:pPr>
          </w:p>
        </w:tc>
        <w:tc>
          <w:tcPr>
            <w:tcW w:w="520" w:type="dxa"/>
            <w:vAlign w:val="bottom"/>
            <w:tcBorders>
              <w:bottom w:val="single" w:sz="8" w:color="A6A6A6"/>
            </w:tcBorders>
          </w:tcPr>
          <w:p>
            <w:pPr>
              <w:spacing w:after="0"/>
              <w:rPr>
                <w:sz w:val="16"/>
                <w:szCs w:val="16"/>
                <w:color w:val="auto"/>
              </w:rPr>
            </w:pPr>
          </w:p>
        </w:tc>
        <w:tc>
          <w:tcPr>
            <w:tcW w:w="76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5240" w:type="dxa"/>
            <w:vAlign w:val="bottom"/>
            <w:tcBorders>
              <w:bottom w:val="single" w:sz="8" w:color="A6A6A6"/>
            </w:tcBorders>
          </w:tcPr>
          <w:p>
            <w:pPr>
              <w:ind w:left="260"/>
              <w:spacing w:after="0"/>
              <w:rPr>
                <w:sz w:val="20"/>
                <w:szCs w:val="20"/>
                <w:color w:val="auto"/>
              </w:rPr>
            </w:pPr>
            <w:r>
              <w:rPr>
                <w:rFonts w:ascii="Arial" w:cs="Arial" w:eastAsia="Arial" w:hAnsi="Arial"/>
                <w:sz w:val="16"/>
                <w:szCs w:val="16"/>
                <w:color w:val="277EBF"/>
              </w:rPr>
              <w:t>Cement</w:t>
            </w:r>
          </w:p>
        </w:tc>
        <w:tc>
          <w:tcPr>
            <w:tcW w:w="26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7,909</w:t>
            </w:r>
          </w:p>
        </w:tc>
        <w:tc>
          <w:tcPr>
            <w:tcW w:w="120" w:type="dxa"/>
            <w:vAlign w:val="bottom"/>
          </w:tcPr>
          <w:p>
            <w:pPr>
              <w:spacing w:after="0"/>
              <w:rPr>
                <w:sz w:val="18"/>
                <w:szCs w:val="18"/>
                <w:color w:val="auto"/>
              </w:rPr>
            </w:pPr>
          </w:p>
        </w:tc>
        <w:tc>
          <w:tcPr>
            <w:tcW w:w="700" w:type="dxa"/>
            <w:vAlign w:val="bottom"/>
            <w:tcBorders>
              <w:bottom w:val="single" w:sz="8" w:color="A6A6A6"/>
            </w:tcBorders>
            <w:gridSpan w:val="2"/>
          </w:tcPr>
          <w:p>
            <w:pPr>
              <w:jc w:val="right"/>
              <w:ind w:right="424"/>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8,209</w:t>
            </w:r>
          </w:p>
        </w:tc>
        <w:tc>
          <w:tcPr>
            <w:tcW w:w="100" w:type="dxa"/>
            <w:vAlign w:val="bottom"/>
          </w:tcPr>
          <w:p>
            <w:pPr>
              <w:spacing w:after="0"/>
              <w:rPr>
                <w:sz w:val="18"/>
                <w:szCs w:val="18"/>
                <w:color w:val="auto"/>
              </w:rPr>
            </w:pPr>
          </w:p>
        </w:tc>
        <w:tc>
          <w:tcPr>
            <w:tcW w:w="24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6A6A6"/>
            </w:tcBorders>
            <w:gridSpan w:val="4"/>
          </w:tcPr>
          <w:p>
            <w:pPr>
              <w:jc w:val="right"/>
              <w:spacing w:after="0"/>
              <w:rPr>
                <w:sz w:val="20"/>
                <w:szCs w:val="20"/>
                <w:color w:val="auto"/>
              </w:rPr>
            </w:pPr>
            <w:r>
              <w:rPr>
                <w:rFonts w:ascii="Arial" w:cs="Arial" w:eastAsia="Arial" w:hAnsi="Arial"/>
                <w:sz w:val="16"/>
                <w:szCs w:val="16"/>
                <w:color w:val="auto"/>
              </w:rPr>
              <w:t>18,257</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40" w:type="dxa"/>
            <w:vAlign w:val="bottom"/>
            <w:tcBorders>
              <w:bottom w:val="single" w:sz="8" w:color="A6A6A6"/>
            </w:tcBorders>
            <w:gridSpan w:val="2"/>
          </w:tcPr>
          <w:p>
            <w:pPr>
              <w:jc w:val="right"/>
              <w:ind w:right="364"/>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18,746</w:t>
            </w:r>
          </w:p>
        </w:tc>
        <w:tc>
          <w:tcPr>
            <w:tcW w:w="100" w:type="dxa"/>
            <w:vAlign w:val="bottom"/>
          </w:tcPr>
          <w:p>
            <w:pPr>
              <w:spacing w:after="0"/>
              <w:rPr>
                <w:sz w:val="18"/>
                <w:szCs w:val="18"/>
                <w:color w:val="auto"/>
              </w:rPr>
            </w:pPr>
          </w:p>
        </w:tc>
      </w:tr>
      <w:tr>
        <w:trPr>
          <w:trHeight w:val="209"/>
        </w:trPr>
        <w:tc>
          <w:tcPr>
            <w:tcW w:w="5240" w:type="dxa"/>
            <w:vAlign w:val="bottom"/>
            <w:tcBorders>
              <w:bottom w:val="single" w:sz="8" w:color="A6A6A6"/>
            </w:tcBorders>
          </w:tcPr>
          <w:p>
            <w:pPr>
              <w:ind w:left="260"/>
              <w:spacing w:after="0"/>
              <w:rPr>
                <w:sz w:val="20"/>
                <w:szCs w:val="20"/>
                <w:color w:val="auto"/>
              </w:rPr>
            </w:pPr>
            <w:r>
              <w:rPr>
                <w:rFonts w:ascii="Arial" w:cs="Arial" w:eastAsia="Arial" w:hAnsi="Arial"/>
                <w:sz w:val="16"/>
                <w:szCs w:val="16"/>
                <w:color w:val="00AAC6"/>
              </w:rPr>
              <w:t>Concrete and Aggregates</w:t>
            </w:r>
          </w:p>
        </w:tc>
        <w:tc>
          <w:tcPr>
            <w:tcW w:w="12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5,496</w:t>
            </w: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gridSpan w:val="4"/>
          </w:tcPr>
          <w:p>
            <w:pPr>
              <w:jc w:val="right"/>
              <w:spacing w:after="0"/>
              <w:rPr>
                <w:sz w:val="20"/>
                <w:szCs w:val="20"/>
                <w:color w:val="auto"/>
              </w:rPr>
            </w:pPr>
            <w:r>
              <w:rPr>
                <w:rFonts w:ascii="Arial" w:cs="Arial" w:eastAsia="Arial" w:hAnsi="Arial"/>
                <w:sz w:val="16"/>
                <w:szCs w:val="16"/>
                <w:color w:val="auto"/>
              </w:rPr>
              <w:t>1,302</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6,091</w:t>
            </w:r>
          </w:p>
        </w:tc>
        <w:tc>
          <w:tcPr>
            <w:tcW w:w="100" w:type="dxa"/>
            <w:vAlign w:val="bottom"/>
          </w:tcPr>
          <w:p>
            <w:pPr>
              <w:spacing w:after="0"/>
              <w:rPr>
                <w:sz w:val="18"/>
                <w:szCs w:val="18"/>
                <w:color w:val="auto"/>
              </w:rPr>
            </w:pPr>
          </w:p>
        </w:tc>
      </w:tr>
      <w:tr>
        <w:trPr>
          <w:trHeight w:val="209"/>
        </w:trPr>
        <w:tc>
          <w:tcPr>
            <w:tcW w:w="5240" w:type="dxa"/>
            <w:vAlign w:val="bottom"/>
            <w:tcBorders>
              <w:bottom w:val="single" w:sz="8" w:color="A6A6A6"/>
            </w:tcBorders>
          </w:tcPr>
          <w:p>
            <w:pPr>
              <w:ind w:left="260"/>
              <w:spacing w:after="0"/>
              <w:rPr>
                <w:sz w:val="20"/>
                <w:szCs w:val="20"/>
                <w:color w:val="auto"/>
              </w:rPr>
            </w:pPr>
            <w:r>
              <w:rPr>
                <w:rFonts w:ascii="Arial" w:cs="Arial" w:eastAsia="Arial" w:hAnsi="Arial"/>
                <w:sz w:val="16"/>
                <w:szCs w:val="16"/>
                <w:color w:val="77943C"/>
              </w:rPr>
              <w:t>Gypsum Wallboard</w:t>
            </w:r>
          </w:p>
        </w:tc>
        <w:tc>
          <w:tcPr>
            <w:tcW w:w="12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4,070</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6,443</w:t>
            </w: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gridSpan w:val="4"/>
          </w:tcPr>
          <w:p>
            <w:pPr>
              <w:jc w:val="right"/>
              <w:spacing w:after="0"/>
              <w:rPr>
                <w:sz w:val="20"/>
                <w:szCs w:val="20"/>
                <w:color w:val="auto"/>
              </w:rPr>
            </w:pPr>
            <w:r>
              <w:rPr>
                <w:rFonts w:ascii="Arial" w:cs="Arial" w:eastAsia="Arial" w:hAnsi="Arial"/>
                <w:sz w:val="16"/>
                <w:szCs w:val="16"/>
                <w:color w:val="auto"/>
              </w:rPr>
              <w:t>10,582</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8,374</w:t>
            </w:r>
          </w:p>
        </w:tc>
        <w:tc>
          <w:tcPr>
            <w:tcW w:w="100" w:type="dxa"/>
            <w:vAlign w:val="bottom"/>
          </w:tcPr>
          <w:p>
            <w:pPr>
              <w:spacing w:after="0"/>
              <w:rPr>
                <w:sz w:val="18"/>
                <w:szCs w:val="18"/>
                <w:color w:val="auto"/>
              </w:rPr>
            </w:pPr>
          </w:p>
        </w:tc>
      </w:tr>
      <w:tr>
        <w:trPr>
          <w:trHeight w:val="209"/>
        </w:trPr>
        <w:tc>
          <w:tcPr>
            <w:tcW w:w="5240" w:type="dxa"/>
            <w:vAlign w:val="bottom"/>
            <w:tcBorders>
              <w:bottom w:val="single" w:sz="8" w:color="A6A6A6"/>
            </w:tcBorders>
          </w:tcPr>
          <w:p>
            <w:pPr>
              <w:ind w:left="260"/>
              <w:spacing w:after="0"/>
              <w:rPr>
                <w:sz w:val="20"/>
                <w:szCs w:val="20"/>
                <w:color w:val="auto"/>
              </w:rPr>
            </w:pPr>
            <w:r>
              <w:rPr>
                <w:rFonts w:ascii="Arial" w:cs="Arial" w:eastAsia="Arial" w:hAnsi="Arial"/>
                <w:sz w:val="16"/>
                <w:szCs w:val="16"/>
                <w:color w:val="AEB949"/>
              </w:rPr>
              <w:t>Paperboard</w:t>
            </w:r>
          </w:p>
        </w:tc>
        <w:tc>
          <w:tcPr>
            <w:tcW w:w="120" w:type="dxa"/>
            <w:vAlign w:val="bottom"/>
            <w:tcBorders>
              <w:bottom w:val="single" w:sz="8" w:color="A6A6A6"/>
            </w:tcBorders>
          </w:tcPr>
          <w:p>
            <w:pPr>
              <w:spacing w:after="0"/>
              <w:rPr>
                <w:sz w:val="18"/>
                <w:szCs w:val="18"/>
                <w:color w:val="auto"/>
              </w:rPr>
            </w:pPr>
          </w:p>
        </w:tc>
        <w:tc>
          <w:tcPr>
            <w:tcW w:w="14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2,665</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80" w:type="dxa"/>
            <w:vAlign w:val="bottom"/>
            <w:tcBorders>
              <w:bottom w:val="single" w:sz="8" w:color="004483"/>
            </w:tcBorders>
          </w:tcPr>
          <w:p>
            <w:pPr>
              <w:spacing w:after="0"/>
              <w:rPr>
                <w:sz w:val="18"/>
                <w:szCs w:val="18"/>
                <w:color w:val="auto"/>
              </w:rPr>
            </w:pPr>
          </w:p>
        </w:tc>
        <w:tc>
          <w:tcPr>
            <w:tcW w:w="680" w:type="dxa"/>
            <w:vAlign w:val="bottom"/>
            <w:tcBorders>
              <w:bottom w:val="single" w:sz="8" w:color="004483"/>
            </w:tcBorders>
            <w:gridSpan w:val="2"/>
          </w:tcPr>
          <w:p>
            <w:pPr>
              <w:jc w:val="right"/>
              <w:spacing w:after="0"/>
              <w:rPr>
                <w:sz w:val="20"/>
                <w:szCs w:val="20"/>
                <w:color w:val="auto"/>
              </w:rPr>
            </w:pPr>
            <w:r>
              <w:rPr>
                <w:rFonts w:ascii="Arial" w:cs="Arial" w:eastAsia="Arial" w:hAnsi="Arial"/>
                <w:sz w:val="16"/>
                <w:szCs w:val="16"/>
                <w:color w:val="auto"/>
              </w:rPr>
              <w:t>17,239</w:t>
            </w: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00" w:type="dxa"/>
            <w:vAlign w:val="bottom"/>
            <w:tcBorders>
              <w:bottom w:val="single" w:sz="8" w:color="004483"/>
            </w:tcBorders>
          </w:tcPr>
          <w:p>
            <w:pPr>
              <w:spacing w:after="0"/>
              <w:rPr>
                <w:sz w:val="18"/>
                <w:szCs w:val="18"/>
                <w:color w:val="auto"/>
              </w:rPr>
            </w:pPr>
          </w:p>
        </w:tc>
        <w:tc>
          <w:tcPr>
            <w:tcW w:w="1160" w:type="dxa"/>
            <w:vAlign w:val="bottom"/>
            <w:tcBorders>
              <w:bottom w:val="single" w:sz="8" w:color="004483"/>
            </w:tcBorders>
            <w:gridSpan w:val="4"/>
          </w:tcPr>
          <w:p>
            <w:pPr>
              <w:jc w:val="right"/>
              <w:spacing w:after="0"/>
              <w:rPr>
                <w:sz w:val="20"/>
                <w:szCs w:val="20"/>
                <w:color w:val="auto"/>
              </w:rPr>
            </w:pPr>
            <w:r>
              <w:rPr>
                <w:rFonts w:ascii="Arial" w:cs="Arial" w:eastAsia="Arial" w:hAnsi="Arial"/>
                <w:sz w:val="16"/>
                <w:szCs w:val="16"/>
                <w:color w:val="auto"/>
              </w:rPr>
              <w:t>10,535</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520" w:type="dxa"/>
            <w:vAlign w:val="bottom"/>
            <w:tcBorders>
              <w:bottom w:val="single" w:sz="8" w:color="004483"/>
            </w:tcBorders>
          </w:tcPr>
          <w:p>
            <w:pPr>
              <w:spacing w:after="0"/>
              <w:rPr>
                <w:sz w:val="18"/>
                <w:szCs w:val="18"/>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29,599</w:t>
            </w:r>
          </w:p>
        </w:tc>
        <w:tc>
          <w:tcPr>
            <w:tcW w:w="100" w:type="dxa"/>
            <w:vAlign w:val="bottom"/>
          </w:tcPr>
          <w:p>
            <w:pPr>
              <w:spacing w:after="0"/>
              <w:rPr>
                <w:sz w:val="18"/>
                <w:szCs w:val="18"/>
                <w:color w:val="auto"/>
              </w:rPr>
            </w:pPr>
          </w:p>
        </w:tc>
      </w:tr>
      <w:tr>
        <w:trPr>
          <w:trHeight w:val="250"/>
        </w:trPr>
        <w:tc>
          <w:tcPr>
            <w:tcW w:w="5240" w:type="dxa"/>
            <w:vAlign w:val="bottom"/>
            <w:tcBorders>
              <w:bottom w:val="single" w:sz="8" w:color="A6A6A6"/>
            </w:tcBorders>
          </w:tcPr>
          <w:p>
            <w:pPr>
              <w:spacing w:after="0"/>
              <w:rPr>
                <w:sz w:val="21"/>
                <w:szCs w:val="21"/>
                <w:color w:val="auto"/>
              </w:rPr>
            </w:pPr>
          </w:p>
        </w:tc>
        <w:tc>
          <w:tcPr>
            <w:tcW w:w="120" w:type="dxa"/>
            <w:vAlign w:val="bottom"/>
            <w:tcBorders>
              <w:bottom w:val="single" w:sz="8" w:color="A6A6A6"/>
            </w:tcBorders>
          </w:tcPr>
          <w:p>
            <w:pPr>
              <w:spacing w:after="0"/>
              <w:rPr>
                <w:sz w:val="21"/>
                <w:szCs w:val="21"/>
                <w:color w:val="auto"/>
              </w:rPr>
            </w:pPr>
          </w:p>
        </w:tc>
        <w:tc>
          <w:tcPr>
            <w:tcW w:w="140" w:type="dxa"/>
            <w:vAlign w:val="bottom"/>
            <w:tcBorders>
              <w:bottom w:val="single" w:sz="8" w:color="004483"/>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14,685</w:t>
            </w:r>
          </w:p>
        </w:tc>
        <w:tc>
          <w:tcPr>
            <w:tcW w:w="120" w:type="dxa"/>
            <w:vAlign w:val="bottom"/>
          </w:tcPr>
          <w:p>
            <w:pPr>
              <w:spacing w:after="0"/>
              <w:rPr>
                <w:sz w:val="21"/>
                <w:szCs w:val="21"/>
                <w:color w:val="auto"/>
              </w:rPr>
            </w:pPr>
          </w:p>
        </w:tc>
        <w:tc>
          <w:tcPr>
            <w:tcW w:w="120" w:type="dxa"/>
            <w:vAlign w:val="bottom"/>
            <w:tcBorders>
              <w:bottom w:val="single" w:sz="8" w:color="A6A6A6"/>
            </w:tcBorders>
          </w:tcPr>
          <w:p>
            <w:pPr>
              <w:spacing w:after="0"/>
              <w:rPr>
                <w:sz w:val="21"/>
                <w:szCs w:val="21"/>
                <w:color w:val="auto"/>
              </w:rPr>
            </w:pPr>
          </w:p>
        </w:tc>
        <w:tc>
          <w:tcPr>
            <w:tcW w:w="580" w:type="dxa"/>
            <w:vAlign w:val="bottom"/>
            <w:tcBorders>
              <w:bottom w:val="single" w:sz="8" w:color="004483"/>
            </w:tcBorders>
          </w:tcPr>
          <w:p>
            <w:pPr>
              <w:jc w:val="right"/>
              <w:ind w:right="424"/>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004483"/>
            </w:tcBorders>
            <w:gridSpan w:val="2"/>
          </w:tcPr>
          <w:p>
            <w:pPr>
              <w:jc w:val="right"/>
              <w:spacing w:after="0"/>
              <w:rPr>
                <w:sz w:val="20"/>
                <w:szCs w:val="20"/>
                <w:color w:val="auto"/>
              </w:rPr>
            </w:pPr>
            <w:r>
              <w:rPr>
                <w:rFonts w:ascii="Arial" w:cs="Arial" w:eastAsia="Arial" w:hAnsi="Arial"/>
                <w:sz w:val="16"/>
                <w:szCs w:val="16"/>
                <w:b w:val="1"/>
                <w:bCs w:val="1"/>
                <w:color w:val="auto"/>
              </w:rPr>
              <w:t>37,387</w:t>
            </w:r>
          </w:p>
        </w:tc>
        <w:tc>
          <w:tcPr>
            <w:tcW w:w="100" w:type="dxa"/>
            <w:vAlign w:val="bottom"/>
          </w:tcPr>
          <w:p>
            <w:pPr>
              <w:spacing w:after="0"/>
              <w:rPr>
                <w:sz w:val="21"/>
                <w:szCs w:val="21"/>
                <w:color w:val="auto"/>
              </w:rPr>
            </w:pPr>
          </w:p>
        </w:tc>
        <w:tc>
          <w:tcPr>
            <w:tcW w:w="140" w:type="dxa"/>
            <w:vAlign w:val="bottom"/>
            <w:tcBorders>
              <w:bottom w:val="single" w:sz="8" w:color="A6A6A6"/>
            </w:tcBorders>
          </w:tcPr>
          <w:p>
            <w:pPr>
              <w:spacing w:after="0"/>
              <w:rPr>
                <w:sz w:val="21"/>
                <w:szCs w:val="21"/>
                <w:color w:val="auto"/>
              </w:rPr>
            </w:pPr>
          </w:p>
        </w:tc>
        <w:tc>
          <w:tcPr>
            <w:tcW w:w="100" w:type="dxa"/>
            <w:vAlign w:val="bottom"/>
            <w:tcBorders>
              <w:bottom w:val="single" w:sz="8" w:color="004483"/>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004483"/>
            </w:tcBorders>
            <w:gridSpan w:val="4"/>
          </w:tcPr>
          <w:p>
            <w:pPr>
              <w:jc w:val="right"/>
              <w:spacing w:after="0"/>
              <w:rPr>
                <w:sz w:val="20"/>
                <w:szCs w:val="20"/>
                <w:color w:val="auto"/>
              </w:rPr>
            </w:pPr>
            <w:r>
              <w:rPr>
                <w:rFonts w:ascii="Arial" w:cs="Arial" w:eastAsia="Arial" w:hAnsi="Arial"/>
                <w:sz w:val="16"/>
                <w:szCs w:val="16"/>
                <w:b w:val="1"/>
                <w:bCs w:val="1"/>
                <w:color w:val="auto"/>
              </w:rPr>
              <w:t>40,676</w:t>
            </w:r>
          </w:p>
        </w:tc>
        <w:tc>
          <w:tcPr>
            <w:tcW w:w="100" w:type="dxa"/>
            <w:vAlign w:val="bottom"/>
          </w:tcPr>
          <w:p>
            <w:pPr>
              <w:spacing w:after="0"/>
              <w:rPr>
                <w:sz w:val="21"/>
                <w:szCs w:val="21"/>
                <w:color w:val="auto"/>
              </w:rPr>
            </w:pPr>
          </w:p>
        </w:tc>
        <w:tc>
          <w:tcPr>
            <w:tcW w:w="120" w:type="dxa"/>
            <w:vAlign w:val="bottom"/>
            <w:tcBorders>
              <w:bottom w:val="single" w:sz="8" w:color="A6A6A6"/>
            </w:tcBorders>
          </w:tcPr>
          <w:p>
            <w:pPr>
              <w:spacing w:after="0"/>
              <w:rPr>
                <w:sz w:val="21"/>
                <w:szCs w:val="21"/>
                <w:color w:val="auto"/>
              </w:rPr>
            </w:pPr>
          </w:p>
        </w:tc>
        <w:tc>
          <w:tcPr>
            <w:tcW w:w="20" w:type="dxa"/>
            <w:vAlign w:val="bottom"/>
            <w:tcBorders>
              <w:bottom w:val="single" w:sz="8" w:color="A6A6A6"/>
            </w:tcBorders>
          </w:tcPr>
          <w:p>
            <w:pPr>
              <w:spacing w:after="0"/>
              <w:rPr>
                <w:sz w:val="21"/>
                <w:szCs w:val="21"/>
                <w:color w:val="auto"/>
              </w:rPr>
            </w:pPr>
          </w:p>
        </w:tc>
        <w:tc>
          <w:tcPr>
            <w:tcW w:w="520" w:type="dxa"/>
            <w:vAlign w:val="bottom"/>
            <w:tcBorders>
              <w:bottom w:val="single" w:sz="8" w:color="004483"/>
            </w:tcBorders>
          </w:tcPr>
          <w:p>
            <w:pPr>
              <w:jc w:val="right"/>
              <w:ind w:right="364"/>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62,810</w:t>
            </w:r>
          </w:p>
        </w:tc>
        <w:tc>
          <w:tcPr>
            <w:tcW w:w="100" w:type="dxa"/>
            <w:vAlign w:val="bottom"/>
          </w:tcPr>
          <w:p>
            <w:pPr>
              <w:spacing w:after="0"/>
              <w:rPr>
                <w:sz w:val="21"/>
                <w:szCs w:val="21"/>
                <w:color w:val="auto"/>
              </w:rPr>
            </w:pPr>
          </w:p>
        </w:tc>
      </w:tr>
      <w:tr>
        <w:trPr>
          <w:trHeight w:val="193"/>
        </w:trPr>
        <w:tc>
          <w:tcPr>
            <w:tcW w:w="5240" w:type="dxa"/>
            <w:vAlign w:val="bottom"/>
            <w:tcBorders>
              <w:bottom w:val="single" w:sz="8" w:color="A6A6A6"/>
            </w:tcBorders>
          </w:tcPr>
          <w:p>
            <w:pPr>
              <w:spacing w:after="0"/>
              <w:rPr>
                <w:sz w:val="20"/>
                <w:szCs w:val="20"/>
                <w:color w:val="auto"/>
              </w:rPr>
            </w:pPr>
            <w:r>
              <w:rPr>
                <w:rFonts w:ascii="Arial" w:cs="Arial" w:eastAsia="Arial" w:hAnsi="Arial"/>
                <w:sz w:val="16"/>
                <w:szCs w:val="16"/>
                <w:b w:val="1"/>
                <w:bCs w:val="1"/>
                <w:color w:val="auto"/>
              </w:rPr>
              <w:t>Depreciation, Depletion, and Amortization -</w:t>
            </w:r>
          </w:p>
        </w:tc>
        <w:tc>
          <w:tcPr>
            <w:tcW w:w="120" w:type="dxa"/>
            <w:vAlign w:val="bottom"/>
            <w:tcBorders>
              <w:bottom w:val="single" w:sz="8" w:color="A6A6A6"/>
            </w:tcBorders>
          </w:tcPr>
          <w:p>
            <w:pPr>
              <w:spacing w:after="0"/>
              <w:rPr>
                <w:sz w:val="16"/>
                <w:szCs w:val="16"/>
                <w:color w:val="auto"/>
              </w:rPr>
            </w:pPr>
          </w:p>
        </w:tc>
        <w:tc>
          <w:tcPr>
            <w:tcW w:w="140" w:type="dxa"/>
            <w:vAlign w:val="bottom"/>
            <w:tcBorders>
              <w:bottom w:val="single" w:sz="8" w:color="A6A6A6"/>
            </w:tcBorders>
          </w:tcPr>
          <w:p>
            <w:pPr>
              <w:spacing w:after="0"/>
              <w:rPr>
                <w:sz w:val="16"/>
                <w:szCs w:val="16"/>
                <w:color w:val="auto"/>
              </w:rPr>
            </w:pPr>
          </w:p>
        </w:tc>
        <w:tc>
          <w:tcPr>
            <w:tcW w:w="1120" w:type="dxa"/>
            <w:vAlign w:val="bottom"/>
            <w:tcBorders>
              <w:bottom w:val="single" w:sz="8" w:color="A6A6A6"/>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580" w:type="dxa"/>
            <w:vAlign w:val="bottom"/>
            <w:tcBorders>
              <w:bottom w:val="single" w:sz="8" w:color="A6A6A6"/>
            </w:tcBorders>
          </w:tcPr>
          <w:p>
            <w:pPr>
              <w:spacing w:after="0"/>
              <w:rPr>
                <w:sz w:val="16"/>
                <w:szCs w:val="16"/>
                <w:color w:val="auto"/>
              </w:rPr>
            </w:pPr>
          </w:p>
        </w:tc>
        <w:tc>
          <w:tcPr>
            <w:tcW w:w="280" w:type="dxa"/>
            <w:vAlign w:val="bottom"/>
            <w:tcBorders>
              <w:bottom w:val="single" w:sz="8" w:color="A6A6A6"/>
            </w:tcBorders>
          </w:tcPr>
          <w:p>
            <w:pPr>
              <w:spacing w:after="0"/>
              <w:rPr>
                <w:sz w:val="16"/>
                <w:szCs w:val="16"/>
                <w:color w:val="auto"/>
              </w:rPr>
            </w:pPr>
          </w:p>
        </w:tc>
        <w:tc>
          <w:tcPr>
            <w:tcW w:w="40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6A6A6"/>
            </w:tcBorders>
          </w:tcPr>
          <w:p>
            <w:pPr>
              <w:spacing w:after="0"/>
              <w:rPr>
                <w:sz w:val="16"/>
                <w:szCs w:val="16"/>
                <w:color w:val="auto"/>
              </w:rPr>
            </w:pPr>
          </w:p>
        </w:tc>
        <w:tc>
          <w:tcPr>
            <w:tcW w:w="100" w:type="dxa"/>
            <w:vAlign w:val="bottom"/>
            <w:tcBorders>
              <w:bottom w:val="single" w:sz="8" w:color="A6A6A6"/>
            </w:tcBorders>
          </w:tcPr>
          <w:p>
            <w:pPr>
              <w:spacing w:after="0"/>
              <w:rPr>
                <w:sz w:val="16"/>
                <w:szCs w:val="16"/>
                <w:color w:val="auto"/>
              </w:rPr>
            </w:pPr>
          </w:p>
        </w:tc>
        <w:tc>
          <w:tcPr>
            <w:tcW w:w="800" w:type="dxa"/>
            <w:vAlign w:val="bottom"/>
            <w:tcBorders>
              <w:bottom w:val="single" w:sz="8" w:color="A6A6A6"/>
            </w:tcBorders>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180" w:type="dxa"/>
            <w:vAlign w:val="bottom"/>
            <w:tcBorders>
              <w:bottom w:val="single" w:sz="8" w:color="A6A6A6"/>
            </w:tcBorders>
          </w:tcPr>
          <w:p>
            <w:pPr>
              <w:spacing w:after="0"/>
              <w:rPr>
                <w:sz w:val="16"/>
                <w:szCs w:val="16"/>
                <w:color w:val="auto"/>
              </w:rPr>
            </w:pPr>
          </w:p>
        </w:tc>
        <w:tc>
          <w:tcPr>
            <w:tcW w:w="6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20" w:type="dxa"/>
            <w:vAlign w:val="bottom"/>
            <w:tcBorders>
              <w:bottom w:val="single" w:sz="8" w:color="A6A6A6"/>
            </w:tcBorders>
          </w:tcPr>
          <w:p>
            <w:pPr>
              <w:spacing w:after="0"/>
              <w:rPr>
                <w:sz w:val="16"/>
                <w:szCs w:val="16"/>
                <w:color w:val="auto"/>
              </w:rPr>
            </w:pPr>
          </w:p>
        </w:tc>
        <w:tc>
          <w:tcPr>
            <w:tcW w:w="520" w:type="dxa"/>
            <w:vAlign w:val="bottom"/>
            <w:tcBorders>
              <w:bottom w:val="single" w:sz="8" w:color="A6A6A6"/>
            </w:tcBorders>
          </w:tcPr>
          <w:p>
            <w:pPr>
              <w:spacing w:after="0"/>
              <w:rPr>
                <w:sz w:val="16"/>
                <w:szCs w:val="16"/>
                <w:color w:val="auto"/>
              </w:rPr>
            </w:pPr>
          </w:p>
        </w:tc>
        <w:tc>
          <w:tcPr>
            <w:tcW w:w="76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5240" w:type="dxa"/>
            <w:vAlign w:val="bottom"/>
            <w:tcBorders>
              <w:bottom w:val="single" w:sz="8" w:color="A6A6A6"/>
            </w:tcBorders>
          </w:tcPr>
          <w:p>
            <w:pPr>
              <w:ind w:left="260"/>
              <w:spacing w:after="0"/>
              <w:rPr>
                <w:sz w:val="20"/>
                <w:szCs w:val="20"/>
                <w:color w:val="auto"/>
              </w:rPr>
            </w:pPr>
            <w:r>
              <w:rPr>
                <w:rFonts w:ascii="Arial" w:cs="Arial" w:eastAsia="Arial" w:hAnsi="Arial"/>
                <w:sz w:val="16"/>
                <w:szCs w:val="16"/>
                <w:color w:val="277EBF"/>
              </w:rPr>
              <w:t>Cement</w:t>
            </w:r>
          </w:p>
        </w:tc>
        <w:tc>
          <w:tcPr>
            <w:tcW w:w="26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19,258</w:t>
            </w:r>
          </w:p>
        </w:tc>
        <w:tc>
          <w:tcPr>
            <w:tcW w:w="120" w:type="dxa"/>
            <w:vAlign w:val="bottom"/>
          </w:tcPr>
          <w:p>
            <w:pPr>
              <w:spacing w:after="0"/>
              <w:rPr>
                <w:sz w:val="18"/>
                <w:szCs w:val="18"/>
                <w:color w:val="auto"/>
              </w:rPr>
            </w:pPr>
          </w:p>
        </w:tc>
        <w:tc>
          <w:tcPr>
            <w:tcW w:w="700" w:type="dxa"/>
            <w:vAlign w:val="bottom"/>
            <w:tcBorders>
              <w:bottom w:val="single" w:sz="8" w:color="A6A6A6"/>
            </w:tcBorders>
            <w:gridSpan w:val="2"/>
          </w:tcPr>
          <w:p>
            <w:pPr>
              <w:jc w:val="right"/>
              <w:ind w:right="424"/>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13,868</w:t>
            </w:r>
          </w:p>
        </w:tc>
        <w:tc>
          <w:tcPr>
            <w:tcW w:w="100" w:type="dxa"/>
            <w:vAlign w:val="bottom"/>
          </w:tcPr>
          <w:p>
            <w:pPr>
              <w:spacing w:after="0"/>
              <w:rPr>
                <w:sz w:val="18"/>
                <w:szCs w:val="18"/>
                <w:color w:val="auto"/>
              </w:rPr>
            </w:pPr>
          </w:p>
        </w:tc>
        <w:tc>
          <w:tcPr>
            <w:tcW w:w="24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6A6A6"/>
            </w:tcBorders>
            <w:gridSpan w:val="4"/>
          </w:tcPr>
          <w:p>
            <w:pPr>
              <w:jc w:val="right"/>
              <w:spacing w:after="0"/>
              <w:rPr>
                <w:sz w:val="20"/>
                <w:szCs w:val="20"/>
                <w:color w:val="auto"/>
              </w:rPr>
            </w:pPr>
            <w:r>
              <w:rPr>
                <w:rFonts w:ascii="Arial" w:cs="Arial" w:eastAsia="Arial" w:hAnsi="Arial"/>
                <w:sz w:val="16"/>
                <w:szCs w:val="16"/>
                <w:color w:val="auto"/>
              </w:rPr>
              <w:t>38,501</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40" w:type="dxa"/>
            <w:vAlign w:val="bottom"/>
            <w:tcBorders>
              <w:bottom w:val="single" w:sz="8" w:color="A6A6A6"/>
            </w:tcBorders>
            <w:gridSpan w:val="2"/>
          </w:tcPr>
          <w:p>
            <w:pPr>
              <w:jc w:val="right"/>
              <w:ind w:right="364"/>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28,086</w:t>
            </w:r>
          </w:p>
        </w:tc>
        <w:tc>
          <w:tcPr>
            <w:tcW w:w="100" w:type="dxa"/>
            <w:vAlign w:val="bottom"/>
          </w:tcPr>
          <w:p>
            <w:pPr>
              <w:spacing w:after="0"/>
              <w:rPr>
                <w:sz w:val="18"/>
                <w:szCs w:val="18"/>
                <w:color w:val="auto"/>
              </w:rPr>
            </w:pPr>
          </w:p>
        </w:tc>
      </w:tr>
      <w:tr>
        <w:trPr>
          <w:trHeight w:val="209"/>
        </w:trPr>
        <w:tc>
          <w:tcPr>
            <w:tcW w:w="5240" w:type="dxa"/>
            <w:vAlign w:val="bottom"/>
            <w:tcBorders>
              <w:bottom w:val="single" w:sz="8" w:color="A6A6A6"/>
            </w:tcBorders>
          </w:tcPr>
          <w:p>
            <w:pPr>
              <w:ind w:left="260"/>
              <w:spacing w:after="0"/>
              <w:rPr>
                <w:sz w:val="20"/>
                <w:szCs w:val="20"/>
                <w:color w:val="auto"/>
              </w:rPr>
            </w:pPr>
            <w:r>
              <w:rPr>
                <w:rFonts w:ascii="Arial" w:cs="Arial" w:eastAsia="Arial" w:hAnsi="Arial"/>
                <w:sz w:val="16"/>
                <w:szCs w:val="16"/>
                <w:color w:val="00AAC6"/>
              </w:rPr>
              <w:t>Concrete and Aggregates</w:t>
            </w:r>
          </w:p>
        </w:tc>
        <w:tc>
          <w:tcPr>
            <w:tcW w:w="12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2,698</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2,754</w:t>
            </w: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gridSpan w:val="4"/>
          </w:tcPr>
          <w:p>
            <w:pPr>
              <w:jc w:val="right"/>
              <w:spacing w:after="0"/>
              <w:rPr>
                <w:sz w:val="20"/>
                <w:szCs w:val="20"/>
                <w:color w:val="auto"/>
              </w:rPr>
            </w:pPr>
            <w:r>
              <w:rPr>
                <w:rFonts w:ascii="Arial" w:cs="Arial" w:eastAsia="Arial" w:hAnsi="Arial"/>
                <w:sz w:val="16"/>
                <w:szCs w:val="16"/>
                <w:color w:val="auto"/>
              </w:rPr>
              <w:t>5,419</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4,945</w:t>
            </w:r>
          </w:p>
        </w:tc>
        <w:tc>
          <w:tcPr>
            <w:tcW w:w="100" w:type="dxa"/>
            <w:vAlign w:val="bottom"/>
          </w:tcPr>
          <w:p>
            <w:pPr>
              <w:spacing w:after="0"/>
              <w:rPr>
                <w:sz w:val="18"/>
                <w:szCs w:val="18"/>
                <w:color w:val="auto"/>
              </w:rPr>
            </w:pPr>
          </w:p>
        </w:tc>
      </w:tr>
      <w:tr>
        <w:trPr>
          <w:trHeight w:val="210"/>
        </w:trPr>
        <w:tc>
          <w:tcPr>
            <w:tcW w:w="5240" w:type="dxa"/>
            <w:vAlign w:val="bottom"/>
            <w:tcBorders>
              <w:bottom w:val="single" w:sz="8" w:color="A6A6A6"/>
            </w:tcBorders>
          </w:tcPr>
          <w:p>
            <w:pPr>
              <w:ind w:left="260"/>
              <w:spacing w:after="0"/>
              <w:rPr>
                <w:sz w:val="20"/>
                <w:szCs w:val="20"/>
                <w:color w:val="auto"/>
              </w:rPr>
            </w:pPr>
            <w:r>
              <w:rPr>
                <w:rFonts w:ascii="Arial" w:cs="Arial" w:eastAsia="Arial" w:hAnsi="Arial"/>
                <w:sz w:val="16"/>
                <w:szCs w:val="16"/>
                <w:color w:val="77943C"/>
              </w:rPr>
              <w:t>Gypsum Wallboard</w:t>
            </w:r>
          </w:p>
        </w:tc>
        <w:tc>
          <w:tcPr>
            <w:tcW w:w="12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5,661</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5,147</w:t>
            </w: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gridSpan w:val="4"/>
          </w:tcPr>
          <w:p>
            <w:pPr>
              <w:jc w:val="right"/>
              <w:spacing w:after="0"/>
              <w:rPr>
                <w:sz w:val="20"/>
                <w:szCs w:val="20"/>
                <w:color w:val="auto"/>
              </w:rPr>
            </w:pPr>
            <w:r>
              <w:rPr>
                <w:rFonts w:ascii="Arial" w:cs="Arial" w:eastAsia="Arial" w:hAnsi="Arial"/>
                <w:sz w:val="16"/>
                <w:szCs w:val="16"/>
                <w:color w:val="auto"/>
              </w:rPr>
              <w:t>10,861</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10,099</w:t>
            </w:r>
          </w:p>
        </w:tc>
        <w:tc>
          <w:tcPr>
            <w:tcW w:w="100" w:type="dxa"/>
            <w:vAlign w:val="bottom"/>
          </w:tcPr>
          <w:p>
            <w:pPr>
              <w:spacing w:after="0"/>
              <w:rPr>
                <w:sz w:val="18"/>
                <w:szCs w:val="18"/>
                <w:color w:val="auto"/>
              </w:rPr>
            </w:pPr>
          </w:p>
        </w:tc>
      </w:tr>
      <w:tr>
        <w:trPr>
          <w:trHeight w:val="210"/>
        </w:trPr>
        <w:tc>
          <w:tcPr>
            <w:tcW w:w="5240" w:type="dxa"/>
            <w:vAlign w:val="bottom"/>
            <w:tcBorders>
              <w:bottom w:val="single" w:sz="8" w:color="A6A6A6"/>
            </w:tcBorders>
          </w:tcPr>
          <w:p>
            <w:pPr>
              <w:ind w:left="260"/>
              <w:spacing w:after="0"/>
              <w:rPr>
                <w:sz w:val="20"/>
                <w:szCs w:val="20"/>
                <w:color w:val="auto"/>
              </w:rPr>
            </w:pPr>
            <w:r>
              <w:rPr>
                <w:rFonts w:ascii="Arial" w:cs="Arial" w:eastAsia="Arial" w:hAnsi="Arial"/>
                <w:sz w:val="16"/>
                <w:szCs w:val="16"/>
                <w:color w:val="AEB949"/>
              </w:rPr>
              <w:t>Paperboard</w:t>
            </w:r>
          </w:p>
        </w:tc>
        <w:tc>
          <w:tcPr>
            <w:tcW w:w="12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3,344</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2,203</w:t>
            </w: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gridSpan w:val="4"/>
          </w:tcPr>
          <w:p>
            <w:pPr>
              <w:jc w:val="right"/>
              <w:spacing w:after="0"/>
              <w:rPr>
                <w:sz w:val="20"/>
                <w:szCs w:val="20"/>
                <w:color w:val="auto"/>
              </w:rPr>
            </w:pPr>
            <w:r>
              <w:rPr>
                <w:rFonts w:ascii="Arial" w:cs="Arial" w:eastAsia="Arial" w:hAnsi="Arial"/>
                <w:sz w:val="16"/>
                <w:szCs w:val="16"/>
                <w:color w:val="auto"/>
              </w:rPr>
              <w:t>6,696</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4,366</w:t>
            </w:r>
          </w:p>
        </w:tc>
        <w:tc>
          <w:tcPr>
            <w:tcW w:w="100" w:type="dxa"/>
            <w:vAlign w:val="bottom"/>
          </w:tcPr>
          <w:p>
            <w:pPr>
              <w:spacing w:after="0"/>
              <w:rPr>
                <w:sz w:val="18"/>
                <w:szCs w:val="18"/>
                <w:color w:val="auto"/>
              </w:rPr>
            </w:pPr>
          </w:p>
        </w:tc>
      </w:tr>
      <w:tr>
        <w:trPr>
          <w:trHeight w:val="209"/>
        </w:trPr>
        <w:tc>
          <w:tcPr>
            <w:tcW w:w="5240" w:type="dxa"/>
            <w:vAlign w:val="bottom"/>
            <w:tcBorders>
              <w:bottom w:val="single" w:sz="8" w:color="A6A6A6"/>
            </w:tcBorders>
          </w:tcPr>
          <w:p>
            <w:pPr>
              <w:ind w:left="260"/>
              <w:spacing w:after="0"/>
              <w:rPr>
                <w:sz w:val="20"/>
                <w:szCs w:val="20"/>
                <w:color w:val="auto"/>
              </w:rPr>
            </w:pPr>
            <w:r>
              <w:rPr>
                <w:rFonts w:ascii="Arial" w:cs="Arial" w:eastAsia="Arial" w:hAnsi="Arial"/>
                <w:sz w:val="16"/>
                <w:szCs w:val="16"/>
                <w:color w:val="004483"/>
              </w:rPr>
              <w:t>Corporate and Other</w:t>
            </w:r>
          </w:p>
        </w:tc>
        <w:tc>
          <w:tcPr>
            <w:tcW w:w="120" w:type="dxa"/>
            <w:vAlign w:val="bottom"/>
            <w:tcBorders>
              <w:bottom w:val="single" w:sz="8" w:color="A6A6A6"/>
            </w:tcBorders>
          </w:tcPr>
          <w:p>
            <w:pPr>
              <w:spacing w:after="0"/>
              <w:rPr>
                <w:sz w:val="18"/>
                <w:szCs w:val="18"/>
                <w:color w:val="auto"/>
              </w:rPr>
            </w:pPr>
          </w:p>
        </w:tc>
        <w:tc>
          <w:tcPr>
            <w:tcW w:w="14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1,201</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80" w:type="dxa"/>
            <w:vAlign w:val="bottom"/>
            <w:tcBorders>
              <w:bottom w:val="single" w:sz="8" w:color="004483"/>
            </w:tcBorders>
          </w:tcPr>
          <w:p>
            <w:pPr>
              <w:spacing w:after="0"/>
              <w:rPr>
                <w:sz w:val="18"/>
                <w:szCs w:val="18"/>
                <w:color w:val="auto"/>
              </w:rPr>
            </w:pPr>
          </w:p>
        </w:tc>
        <w:tc>
          <w:tcPr>
            <w:tcW w:w="680" w:type="dxa"/>
            <w:vAlign w:val="bottom"/>
            <w:tcBorders>
              <w:bottom w:val="single" w:sz="8" w:color="004483"/>
            </w:tcBorders>
            <w:gridSpan w:val="2"/>
          </w:tcPr>
          <w:p>
            <w:pPr>
              <w:jc w:val="right"/>
              <w:spacing w:after="0"/>
              <w:rPr>
                <w:sz w:val="20"/>
                <w:szCs w:val="20"/>
                <w:color w:val="auto"/>
              </w:rPr>
            </w:pPr>
            <w:r>
              <w:rPr>
                <w:rFonts w:ascii="Arial" w:cs="Arial" w:eastAsia="Arial" w:hAnsi="Arial"/>
                <w:sz w:val="16"/>
                <w:szCs w:val="16"/>
                <w:color w:val="auto"/>
              </w:rPr>
              <w:t>598</w:t>
            </w: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00" w:type="dxa"/>
            <w:vAlign w:val="bottom"/>
            <w:tcBorders>
              <w:bottom w:val="single" w:sz="8" w:color="004483"/>
            </w:tcBorders>
          </w:tcPr>
          <w:p>
            <w:pPr>
              <w:spacing w:after="0"/>
              <w:rPr>
                <w:sz w:val="18"/>
                <w:szCs w:val="18"/>
                <w:color w:val="auto"/>
              </w:rPr>
            </w:pPr>
          </w:p>
        </w:tc>
        <w:tc>
          <w:tcPr>
            <w:tcW w:w="1160" w:type="dxa"/>
            <w:vAlign w:val="bottom"/>
            <w:tcBorders>
              <w:bottom w:val="single" w:sz="8" w:color="004483"/>
            </w:tcBorders>
            <w:gridSpan w:val="4"/>
          </w:tcPr>
          <w:p>
            <w:pPr>
              <w:jc w:val="right"/>
              <w:spacing w:after="0"/>
              <w:rPr>
                <w:sz w:val="20"/>
                <w:szCs w:val="20"/>
                <w:color w:val="auto"/>
              </w:rPr>
            </w:pPr>
            <w:r>
              <w:rPr>
                <w:rFonts w:ascii="Arial" w:cs="Arial" w:eastAsia="Arial" w:hAnsi="Arial"/>
                <w:sz w:val="16"/>
                <w:szCs w:val="16"/>
                <w:color w:val="auto"/>
              </w:rPr>
              <w:t>2,501</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520" w:type="dxa"/>
            <w:vAlign w:val="bottom"/>
            <w:tcBorders>
              <w:bottom w:val="single" w:sz="8" w:color="004483"/>
            </w:tcBorders>
          </w:tcPr>
          <w:p>
            <w:pPr>
              <w:spacing w:after="0"/>
              <w:rPr>
                <w:sz w:val="18"/>
                <w:szCs w:val="18"/>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1,195</w:t>
            </w:r>
          </w:p>
        </w:tc>
        <w:tc>
          <w:tcPr>
            <w:tcW w:w="100" w:type="dxa"/>
            <w:vAlign w:val="bottom"/>
          </w:tcPr>
          <w:p>
            <w:pPr>
              <w:spacing w:after="0"/>
              <w:rPr>
                <w:sz w:val="18"/>
                <w:szCs w:val="18"/>
                <w:color w:val="auto"/>
              </w:rPr>
            </w:pPr>
          </w:p>
        </w:tc>
      </w:tr>
      <w:tr>
        <w:trPr>
          <w:trHeight w:val="250"/>
        </w:trPr>
        <w:tc>
          <w:tcPr>
            <w:tcW w:w="5240" w:type="dxa"/>
            <w:vAlign w:val="bottom"/>
            <w:tcBorders>
              <w:bottom w:val="single" w:sz="8" w:color="A6A6A6"/>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004483"/>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32,162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Borders>
              <w:bottom w:val="single" w:sz="8" w:color="004483"/>
            </w:tcBorders>
          </w:tcPr>
          <w:p>
            <w:pPr>
              <w:jc w:val="right"/>
              <w:ind w:right="424"/>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004483"/>
            </w:tcBorders>
            <w:gridSpan w:val="2"/>
          </w:tcPr>
          <w:p>
            <w:pPr>
              <w:jc w:val="right"/>
              <w:spacing w:after="0"/>
              <w:rPr>
                <w:sz w:val="20"/>
                <w:szCs w:val="20"/>
                <w:color w:val="auto"/>
              </w:rPr>
            </w:pPr>
            <w:r>
              <w:rPr>
                <w:rFonts w:ascii="Arial" w:cs="Arial" w:eastAsia="Arial" w:hAnsi="Arial"/>
                <w:sz w:val="16"/>
                <w:szCs w:val="16"/>
                <w:b w:val="1"/>
                <w:bCs w:val="1"/>
                <w:color w:val="auto"/>
              </w:rPr>
              <w:t>24,570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bottom w:val="single" w:sz="8" w:color="004483"/>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004483"/>
            </w:tcBorders>
            <w:gridSpan w:val="4"/>
          </w:tcPr>
          <w:p>
            <w:pPr>
              <w:jc w:val="right"/>
              <w:spacing w:after="0"/>
              <w:rPr>
                <w:sz w:val="20"/>
                <w:szCs w:val="20"/>
                <w:color w:val="auto"/>
              </w:rPr>
            </w:pPr>
            <w:r>
              <w:rPr>
                <w:rFonts w:ascii="Arial" w:cs="Arial" w:eastAsia="Arial" w:hAnsi="Arial"/>
                <w:sz w:val="16"/>
                <w:szCs w:val="16"/>
                <w:b w:val="1"/>
                <w:bCs w:val="1"/>
                <w:color w:val="auto"/>
              </w:rPr>
              <w:t>63,978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Borders>
              <w:bottom w:val="single" w:sz="8" w:color="004483"/>
            </w:tcBorders>
          </w:tcPr>
          <w:p>
            <w:pPr>
              <w:jc w:val="right"/>
              <w:ind w:right="364"/>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48,691</w:t>
            </w:r>
          </w:p>
        </w:tc>
        <w:tc>
          <w:tcPr>
            <w:tcW w:w="100" w:type="dxa"/>
            <w:vAlign w:val="bottom"/>
          </w:tcPr>
          <w:p>
            <w:pPr>
              <w:spacing w:after="0"/>
              <w:rPr>
                <w:sz w:val="21"/>
                <w:szCs w:val="21"/>
                <w:color w:val="auto"/>
              </w:rPr>
            </w:pPr>
          </w:p>
        </w:tc>
      </w:tr>
      <w:tr>
        <w:trPr>
          <w:trHeight w:val="213"/>
        </w:trPr>
        <w:tc>
          <w:tcPr>
            <w:tcW w:w="52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80" w:type="dxa"/>
            <w:vAlign w:val="bottom"/>
            <w:tcBorders>
              <w:bottom w:val="single" w:sz="8" w:color="A6A6A6"/>
            </w:tcBorders>
          </w:tcPr>
          <w:p>
            <w:pPr>
              <w:spacing w:after="0"/>
              <w:rPr>
                <w:sz w:val="18"/>
                <w:szCs w:val="18"/>
                <w:color w:val="auto"/>
              </w:rPr>
            </w:pPr>
          </w:p>
        </w:tc>
        <w:tc>
          <w:tcPr>
            <w:tcW w:w="28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6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5240" w:type="dxa"/>
            <w:vAlign w:val="bottom"/>
            <w:tcBorders>
              <w:bottom w:val="single" w:sz="8" w:color="A6A6A6"/>
            </w:tcBorders>
          </w:tcPr>
          <w:p>
            <w:pPr>
              <w:spacing w:after="0"/>
              <w:rPr>
                <w:sz w:val="20"/>
                <w:szCs w:val="20"/>
                <w:color w:val="auto"/>
              </w:rPr>
            </w:pPr>
            <w:r>
              <w:rPr>
                <w:rFonts w:ascii="Arial" w:cs="Arial" w:eastAsia="Arial" w:hAnsi="Arial"/>
                <w:sz w:val="16"/>
                <w:szCs w:val="16"/>
                <w:b w:val="1"/>
                <w:bCs w:val="1"/>
                <w:color w:val="auto"/>
              </w:rPr>
              <w:t>Discontinued Operations</w:t>
            </w:r>
          </w:p>
        </w:tc>
        <w:tc>
          <w:tcPr>
            <w:tcW w:w="12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80" w:type="dxa"/>
            <w:vAlign w:val="bottom"/>
            <w:tcBorders>
              <w:bottom w:val="single" w:sz="8" w:color="A6A6A6"/>
            </w:tcBorders>
          </w:tcPr>
          <w:p>
            <w:pPr>
              <w:spacing w:after="0"/>
              <w:rPr>
                <w:sz w:val="18"/>
                <w:szCs w:val="18"/>
                <w:color w:val="auto"/>
              </w:rPr>
            </w:pPr>
          </w:p>
        </w:tc>
        <w:tc>
          <w:tcPr>
            <w:tcW w:w="28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6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5240" w:type="dxa"/>
            <w:vAlign w:val="bottom"/>
          </w:tcPr>
          <w:p>
            <w:pPr>
              <w:ind w:left="260"/>
              <w:spacing w:after="0"/>
              <w:rPr>
                <w:sz w:val="20"/>
                <w:szCs w:val="20"/>
                <w:color w:val="auto"/>
              </w:rPr>
            </w:pPr>
            <w:r>
              <w:rPr>
                <w:rFonts w:ascii="Arial" w:cs="Arial" w:eastAsia="Arial" w:hAnsi="Arial"/>
                <w:sz w:val="16"/>
                <w:szCs w:val="16"/>
                <w:color w:val="004483"/>
              </w:rPr>
              <w:t>Capital Expenditures</w:t>
            </w:r>
          </w:p>
        </w:tc>
        <w:tc>
          <w:tcPr>
            <w:tcW w:w="2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424"/>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gridSpan w:val="2"/>
          </w:tcPr>
          <w:p>
            <w:pPr>
              <w:jc w:val="right"/>
              <w:ind w:right="364"/>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65</w:t>
            </w:r>
          </w:p>
        </w:tc>
        <w:tc>
          <w:tcPr>
            <w:tcW w:w="100" w:type="dxa"/>
            <w:vAlign w:val="bottom"/>
          </w:tcPr>
          <w:p>
            <w:pPr>
              <w:spacing w:after="0"/>
              <w:rPr>
                <w:sz w:val="22"/>
                <w:szCs w:val="22"/>
                <w:color w:val="auto"/>
              </w:rPr>
            </w:pPr>
          </w:p>
        </w:tc>
      </w:tr>
      <w:tr>
        <w:trPr>
          <w:trHeight w:val="237"/>
        </w:trPr>
        <w:tc>
          <w:tcPr>
            <w:tcW w:w="5240" w:type="dxa"/>
            <w:vAlign w:val="bottom"/>
            <w:tcBorders>
              <w:top w:val="single" w:sz="8" w:color="A6A6A6"/>
              <w:bottom w:val="single" w:sz="8" w:color="A6A6A6"/>
            </w:tcBorders>
          </w:tcPr>
          <w:p>
            <w:pPr>
              <w:ind w:left="260"/>
              <w:spacing w:after="0"/>
              <w:rPr>
                <w:sz w:val="20"/>
                <w:szCs w:val="20"/>
                <w:color w:val="auto"/>
              </w:rPr>
            </w:pPr>
            <w:r>
              <w:rPr>
                <w:rFonts w:ascii="Arial" w:cs="Arial" w:eastAsia="Arial" w:hAnsi="Arial"/>
                <w:sz w:val="16"/>
                <w:szCs w:val="16"/>
                <w:color w:val="004483"/>
              </w:rPr>
              <w:t>Depreciation, Depletion, and Amortization</w:t>
            </w:r>
          </w:p>
        </w:tc>
        <w:tc>
          <w:tcPr>
            <w:tcW w:w="120" w:type="dxa"/>
            <w:vAlign w:val="bottom"/>
            <w:tcBorders>
              <w:top w:val="single" w:sz="8" w:color="A6A6A6"/>
              <w:bottom w:val="single" w:sz="8" w:color="A6A6A6"/>
            </w:tcBorders>
          </w:tcPr>
          <w:p>
            <w:pPr>
              <w:spacing w:after="0"/>
              <w:rPr>
                <w:sz w:val="20"/>
                <w:szCs w:val="20"/>
                <w:color w:val="auto"/>
              </w:rPr>
            </w:pPr>
          </w:p>
        </w:tc>
        <w:tc>
          <w:tcPr>
            <w:tcW w:w="14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100</w:t>
            </w:r>
          </w:p>
        </w:tc>
        <w:tc>
          <w:tcPr>
            <w:tcW w:w="120" w:type="dxa"/>
            <w:vAlign w:val="bottom"/>
          </w:tcPr>
          <w:p>
            <w:pPr>
              <w:spacing w:after="0"/>
              <w:rPr>
                <w:sz w:val="20"/>
                <w:szCs w:val="20"/>
                <w:color w:val="auto"/>
              </w:rPr>
            </w:pPr>
          </w:p>
        </w:tc>
        <w:tc>
          <w:tcPr>
            <w:tcW w:w="120" w:type="dxa"/>
            <w:vAlign w:val="bottom"/>
            <w:tcBorders>
              <w:top w:val="single" w:sz="8" w:color="A6A6A6"/>
            </w:tcBorders>
          </w:tcPr>
          <w:p>
            <w:pPr>
              <w:spacing w:after="0"/>
              <w:rPr>
                <w:sz w:val="20"/>
                <w:szCs w:val="20"/>
                <w:color w:val="auto"/>
              </w:rPr>
            </w:pPr>
          </w:p>
        </w:tc>
        <w:tc>
          <w:tcPr>
            <w:tcW w:w="580" w:type="dxa"/>
            <w:vAlign w:val="bottom"/>
            <w:tcBorders>
              <w:top w:val="single" w:sz="8" w:color="004483"/>
              <w:bottom w:val="single" w:sz="8" w:color="004483"/>
            </w:tcBorders>
          </w:tcPr>
          <w:p>
            <w:pPr>
              <w:jc w:val="right"/>
              <w:ind w:right="424"/>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004483"/>
              <w:bottom w:val="single" w:sz="8" w:color="004483"/>
            </w:tcBorders>
            <w:gridSpan w:val="2"/>
          </w:tcPr>
          <w:p>
            <w:pPr>
              <w:jc w:val="right"/>
              <w:spacing w:after="0"/>
              <w:rPr>
                <w:sz w:val="20"/>
                <w:szCs w:val="20"/>
                <w:color w:val="auto"/>
              </w:rPr>
            </w:pPr>
            <w:r>
              <w:rPr>
                <w:rFonts w:ascii="Arial" w:cs="Arial" w:eastAsia="Arial" w:hAnsi="Arial"/>
                <w:sz w:val="16"/>
                <w:szCs w:val="16"/>
                <w:b w:val="1"/>
                <w:bCs w:val="1"/>
                <w:color w:val="auto"/>
              </w:rPr>
              <w:t>3,803</w:t>
            </w:r>
          </w:p>
        </w:tc>
        <w:tc>
          <w:tcPr>
            <w:tcW w:w="100" w:type="dxa"/>
            <w:vAlign w:val="bottom"/>
          </w:tcPr>
          <w:p>
            <w:pPr>
              <w:spacing w:after="0"/>
              <w:rPr>
                <w:sz w:val="20"/>
                <w:szCs w:val="20"/>
                <w:color w:val="auto"/>
              </w:rPr>
            </w:pPr>
          </w:p>
        </w:tc>
        <w:tc>
          <w:tcPr>
            <w:tcW w:w="140" w:type="dxa"/>
            <w:vAlign w:val="bottom"/>
            <w:tcBorders>
              <w:top w:val="single" w:sz="8" w:color="A6A6A6"/>
            </w:tcBorders>
          </w:tcPr>
          <w:p>
            <w:pPr>
              <w:spacing w:after="0"/>
              <w:rPr>
                <w:sz w:val="20"/>
                <w:szCs w:val="20"/>
                <w:color w:val="auto"/>
              </w:rPr>
            </w:pPr>
          </w:p>
        </w:tc>
        <w:tc>
          <w:tcPr>
            <w:tcW w:w="1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004483"/>
              <w:bottom w:val="single" w:sz="8" w:color="004483"/>
            </w:tcBorders>
          </w:tcPr>
          <w:p>
            <w:pPr>
              <w:spacing w:after="0"/>
              <w:rPr>
                <w:sz w:val="20"/>
                <w:szCs w:val="20"/>
                <w:color w:val="auto"/>
              </w:rPr>
            </w:pPr>
          </w:p>
        </w:tc>
        <w:tc>
          <w:tcPr>
            <w:tcW w:w="360" w:type="dxa"/>
            <w:vAlign w:val="bottom"/>
            <w:tcBorders>
              <w:top w:val="single" w:sz="8" w:color="004483"/>
              <w:bottom w:val="single" w:sz="8" w:color="004483"/>
            </w:tcBorders>
            <w:gridSpan w:val="3"/>
          </w:tcPr>
          <w:p>
            <w:pPr>
              <w:jc w:val="right"/>
              <w:spacing w:after="0"/>
              <w:rPr>
                <w:sz w:val="20"/>
                <w:szCs w:val="20"/>
                <w:color w:val="auto"/>
              </w:rPr>
            </w:pPr>
            <w:r>
              <w:rPr>
                <w:rFonts w:ascii="Arial" w:cs="Arial" w:eastAsia="Arial" w:hAnsi="Arial"/>
                <w:sz w:val="16"/>
                <w:szCs w:val="16"/>
                <w:b w:val="1"/>
                <w:bCs w:val="1"/>
                <w:color w:val="auto"/>
              </w:rPr>
              <w:t>221</w:t>
            </w:r>
          </w:p>
        </w:tc>
        <w:tc>
          <w:tcPr>
            <w:tcW w:w="100" w:type="dxa"/>
            <w:vAlign w:val="bottom"/>
          </w:tcPr>
          <w:p>
            <w:pPr>
              <w:spacing w:after="0"/>
              <w:rPr>
                <w:sz w:val="20"/>
                <w:szCs w:val="20"/>
                <w:color w:val="auto"/>
              </w:rPr>
            </w:pPr>
          </w:p>
        </w:tc>
        <w:tc>
          <w:tcPr>
            <w:tcW w:w="120" w:type="dxa"/>
            <w:vAlign w:val="bottom"/>
            <w:tcBorders>
              <w:top w:val="single" w:sz="8" w:color="A6A6A6"/>
            </w:tcBorders>
          </w:tcPr>
          <w:p>
            <w:pPr>
              <w:spacing w:after="0"/>
              <w:rPr>
                <w:sz w:val="20"/>
                <w:szCs w:val="20"/>
                <w:color w:val="auto"/>
              </w:rPr>
            </w:pPr>
          </w:p>
        </w:tc>
        <w:tc>
          <w:tcPr>
            <w:tcW w:w="20" w:type="dxa"/>
            <w:vAlign w:val="bottom"/>
            <w:tcBorders>
              <w:top w:val="single" w:sz="8" w:color="004483"/>
            </w:tcBorders>
          </w:tcPr>
          <w:p>
            <w:pPr>
              <w:spacing w:after="0"/>
              <w:rPr>
                <w:sz w:val="20"/>
                <w:szCs w:val="20"/>
                <w:color w:val="auto"/>
              </w:rPr>
            </w:pPr>
          </w:p>
        </w:tc>
        <w:tc>
          <w:tcPr>
            <w:tcW w:w="520" w:type="dxa"/>
            <w:vAlign w:val="bottom"/>
            <w:tcBorders>
              <w:top w:val="single" w:sz="8" w:color="004483"/>
              <w:bottom w:val="single" w:sz="8" w:color="004483"/>
            </w:tcBorders>
          </w:tcPr>
          <w:p>
            <w:pPr>
              <w:jc w:val="right"/>
              <w:ind w:right="364"/>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7,642</w:t>
            </w:r>
          </w:p>
        </w:tc>
        <w:tc>
          <w:tcPr>
            <w:tcW w:w="100" w:type="dxa"/>
            <w:vAlign w:val="bottom"/>
          </w:tcPr>
          <w:p>
            <w:pPr>
              <w:spacing w:after="0"/>
              <w:rPr>
                <w:sz w:val="20"/>
                <w:szCs w:val="20"/>
                <w:color w:val="auto"/>
              </w:rPr>
            </w:pPr>
          </w:p>
        </w:tc>
      </w:tr>
      <w:tr>
        <w:trPr>
          <w:trHeight w:val="223"/>
        </w:trPr>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gridSpan w:val="2"/>
          </w:tcPr>
          <w:p>
            <w:pPr>
              <w:spacing w:after="0"/>
              <w:rPr>
                <w:sz w:val="19"/>
                <w:szCs w:val="19"/>
                <w:color w:val="auto"/>
              </w:rPr>
            </w:pPr>
          </w:p>
        </w:tc>
      </w:tr>
      <w:tr>
        <w:trPr>
          <w:trHeight w:val="210"/>
        </w:trPr>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Borders>
              <w:bottom w:val="single" w:sz="8" w:color="004483"/>
            </w:tcBorders>
            <w:shd w:val="clear" w:color="auto" w:fill="004483"/>
          </w:tcPr>
          <w:p>
            <w:pPr>
              <w:spacing w:after="0"/>
              <w:rPr>
                <w:sz w:val="18"/>
                <w:szCs w:val="18"/>
                <w:color w:val="auto"/>
              </w:rPr>
            </w:pPr>
          </w:p>
        </w:tc>
        <w:tc>
          <w:tcPr>
            <w:tcW w:w="100" w:type="dxa"/>
            <w:vAlign w:val="bottom"/>
            <w:tcBorders>
              <w:bottom w:val="single" w:sz="8" w:color="004483"/>
            </w:tcBorders>
            <w:shd w:val="clear" w:color="auto" w:fill="004483"/>
          </w:tcPr>
          <w:p>
            <w:pPr>
              <w:spacing w:after="0"/>
              <w:rPr>
                <w:sz w:val="18"/>
                <w:szCs w:val="18"/>
                <w:color w:val="auto"/>
              </w:rPr>
            </w:pPr>
          </w:p>
        </w:tc>
        <w:tc>
          <w:tcPr>
            <w:tcW w:w="140" w:type="dxa"/>
            <w:vAlign w:val="bottom"/>
            <w:tcBorders>
              <w:bottom w:val="single" w:sz="8" w:color="004483"/>
            </w:tcBorders>
            <w:shd w:val="clear" w:color="auto" w:fill="004483"/>
          </w:tcPr>
          <w:p>
            <w:pPr>
              <w:spacing w:after="0"/>
              <w:rPr>
                <w:sz w:val="18"/>
                <w:szCs w:val="18"/>
                <w:color w:val="auto"/>
              </w:rPr>
            </w:pPr>
          </w:p>
        </w:tc>
        <w:tc>
          <w:tcPr>
            <w:tcW w:w="100" w:type="dxa"/>
            <w:vAlign w:val="bottom"/>
            <w:tcBorders>
              <w:bottom w:val="single" w:sz="8" w:color="004483"/>
            </w:tcBorders>
            <w:shd w:val="clear" w:color="auto" w:fill="004483"/>
          </w:tcPr>
          <w:p>
            <w:pPr>
              <w:spacing w:after="0"/>
              <w:rPr>
                <w:sz w:val="18"/>
                <w:szCs w:val="18"/>
                <w:color w:val="auto"/>
              </w:rPr>
            </w:pPr>
          </w:p>
        </w:tc>
        <w:tc>
          <w:tcPr>
            <w:tcW w:w="800" w:type="dxa"/>
            <w:vAlign w:val="bottom"/>
            <w:tcBorders>
              <w:bottom w:val="single" w:sz="8" w:color="004483"/>
            </w:tcBorders>
            <w:shd w:val="clear" w:color="auto" w:fill="004483"/>
          </w:tcPr>
          <w:p>
            <w:pPr>
              <w:jc w:val="right"/>
              <w:spacing w:after="0"/>
              <w:rPr>
                <w:sz w:val="20"/>
                <w:szCs w:val="20"/>
                <w:color w:val="auto"/>
              </w:rPr>
            </w:pPr>
            <w:r>
              <w:rPr>
                <w:rFonts w:ascii="Arial" w:cs="Arial" w:eastAsia="Arial" w:hAnsi="Arial"/>
                <w:sz w:val="13"/>
                <w:szCs w:val="13"/>
                <w:b w:val="1"/>
                <w:bCs w:val="1"/>
                <w:color w:val="FFFFFF"/>
                <w:w w:val="87"/>
              </w:rPr>
              <w:t>September 30,</w:t>
            </w:r>
          </w:p>
        </w:tc>
        <w:tc>
          <w:tcPr>
            <w:tcW w:w="120" w:type="dxa"/>
            <w:vAlign w:val="bottom"/>
            <w:tcBorders>
              <w:bottom w:val="single" w:sz="8" w:color="004483"/>
            </w:tcBorders>
            <w:shd w:val="clear" w:color="auto" w:fill="004483"/>
          </w:tcPr>
          <w:p>
            <w:pPr>
              <w:spacing w:after="0"/>
              <w:rPr>
                <w:sz w:val="18"/>
                <w:szCs w:val="18"/>
                <w:color w:val="auto"/>
              </w:rPr>
            </w:pPr>
          </w:p>
        </w:tc>
        <w:tc>
          <w:tcPr>
            <w:tcW w:w="180" w:type="dxa"/>
            <w:vAlign w:val="bottom"/>
            <w:tcBorders>
              <w:bottom w:val="single" w:sz="8" w:color="004483"/>
            </w:tcBorders>
            <w:shd w:val="clear" w:color="auto" w:fill="004483"/>
          </w:tcPr>
          <w:p>
            <w:pPr>
              <w:spacing w:after="0"/>
              <w:rPr>
                <w:sz w:val="18"/>
                <w:szCs w:val="18"/>
                <w:color w:val="auto"/>
              </w:rPr>
            </w:pPr>
          </w:p>
        </w:tc>
        <w:tc>
          <w:tcPr>
            <w:tcW w:w="60" w:type="dxa"/>
            <w:vAlign w:val="bottom"/>
            <w:tcBorders>
              <w:bottom w:val="single" w:sz="8" w:color="004483"/>
            </w:tcBorders>
            <w:shd w:val="clear" w:color="auto" w:fill="004483"/>
          </w:tcPr>
          <w:p>
            <w:pPr>
              <w:spacing w:after="0"/>
              <w:rPr>
                <w:sz w:val="18"/>
                <w:szCs w:val="18"/>
                <w:color w:val="auto"/>
              </w:rPr>
            </w:pPr>
          </w:p>
        </w:tc>
        <w:tc>
          <w:tcPr>
            <w:tcW w:w="100" w:type="dxa"/>
            <w:vAlign w:val="bottom"/>
            <w:tcBorders>
              <w:bottom w:val="single" w:sz="8" w:color="004483"/>
            </w:tcBorders>
            <w:shd w:val="clear" w:color="auto" w:fill="004483"/>
          </w:tcPr>
          <w:p>
            <w:pPr>
              <w:spacing w:after="0"/>
              <w:rPr>
                <w:sz w:val="18"/>
                <w:szCs w:val="18"/>
                <w:color w:val="auto"/>
              </w:rPr>
            </w:pPr>
          </w:p>
        </w:tc>
        <w:tc>
          <w:tcPr>
            <w:tcW w:w="120" w:type="dxa"/>
            <w:vAlign w:val="bottom"/>
            <w:tcBorders>
              <w:bottom w:val="single" w:sz="8" w:color="004483"/>
            </w:tcBorders>
            <w:shd w:val="clear" w:color="auto" w:fill="004483"/>
          </w:tcPr>
          <w:p>
            <w:pPr>
              <w:spacing w:after="0"/>
              <w:rPr>
                <w:sz w:val="18"/>
                <w:szCs w:val="18"/>
                <w:color w:val="auto"/>
              </w:rPr>
            </w:pPr>
          </w:p>
        </w:tc>
        <w:tc>
          <w:tcPr>
            <w:tcW w:w="20" w:type="dxa"/>
            <w:vAlign w:val="bottom"/>
            <w:tcBorders>
              <w:bottom w:val="single" w:sz="8" w:color="004483"/>
            </w:tcBorders>
            <w:shd w:val="clear" w:color="auto" w:fill="004483"/>
          </w:tcPr>
          <w:p>
            <w:pPr>
              <w:spacing w:after="0"/>
              <w:rPr>
                <w:sz w:val="18"/>
                <w:szCs w:val="18"/>
                <w:color w:val="auto"/>
              </w:rPr>
            </w:pPr>
          </w:p>
        </w:tc>
        <w:tc>
          <w:tcPr>
            <w:tcW w:w="520" w:type="dxa"/>
            <w:vAlign w:val="bottom"/>
            <w:tcBorders>
              <w:bottom w:val="single" w:sz="8" w:color="004483"/>
            </w:tcBorders>
            <w:shd w:val="clear" w:color="auto" w:fill="004483"/>
          </w:tcPr>
          <w:p>
            <w:pPr>
              <w:spacing w:after="0"/>
              <w:rPr>
                <w:sz w:val="18"/>
                <w:szCs w:val="18"/>
                <w:color w:val="auto"/>
              </w:rPr>
            </w:pPr>
          </w:p>
        </w:tc>
        <w:tc>
          <w:tcPr>
            <w:tcW w:w="860" w:type="dxa"/>
            <w:vAlign w:val="bottom"/>
            <w:tcBorders>
              <w:bottom w:val="single" w:sz="8" w:color="004483"/>
            </w:tcBorders>
            <w:gridSpan w:val="2"/>
            <w:shd w:val="clear" w:color="auto" w:fill="004483"/>
          </w:tcPr>
          <w:p>
            <w:pPr>
              <w:jc w:val="right"/>
              <w:ind w:right="120"/>
              <w:spacing w:after="0"/>
              <w:rPr>
                <w:sz w:val="20"/>
                <w:szCs w:val="20"/>
                <w:color w:val="auto"/>
              </w:rPr>
            </w:pPr>
            <w:r>
              <w:rPr>
                <w:rFonts w:ascii="Arial" w:cs="Arial" w:eastAsia="Arial" w:hAnsi="Arial"/>
                <w:sz w:val="13"/>
                <w:szCs w:val="13"/>
                <w:b w:val="1"/>
                <w:bCs w:val="1"/>
                <w:color w:val="FFFFFF"/>
              </w:rPr>
              <w:t>March 31,</w:t>
            </w:r>
          </w:p>
        </w:tc>
      </w:tr>
      <w:tr>
        <w:trPr>
          <w:trHeight w:val="148"/>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2"/>
                <w:szCs w:val="12"/>
                <w:color w:val="auto"/>
              </w:rPr>
            </w:pPr>
          </w:p>
        </w:tc>
      </w:tr>
      <w:tr>
        <w:trPr>
          <w:trHeight w:val="149"/>
        </w:trPr>
        <w:tc>
          <w:tcPr>
            <w:tcW w:w="5240" w:type="dxa"/>
            <w:vAlign w:val="bottom"/>
            <w:tcBorders>
              <w:bottom w:val="single" w:sz="8" w:color="004483"/>
            </w:tcBorders>
          </w:tcPr>
          <w:p>
            <w:pPr>
              <w:spacing w:after="0"/>
              <w:rPr>
                <w:sz w:val="12"/>
                <w:szCs w:val="12"/>
                <w:color w:val="auto"/>
              </w:rPr>
            </w:pPr>
          </w:p>
        </w:tc>
        <w:tc>
          <w:tcPr>
            <w:tcW w:w="120" w:type="dxa"/>
            <w:vAlign w:val="bottom"/>
            <w:tcBorders>
              <w:bottom w:val="single" w:sz="8" w:color="004483"/>
            </w:tcBorders>
          </w:tcPr>
          <w:p>
            <w:pPr>
              <w:spacing w:after="0"/>
              <w:rPr>
                <w:sz w:val="12"/>
                <w:szCs w:val="12"/>
                <w:color w:val="auto"/>
              </w:rPr>
            </w:pPr>
          </w:p>
        </w:tc>
        <w:tc>
          <w:tcPr>
            <w:tcW w:w="140" w:type="dxa"/>
            <w:vAlign w:val="bottom"/>
            <w:tcBorders>
              <w:bottom w:val="single" w:sz="8" w:color="004483"/>
            </w:tcBorders>
          </w:tcPr>
          <w:p>
            <w:pPr>
              <w:spacing w:after="0"/>
              <w:rPr>
                <w:sz w:val="12"/>
                <w:szCs w:val="12"/>
                <w:color w:val="auto"/>
              </w:rPr>
            </w:pPr>
          </w:p>
        </w:tc>
        <w:tc>
          <w:tcPr>
            <w:tcW w:w="1120" w:type="dxa"/>
            <w:vAlign w:val="bottom"/>
            <w:tcBorders>
              <w:bottom w:val="single" w:sz="8" w:color="004483"/>
            </w:tcBorders>
          </w:tcPr>
          <w:p>
            <w:pPr>
              <w:spacing w:after="0"/>
              <w:rPr>
                <w:sz w:val="12"/>
                <w:szCs w:val="12"/>
                <w:color w:val="auto"/>
              </w:rPr>
            </w:pPr>
          </w:p>
        </w:tc>
        <w:tc>
          <w:tcPr>
            <w:tcW w:w="120" w:type="dxa"/>
            <w:vAlign w:val="bottom"/>
            <w:tcBorders>
              <w:bottom w:val="single" w:sz="8" w:color="004483"/>
            </w:tcBorders>
          </w:tcPr>
          <w:p>
            <w:pPr>
              <w:spacing w:after="0"/>
              <w:rPr>
                <w:sz w:val="12"/>
                <w:szCs w:val="12"/>
                <w:color w:val="auto"/>
              </w:rPr>
            </w:pPr>
          </w:p>
        </w:tc>
        <w:tc>
          <w:tcPr>
            <w:tcW w:w="120" w:type="dxa"/>
            <w:vAlign w:val="bottom"/>
            <w:tcBorders>
              <w:bottom w:val="single" w:sz="8" w:color="004483"/>
            </w:tcBorders>
          </w:tcPr>
          <w:p>
            <w:pPr>
              <w:spacing w:after="0"/>
              <w:rPr>
                <w:sz w:val="12"/>
                <w:szCs w:val="12"/>
                <w:color w:val="auto"/>
              </w:rPr>
            </w:pPr>
          </w:p>
        </w:tc>
        <w:tc>
          <w:tcPr>
            <w:tcW w:w="580" w:type="dxa"/>
            <w:vAlign w:val="bottom"/>
            <w:tcBorders>
              <w:bottom w:val="single" w:sz="8" w:color="004483"/>
            </w:tcBorders>
          </w:tcPr>
          <w:p>
            <w:pPr>
              <w:spacing w:after="0"/>
              <w:rPr>
                <w:sz w:val="12"/>
                <w:szCs w:val="12"/>
                <w:color w:val="auto"/>
              </w:rPr>
            </w:pPr>
          </w:p>
        </w:tc>
        <w:tc>
          <w:tcPr>
            <w:tcW w:w="280" w:type="dxa"/>
            <w:vAlign w:val="bottom"/>
            <w:tcBorders>
              <w:bottom w:val="single" w:sz="8" w:color="004483"/>
            </w:tcBorders>
          </w:tcPr>
          <w:p>
            <w:pPr>
              <w:spacing w:after="0"/>
              <w:rPr>
                <w:sz w:val="12"/>
                <w:szCs w:val="12"/>
                <w:color w:val="auto"/>
              </w:rPr>
            </w:pPr>
          </w:p>
        </w:tc>
        <w:tc>
          <w:tcPr>
            <w:tcW w:w="400" w:type="dxa"/>
            <w:vAlign w:val="bottom"/>
            <w:tcBorders>
              <w:bottom w:val="single" w:sz="8" w:color="004483"/>
            </w:tcBorders>
          </w:tcPr>
          <w:p>
            <w:pPr>
              <w:spacing w:after="0"/>
              <w:rPr>
                <w:sz w:val="12"/>
                <w:szCs w:val="12"/>
                <w:color w:val="auto"/>
              </w:rPr>
            </w:pPr>
          </w:p>
        </w:tc>
        <w:tc>
          <w:tcPr>
            <w:tcW w:w="100" w:type="dxa"/>
            <w:vAlign w:val="bottom"/>
            <w:tcBorders>
              <w:bottom w:val="single" w:sz="8" w:color="004483"/>
            </w:tcBorders>
          </w:tcPr>
          <w:p>
            <w:pPr>
              <w:spacing w:after="0"/>
              <w:rPr>
                <w:sz w:val="12"/>
                <w:szCs w:val="12"/>
                <w:color w:val="auto"/>
              </w:rPr>
            </w:pPr>
          </w:p>
        </w:tc>
        <w:tc>
          <w:tcPr>
            <w:tcW w:w="140" w:type="dxa"/>
            <w:vAlign w:val="bottom"/>
            <w:tcBorders>
              <w:bottom w:val="single" w:sz="8" w:color="004483"/>
            </w:tcBorders>
          </w:tcPr>
          <w:p>
            <w:pPr>
              <w:spacing w:after="0"/>
              <w:rPr>
                <w:sz w:val="12"/>
                <w:szCs w:val="12"/>
                <w:color w:val="auto"/>
              </w:rPr>
            </w:pPr>
          </w:p>
        </w:tc>
        <w:tc>
          <w:tcPr>
            <w:tcW w:w="100" w:type="dxa"/>
            <w:vAlign w:val="bottom"/>
            <w:tcBorders>
              <w:bottom w:val="single" w:sz="8" w:color="004483"/>
            </w:tcBorders>
          </w:tcPr>
          <w:p>
            <w:pPr>
              <w:spacing w:after="0"/>
              <w:rPr>
                <w:sz w:val="12"/>
                <w:szCs w:val="12"/>
                <w:color w:val="auto"/>
              </w:rPr>
            </w:pPr>
          </w:p>
        </w:tc>
        <w:tc>
          <w:tcPr>
            <w:tcW w:w="1920" w:type="dxa"/>
            <w:vAlign w:val="bottom"/>
            <w:tcBorders>
              <w:bottom w:val="single" w:sz="8" w:color="004483"/>
            </w:tcBorders>
            <w:gridSpan w:val="8"/>
          </w:tcPr>
          <w:p>
            <w:pPr>
              <w:jc w:val="right"/>
              <w:ind w:right="344"/>
              <w:spacing w:after="0"/>
              <w:rPr>
                <w:sz w:val="20"/>
                <w:szCs w:val="20"/>
                <w:color w:val="auto"/>
              </w:rPr>
            </w:pPr>
            <w:r>
              <w:rPr>
                <w:rFonts w:ascii="Arial" w:cs="Arial" w:eastAsia="Arial" w:hAnsi="Arial"/>
                <w:sz w:val="13"/>
                <w:szCs w:val="13"/>
                <w:color w:val="auto"/>
              </w:rPr>
              <w:t>(dollars in thousands)</w:t>
            </w:r>
          </w:p>
        </w:tc>
        <w:tc>
          <w:tcPr>
            <w:tcW w:w="760" w:type="dxa"/>
            <w:vAlign w:val="bottom"/>
            <w:tcBorders>
              <w:bottom w:val="single" w:sz="8" w:color="004483"/>
            </w:tcBorders>
          </w:tcPr>
          <w:p>
            <w:pPr>
              <w:spacing w:after="0"/>
              <w:rPr>
                <w:sz w:val="12"/>
                <w:szCs w:val="12"/>
                <w:color w:val="auto"/>
              </w:rPr>
            </w:pPr>
          </w:p>
        </w:tc>
        <w:tc>
          <w:tcPr>
            <w:tcW w:w="100" w:type="dxa"/>
            <w:vAlign w:val="bottom"/>
          </w:tcPr>
          <w:p>
            <w:pPr>
              <w:spacing w:after="0"/>
              <w:rPr>
                <w:sz w:val="12"/>
                <w:szCs w:val="12"/>
                <w:color w:val="auto"/>
              </w:rPr>
            </w:pPr>
          </w:p>
        </w:tc>
      </w:tr>
      <w:tr>
        <w:trPr>
          <w:trHeight w:val="207"/>
        </w:trPr>
        <w:tc>
          <w:tcPr>
            <w:tcW w:w="5240" w:type="dxa"/>
            <w:vAlign w:val="bottom"/>
            <w:tcBorders>
              <w:bottom w:val="single" w:sz="8" w:color="A6A6A6"/>
            </w:tcBorders>
          </w:tcPr>
          <w:p>
            <w:pPr>
              <w:spacing w:after="0"/>
              <w:rPr>
                <w:sz w:val="20"/>
                <w:szCs w:val="20"/>
                <w:color w:val="auto"/>
              </w:rPr>
            </w:pPr>
            <w:r>
              <w:rPr>
                <w:rFonts w:ascii="Arial" w:cs="Arial" w:eastAsia="Arial" w:hAnsi="Arial"/>
                <w:sz w:val="16"/>
                <w:szCs w:val="16"/>
                <w:b w:val="1"/>
                <w:bCs w:val="1"/>
                <w:color w:val="004483"/>
              </w:rPr>
              <w:t>Identifiable Assets</w:t>
            </w:r>
          </w:p>
        </w:tc>
        <w:tc>
          <w:tcPr>
            <w:tcW w:w="120" w:type="dxa"/>
            <w:vAlign w:val="bottom"/>
            <w:tcBorders>
              <w:bottom w:val="single" w:sz="8" w:color="A6A6A6"/>
            </w:tcBorders>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12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580" w:type="dxa"/>
            <w:vAlign w:val="bottom"/>
            <w:tcBorders>
              <w:bottom w:val="single" w:sz="8" w:color="A6A6A6"/>
            </w:tcBorders>
          </w:tcPr>
          <w:p>
            <w:pPr>
              <w:spacing w:after="0"/>
              <w:rPr>
                <w:sz w:val="17"/>
                <w:szCs w:val="17"/>
                <w:color w:val="auto"/>
              </w:rPr>
            </w:pPr>
          </w:p>
        </w:tc>
        <w:tc>
          <w:tcPr>
            <w:tcW w:w="280" w:type="dxa"/>
            <w:vAlign w:val="bottom"/>
            <w:tcBorders>
              <w:bottom w:val="single" w:sz="8" w:color="A6A6A6"/>
            </w:tcBorders>
          </w:tcPr>
          <w:p>
            <w:pPr>
              <w:spacing w:after="0"/>
              <w:rPr>
                <w:sz w:val="17"/>
                <w:szCs w:val="17"/>
                <w:color w:val="auto"/>
              </w:rPr>
            </w:pPr>
          </w:p>
        </w:tc>
        <w:tc>
          <w:tcPr>
            <w:tcW w:w="400" w:type="dxa"/>
            <w:vAlign w:val="bottom"/>
            <w:tcBorders>
              <w:bottom w:val="single" w:sz="8" w:color="A6A6A6"/>
            </w:tcBorders>
          </w:tcPr>
          <w:p>
            <w:pPr>
              <w:spacing w:after="0"/>
              <w:rPr>
                <w:sz w:val="17"/>
                <w:szCs w:val="17"/>
                <w:color w:val="auto"/>
              </w:rPr>
            </w:pPr>
          </w:p>
        </w:tc>
        <w:tc>
          <w:tcPr>
            <w:tcW w:w="100" w:type="dxa"/>
            <w:vAlign w:val="bottom"/>
            <w:tcBorders>
              <w:bottom w:val="single" w:sz="8" w:color="A6A6A6"/>
            </w:tcBorders>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00" w:type="dxa"/>
            <w:vAlign w:val="bottom"/>
            <w:tcBorders>
              <w:bottom w:val="single" w:sz="8" w:color="A6A6A6"/>
            </w:tcBorders>
          </w:tcPr>
          <w:p>
            <w:pPr>
              <w:spacing w:after="0"/>
              <w:rPr>
                <w:sz w:val="17"/>
                <w:szCs w:val="17"/>
                <w:color w:val="auto"/>
              </w:rPr>
            </w:pPr>
          </w:p>
        </w:tc>
        <w:tc>
          <w:tcPr>
            <w:tcW w:w="800" w:type="dxa"/>
            <w:vAlign w:val="bottom"/>
            <w:tcBorders>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60" w:type="dxa"/>
            <w:vAlign w:val="bottom"/>
            <w:tcBorders>
              <w:bottom w:val="single" w:sz="8" w:color="A6A6A6"/>
            </w:tcBorders>
          </w:tcPr>
          <w:p>
            <w:pPr>
              <w:spacing w:after="0"/>
              <w:rPr>
                <w:sz w:val="17"/>
                <w:szCs w:val="17"/>
                <w:color w:val="auto"/>
              </w:rPr>
            </w:pPr>
          </w:p>
        </w:tc>
        <w:tc>
          <w:tcPr>
            <w:tcW w:w="10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20" w:type="dxa"/>
            <w:vAlign w:val="bottom"/>
            <w:tcBorders>
              <w:bottom w:val="single" w:sz="8" w:color="A6A6A6"/>
            </w:tcBorders>
          </w:tcPr>
          <w:p>
            <w:pPr>
              <w:spacing w:after="0"/>
              <w:rPr>
                <w:sz w:val="17"/>
                <w:szCs w:val="17"/>
                <w:color w:val="auto"/>
              </w:rPr>
            </w:pPr>
          </w:p>
        </w:tc>
        <w:tc>
          <w:tcPr>
            <w:tcW w:w="520" w:type="dxa"/>
            <w:vAlign w:val="bottom"/>
            <w:tcBorders>
              <w:bottom w:val="single" w:sz="8" w:color="A6A6A6"/>
            </w:tcBorders>
          </w:tcPr>
          <w:p>
            <w:pPr>
              <w:spacing w:after="0"/>
              <w:rPr>
                <w:sz w:val="17"/>
                <w:szCs w:val="17"/>
                <w:color w:val="auto"/>
              </w:rPr>
            </w:pPr>
          </w:p>
        </w:tc>
        <w:tc>
          <w:tcPr>
            <w:tcW w:w="76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5240" w:type="dxa"/>
            <w:vAlign w:val="bottom"/>
          </w:tcPr>
          <w:p>
            <w:pPr>
              <w:ind w:left="260"/>
              <w:spacing w:after="0"/>
              <w:rPr>
                <w:sz w:val="20"/>
                <w:szCs w:val="20"/>
                <w:color w:val="auto"/>
              </w:rPr>
            </w:pPr>
            <w:r>
              <w:rPr>
                <w:rFonts w:ascii="Arial" w:cs="Arial" w:eastAsia="Arial" w:hAnsi="Arial"/>
                <w:sz w:val="16"/>
                <w:szCs w:val="16"/>
                <w:color w:val="277EBF"/>
              </w:rPr>
              <w:t>Cement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gridSpan w:val="2"/>
          </w:tcPr>
          <w:p>
            <w:pPr>
              <w:jc w:val="right"/>
              <w:ind w:right="2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1,952,280</w:t>
            </w:r>
          </w:p>
        </w:tc>
        <w:tc>
          <w:tcPr>
            <w:tcW w:w="460" w:type="dxa"/>
            <w:vAlign w:val="bottom"/>
            <w:gridSpan w:val="4"/>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1,980,306</w:t>
            </w:r>
          </w:p>
        </w:tc>
        <w:tc>
          <w:tcPr>
            <w:tcW w:w="100" w:type="dxa"/>
            <w:vAlign w:val="bottom"/>
          </w:tcPr>
          <w:p>
            <w:pPr>
              <w:spacing w:after="0"/>
              <w:rPr>
                <w:sz w:val="18"/>
                <w:szCs w:val="18"/>
                <w:color w:val="auto"/>
              </w:rPr>
            </w:pPr>
          </w:p>
        </w:tc>
      </w:tr>
      <w:tr>
        <w:trPr>
          <w:trHeight w:val="209"/>
        </w:trPr>
        <w:tc>
          <w:tcPr>
            <w:tcW w:w="5240" w:type="dxa"/>
            <w:vAlign w:val="bottom"/>
            <w:tcBorders>
              <w:top w:val="single" w:sz="8" w:color="A6A6A6"/>
              <w:bottom w:val="single" w:sz="8" w:color="A6A6A6"/>
            </w:tcBorders>
          </w:tcPr>
          <w:p>
            <w:pPr>
              <w:ind w:left="260"/>
              <w:spacing w:after="0"/>
              <w:rPr>
                <w:sz w:val="20"/>
                <w:szCs w:val="20"/>
                <w:color w:val="auto"/>
              </w:rPr>
            </w:pPr>
            <w:r>
              <w:rPr>
                <w:rFonts w:ascii="Arial" w:cs="Arial" w:eastAsia="Arial" w:hAnsi="Arial"/>
                <w:sz w:val="16"/>
                <w:szCs w:val="16"/>
                <w:color w:val="00AAC6"/>
              </w:rPr>
              <w:t>Concrete and Aggregates</w:t>
            </w:r>
          </w:p>
        </w:tc>
        <w:tc>
          <w:tcPr>
            <w:tcW w:w="120" w:type="dxa"/>
            <w:vAlign w:val="bottom"/>
            <w:tcBorders>
              <w:top w:val="single" w:sz="8" w:color="A6A6A6"/>
              <w:bottom w:val="single" w:sz="8" w:color="A6A6A6"/>
            </w:tcBorders>
          </w:tcPr>
          <w:p>
            <w:pPr>
              <w:spacing w:after="0"/>
              <w:rPr>
                <w:sz w:val="18"/>
                <w:szCs w:val="18"/>
                <w:color w:val="auto"/>
              </w:rPr>
            </w:pPr>
          </w:p>
        </w:tc>
        <w:tc>
          <w:tcPr>
            <w:tcW w:w="140" w:type="dxa"/>
            <w:vAlign w:val="bottom"/>
            <w:tcBorders>
              <w:top w:val="single" w:sz="8" w:color="A6A6A6"/>
              <w:bottom w:val="single" w:sz="8" w:color="A6A6A6"/>
            </w:tcBorders>
          </w:tcPr>
          <w:p>
            <w:pPr>
              <w:spacing w:after="0"/>
              <w:rPr>
                <w:sz w:val="18"/>
                <w:szCs w:val="18"/>
                <w:color w:val="auto"/>
              </w:rPr>
            </w:pPr>
          </w:p>
        </w:tc>
        <w:tc>
          <w:tcPr>
            <w:tcW w:w="1120" w:type="dxa"/>
            <w:vAlign w:val="bottom"/>
            <w:tcBorders>
              <w:top w:val="single" w:sz="8" w:color="A6A6A6"/>
              <w:bottom w:val="single" w:sz="8" w:color="A6A6A6"/>
            </w:tcBorders>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580" w:type="dxa"/>
            <w:vAlign w:val="bottom"/>
            <w:tcBorders>
              <w:top w:val="single" w:sz="8" w:color="A6A6A6"/>
              <w:bottom w:val="single" w:sz="8" w:color="A6A6A6"/>
            </w:tcBorders>
          </w:tcPr>
          <w:p>
            <w:pPr>
              <w:spacing w:after="0"/>
              <w:rPr>
                <w:sz w:val="18"/>
                <w:szCs w:val="18"/>
                <w:color w:val="auto"/>
              </w:rPr>
            </w:pPr>
          </w:p>
        </w:tc>
        <w:tc>
          <w:tcPr>
            <w:tcW w:w="280" w:type="dxa"/>
            <w:vAlign w:val="bottom"/>
            <w:tcBorders>
              <w:top w:val="single" w:sz="8" w:color="A6A6A6"/>
              <w:bottom w:val="single" w:sz="8" w:color="A6A6A6"/>
            </w:tcBorders>
          </w:tcPr>
          <w:p>
            <w:pPr>
              <w:spacing w:after="0"/>
              <w:rPr>
                <w:sz w:val="18"/>
                <w:szCs w:val="18"/>
                <w:color w:val="auto"/>
              </w:rPr>
            </w:pPr>
          </w:p>
        </w:tc>
        <w:tc>
          <w:tcPr>
            <w:tcW w:w="400" w:type="dxa"/>
            <w:vAlign w:val="bottom"/>
            <w:tcBorders>
              <w:top w:val="single" w:sz="8" w:color="A6A6A6"/>
              <w:bottom w:val="single" w:sz="8" w:color="A6A6A6"/>
            </w:tcBorders>
          </w:tcPr>
          <w:p>
            <w:pPr>
              <w:spacing w:after="0"/>
              <w:rPr>
                <w:sz w:val="18"/>
                <w:szCs w:val="18"/>
                <w:color w:val="auto"/>
              </w:rPr>
            </w:pPr>
          </w:p>
        </w:tc>
        <w:tc>
          <w:tcPr>
            <w:tcW w:w="100" w:type="dxa"/>
            <w:vAlign w:val="bottom"/>
            <w:tcBorders>
              <w:top w:val="single" w:sz="8" w:color="A6A6A6"/>
              <w:bottom w:val="single" w:sz="8" w:color="A6A6A6"/>
            </w:tcBorders>
          </w:tcPr>
          <w:p>
            <w:pPr>
              <w:spacing w:after="0"/>
              <w:rPr>
                <w:sz w:val="18"/>
                <w:szCs w:val="18"/>
                <w:color w:val="auto"/>
              </w:rPr>
            </w:pPr>
          </w:p>
        </w:tc>
        <w:tc>
          <w:tcPr>
            <w:tcW w:w="140" w:type="dxa"/>
            <w:vAlign w:val="bottom"/>
            <w:tcBorders>
              <w:top w:val="single" w:sz="8" w:color="A6A6A6"/>
              <w:bottom w:val="single" w:sz="8" w:color="A6A6A6"/>
            </w:tcBorders>
          </w:tcPr>
          <w:p>
            <w:pPr>
              <w:spacing w:after="0"/>
              <w:rPr>
                <w:sz w:val="18"/>
                <w:szCs w:val="18"/>
                <w:color w:val="auto"/>
              </w:rPr>
            </w:pPr>
          </w:p>
        </w:tc>
        <w:tc>
          <w:tcPr>
            <w:tcW w:w="100" w:type="dxa"/>
            <w:vAlign w:val="bottom"/>
            <w:tcBorders>
              <w:top w:val="single" w:sz="8" w:color="A6A6A6"/>
              <w:bottom w:val="single" w:sz="8" w:color="A6A6A6"/>
            </w:tcBorders>
          </w:tcPr>
          <w:p>
            <w:pPr>
              <w:spacing w:after="0"/>
              <w:rPr>
                <w:sz w:val="18"/>
                <w:szCs w:val="18"/>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96,566</w:t>
            </w:r>
          </w:p>
        </w:tc>
        <w:tc>
          <w:tcPr>
            <w:tcW w:w="120" w:type="dxa"/>
            <w:vAlign w:val="bottom"/>
          </w:tcPr>
          <w:p>
            <w:pPr>
              <w:spacing w:after="0"/>
              <w:rPr>
                <w:sz w:val="18"/>
                <w:szCs w:val="18"/>
                <w:color w:val="auto"/>
              </w:rPr>
            </w:pPr>
          </w:p>
        </w:tc>
        <w:tc>
          <w:tcPr>
            <w:tcW w:w="180" w:type="dxa"/>
            <w:vAlign w:val="bottom"/>
            <w:tcBorders>
              <w:top w:val="single" w:sz="8" w:color="A6A6A6"/>
              <w:bottom w:val="single" w:sz="8" w:color="A6A6A6"/>
            </w:tcBorders>
          </w:tcPr>
          <w:p>
            <w:pPr>
              <w:spacing w:after="0"/>
              <w:rPr>
                <w:sz w:val="18"/>
                <w:szCs w:val="18"/>
                <w:color w:val="auto"/>
              </w:rPr>
            </w:pPr>
          </w:p>
        </w:tc>
        <w:tc>
          <w:tcPr>
            <w:tcW w:w="60" w:type="dxa"/>
            <w:vAlign w:val="bottom"/>
            <w:tcBorders>
              <w:top w:val="single" w:sz="8" w:color="A6A6A6"/>
              <w:bottom w:val="single" w:sz="8" w:color="A6A6A6"/>
            </w:tcBorders>
          </w:tcPr>
          <w:p>
            <w:pPr>
              <w:spacing w:after="0"/>
              <w:rPr>
                <w:sz w:val="18"/>
                <w:szCs w:val="18"/>
                <w:color w:val="auto"/>
              </w:rPr>
            </w:pPr>
          </w:p>
        </w:tc>
        <w:tc>
          <w:tcPr>
            <w:tcW w:w="100" w:type="dxa"/>
            <w:vAlign w:val="bottom"/>
            <w:tcBorders>
              <w:top w:val="single" w:sz="8" w:color="A6A6A6"/>
              <w:bottom w:val="single" w:sz="8" w:color="A6A6A6"/>
            </w:tcBorders>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0" w:type="dxa"/>
            <w:vAlign w:val="bottom"/>
            <w:tcBorders>
              <w:top w:val="single" w:sz="8" w:color="A6A6A6"/>
              <w:bottom w:val="single" w:sz="8" w:color="A6A6A6"/>
            </w:tcBorders>
          </w:tcPr>
          <w:p>
            <w:pPr>
              <w:spacing w:after="0"/>
              <w:rPr>
                <w:sz w:val="18"/>
                <w:szCs w:val="18"/>
                <w:color w:val="auto"/>
              </w:rPr>
            </w:pPr>
          </w:p>
        </w:tc>
        <w:tc>
          <w:tcPr>
            <w:tcW w:w="520" w:type="dxa"/>
            <w:vAlign w:val="bottom"/>
            <w:tcBorders>
              <w:top w:val="single" w:sz="8" w:color="A6A6A6"/>
              <w:bottom w:val="single" w:sz="8" w:color="A6A6A6"/>
            </w:tcBorders>
          </w:tcPr>
          <w:p>
            <w:pPr>
              <w:spacing w:after="0"/>
              <w:rPr>
                <w:sz w:val="18"/>
                <w:szCs w:val="18"/>
                <w:color w:val="auto"/>
              </w:rPr>
            </w:pPr>
          </w:p>
        </w:tc>
        <w:tc>
          <w:tcPr>
            <w:tcW w:w="7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136,041</w:t>
            </w:r>
          </w:p>
        </w:tc>
        <w:tc>
          <w:tcPr>
            <w:tcW w:w="100" w:type="dxa"/>
            <w:vAlign w:val="bottom"/>
          </w:tcPr>
          <w:p>
            <w:pPr>
              <w:spacing w:after="0"/>
              <w:rPr>
                <w:sz w:val="18"/>
                <w:szCs w:val="18"/>
                <w:color w:val="auto"/>
              </w:rPr>
            </w:pPr>
          </w:p>
        </w:tc>
      </w:tr>
      <w:tr>
        <w:trPr>
          <w:trHeight w:val="210"/>
        </w:trPr>
        <w:tc>
          <w:tcPr>
            <w:tcW w:w="5240" w:type="dxa"/>
            <w:vAlign w:val="bottom"/>
            <w:tcBorders>
              <w:bottom w:val="single" w:sz="8" w:color="A6A6A6"/>
            </w:tcBorders>
          </w:tcPr>
          <w:p>
            <w:pPr>
              <w:ind w:left="260"/>
              <w:spacing w:after="0"/>
              <w:rPr>
                <w:sz w:val="20"/>
                <w:szCs w:val="20"/>
                <w:color w:val="auto"/>
              </w:rPr>
            </w:pPr>
            <w:r>
              <w:rPr>
                <w:rFonts w:ascii="Arial" w:cs="Arial" w:eastAsia="Arial" w:hAnsi="Arial"/>
                <w:sz w:val="16"/>
                <w:szCs w:val="16"/>
                <w:color w:val="77943C"/>
              </w:rPr>
              <w:t>Gypsum Wallboard</w:t>
            </w:r>
          </w:p>
        </w:tc>
        <w:tc>
          <w:tcPr>
            <w:tcW w:w="12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80" w:type="dxa"/>
            <w:vAlign w:val="bottom"/>
            <w:tcBorders>
              <w:bottom w:val="single" w:sz="8" w:color="A6A6A6"/>
            </w:tcBorders>
          </w:tcPr>
          <w:p>
            <w:pPr>
              <w:spacing w:after="0"/>
              <w:rPr>
                <w:sz w:val="18"/>
                <w:szCs w:val="18"/>
                <w:color w:val="auto"/>
              </w:rPr>
            </w:pPr>
          </w:p>
        </w:tc>
        <w:tc>
          <w:tcPr>
            <w:tcW w:w="28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369,966</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6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375,946</w:t>
            </w:r>
          </w:p>
        </w:tc>
        <w:tc>
          <w:tcPr>
            <w:tcW w:w="100" w:type="dxa"/>
            <w:vAlign w:val="bottom"/>
          </w:tcPr>
          <w:p>
            <w:pPr>
              <w:spacing w:after="0"/>
              <w:rPr>
                <w:sz w:val="18"/>
                <w:szCs w:val="18"/>
                <w:color w:val="auto"/>
              </w:rPr>
            </w:pPr>
          </w:p>
        </w:tc>
      </w:tr>
      <w:tr>
        <w:trPr>
          <w:trHeight w:val="209"/>
        </w:trPr>
        <w:tc>
          <w:tcPr>
            <w:tcW w:w="5240" w:type="dxa"/>
            <w:vAlign w:val="bottom"/>
            <w:tcBorders>
              <w:bottom w:val="single" w:sz="8" w:color="A6A6A6"/>
            </w:tcBorders>
          </w:tcPr>
          <w:p>
            <w:pPr>
              <w:ind w:left="260"/>
              <w:spacing w:after="0"/>
              <w:rPr>
                <w:sz w:val="20"/>
                <w:szCs w:val="20"/>
                <w:color w:val="auto"/>
              </w:rPr>
            </w:pPr>
            <w:r>
              <w:rPr>
                <w:rFonts w:ascii="Arial" w:cs="Arial" w:eastAsia="Arial" w:hAnsi="Arial"/>
                <w:sz w:val="16"/>
                <w:szCs w:val="16"/>
                <w:color w:val="AEB949"/>
              </w:rPr>
              <w:t>Paperboard</w:t>
            </w:r>
          </w:p>
        </w:tc>
        <w:tc>
          <w:tcPr>
            <w:tcW w:w="12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80" w:type="dxa"/>
            <w:vAlign w:val="bottom"/>
            <w:tcBorders>
              <w:bottom w:val="single" w:sz="8" w:color="A6A6A6"/>
            </w:tcBorders>
          </w:tcPr>
          <w:p>
            <w:pPr>
              <w:spacing w:after="0"/>
              <w:rPr>
                <w:sz w:val="18"/>
                <w:szCs w:val="18"/>
                <w:color w:val="auto"/>
              </w:rPr>
            </w:pPr>
          </w:p>
        </w:tc>
        <w:tc>
          <w:tcPr>
            <w:tcW w:w="28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193,259</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6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183,288</w:t>
            </w:r>
          </w:p>
        </w:tc>
        <w:tc>
          <w:tcPr>
            <w:tcW w:w="100" w:type="dxa"/>
            <w:vAlign w:val="bottom"/>
          </w:tcPr>
          <w:p>
            <w:pPr>
              <w:spacing w:after="0"/>
              <w:rPr>
                <w:sz w:val="18"/>
                <w:szCs w:val="18"/>
                <w:color w:val="auto"/>
              </w:rPr>
            </w:pPr>
          </w:p>
        </w:tc>
      </w:tr>
      <w:tr>
        <w:trPr>
          <w:trHeight w:val="210"/>
        </w:trPr>
        <w:tc>
          <w:tcPr>
            <w:tcW w:w="5240" w:type="dxa"/>
            <w:vAlign w:val="bottom"/>
            <w:tcBorders>
              <w:bottom w:val="single" w:sz="8" w:color="A6A6A6"/>
            </w:tcBorders>
          </w:tcPr>
          <w:p>
            <w:pPr>
              <w:ind w:left="260"/>
              <w:spacing w:after="0"/>
              <w:rPr>
                <w:sz w:val="20"/>
                <w:szCs w:val="20"/>
                <w:color w:val="auto"/>
              </w:rPr>
            </w:pPr>
            <w:r>
              <w:rPr>
                <w:rFonts w:ascii="Arial" w:cs="Arial" w:eastAsia="Arial" w:hAnsi="Arial"/>
                <w:sz w:val="16"/>
                <w:szCs w:val="16"/>
                <w:color w:val="004483"/>
              </w:rPr>
              <w:t>Assets of Discontinued Operations</w:t>
            </w:r>
          </w:p>
        </w:tc>
        <w:tc>
          <w:tcPr>
            <w:tcW w:w="12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80" w:type="dxa"/>
            <w:vAlign w:val="bottom"/>
            <w:tcBorders>
              <w:bottom w:val="single" w:sz="8" w:color="A6A6A6"/>
            </w:tcBorders>
          </w:tcPr>
          <w:p>
            <w:pPr>
              <w:spacing w:after="0"/>
              <w:rPr>
                <w:sz w:val="18"/>
                <w:szCs w:val="18"/>
                <w:color w:val="auto"/>
              </w:rPr>
            </w:pPr>
          </w:p>
        </w:tc>
        <w:tc>
          <w:tcPr>
            <w:tcW w:w="28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6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13,831</w:t>
            </w:r>
          </w:p>
        </w:tc>
        <w:tc>
          <w:tcPr>
            <w:tcW w:w="100" w:type="dxa"/>
            <w:vAlign w:val="bottom"/>
          </w:tcPr>
          <w:p>
            <w:pPr>
              <w:spacing w:after="0"/>
              <w:rPr>
                <w:sz w:val="18"/>
                <w:szCs w:val="18"/>
                <w:color w:val="auto"/>
              </w:rPr>
            </w:pPr>
          </w:p>
        </w:tc>
      </w:tr>
      <w:tr>
        <w:trPr>
          <w:trHeight w:val="210"/>
        </w:trPr>
        <w:tc>
          <w:tcPr>
            <w:tcW w:w="5240" w:type="dxa"/>
            <w:vAlign w:val="bottom"/>
            <w:tcBorders>
              <w:bottom w:val="single" w:sz="8" w:color="A6A6A6"/>
            </w:tcBorders>
          </w:tcPr>
          <w:p>
            <w:pPr>
              <w:ind w:left="260"/>
              <w:spacing w:after="0"/>
              <w:rPr>
                <w:sz w:val="20"/>
                <w:szCs w:val="20"/>
                <w:color w:val="auto"/>
              </w:rPr>
            </w:pPr>
            <w:r>
              <w:rPr>
                <w:rFonts w:ascii="Arial" w:cs="Arial" w:eastAsia="Arial" w:hAnsi="Arial"/>
                <w:sz w:val="16"/>
                <w:szCs w:val="16"/>
                <w:color w:val="004483"/>
              </w:rPr>
              <w:t>Other, net</w:t>
            </w:r>
          </w:p>
        </w:tc>
        <w:tc>
          <w:tcPr>
            <w:tcW w:w="12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80" w:type="dxa"/>
            <w:vAlign w:val="bottom"/>
            <w:tcBorders>
              <w:bottom w:val="single" w:sz="8" w:color="A6A6A6"/>
            </w:tcBorders>
          </w:tcPr>
          <w:p>
            <w:pPr>
              <w:spacing w:after="0"/>
              <w:rPr>
                <w:sz w:val="18"/>
                <w:szCs w:val="18"/>
                <w:color w:val="auto"/>
              </w:rPr>
            </w:pPr>
          </w:p>
        </w:tc>
        <w:tc>
          <w:tcPr>
            <w:tcW w:w="280" w:type="dxa"/>
            <w:vAlign w:val="bottom"/>
            <w:tcBorders>
              <w:bottom w:val="single" w:sz="8" w:color="A6A6A6"/>
            </w:tcBorders>
          </w:tcPr>
          <w:p>
            <w:pPr>
              <w:spacing w:after="0"/>
              <w:rPr>
                <w:sz w:val="18"/>
                <w:szCs w:val="18"/>
                <w:color w:val="auto"/>
              </w:rPr>
            </w:pPr>
          </w:p>
        </w:tc>
        <w:tc>
          <w:tcPr>
            <w:tcW w:w="400" w:type="dxa"/>
            <w:vAlign w:val="bottom"/>
            <w:tcBorders>
              <w:bottom w:val="single" w:sz="8" w:color="004483"/>
            </w:tcBorders>
          </w:tcPr>
          <w:p>
            <w:pPr>
              <w:spacing w:after="0"/>
              <w:rPr>
                <w:sz w:val="18"/>
                <w:szCs w:val="18"/>
                <w:color w:val="auto"/>
              </w:rPr>
            </w:pPr>
          </w:p>
        </w:tc>
        <w:tc>
          <w:tcPr>
            <w:tcW w:w="100" w:type="dxa"/>
            <w:vAlign w:val="bottom"/>
            <w:tcBorders>
              <w:bottom w:val="single" w:sz="8" w:color="004483"/>
            </w:tcBorders>
          </w:tcPr>
          <w:p>
            <w:pPr>
              <w:spacing w:after="0"/>
              <w:rPr>
                <w:sz w:val="18"/>
                <w:szCs w:val="18"/>
                <w:color w:val="auto"/>
              </w:rPr>
            </w:pPr>
          </w:p>
        </w:tc>
        <w:tc>
          <w:tcPr>
            <w:tcW w:w="140" w:type="dxa"/>
            <w:vAlign w:val="bottom"/>
            <w:tcBorders>
              <w:bottom w:val="single" w:sz="8" w:color="004483"/>
            </w:tcBorders>
          </w:tcPr>
          <w:p>
            <w:pPr>
              <w:spacing w:after="0"/>
              <w:rPr>
                <w:sz w:val="18"/>
                <w:szCs w:val="18"/>
                <w:color w:val="auto"/>
              </w:rPr>
            </w:pPr>
          </w:p>
        </w:tc>
        <w:tc>
          <w:tcPr>
            <w:tcW w:w="100" w:type="dxa"/>
            <w:vAlign w:val="bottom"/>
            <w:tcBorders>
              <w:bottom w:val="single" w:sz="8" w:color="004483"/>
            </w:tcBorders>
          </w:tcPr>
          <w:p>
            <w:pPr>
              <w:spacing w:after="0"/>
              <w:rPr>
                <w:sz w:val="18"/>
                <w:szCs w:val="18"/>
                <w:color w:val="auto"/>
              </w:rPr>
            </w:pP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259,212</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60" w:type="dxa"/>
            <w:vAlign w:val="bottom"/>
            <w:tcBorders>
              <w:bottom w:val="single" w:sz="8" w:color="004483"/>
            </w:tcBorders>
          </w:tcPr>
          <w:p>
            <w:pPr>
              <w:spacing w:after="0"/>
              <w:rPr>
                <w:sz w:val="18"/>
                <w:szCs w:val="18"/>
                <w:color w:val="auto"/>
              </w:rPr>
            </w:pPr>
          </w:p>
        </w:tc>
        <w:tc>
          <w:tcPr>
            <w:tcW w:w="100" w:type="dxa"/>
            <w:vAlign w:val="bottom"/>
            <w:tcBorders>
              <w:bottom w:val="single" w:sz="8" w:color="004483"/>
            </w:tcBorders>
          </w:tcPr>
          <w:p>
            <w:pPr>
              <w:spacing w:after="0"/>
              <w:rPr>
                <w:sz w:val="18"/>
                <w:szCs w:val="18"/>
                <w:color w:val="auto"/>
              </w:rPr>
            </w:pPr>
          </w:p>
        </w:tc>
        <w:tc>
          <w:tcPr>
            <w:tcW w:w="120" w:type="dxa"/>
            <w:vAlign w:val="bottom"/>
            <w:tcBorders>
              <w:bottom w:val="single" w:sz="8" w:color="004483"/>
            </w:tcBorders>
          </w:tcPr>
          <w:p>
            <w:pPr>
              <w:spacing w:after="0"/>
              <w:rPr>
                <w:sz w:val="18"/>
                <w:szCs w:val="18"/>
                <w:color w:val="auto"/>
              </w:rPr>
            </w:pPr>
          </w:p>
        </w:tc>
        <w:tc>
          <w:tcPr>
            <w:tcW w:w="20" w:type="dxa"/>
            <w:vAlign w:val="bottom"/>
            <w:tcBorders>
              <w:bottom w:val="single" w:sz="8" w:color="004483"/>
            </w:tcBorders>
          </w:tcPr>
          <w:p>
            <w:pPr>
              <w:spacing w:after="0"/>
              <w:rPr>
                <w:sz w:val="18"/>
                <w:szCs w:val="18"/>
                <w:color w:val="auto"/>
              </w:rPr>
            </w:pPr>
          </w:p>
        </w:tc>
        <w:tc>
          <w:tcPr>
            <w:tcW w:w="520" w:type="dxa"/>
            <w:vAlign w:val="bottom"/>
            <w:tcBorders>
              <w:bottom w:val="single" w:sz="8" w:color="004483"/>
            </w:tcBorders>
          </w:tcPr>
          <w:p>
            <w:pPr>
              <w:spacing w:after="0"/>
              <w:rPr>
                <w:sz w:val="18"/>
                <w:szCs w:val="18"/>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271,608</w:t>
            </w:r>
          </w:p>
        </w:tc>
        <w:tc>
          <w:tcPr>
            <w:tcW w:w="100" w:type="dxa"/>
            <w:vAlign w:val="bottom"/>
          </w:tcPr>
          <w:p>
            <w:pPr>
              <w:spacing w:after="0"/>
              <w:rPr>
                <w:sz w:val="18"/>
                <w:szCs w:val="18"/>
                <w:color w:val="auto"/>
              </w:rPr>
            </w:pPr>
          </w:p>
        </w:tc>
      </w:tr>
      <w:tr>
        <w:trPr>
          <w:trHeight w:val="210"/>
        </w:trPr>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Borders>
              <w:bottom w:val="single" w:sz="8" w:color="004483"/>
            </w:tcBorders>
          </w:tcPr>
          <w:p>
            <w:pPr>
              <w:jc w:val="right"/>
              <w:ind w:right="241"/>
              <w:spacing w:after="0"/>
              <w:rPr>
                <w:sz w:val="20"/>
                <w:szCs w:val="20"/>
                <w:color w:val="auto"/>
              </w:rPr>
            </w:pPr>
            <w:r>
              <w:rPr>
                <w:rFonts w:ascii="Arial" w:cs="Arial" w:eastAsia="Arial" w:hAnsi="Arial"/>
                <w:sz w:val="15"/>
                <w:szCs w:val="15"/>
                <w:b w:val="1"/>
                <w:bCs w:val="1"/>
                <w:color w:val="auto"/>
                <w:w w:val="71"/>
              </w:rPr>
              <w:t>$</w:t>
            </w:r>
          </w:p>
        </w:tc>
        <w:tc>
          <w:tcPr>
            <w:tcW w:w="100" w:type="dxa"/>
            <w:vAlign w:val="bottom"/>
            <w:tcBorders>
              <w:bottom w:val="single" w:sz="8" w:color="004483"/>
            </w:tcBorders>
          </w:tcPr>
          <w:p>
            <w:pPr>
              <w:spacing w:after="0"/>
              <w:rPr>
                <w:sz w:val="18"/>
                <w:szCs w:val="18"/>
                <w:color w:val="auto"/>
              </w:rPr>
            </w:pPr>
          </w:p>
        </w:tc>
        <w:tc>
          <w:tcPr>
            <w:tcW w:w="140" w:type="dxa"/>
            <w:vAlign w:val="bottom"/>
            <w:tcBorders>
              <w:bottom w:val="single" w:sz="8" w:color="004483"/>
            </w:tcBorders>
          </w:tcPr>
          <w:p>
            <w:pPr>
              <w:spacing w:after="0"/>
              <w:rPr>
                <w:sz w:val="18"/>
                <w:szCs w:val="18"/>
                <w:color w:val="auto"/>
              </w:rPr>
            </w:pPr>
          </w:p>
        </w:tc>
        <w:tc>
          <w:tcPr>
            <w:tcW w:w="100" w:type="dxa"/>
            <w:vAlign w:val="bottom"/>
            <w:tcBorders>
              <w:bottom w:val="single" w:sz="8" w:color="004483"/>
            </w:tcBorders>
          </w:tcPr>
          <w:p>
            <w:pPr>
              <w:spacing w:after="0"/>
              <w:rPr>
                <w:sz w:val="18"/>
                <w:szCs w:val="18"/>
                <w:color w:val="auto"/>
              </w:rPr>
            </w:pP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2,871,283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004483"/>
            </w:tcBorders>
            <w:gridSpan w:val="2"/>
          </w:tcPr>
          <w:p>
            <w:pPr>
              <w:jc w:val="right"/>
              <w:ind w:right="80"/>
              <w:spacing w:after="0"/>
              <w:rPr>
                <w:sz w:val="20"/>
                <w:szCs w:val="20"/>
                <w:color w:val="auto"/>
              </w:rPr>
            </w:pPr>
            <w:r>
              <w:rPr>
                <w:rFonts w:ascii="Arial" w:cs="Arial" w:eastAsia="Arial" w:hAnsi="Arial"/>
                <w:sz w:val="15"/>
                <w:szCs w:val="15"/>
                <w:b w:val="1"/>
                <w:bCs w:val="1"/>
                <w:color w:val="auto"/>
                <w:w w:val="71"/>
              </w:rPr>
              <w:t>$</w:t>
            </w:r>
          </w:p>
        </w:tc>
        <w:tc>
          <w:tcPr>
            <w:tcW w:w="120" w:type="dxa"/>
            <w:vAlign w:val="bottom"/>
            <w:tcBorders>
              <w:bottom w:val="single" w:sz="8" w:color="004483"/>
            </w:tcBorders>
          </w:tcPr>
          <w:p>
            <w:pPr>
              <w:spacing w:after="0"/>
              <w:rPr>
                <w:sz w:val="18"/>
                <w:szCs w:val="18"/>
                <w:color w:val="auto"/>
              </w:rPr>
            </w:pPr>
          </w:p>
        </w:tc>
        <w:tc>
          <w:tcPr>
            <w:tcW w:w="20" w:type="dxa"/>
            <w:vAlign w:val="bottom"/>
            <w:tcBorders>
              <w:bottom w:val="single" w:sz="8" w:color="004483"/>
            </w:tcBorders>
          </w:tcPr>
          <w:p>
            <w:pPr>
              <w:spacing w:after="0"/>
              <w:rPr>
                <w:sz w:val="18"/>
                <w:szCs w:val="18"/>
                <w:color w:val="auto"/>
              </w:rPr>
            </w:pPr>
          </w:p>
        </w:tc>
        <w:tc>
          <w:tcPr>
            <w:tcW w:w="520" w:type="dxa"/>
            <w:vAlign w:val="bottom"/>
            <w:tcBorders>
              <w:bottom w:val="single" w:sz="8" w:color="004483"/>
            </w:tcBorders>
          </w:tcPr>
          <w:p>
            <w:pPr>
              <w:spacing w:after="0"/>
              <w:rPr>
                <w:sz w:val="18"/>
                <w:szCs w:val="18"/>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2,961,020</w:t>
            </w:r>
          </w:p>
        </w:tc>
        <w:tc>
          <w:tcPr>
            <w:tcW w:w="100" w:type="dxa"/>
            <w:vAlign w:val="bottom"/>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004483"/>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140" w:type="dxa"/>
            <w:vAlign w:val="bottom"/>
            <w:tcBorders>
              <w:bottom w:val="single" w:sz="8" w:color="004483"/>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004483"/>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20" w:type="dxa"/>
            <w:vAlign w:val="bottom"/>
            <w:tcBorders>
              <w:bottom w:val="single" w:sz="8" w:color="004483"/>
            </w:tcBorders>
          </w:tcPr>
          <w:p>
            <w:pPr>
              <w:spacing w:after="0" w:line="20" w:lineRule="exact"/>
              <w:rPr>
                <w:sz w:val="1"/>
                <w:szCs w:val="1"/>
                <w:color w:val="auto"/>
              </w:rPr>
            </w:pPr>
          </w:p>
        </w:tc>
        <w:tc>
          <w:tcPr>
            <w:tcW w:w="52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The Capital Expenditures for the six months ended September 30, 2019 disclosed above differs from the capital expenditures on the Unaudited Consolidated Statement of Cash Flows as it includes $2.9 million of capital expenditures that were accrued at September 30, 2019 and therefore not included in the Statement of Cash Flows. See Footnote (B) for more information.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23" w:name="page24"/>
    <w:bookmarkEnd w:id="23"/>
    <w:p>
      <w:pPr>
        <w:ind w:right="120"/>
        <w:spacing w:after="0" w:line="269" w:lineRule="auto"/>
        <w:rPr>
          <w:sz w:val="20"/>
          <w:szCs w:val="20"/>
          <w:color w:val="auto"/>
        </w:rPr>
      </w:pPr>
      <w:r>
        <w:rPr>
          <w:rFonts w:ascii="Arial" w:cs="Arial" w:eastAsia="Arial" w:hAnsi="Arial"/>
          <w:sz w:val="18"/>
          <w:szCs w:val="18"/>
          <w:color w:val="auto"/>
        </w:rPr>
        <w:t>Segment Operating Earnings, including the proportionately consolidated 50% interest in the revenue and expenses of the Joint Venture, represent Revenue, less direct operating expenses, segment Depreciation, and segment Selling, General and Administrative expenses. We account for intersegment sales at market prices. Corporate assets consist primarily of cash and cash equivalents, general office assets, and miscellaneous other assets.</w:t>
      </w:r>
    </w:p>
    <w:p>
      <w:pPr>
        <w:spacing w:after="0" w:line="98"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basis used to disclose Identifiable Assets; Capital Expenditures; and Depreciation, Depletion, and Amortization conforms with the equity method, and is similar to how we disclose these accounts in our Unaudited Consolidated Balance Sheets and Unaudited Consolidated Statements of Earnings.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 segment breakdown of Goodwill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720" w:type="dxa"/>
            <w:vAlign w:val="bottom"/>
          </w:tcPr>
          <w:p>
            <w:pPr>
              <w:spacing w:after="0"/>
              <w:rPr>
                <w:sz w:val="18"/>
                <w:szCs w:val="18"/>
                <w:color w:val="auto"/>
              </w:rPr>
            </w:pPr>
          </w:p>
        </w:tc>
        <w:tc>
          <w:tcPr>
            <w:tcW w:w="2540" w:type="dxa"/>
            <w:vAlign w:val="bottom"/>
            <w:tcBorders>
              <w:bottom w:val="single" w:sz="8" w:color="004483"/>
            </w:tcBorders>
            <w:shd w:val="clear" w:color="auto" w:fill="004483"/>
          </w:tcPr>
          <w:p>
            <w:pPr>
              <w:jc w:val="right"/>
              <w:ind w:right="937"/>
              <w:spacing w:after="0"/>
              <w:rPr>
                <w:sz w:val="20"/>
                <w:szCs w:val="20"/>
                <w:color w:val="auto"/>
              </w:rPr>
            </w:pPr>
            <w:r>
              <w:rPr>
                <w:rFonts w:ascii="Arial" w:cs="Arial" w:eastAsia="Arial" w:hAnsi="Arial"/>
                <w:sz w:val="13"/>
                <w:szCs w:val="13"/>
                <w:b w:val="1"/>
                <w:bCs w:val="1"/>
                <w:color w:val="FFFFFF"/>
              </w:rPr>
              <w:t>September 30,</w:t>
            </w:r>
          </w:p>
        </w:tc>
        <w:tc>
          <w:tcPr>
            <w:tcW w:w="980" w:type="dxa"/>
            <w:vAlign w:val="bottom"/>
            <w:tcBorders>
              <w:bottom w:val="single" w:sz="8" w:color="004483"/>
            </w:tcBorders>
            <w:gridSpan w:val="2"/>
            <w:shd w:val="clear" w:color="auto" w:fill="004483"/>
          </w:tcPr>
          <w:p>
            <w:pPr>
              <w:jc w:val="right"/>
              <w:ind w:right="120"/>
              <w:spacing w:after="0"/>
              <w:rPr>
                <w:sz w:val="20"/>
                <w:szCs w:val="20"/>
                <w:color w:val="auto"/>
              </w:rPr>
            </w:pPr>
            <w:r>
              <w:rPr>
                <w:rFonts w:ascii="Arial" w:cs="Arial" w:eastAsia="Arial" w:hAnsi="Arial"/>
                <w:sz w:val="13"/>
                <w:szCs w:val="13"/>
                <w:b w:val="1"/>
                <w:bCs w:val="1"/>
                <w:color w:val="FFFFFF"/>
              </w:rPr>
              <w:t>March 31,</w:t>
            </w:r>
          </w:p>
        </w:tc>
      </w:tr>
      <w:tr>
        <w:trPr>
          <w:trHeight w:val="148"/>
        </w:trPr>
        <w:tc>
          <w:tcPr>
            <w:tcW w:w="7720" w:type="dxa"/>
            <w:vAlign w:val="bottom"/>
          </w:tcPr>
          <w:p>
            <w:pPr>
              <w:spacing w:after="0"/>
              <w:rPr>
                <w:sz w:val="12"/>
                <w:szCs w:val="12"/>
                <w:color w:val="auto"/>
              </w:rPr>
            </w:pPr>
          </w:p>
        </w:tc>
        <w:tc>
          <w:tcPr>
            <w:tcW w:w="2540" w:type="dxa"/>
            <w:vAlign w:val="bottom"/>
          </w:tcPr>
          <w:p>
            <w:pPr>
              <w:jc w:val="right"/>
              <w:ind w:right="937"/>
              <w:spacing w:after="0" w:line="148" w:lineRule="exact"/>
              <w:rPr>
                <w:sz w:val="20"/>
                <w:szCs w:val="20"/>
                <w:color w:val="auto"/>
              </w:rPr>
            </w:pPr>
            <w:r>
              <w:rPr>
                <w:rFonts w:ascii="Arial" w:cs="Arial" w:eastAsia="Arial" w:hAnsi="Arial"/>
                <w:sz w:val="13"/>
                <w:szCs w:val="13"/>
                <w:b w:val="1"/>
                <w:bCs w:val="1"/>
                <w:color w:val="auto"/>
              </w:rPr>
              <w:t>2020</w:t>
            </w:r>
          </w:p>
        </w:tc>
        <w:tc>
          <w:tcPr>
            <w:tcW w:w="88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2"/>
                <w:szCs w:val="12"/>
                <w:color w:val="auto"/>
              </w:rPr>
            </w:pPr>
          </w:p>
        </w:tc>
      </w:tr>
      <w:tr>
        <w:trPr>
          <w:trHeight w:val="149"/>
        </w:trPr>
        <w:tc>
          <w:tcPr>
            <w:tcW w:w="7720" w:type="dxa"/>
            <w:vAlign w:val="bottom"/>
            <w:tcBorders>
              <w:bottom w:val="single" w:sz="8" w:color="004483"/>
            </w:tcBorders>
          </w:tcPr>
          <w:p>
            <w:pPr>
              <w:spacing w:after="0"/>
              <w:rPr>
                <w:sz w:val="12"/>
                <w:szCs w:val="12"/>
                <w:color w:val="auto"/>
              </w:rPr>
            </w:pPr>
          </w:p>
        </w:tc>
        <w:tc>
          <w:tcPr>
            <w:tcW w:w="2540" w:type="dxa"/>
            <w:vAlign w:val="bottom"/>
            <w:tcBorders>
              <w:bottom w:val="single" w:sz="8" w:color="004483"/>
            </w:tcBorders>
          </w:tcPr>
          <w:p>
            <w:pPr>
              <w:jc w:val="right"/>
              <w:ind w:right="237"/>
              <w:spacing w:after="0"/>
              <w:rPr>
                <w:sz w:val="20"/>
                <w:szCs w:val="20"/>
                <w:color w:val="auto"/>
              </w:rPr>
            </w:pPr>
            <w:r>
              <w:rPr>
                <w:rFonts w:ascii="Arial" w:cs="Arial" w:eastAsia="Arial" w:hAnsi="Arial"/>
                <w:sz w:val="13"/>
                <w:szCs w:val="13"/>
                <w:color w:val="auto"/>
              </w:rPr>
              <w:t>(dollars in thousands)</w:t>
            </w:r>
          </w:p>
        </w:tc>
        <w:tc>
          <w:tcPr>
            <w:tcW w:w="880" w:type="dxa"/>
            <w:vAlign w:val="bottom"/>
            <w:tcBorders>
              <w:bottom w:val="single" w:sz="8" w:color="004483"/>
            </w:tcBorders>
          </w:tcPr>
          <w:p>
            <w:pPr>
              <w:spacing w:after="0"/>
              <w:rPr>
                <w:sz w:val="12"/>
                <w:szCs w:val="12"/>
                <w:color w:val="auto"/>
              </w:rPr>
            </w:pPr>
          </w:p>
        </w:tc>
        <w:tc>
          <w:tcPr>
            <w:tcW w:w="100" w:type="dxa"/>
            <w:vAlign w:val="bottom"/>
          </w:tcPr>
          <w:p>
            <w:pPr>
              <w:spacing w:after="0"/>
              <w:rPr>
                <w:sz w:val="12"/>
                <w:szCs w:val="12"/>
                <w:color w:val="auto"/>
              </w:rPr>
            </w:pPr>
          </w:p>
        </w:tc>
      </w:tr>
    </w:tbl>
    <w:p>
      <w:pPr>
        <w:spacing w:after="0" w:line="4" w:lineRule="exact"/>
        <w:rPr>
          <w:sz w:val="20"/>
          <w:szCs w:val="20"/>
          <w:color w:val="auto"/>
        </w:rPr>
      </w:pPr>
    </w:p>
    <w:p>
      <w:pPr>
        <w:sectPr>
          <w:pgSz w:w="11900" w:h="16838" w:orient="portrait"/>
          <w:cols w:equalWidth="0" w:num="1">
            <w:col w:w="11240"/>
          </w:cols>
          <w:pgMar w:left="320" w:top="503" w:right="339" w:bottom="1440" w:gutter="0" w:footer="0" w:header="0"/>
        </w:sectPr>
      </w:pPr>
    </w:p>
    <w:tbl>
      <w:tblPr>
        <w:tblLayout w:type="fixed"/>
        <w:tblInd w:w="0" w:type="dxa"/>
        <w:tblCellMar>
          <w:top w:w="0" w:type="dxa"/>
          <w:left w:w="0" w:type="dxa"/>
          <w:bottom w:w="0" w:type="dxa"/>
          <w:right w:w="0" w:type="dxa"/>
        </w:tblCellMar>
      </w:tblPr>
      <w:tr>
        <w:trPr>
          <w:trHeight w:val="209"/>
        </w:trPr>
        <w:tc>
          <w:tcPr>
            <w:tcW w:w="7720" w:type="dxa"/>
            <w:vAlign w:val="bottom"/>
            <w:tcBorders>
              <w:bottom w:val="single" w:sz="8" w:color="A6A6A6"/>
            </w:tcBorders>
          </w:tcPr>
          <w:p>
            <w:pPr>
              <w:spacing w:after="0"/>
              <w:rPr>
                <w:sz w:val="20"/>
                <w:szCs w:val="20"/>
                <w:color w:val="auto"/>
              </w:rPr>
            </w:pPr>
            <w:r>
              <w:rPr>
                <w:rFonts w:ascii="Arial" w:cs="Arial" w:eastAsia="Arial" w:hAnsi="Arial"/>
                <w:sz w:val="16"/>
                <w:szCs w:val="16"/>
                <w:color w:val="277EBF"/>
              </w:rPr>
              <w:t>Cement</w:t>
            </w:r>
          </w:p>
        </w:tc>
        <w:tc>
          <w:tcPr>
            <w:tcW w:w="540" w:type="dxa"/>
            <w:vAlign w:val="bottom"/>
            <w:tcBorders>
              <w:bottom w:val="single" w:sz="8" w:color="A6A6A6"/>
            </w:tcBorders>
          </w:tcPr>
          <w:p>
            <w:pPr>
              <w:jc w:val="right"/>
              <w:ind w:right="38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203,342</w:t>
            </w:r>
          </w:p>
        </w:tc>
      </w:tr>
      <w:tr>
        <w:trPr>
          <w:trHeight w:val="209"/>
        </w:trPr>
        <w:tc>
          <w:tcPr>
            <w:tcW w:w="7720" w:type="dxa"/>
            <w:vAlign w:val="bottom"/>
            <w:tcBorders>
              <w:bottom w:val="single" w:sz="8" w:color="A6A6A6"/>
            </w:tcBorders>
          </w:tcPr>
          <w:p>
            <w:pPr>
              <w:spacing w:after="0"/>
              <w:rPr>
                <w:sz w:val="20"/>
                <w:szCs w:val="20"/>
                <w:color w:val="auto"/>
              </w:rPr>
            </w:pPr>
            <w:r>
              <w:rPr>
                <w:rFonts w:ascii="Arial" w:cs="Arial" w:eastAsia="Arial" w:hAnsi="Arial"/>
                <w:sz w:val="16"/>
                <w:szCs w:val="16"/>
                <w:color w:val="00AAC6"/>
              </w:rPr>
              <w:t>Concrete and Aggregates</w:t>
            </w:r>
          </w:p>
        </w:tc>
        <w:tc>
          <w:tcPr>
            <w:tcW w:w="54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1,639</w:t>
            </w:r>
          </w:p>
        </w:tc>
      </w:tr>
      <w:tr>
        <w:trPr>
          <w:trHeight w:val="210"/>
        </w:trPr>
        <w:tc>
          <w:tcPr>
            <w:tcW w:w="7720" w:type="dxa"/>
            <w:vAlign w:val="bottom"/>
            <w:tcBorders>
              <w:bottom w:val="single" w:sz="8" w:color="A6A6A6"/>
            </w:tcBorders>
          </w:tcPr>
          <w:p>
            <w:pPr>
              <w:spacing w:after="0"/>
              <w:rPr>
                <w:sz w:val="20"/>
                <w:szCs w:val="20"/>
                <w:color w:val="auto"/>
              </w:rPr>
            </w:pPr>
            <w:r>
              <w:rPr>
                <w:rFonts w:ascii="Arial" w:cs="Arial" w:eastAsia="Arial" w:hAnsi="Arial"/>
                <w:sz w:val="16"/>
                <w:szCs w:val="16"/>
                <w:color w:val="77943C"/>
              </w:rPr>
              <w:t>Gypsum Wallboard</w:t>
            </w:r>
          </w:p>
        </w:tc>
        <w:tc>
          <w:tcPr>
            <w:tcW w:w="54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116,618</w:t>
            </w:r>
          </w:p>
        </w:tc>
      </w:tr>
      <w:tr>
        <w:trPr>
          <w:trHeight w:val="209"/>
        </w:trPr>
        <w:tc>
          <w:tcPr>
            <w:tcW w:w="7720" w:type="dxa"/>
            <w:vAlign w:val="bottom"/>
            <w:tcBorders>
              <w:bottom w:val="single" w:sz="8" w:color="A6A6A6"/>
            </w:tcBorders>
          </w:tcPr>
          <w:p>
            <w:pPr>
              <w:spacing w:after="0"/>
              <w:rPr>
                <w:sz w:val="20"/>
                <w:szCs w:val="20"/>
                <w:color w:val="auto"/>
              </w:rPr>
            </w:pPr>
            <w:r>
              <w:rPr>
                <w:rFonts w:ascii="Arial" w:cs="Arial" w:eastAsia="Arial" w:hAnsi="Arial"/>
                <w:sz w:val="16"/>
                <w:szCs w:val="16"/>
                <w:color w:val="AEB949"/>
              </w:rPr>
              <w:t>Paperboard</w:t>
            </w:r>
          </w:p>
        </w:tc>
        <w:tc>
          <w:tcPr>
            <w:tcW w:w="540" w:type="dxa"/>
            <w:vAlign w:val="bottom"/>
            <w:tcBorders>
              <w:bottom w:val="single" w:sz="8" w:color="004483"/>
            </w:tcBorders>
          </w:tcPr>
          <w:p>
            <w:pPr>
              <w:spacing w:after="0"/>
              <w:rPr>
                <w:sz w:val="18"/>
                <w:szCs w:val="18"/>
                <w:color w:val="auto"/>
              </w:rPr>
            </w:pP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7,538</w:t>
            </w:r>
          </w:p>
        </w:tc>
      </w:tr>
      <w:tr>
        <w:trPr>
          <w:trHeight w:val="210"/>
        </w:trPr>
        <w:tc>
          <w:tcPr>
            <w:tcW w:w="7720" w:type="dxa"/>
            <w:vAlign w:val="bottom"/>
          </w:tcPr>
          <w:p>
            <w:pPr>
              <w:spacing w:after="0"/>
              <w:rPr>
                <w:sz w:val="18"/>
                <w:szCs w:val="18"/>
                <w:color w:val="auto"/>
              </w:rPr>
            </w:pPr>
          </w:p>
        </w:tc>
        <w:tc>
          <w:tcPr>
            <w:tcW w:w="540" w:type="dxa"/>
            <w:vAlign w:val="bottom"/>
            <w:tcBorders>
              <w:bottom w:val="single" w:sz="8" w:color="004483"/>
            </w:tcBorders>
          </w:tcPr>
          <w:p>
            <w:pPr>
              <w:jc w:val="right"/>
              <w:ind w:right="384"/>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329,137</w:t>
            </w:r>
          </w:p>
        </w:tc>
      </w:tr>
      <w:tr>
        <w:trPr>
          <w:trHeight w:val="20"/>
        </w:trPr>
        <w:tc>
          <w:tcPr>
            <w:tcW w:w="7720" w:type="dxa"/>
            <w:vAlign w:val="bottom"/>
          </w:tcPr>
          <w:p>
            <w:pPr>
              <w:spacing w:after="0" w:line="20" w:lineRule="exact"/>
              <w:rPr>
                <w:sz w:val="1"/>
                <w:szCs w:val="1"/>
                <w:color w:val="auto"/>
              </w:rPr>
            </w:pPr>
          </w:p>
        </w:tc>
        <w:tc>
          <w:tcPr>
            <w:tcW w:w="540" w:type="dxa"/>
            <w:vAlign w:val="bottom"/>
            <w:tcBorders>
              <w:bottom w:val="single" w:sz="8" w:color="004483"/>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left="1040" w:hanging="1034"/>
        <w:spacing w:after="0"/>
        <w:tabs>
          <w:tab w:leader="none" w:pos="10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205,797</w:t>
      </w:r>
    </w:p>
    <w:p>
      <w:pPr>
        <w:spacing w:after="0" w:line="68" w:lineRule="exact"/>
        <w:rPr>
          <w:rFonts w:ascii="Arial" w:cs="Arial" w:eastAsia="Arial" w:hAnsi="Arial"/>
          <w:sz w:val="14"/>
          <w:szCs w:val="14"/>
          <w:color w:val="auto"/>
        </w:rPr>
      </w:pPr>
    </w:p>
    <w:p>
      <w:pPr>
        <w:ind w:left="1200"/>
        <w:spacing w:after="0"/>
        <w:rPr>
          <w:rFonts w:ascii="Arial" w:cs="Arial" w:eastAsia="Arial" w:hAnsi="Arial"/>
          <w:sz w:val="14"/>
          <w:szCs w:val="14"/>
          <w:color w:val="auto"/>
        </w:rPr>
      </w:pPr>
      <w:r>
        <w:rPr>
          <w:rFonts w:ascii="Arial" w:cs="Arial" w:eastAsia="Arial" w:hAnsi="Arial"/>
          <w:sz w:val="14"/>
          <w:szCs w:val="14"/>
          <w:color w:val="auto"/>
        </w:rPr>
        <w:t>1,639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32385</wp:posOffset>
            </wp:positionV>
            <wp:extent cx="11144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14425" cy="8255"/>
                    </a:xfrm>
                    <a:prstGeom prst="rect">
                      <a:avLst/>
                    </a:prstGeom>
                    <a:noFill/>
                  </pic:spPr>
                </pic:pic>
              </a:graphicData>
            </a:graphic>
          </wp:anchor>
        </w:drawing>
        <w:drawing>
          <wp:anchor simplePos="0" relativeHeight="251657728" behindDoc="1" locked="0" layoutInCell="0" allowOverlap="1">
            <wp:simplePos x="0" y="0"/>
            <wp:positionH relativeFrom="column">
              <wp:posOffset>-115570</wp:posOffset>
            </wp:positionH>
            <wp:positionV relativeFrom="paragraph">
              <wp:posOffset>-112395</wp:posOffset>
            </wp:positionV>
            <wp:extent cx="11144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49"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116,618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17780</wp:posOffset>
            </wp:positionV>
            <wp:extent cx="11144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7,538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17780</wp:posOffset>
            </wp:positionV>
            <wp:extent cx="11144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2" w:lineRule="exact"/>
        <w:rPr>
          <w:sz w:val="20"/>
          <w:szCs w:val="20"/>
          <w:color w:val="auto"/>
        </w:rPr>
      </w:pPr>
    </w:p>
    <w:p>
      <w:pPr>
        <w:ind w:left="1040" w:hanging="1034"/>
        <w:spacing w:after="0"/>
        <w:tabs>
          <w:tab w:leader="none" w:pos="1040" w:val="left"/>
        </w:tabs>
        <w:numPr>
          <w:ilvl w:val="0"/>
          <w:numId w:val="11"/>
        </w:numPr>
        <w:rPr>
          <w:rFonts w:ascii="Arial" w:cs="Arial" w:eastAsia="Arial" w:hAnsi="Arial"/>
          <w:sz w:val="14"/>
          <w:szCs w:val="14"/>
          <w:b w:val="1"/>
          <w:bCs w:val="1"/>
          <w:color w:val="auto"/>
        </w:rPr>
      </w:pPr>
      <w:r>
        <w:rPr>
          <w:rFonts w:ascii="Arial" w:cs="Arial" w:eastAsia="Arial" w:hAnsi="Arial"/>
          <w:sz w:val="14"/>
          <w:szCs w:val="14"/>
          <w:b w:val="1"/>
          <w:bCs w:val="1"/>
          <w:color w:val="auto"/>
        </w:rPr>
        <w:t>331,592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34925</wp:posOffset>
            </wp:positionV>
            <wp:extent cx="99441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52070</wp:posOffset>
            </wp:positionV>
            <wp:extent cx="9944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95" w:lineRule="exact"/>
        <w:rPr>
          <w:sz w:val="20"/>
          <w:szCs w:val="20"/>
          <w:color w:val="auto"/>
        </w:rPr>
      </w:pPr>
    </w:p>
    <w:p>
      <w:pPr>
        <w:sectPr>
          <w:pgSz w:w="11900" w:h="16838" w:orient="portrait"/>
          <w:cols w:equalWidth="0" w:num="2">
            <w:col w:w="9260" w:space="300"/>
            <w:col w:w="1680"/>
          </w:cols>
          <w:pgMar w:left="320" w:top="503" w:right="339" w:bottom="1440" w:gutter="0" w:footer="0" w:header="0"/>
          <w:type w:val="continuous"/>
        </w:sectPr>
      </w:pPr>
    </w:p>
    <w:p>
      <w:pPr>
        <w:spacing w:after="0" w:line="15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Summarized financial information for the Joint Venture that is not consolidated is set out below (this summarized financial information includes the total amount for the Joint Venture and not our 50% interest in those amounts):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40" w:type="dxa"/>
            <w:vAlign w:val="bottom"/>
            <w:shd w:val="clear" w:color="auto" w:fill="004483"/>
          </w:tcPr>
          <w:p>
            <w:pPr>
              <w:spacing w:after="0"/>
              <w:rPr>
                <w:sz w:val="19"/>
                <w:szCs w:val="19"/>
                <w:color w:val="auto"/>
              </w:rPr>
            </w:pPr>
          </w:p>
        </w:tc>
        <w:tc>
          <w:tcPr>
            <w:tcW w:w="2720" w:type="dxa"/>
            <w:vAlign w:val="bottom"/>
            <w:gridSpan w:val="5"/>
            <w:shd w:val="clear" w:color="auto" w:fill="004483"/>
          </w:tcPr>
          <w:p>
            <w:pPr>
              <w:ind w:left="60"/>
              <w:spacing w:after="0"/>
              <w:rPr>
                <w:sz w:val="20"/>
                <w:szCs w:val="20"/>
                <w:color w:val="auto"/>
              </w:rPr>
            </w:pPr>
            <w:r>
              <w:rPr>
                <w:rFonts w:ascii="Arial" w:cs="Arial" w:eastAsia="Arial" w:hAnsi="Arial"/>
                <w:sz w:val="13"/>
                <w:szCs w:val="13"/>
                <w:b w:val="1"/>
                <w:bCs w:val="1"/>
                <w:color w:val="FFFFFF"/>
                <w:w w:val="98"/>
              </w:rPr>
              <w:t>For the Three Months Ended September 30,</w:t>
            </w:r>
          </w:p>
        </w:tc>
        <w:tc>
          <w:tcPr>
            <w:tcW w:w="140" w:type="dxa"/>
            <w:vAlign w:val="bottom"/>
          </w:tcPr>
          <w:p>
            <w:pPr>
              <w:spacing w:after="0"/>
              <w:rPr>
                <w:sz w:val="19"/>
                <w:szCs w:val="19"/>
                <w:color w:val="auto"/>
              </w:rPr>
            </w:pPr>
          </w:p>
        </w:tc>
        <w:tc>
          <w:tcPr>
            <w:tcW w:w="160" w:type="dxa"/>
            <w:vAlign w:val="bottom"/>
            <w:shd w:val="clear" w:color="auto" w:fill="004483"/>
          </w:tcPr>
          <w:p>
            <w:pPr>
              <w:spacing w:after="0"/>
              <w:rPr>
                <w:sz w:val="19"/>
                <w:szCs w:val="19"/>
                <w:color w:val="auto"/>
              </w:rPr>
            </w:pPr>
          </w:p>
        </w:tc>
        <w:tc>
          <w:tcPr>
            <w:tcW w:w="2720" w:type="dxa"/>
            <w:vAlign w:val="bottom"/>
            <w:gridSpan w:val="5"/>
            <w:shd w:val="clear" w:color="auto" w:fill="004483"/>
          </w:tcPr>
          <w:p>
            <w:pPr>
              <w:ind w:left="100"/>
              <w:spacing w:after="0"/>
              <w:rPr>
                <w:sz w:val="20"/>
                <w:szCs w:val="20"/>
                <w:color w:val="auto"/>
              </w:rPr>
            </w:pPr>
            <w:r>
              <w:rPr>
                <w:rFonts w:ascii="Arial" w:cs="Arial" w:eastAsia="Arial" w:hAnsi="Arial"/>
                <w:sz w:val="13"/>
                <w:szCs w:val="13"/>
                <w:b w:val="1"/>
                <w:bCs w:val="1"/>
                <w:color w:val="FFFFFF"/>
              </w:rPr>
              <w:t>For the Six Months Ended September 30,</w:t>
            </w:r>
          </w:p>
        </w:tc>
      </w:tr>
      <w:tr>
        <w:trPr>
          <w:trHeight w:val="148"/>
        </w:trPr>
        <w:tc>
          <w:tcPr>
            <w:tcW w:w="36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2"/>
                <w:szCs w:val="12"/>
                <w:color w:val="auto"/>
              </w:rPr>
            </w:pPr>
          </w:p>
        </w:tc>
      </w:tr>
      <w:tr>
        <w:trPr>
          <w:trHeight w:val="149"/>
        </w:trPr>
        <w:tc>
          <w:tcPr>
            <w:tcW w:w="3680" w:type="dxa"/>
            <w:vAlign w:val="bottom"/>
            <w:tcBorders>
              <w:bottom w:val="single" w:sz="8" w:color="004483"/>
            </w:tcBorders>
          </w:tcPr>
          <w:p>
            <w:pPr>
              <w:spacing w:after="0"/>
              <w:rPr>
                <w:sz w:val="12"/>
                <w:szCs w:val="12"/>
                <w:color w:val="auto"/>
              </w:rPr>
            </w:pPr>
          </w:p>
        </w:tc>
        <w:tc>
          <w:tcPr>
            <w:tcW w:w="1680" w:type="dxa"/>
            <w:vAlign w:val="bottom"/>
            <w:tcBorders>
              <w:bottom w:val="single" w:sz="8" w:color="004483"/>
            </w:tcBorders>
          </w:tcPr>
          <w:p>
            <w:pPr>
              <w:spacing w:after="0"/>
              <w:rPr>
                <w:sz w:val="12"/>
                <w:szCs w:val="12"/>
                <w:color w:val="auto"/>
              </w:rPr>
            </w:pPr>
          </w:p>
        </w:tc>
        <w:tc>
          <w:tcPr>
            <w:tcW w:w="140" w:type="dxa"/>
            <w:vAlign w:val="bottom"/>
            <w:tcBorders>
              <w:bottom w:val="single" w:sz="8" w:color="004483"/>
            </w:tcBorders>
          </w:tcPr>
          <w:p>
            <w:pPr>
              <w:spacing w:after="0"/>
              <w:rPr>
                <w:sz w:val="12"/>
                <w:szCs w:val="12"/>
                <w:color w:val="auto"/>
              </w:rPr>
            </w:pPr>
          </w:p>
        </w:tc>
        <w:tc>
          <w:tcPr>
            <w:tcW w:w="1980" w:type="dxa"/>
            <w:vAlign w:val="bottom"/>
            <w:tcBorders>
              <w:bottom w:val="single" w:sz="8" w:color="004483"/>
            </w:tcBorders>
            <w:gridSpan w:val="3"/>
          </w:tcPr>
          <w:p>
            <w:pPr>
              <w:jc w:val="right"/>
              <w:ind w:right="119"/>
              <w:spacing w:after="0"/>
              <w:rPr>
                <w:sz w:val="20"/>
                <w:szCs w:val="20"/>
                <w:color w:val="auto"/>
              </w:rPr>
            </w:pPr>
            <w:r>
              <w:rPr>
                <w:rFonts w:ascii="Arial" w:cs="Arial" w:eastAsia="Arial" w:hAnsi="Arial"/>
                <w:sz w:val="13"/>
                <w:szCs w:val="13"/>
                <w:color w:val="auto"/>
              </w:rPr>
              <w:t>(dollars in thousands)</w:t>
            </w:r>
          </w:p>
        </w:tc>
        <w:tc>
          <w:tcPr>
            <w:tcW w:w="640" w:type="dxa"/>
            <w:vAlign w:val="bottom"/>
            <w:tcBorders>
              <w:bottom w:val="single" w:sz="8" w:color="004483"/>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004483"/>
            </w:tcBorders>
          </w:tcPr>
          <w:p>
            <w:pPr>
              <w:spacing w:after="0"/>
              <w:rPr>
                <w:sz w:val="12"/>
                <w:szCs w:val="12"/>
                <w:color w:val="auto"/>
              </w:rPr>
            </w:pPr>
          </w:p>
        </w:tc>
        <w:tc>
          <w:tcPr>
            <w:tcW w:w="160" w:type="dxa"/>
            <w:vAlign w:val="bottom"/>
            <w:tcBorders>
              <w:bottom w:val="single" w:sz="8" w:color="004483"/>
            </w:tcBorders>
          </w:tcPr>
          <w:p>
            <w:pPr>
              <w:spacing w:after="0"/>
              <w:rPr>
                <w:sz w:val="12"/>
                <w:szCs w:val="12"/>
                <w:color w:val="auto"/>
              </w:rPr>
            </w:pPr>
          </w:p>
        </w:tc>
        <w:tc>
          <w:tcPr>
            <w:tcW w:w="1920" w:type="dxa"/>
            <w:vAlign w:val="bottom"/>
            <w:tcBorders>
              <w:bottom w:val="single" w:sz="8" w:color="004483"/>
            </w:tcBorders>
            <w:gridSpan w:val="3"/>
          </w:tcPr>
          <w:p>
            <w:pPr>
              <w:jc w:val="right"/>
              <w:ind w:right="79"/>
              <w:spacing w:after="0"/>
              <w:rPr>
                <w:sz w:val="20"/>
                <w:szCs w:val="20"/>
                <w:color w:val="auto"/>
              </w:rPr>
            </w:pPr>
            <w:r>
              <w:rPr>
                <w:rFonts w:ascii="Arial" w:cs="Arial" w:eastAsia="Arial" w:hAnsi="Arial"/>
                <w:sz w:val="13"/>
                <w:szCs w:val="13"/>
                <w:color w:val="auto"/>
              </w:rPr>
              <w:t>(dollars in thousands)</w:t>
            </w:r>
          </w:p>
        </w:tc>
        <w:tc>
          <w:tcPr>
            <w:tcW w:w="700" w:type="dxa"/>
            <w:vAlign w:val="bottom"/>
            <w:tcBorders>
              <w:bottom w:val="single" w:sz="8" w:color="004483"/>
            </w:tcBorders>
          </w:tcPr>
          <w:p>
            <w:pPr>
              <w:spacing w:after="0"/>
              <w:rPr>
                <w:sz w:val="12"/>
                <w:szCs w:val="12"/>
                <w:color w:val="auto"/>
              </w:rPr>
            </w:pPr>
          </w:p>
        </w:tc>
        <w:tc>
          <w:tcPr>
            <w:tcW w:w="100" w:type="dxa"/>
            <w:vAlign w:val="bottom"/>
          </w:tcPr>
          <w:p>
            <w:pPr>
              <w:spacing w:after="0"/>
              <w:rPr>
                <w:sz w:val="12"/>
                <w:szCs w:val="12"/>
                <w:color w:val="auto"/>
              </w:rPr>
            </w:pPr>
          </w:p>
        </w:tc>
      </w:tr>
      <w:tr>
        <w:trPr>
          <w:trHeight w:val="207"/>
        </w:trPr>
        <w:tc>
          <w:tcPr>
            <w:tcW w:w="3680" w:type="dxa"/>
            <w:vAlign w:val="bottom"/>
            <w:tcBorders>
              <w:bottom w:val="single" w:sz="8" w:color="A6A6A6"/>
            </w:tcBorders>
          </w:tcPr>
          <w:p>
            <w:pPr>
              <w:spacing w:after="0"/>
              <w:rPr>
                <w:sz w:val="20"/>
                <w:szCs w:val="20"/>
                <w:color w:val="auto"/>
              </w:rPr>
            </w:pPr>
            <w:r>
              <w:rPr>
                <w:rFonts w:ascii="Arial" w:cs="Arial" w:eastAsia="Arial" w:hAnsi="Arial"/>
                <w:sz w:val="16"/>
                <w:szCs w:val="16"/>
                <w:color w:val="004483"/>
              </w:rPr>
              <w:t>Revenue</w:t>
            </w:r>
          </w:p>
        </w:tc>
        <w:tc>
          <w:tcPr>
            <w:tcW w:w="1820" w:type="dxa"/>
            <w:vAlign w:val="bottom"/>
            <w:tcBorders>
              <w:bottom w:val="single" w:sz="8" w:color="A6A6A6"/>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54,387</w:t>
            </w:r>
          </w:p>
        </w:tc>
        <w:tc>
          <w:tcPr>
            <w:tcW w:w="120" w:type="dxa"/>
            <w:vAlign w:val="bottom"/>
          </w:tcPr>
          <w:p>
            <w:pPr>
              <w:spacing w:after="0"/>
              <w:rPr>
                <w:sz w:val="17"/>
                <w:szCs w:val="17"/>
                <w:color w:val="auto"/>
              </w:rPr>
            </w:pPr>
          </w:p>
        </w:tc>
        <w:tc>
          <w:tcPr>
            <w:tcW w:w="740" w:type="dxa"/>
            <w:vAlign w:val="bottom"/>
            <w:tcBorders>
              <w:bottom w:val="single" w:sz="8" w:color="A6A6A6"/>
            </w:tcBorders>
          </w:tcPr>
          <w:p>
            <w:pPr>
              <w:jc w:val="right"/>
              <w:ind w:right="45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59,775</w:t>
            </w:r>
          </w:p>
        </w:tc>
        <w:tc>
          <w:tcPr>
            <w:tcW w:w="100" w:type="dxa"/>
            <w:vAlign w:val="bottom"/>
          </w:tcPr>
          <w:p>
            <w:pPr>
              <w:spacing w:after="0"/>
              <w:rPr>
                <w:sz w:val="17"/>
                <w:szCs w:val="17"/>
                <w:color w:val="auto"/>
              </w:rPr>
            </w:pPr>
          </w:p>
        </w:tc>
        <w:tc>
          <w:tcPr>
            <w:tcW w:w="300" w:type="dxa"/>
            <w:vAlign w:val="bottom"/>
            <w:tcBorders>
              <w:bottom w:val="single" w:sz="8" w:color="A6A6A6"/>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104,987</w:t>
            </w:r>
          </w:p>
        </w:tc>
        <w:tc>
          <w:tcPr>
            <w:tcW w:w="100" w:type="dxa"/>
            <w:vAlign w:val="bottom"/>
          </w:tcPr>
          <w:p>
            <w:pPr>
              <w:spacing w:after="0"/>
              <w:rPr>
                <w:sz w:val="17"/>
                <w:szCs w:val="17"/>
                <w:color w:val="auto"/>
              </w:rPr>
            </w:pPr>
          </w:p>
        </w:tc>
        <w:tc>
          <w:tcPr>
            <w:tcW w:w="720" w:type="dxa"/>
            <w:vAlign w:val="bottom"/>
            <w:tcBorders>
              <w:bottom w:val="single" w:sz="8" w:color="A6A6A6"/>
            </w:tcBorders>
          </w:tcPr>
          <w:p>
            <w:pPr>
              <w:jc w:val="right"/>
              <w:ind w:right="4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115,617</w:t>
            </w:r>
          </w:p>
        </w:tc>
        <w:tc>
          <w:tcPr>
            <w:tcW w:w="100" w:type="dxa"/>
            <w:vAlign w:val="bottom"/>
          </w:tcPr>
          <w:p>
            <w:pPr>
              <w:spacing w:after="0"/>
              <w:rPr>
                <w:sz w:val="17"/>
                <w:szCs w:val="17"/>
                <w:color w:val="auto"/>
              </w:rPr>
            </w:pPr>
          </w:p>
        </w:tc>
      </w:tr>
      <w:tr>
        <w:trPr>
          <w:trHeight w:val="210"/>
        </w:trPr>
        <w:tc>
          <w:tcPr>
            <w:tcW w:w="3680" w:type="dxa"/>
            <w:vAlign w:val="bottom"/>
            <w:tcBorders>
              <w:bottom w:val="single" w:sz="8" w:color="A6A6A6"/>
            </w:tcBorders>
          </w:tcPr>
          <w:p>
            <w:pPr>
              <w:spacing w:after="0"/>
              <w:rPr>
                <w:sz w:val="20"/>
                <w:szCs w:val="20"/>
                <w:color w:val="auto"/>
              </w:rPr>
            </w:pPr>
            <w:r>
              <w:rPr>
                <w:rFonts w:ascii="Arial" w:cs="Arial" w:eastAsia="Arial" w:hAnsi="Arial"/>
                <w:sz w:val="16"/>
                <w:szCs w:val="16"/>
                <w:color w:val="004483"/>
              </w:rPr>
              <w:t>Gross Margin</w:t>
            </w:r>
          </w:p>
        </w:tc>
        <w:tc>
          <w:tcPr>
            <w:tcW w:w="1820" w:type="dxa"/>
            <w:vAlign w:val="bottom"/>
            <w:tcBorders>
              <w:bottom w:val="single" w:sz="8" w:color="A6A6A6"/>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23,004</w:t>
            </w:r>
          </w:p>
        </w:tc>
        <w:tc>
          <w:tcPr>
            <w:tcW w:w="120" w:type="dxa"/>
            <w:vAlign w:val="bottom"/>
          </w:tcPr>
          <w:p>
            <w:pPr>
              <w:spacing w:after="0"/>
              <w:rPr>
                <w:sz w:val="18"/>
                <w:szCs w:val="18"/>
                <w:color w:val="auto"/>
              </w:rPr>
            </w:pPr>
          </w:p>
        </w:tc>
        <w:tc>
          <w:tcPr>
            <w:tcW w:w="740" w:type="dxa"/>
            <w:vAlign w:val="bottom"/>
            <w:tcBorders>
              <w:bottom w:val="single" w:sz="8" w:color="A6A6A6"/>
            </w:tcBorders>
          </w:tcPr>
          <w:p>
            <w:pPr>
              <w:jc w:val="right"/>
              <w:ind w:right="45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26,191</w:t>
            </w:r>
          </w:p>
        </w:tc>
        <w:tc>
          <w:tcPr>
            <w:tcW w:w="100" w:type="dxa"/>
            <w:vAlign w:val="bottom"/>
          </w:tcPr>
          <w:p>
            <w:pPr>
              <w:spacing w:after="0"/>
              <w:rPr>
                <w:sz w:val="18"/>
                <w:szCs w:val="18"/>
                <w:color w:val="auto"/>
              </w:rPr>
            </w:pPr>
          </w:p>
        </w:tc>
        <w:tc>
          <w:tcPr>
            <w:tcW w:w="300" w:type="dxa"/>
            <w:vAlign w:val="bottom"/>
            <w:tcBorders>
              <w:bottom w:val="single" w:sz="8" w:color="A6A6A6"/>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39,769</w:t>
            </w:r>
          </w:p>
        </w:tc>
        <w:tc>
          <w:tcPr>
            <w:tcW w:w="100" w:type="dxa"/>
            <w:vAlign w:val="bottom"/>
          </w:tcPr>
          <w:p>
            <w:pPr>
              <w:spacing w:after="0"/>
              <w:rPr>
                <w:sz w:val="18"/>
                <w:szCs w:val="18"/>
                <w:color w:val="auto"/>
              </w:rPr>
            </w:pPr>
          </w:p>
        </w:tc>
        <w:tc>
          <w:tcPr>
            <w:tcW w:w="720" w:type="dxa"/>
            <w:vAlign w:val="bottom"/>
            <w:tcBorders>
              <w:bottom w:val="single" w:sz="8" w:color="A6A6A6"/>
            </w:tcBorders>
          </w:tcPr>
          <w:p>
            <w:pPr>
              <w:jc w:val="right"/>
              <w:ind w:right="4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46,056</w:t>
            </w:r>
          </w:p>
        </w:tc>
        <w:tc>
          <w:tcPr>
            <w:tcW w:w="100" w:type="dxa"/>
            <w:vAlign w:val="bottom"/>
          </w:tcPr>
          <w:p>
            <w:pPr>
              <w:spacing w:after="0"/>
              <w:rPr>
                <w:sz w:val="18"/>
                <w:szCs w:val="18"/>
                <w:color w:val="auto"/>
              </w:rPr>
            </w:pPr>
          </w:p>
        </w:tc>
      </w:tr>
      <w:tr>
        <w:trPr>
          <w:trHeight w:val="209"/>
        </w:trPr>
        <w:tc>
          <w:tcPr>
            <w:tcW w:w="3680" w:type="dxa"/>
            <w:vAlign w:val="bottom"/>
            <w:tcBorders>
              <w:bottom w:val="single" w:sz="8" w:color="A6A6A6"/>
            </w:tcBorders>
          </w:tcPr>
          <w:p>
            <w:pPr>
              <w:spacing w:after="0"/>
              <w:rPr>
                <w:sz w:val="20"/>
                <w:szCs w:val="20"/>
                <w:color w:val="auto"/>
              </w:rPr>
            </w:pPr>
            <w:r>
              <w:rPr>
                <w:rFonts w:ascii="Arial" w:cs="Arial" w:eastAsia="Arial" w:hAnsi="Arial"/>
                <w:sz w:val="16"/>
                <w:szCs w:val="16"/>
                <w:color w:val="004483"/>
              </w:rPr>
              <w:t>Earnings Before Income Taxes</w:t>
            </w:r>
          </w:p>
        </w:tc>
        <w:tc>
          <w:tcPr>
            <w:tcW w:w="1820" w:type="dxa"/>
            <w:vAlign w:val="bottom"/>
            <w:tcBorders>
              <w:bottom w:val="single" w:sz="8" w:color="A6A6A6"/>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21,154</w:t>
            </w:r>
          </w:p>
        </w:tc>
        <w:tc>
          <w:tcPr>
            <w:tcW w:w="120" w:type="dxa"/>
            <w:vAlign w:val="bottom"/>
          </w:tcPr>
          <w:p>
            <w:pPr>
              <w:spacing w:after="0"/>
              <w:rPr>
                <w:sz w:val="18"/>
                <w:szCs w:val="18"/>
                <w:color w:val="auto"/>
              </w:rPr>
            </w:pPr>
          </w:p>
        </w:tc>
        <w:tc>
          <w:tcPr>
            <w:tcW w:w="740" w:type="dxa"/>
            <w:vAlign w:val="bottom"/>
            <w:tcBorders>
              <w:bottom w:val="single" w:sz="8" w:color="A6A6A6"/>
            </w:tcBorders>
          </w:tcPr>
          <w:p>
            <w:pPr>
              <w:jc w:val="right"/>
              <w:ind w:right="45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24,713</w:t>
            </w:r>
          </w:p>
        </w:tc>
        <w:tc>
          <w:tcPr>
            <w:tcW w:w="100" w:type="dxa"/>
            <w:vAlign w:val="bottom"/>
          </w:tcPr>
          <w:p>
            <w:pPr>
              <w:spacing w:after="0"/>
              <w:rPr>
                <w:sz w:val="18"/>
                <w:szCs w:val="18"/>
                <w:color w:val="auto"/>
              </w:rPr>
            </w:pPr>
          </w:p>
        </w:tc>
        <w:tc>
          <w:tcPr>
            <w:tcW w:w="300" w:type="dxa"/>
            <w:vAlign w:val="bottom"/>
            <w:tcBorders>
              <w:bottom w:val="single" w:sz="8" w:color="A6A6A6"/>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36,745</w:t>
            </w:r>
          </w:p>
        </w:tc>
        <w:tc>
          <w:tcPr>
            <w:tcW w:w="100" w:type="dxa"/>
            <w:vAlign w:val="bottom"/>
          </w:tcPr>
          <w:p>
            <w:pPr>
              <w:spacing w:after="0"/>
              <w:rPr>
                <w:sz w:val="18"/>
                <w:szCs w:val="18"/>
                <w:color w:val="auto"/>
              </w:rPr>
            </w:pPr>
          </w:p>
        </w:tc>
        <w:tc>
          <w:tcPr>
            <w:tcW w:w="720" w:type="dxa"/>
            <w:vAlign w:val="bottom"/>
            <w:tcBorders>
              <w:bottom w:val="single" w:sz="8" w:color="A6A6A6"/>
            </w:tcBorders>
          </w:tcPr>
          <w:p>
            <w:pPr>
              <w:jc w:val="right"/>
              <w:ind w:right="4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43,577</w:t>
            </w:r>
          </w:p>
        </w:tc>
        <w:tc>
          <w:tcPr>
            <w:tcW w:w="100" w:type="dxa"/>
            <w:vAlign w:val="bottom"/>
          </w:tcPr>
          <w:p>
            <w:pPr>
              <w:spacing w:after="0"/>
              <w:rPr>
                <w:sz w:val="18"/>
                <w:szCs w:val="18"/>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20" w:type="dxa"/>
            <w:vAlign w:val="bottom"/>
            <w:tcBorders>
              <w:bottom w:val="single" w:sz="8" w:color="004483"/>
            </w:tcBorders>
            <w:shd w:val="clear" w:color="auto" w:fill="004483"/>
          </w:tcPr>
          <w:p>
            <w:pPr>
              <w:spacing w:after="0"/>
              <w:rPr>
                <w:sz w:val="18"/>
                <w:szCs w:val="18"/>
                <w:color w:val="auto"/>
              </w:rPr>
            </w:pPr>
          </w:p>
        </w:tc>
        <w:tc>
          <w:tcPr>
            <w:tcW w:w="1240" w:type="dxa"/>
            <w:vAlign w:val="bottom"/>
            <w:tcBorders>
              <w:bottom w:val="single" w:sz="8" w:color="004483"/>
            </w:tcBorders>
            <w:gridSpan w:val="2"/>
            <w:shd w:val="clear" w:color="auto" w:fill="004483"/>
          </w:tcPr>
          <w:p>
            <w:pPr>
              <w:ind w:left="340"/>
              <w:spacing w:after="0"/>
              <w:rPr>
                <w:sz w:val="20"/>
                <w:szCs w:val="20"/>
                <w:color w:val="auto"/>
              </w:rPr>
            </w:pPr>
            <w:r>
              <w:rPr>
                <w:rFonts w:ascii="Arial" w:cs="Arial" w:eastAsia="Arial" w:hAnsi="Arial"/>
                <w:sz w:val="13"/>
                <w:szCs w:val="13"/>
                <w:b w:val="1"/>
                <w:bCs w:val="1"/>
                <w:color w:val="FFFFFF"/>
                <w:w w:val="98"/>
              </w:rPr>
              <w:t>September 30,</w:t>
            </w:r>
          </w:p>
        </w:tc>
        <w:tc>
          <w:tcPr>
            <w:tcW w:w="880" w:type="dxa"/>
            <w:vAlign w:val="bottom"/>
            <w:tcBorders>
              <w:bottom w:val="single" w:sz="8" w:color="004483"/>
            </w:tcBorders>
            <w:shd w:val="clear" w:color="auto" w:fill="004483"/>
          </w:tcPr>
          <w:p>
            <w:pPr>
              <w:spacing w:after="0"/>
              <w:rPr>
                <w:sz w:val="18"/>
                <w:szCs w:val="18"/>
                <w:color w:val="auto"/>
              </w:rPr>
            </w:pPr>
          </w:p>
        </w:tc>
        <w:tc>
          <w:tcPr>
            <w:tcW w:w="980" w:type="dxa"/>
            <w:vAlign w:val="bottom"/>
            <w:tcBorders>
              <w:bottom w:val="single" w:sz="8" w:color="004483"/>
            </w:tcBorders>
            <w:gridSpan w:val="2"/>
            <w:shd w:val="clear" w:color="auto" w:fill="004483"/>
          </w:tcPr>
          <w:p>
            <w:pPr>
              <w:ind w:left="300"/>
              <w:spacing w:after="0"/>
              <w:rPr>
                <w:sz w:val="20"/>
                <w:szCs w:val="20"/>
                <w:color w:val="auto"/>
              </w:rPr>
            </w:pPr>
            <w:r>
              <w:rPr>
                <w:rFonts w:ascii="Arial" w:cs="Arial" w:eastAsia="Arial" w:hAnsi="Arial"/>
                <w:sz w:val="13"/>
                <w:szCs w:val="13"/>
                <w:b w:val="1"/>
                <w:bCs w:val="1"/>
                <w:color w:val="FFFFFF"/>
              </w:rPr>
              <w:t>March 31,</w:t>
            </w:r>
          </w:p>
        </w:tc>
      </w:tr>
      <w:tr>
        <w:trPr>
          <w:trHeight w:val="148"/>
        </w:trPr>
        <w:tc>
          <w:tcPr>
            <w:tcW w:w="45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2"/>
                <w:szCs w:val="12"/>
                <w:color w:val="auto"/>
              </w:rPr>
            </w:pPr>
          </w:p>
        </w:tc>
      </w:tr>
      <w:tr>
        <w:trPr>
          <w:trHeight w:val="149"/>
        </w:trPr>
        <w:tc>
          <w:tcPr>
            <w:tcW w:w="4500" w:type="dxa"/>
            <w:vAlign w:val="bottom"/>
            <w:tcBorders>
              <w:bottom w:val="single" w:sz="8" w:color="004483"/>
            </w:tcBorders>
          </w:tcPr>
          <w:p>
            <w:pPr>
              <w:spacing w:after="0"/>
              <w:rPr>
                <w:sz w:val="12"/>
                <w:szCs w:val="12"/>
                <w:color w:val="auto"/>
              </w:rPr>
            </w:pPr>
          </w:p>
        </w:tc>
        <w:tc>
          <w:tcPr>
            <w:tcW w:w="3220" w:type="dxa"/>
            <w:vAlign w:val="bottom"/>
            <w:tcBorders>
              <w:bottom w:val="single" w:sz="8" w:color="004483"/>
            </w:tcBorders>
          </w:tcPr>
          <w:p>
            <w:pPr>
              <w:spacing w:after="0"/>
              <w:rPr>
                <w:sz w:val="12"/>
                <w:szCs w:val="12"/>
                <w:color w:val="auto"/>
              </w:rPr>
            </w:pPr>
          </w:p>
        </w:tc>
        <w:tc>
          <w:tcPr>
            <w:tcW w:w="420" w:type="dxa"/>
            <w:vAlign w:val="bottom"/>
            <w:tcBorders>
              <w:bottom w:val="single" w:sz="8" w:color="004483"/>
            </w:tcBorders>
          </w:tcPr>
          <w:p>
            <w:pPr>
              <w:spacing w:after="0"/>
              <w:rPr>
                <w:sz w:val="12"/>
                <w:szCs w:val="12"/>
                <w:color w:val="auto"/>
              </w:rPr>
            </w:pPr>
          </w:p>
        </w:tc>
        <w:tc>
          <w:tcPr>
            <w:tcW w:w="2120" w:type="dxa"/>
            <w:vAlign w:val="bottom"/>
            <w:tcBorders>
              <w:bottom w:val="single" w:sz="8" w:color="004483"/>
            </w:tcBorders>
            <w:gridSpan w:val="3"/>
          </w:tcPr>
          <w:p>
            <w:pPr>
              <w:jc w:val="right"/>
              <w:ind w:right="219"/>
              <w:spacing w:after="0"/>
              <w:rPr>
                <w:sz w:val="20"/>
                <w:szCs w:val="20"/>
                <w:color w:val="auto"/>
              </w:rPr>
            </w:pPr>
            <w:r>
              <w:rPr>
                <w:rFonts w:ascii="Arial" w:cs="Arial" w:eastAsia="Arial" w:hAnsi="Arial"/>
                <w:sz w:val="13"/>
                <w:szCs w:val="13"/>
                <w:color w:val="auto"/>
              </w:rPr>
              <w:t>(dollars in thousands)</w:t>
            </w:r>
          </w:p>
        </w:tc>
        <w:tc>
          <w:tcPr>
            <w:tcW w:w="880" w:type="dxa"/>
            <w:vAlign w:val="bottom"/>
            <w:tcBorders>
              <w:bottom w:val="single" w:sz="8" w:color="004483"/>
            </w:tcBorders>
          </w:tcPr>
          <w:p>
            <w:pPr>
              <w:spacing w:after="0"/>
              <w:rPr>
                <w:sz w:val="12"/>
                <w:szCs w:val="12"/>
                <w:color w:val="auto"/>
              </w:rPr>
            </w:pPr>
          </w:p>
        </w:tc>
        <w:tc>
          <w:tcPr>
            <w:tcW w:w="100" w:type="dxa"/>
            <w:vAlign w:val="bottom"/>
          </w:tcPr>
          <w:p>
            <w:pPr>
              <w:spacing w:after="0"/>
              <w:rPr>
                <w:sz w:val="12"/>
                <w:szCs w:val="12"/>
                <w:color w:val="auto"/>
              </w:rPr>
            </w:pPr>
          </w:p>
        </w:tc>
      </w:tr>
      <w:tr>
        <w:trPr>
          <w:trHeight w:val="207"/>
        </w:trPr>
        <w:tc>
          <w:tcPr>
            <w:tcW w:w="4500" w:type="dxa"/>
            <w:vAlign w:val="bottom"/>
            <w:tcBorders>
              <w:bottom w:val="single" w:sz="8" w:color="A6A6A6"/>
            </w:tcBorders>
          </w:tcPr>
          <w:p>
            <w:pPr>
              <w:spacing w:after="0"/>
              <w:rPr>
                <w:sz w:val="20"/>
                <w:szCs w:val="20"/>
                <w:color w:val="auto"/>
              </w:rPr>
            </w:pPr>
            <w:r>
              <w:rPr>
                <w:rFonts w:ascii="Arial" w:cs="Arial" w:eastAsia="Arial" w:hAnsi="Arial"/>
                <w:sz w:val="16"/>
                <w:szCs w:val="16"/>
                <w:color w:val="004483"/>
              </w:rPr>
              <w:t>Current Assets</w:t>
            </w:r>
          </w:p>
        </w:tc>
        <w:tc>
          <w:tcPr>
            <w:tcW w:w="3640" w:type="dxa"/>
            <w:vAlign w:val="bottom"/>
            <w:tcBorders>
              <w:bottom w:val="single" w:sz="8" w:color="A6A6A6"/>
            </w:tcBorders>
            <w:gridSpan w:val="2"/>
          </w:tcPr>
          <w:p>
            <w:pPr>
              <w:jc w:val="right"/>
              <w:ind w:right="3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70,185</w:t>
            </w:r>
          </w:p>
        </w:tc>
        <w:tc>
          <w:tcPr>
            <w:tcW w:w="120" w:type="dxa"/>
            <w:vAlign w:val="bottom"/>
          </w:tcPr>
          <w:p>
            <w:pPr>
              <w:spacing w:after="0"/>
              <w:rPr>
                <w:sz w:val="17"/>
                <w:szCs w:val="17"/>
                <w:color w:val="auto"/>
              </w:rPr>
            </w:pPr>
          </w:p>
        </w:tc>
        <w:tc>
          <w:tcPr>
            <w:tcW w:w="880" w:type="dxa"/>
            <w:vAlign w:val="bottom"/>
            <w:tcBorders>
              <w:bottom w:val="single" w:sz="8" w:color="A6A6A6"/>
            </w:tcBorders>
          </w:tcPr>
          <w:p>
            <w:pPr>
              <w:jc w:val="right"/>
              <w:ind w:right="5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77,331</w:t>
            </w:r>
          </w:p>
        </w:tc>
        <w:tc>
          <w:tcPr>
            <w:tcW w:w="100" w:type="dxa"/>
            <w:vAlign w:val="bottom"/>
          </w:tcPr>
          <w:p>
            <w:pPr>
              <w:spacing w:after="0"/>
              <w:rPr>
                <w:sz w:val="17"/>
                <w:szCs w:val="17"/>
                <w:color w:val="auto"/>
              </w:rPr>
            </w:pPr>
          </w:p>
        </w:tc>
      </w:tr>
      <w:tr>
        <w:trPr>
          <w:trHeight w:val="210"/>
        </w:trPr>
        <w:tc>
          <w:tcPr>
            <w:tcW w:w="4500" w:type="dxa"/>
            <w:vAlign w:val="bottom"/>
            <w:tcBorders>
              <w:bottom w:val="single" w:sz="8" w:color="A6A6A6"/>
            </w:tcBorders>
          </w:tcPr>
          <w:p>
            <w:pPr>
              <w:spacing w:after="0"/>
              <w:rPr>
                <w:sz w:val="20"/>
                <w:szCs w:val="20"/>
                <w:color w:val="auto"/>
              </w:rPr>
            </w:pPr>
            <w:r>
              <w:rPr>
                <w:rFonts w:ascii="Arial" w:cs="Arial" w:eastAsia="Arial" w:hAnsi="Arial"/>
                <w:sz w:val="16"/>
                <w:szCs w:val="16"/>
                <w:color w:val="004483"/>
              </w:rPr>
              <w:t>Non-Current Assets</w:t>
            </w:r>
          </w:p>
        </w:tc>
        <w:tc>
          <w:tcPr>
            <w:tcW w:w="3640" w:type="dxa"/>
            <w:vAlign w:val="bottom"/>
            <w:tcBorders>
              <w:bottom w:val="single" w:sz="8" w:color="A6A6A6"/>
            </w:tcBorders>
            <w:gridSpan w:val="2"/>
          </w:tcPr>
          <w:p>
            <w:pPr>
              <w:jc w:val="right"/>
              <w:ind w:right="3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101,889</w:t>
            </w:r>
          </w:p>
        </w:tc>
        <w:tc>
          <w:tcPr>
            <w:tcW w:w="120" w:type="dxa"/>
            <w:vAlign w:val="bottom"/>
          </w:tcPr>
          <w:p>
            <w:pPr>
              <w:spacing w:after="0"/>
              <w:rPr>
                <w:sz w:val="18"/>
                <w:szCs w:val="18"/>
                <w:color w:val="auto"/>
              </w:rPr>
            </w:pPr>
          </w:p>
        </w:tc>
        <w:tc>
          <w:tcPr>
            <w:tcW w:w="880" w:type="dxa"/>
            <w:vAlign w:val="bottom"/>
            <w:tcBorders>
              <w:bottom w:val="single" w:sz="8" w:color="A6A6A6"/>
            </w:tcBorders>
          </w:tcPr>
          <w:p>
            <w:pPr>
              <w:jc w:val="right"/>
              <w:ind w:right="5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93,093</w:t>
            </w:r>
          </w:p>
        </w:tc>
        <w:tc>
          <w:tcPr>
            <w:tcW w:w="100" w:type="dxa"/>
            <w:vAlign w:val="bottom"/>
          </w:tcPr>
          <w:p>
            <w:pPr>
              <w:spacing w:after="0"/>
              <w:rPr>
                <w:sz w:val="18"/>
                <w:szCs w:val="18"/>
                <w:color w:val="auto"/>
              </w:rPr>
            </w:pPr>
          </w:p>
        </w:tc>
      </w:tr>
      <w:tr>
        <w:trPr>
          <w:trHeight w:val="209"/>
        </w:trPr>
        <w:tc>
          <w:tcPr>
            <w:tcW w:w="4500" w:type="dxa"/>
            <w:vAlign w:val="bottom"/>
            <w:tcBorders>
              <w:bottom w:val="single" w:sz="8" w:color="A6A6A6"/>
            </w:tcBorders>
          </w:tcPr>
          <w:p>
            <w:pPr>
              <w:spacing w:after="0"/>
              <w:rPr>
                <w:sz w:val="20"/>
                <w:szCs w:val="20"/>
                <w:color w:val="auto"/>
              </w:rPr>
            </w:pPr>
            <w:r>
              <w:rPr>
                <w:rFonts w:ascii="Arial" w:cs="Arial" w:eastAsia="Arial" w:hAnsi="Arial"/>
                <w:sz w:val="16"/>
                <w:szCs w:val="16"/>
                <w:color w:val="004483"/>
              </w:rPr>
              <w:t>Current Liabilities</w:t>
            </w:r>
          </w:p>
        </w:tc>
        <w:tc>
          <w:tcPr>
            <w:tcW w:w="3640" w:type="dxa"/>
            <w:vAlign w:val="bottom"/>
            <w:tcBorders>
              <w:bottom w:val="single" w:sz="8" w:color="A6A6A6"/>
            </w:tcBorders>
            <w:gridSpan w:val="2"/>
          </w:tcPr>
          <w:p>
            <w:pPr>
              <w:jc w:val="right"/>
              <w:ind w:right="3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16,917</w:t>
            </w:r>
          </w:p>
        </w:tc>
        <w:tc>
          <w:tcPr>
            <w:tcW w:w="120" w:type="dxa"/>
            <w:vAlign w:val="bottom"/>
          </w:tcPr>
          <w:p>
            <w:pPr>
              <w:spacing w:after="0"/>
              <w:rPr>
                <w:sz w:val="18"/>
                <w:szCs w:val="18"/>
                <w:color w:val="auto"/>
              </w:rPr>
            </w:pPr>
          </w:p>
        </w:tc>
        <w:tc>
          <w:tcPr>
            <w:tcW w:w="880" w:type="dxa"/>
            <w:vAlign w:val="bottom"/>
            <w:tcBorders>
              <w:bottom w:val="single" w:sz="8" w:color="A6A6A6"/>
            </w:tcBorders>
          </w:tcPr>
          <w:p>
            <w:pPr>
              <w:jc w:val="right"/>
              <w:ind w:right="5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17,197</w:t>
            </w:r>
          </w:p>
        </w:tc>
        <w:tc>
          <w:tcPr>
            <w:tcW w:w="100" w:type="dxa"/>
            <w:vAlign w:val="bottom"/>
          </w:tcPr>
          <w:p>
            <w:pPr>
              <w:spacing w:after="0"/>
              <w:rPr>
                <w:sz w:val="18"/>
                <w:szCs w:val="18"/>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 INTEREST EXPENSE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components are included in Interest Expense, net: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4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40" w:type="dxa"/>
            <w:vAlign w:val="bottom"/>
            <w:shd w:val="clear" w:color="auto" w:fill="004483"/>
          </w:tcPr>
          <w:p>
            <w:pPr>
              <w:spacing w:after="0"/>
              <w:rPr>
                <w:sz w:val="19"/>
                <w:szCs w:val="19"/>
                <w:color w:val="auto"/>
              </w:rPr>
            </w:pPr>
          </w:p>
        </w:tc>
        <w:tc>
          <w:tcPr>
            <w:tcW w:w="2720" w:type="dxa"/>
            <w:vAlign w:val="bottom"/>
            <w:gridSpan w:val="6"/>
            <w:shd w:val="clear" w:color="auto" w:fill="004483"/>
          </w:tcPr>
          <w:p>
            <w:pPr>
              <w:jc w:val="right"/>
              <w:ind w:right="300"/>
              <w:spacing w:after="0"/>
              <w:rPr>
                <w:sz w:val="20"/>
                <w:szCs w:val="20"/>
                <w:color w:val="auto"/>
              </w:rPr>
            </w:pPr>
            <w:r>
              <w:rPr>
                <w:rFonts w:ascii="Arial" w:cs="Arial" w:eastAsia="Arial" w:hAnsi="Arial"/>
                <w:sz w:val="13"/>
                <w:szCs w:val="13"/>
                <w:b w:val="1"/>
                <w:bCs w:val="1"/>
                <w:color w:val="FFFFFF"/>
                <w:w w:val="89"/>
              </w:rPr>
              <w:t>For the Three Months Ended September 30,</w:t>
            </w:r>
          </w:p>
        </w:tc>
        <w:tc>
          <w:tcPr>
            <w:tcW w:w="140" w:type="dxa"/>
            <w:vAlign w:val="bottom"/>
          </w:tcPr>
          <w:p>
            <w:pPr>
              <w:spacing w:after="0"/>
              <w:rPr>
                <w:sz w:val="19"/>
                <w:szCs w:val="19"/>
                <w:color w:val="auto"/>
              </w:rPr>
            </w:pPr>
          </w:p>
        </w:tc>
        <w:tc>
          <w:tcPr>
            <w:tcW w:w="160" w:type="dxa"/>
            <w:vAlign w:val="bottom"/>
            <w:shd w:val="clear" w:color="auto" w:fill="004483"/>
          </w:tcPr>
          <w:p>
            <w:pPr>
              <w:spacing w:after="0"/>
              <w:rPr>
                <w:sz w:val="19"/>
                <w:szCs w:val="19"/>
                <w:color w:val="auto"/>
              </w:rPr>
            </w:pPr>
          </w:p>
        </w:tc>
        <w:tc>
          <w:tcPr>
            <w:tcW w:w="2720" w:type="dxa"/>
            <w:vAlign w:val="bottom"/>
            <w:gridSpan w:val="6"/>
            <w:shd w:val="clear" w:color="auto" w:fill="004483"/>
          </w:tcPr>
          <w:p>
            <w:pPr>
              <w:jc w:val="right"/>
              <w:ind w:right="400"/>
              <w:spacing w:after="0"/>
              <w:rPr>
                <w:sz w:val="20"/>
                <w:szCs w:val="20"/>
                <w:color w:val="auto"/>
              </w:rPr>
            </w:pPr>
            <w:r>
              <w:rPr>
                <w:rFonts w:ascii="Arial" w:cs="Arial" w:eastAsia="Arial" w:hAnsi="Arial"/>
                <w:sz w:val="13"/>
                <w:szCs w:val="13"/>
                <w:b w:val="1"/>
                <w:bCs w:val="1"/>
                <w:color w:val="FFFFFF"/>
                <w:w w:val="90"/>
              </w:rPr>
              <w:t>For the Six Months Ended September 30,</w:t>
            </w:r>
          </w:p>
        </w:tc>
      </w:tr>
      <w:tr>
        <w:trPr>
          <w:trHeight w:val="148"/>
        </w:trPr>
        <w:tc>
          <w:tcPr>
            <w:tcW w:w="34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2"/>
                <w:szCs w:val="12"/>
                <w:color w:val="auto"/>
              </w:rPr>
            </w:pPr>
          </w:p>
        </w:tc>
      </w:tr>
      <w:tr>
        <w:trPr>
          <w:trHeight w:val="149"/>
        </w:trPr>
        <w:tc>
          <w:tcPr>
            <w:tcW w:w="3420" w:type="dxa"/>
            <w:vAlign w:val="bottom"/>
            <w:tcBorders>
              <w:bottom w:val="single" w:sz="8" w:color="004483"/>
            </w:tcBorders>
          </w:tcPr>
          <w:p>
            <w:pPr>
              <w:spacing w:after="0"/>
              <w:rPr>
                <w:sz w:val="12"/>
                <w:szCs w:val="12"/>
                <w:color w:val="auto"/>
              </w:rPr>
            </w:pPr>
          </w:p>
        </w:tc>
        <w:tc>
          <w:tcPr>
            <w:tcW w:w="1940" w:type="dxa"/>
            <w:vAlign w:val="bottom"/>
            <w:tcBorders>
              <w:bottom w:val="single" w:sz="8" w:color="004483"/>
            </w:tcBorders>
          </w:tcPr>
          <w:p>
            <w:pPr>
              <w:spacing w:after="0"/>
              <w:rPr>
                <w:sz w:val="12"/>
                <w:szCs w:val="12"/>
                <w:color w:val="auto"/>
              </w:rPr>
            </w:pPr>
          </w:p>
        </w:tc>
        <w:tc>
          <w:tcPr>
            <w:tcW w:w="140" w:type="dxa"/>
            <w:vAlign w:val="bottom"/>
            <w:tcBorders>
              <w:bottom w:val="single" w:sz="8" w:color="004483"/>
            </w:tcBorders>
          </w:tcPr>
          <w:p>
            <w:pPr>
              <w:spacing w:after="0"/>
              <w:rPr>
                <w:sz w:val="12"/>
                <w:szCs w:val="12"/>
                <w:color w:val="auto"/>
              </w:rPr>
            </w:pPr>
          </w:p>
        </w:tc>
        <w:tc>
          <w:tcPr>
            <w:tcW w:w="1980" w:type="dxa"/>
            <w:vAlign w:val="bottom"/>
            <w:tcBorders>
              <w:bottom w:val="single" w:sz="8" w:color="004483"/>
            </w:tcBorders>
            <w:gridSpan w:val="4"/>
          </w:tcPr>
          <w:p>
            <w:pPr>
              <w:jc w:val="right"/>
              <w:ind w:right="124"/>
              <w:spacing w:after="0"/>
              <w:rPr>
                <w:sz w:val="20"/>
                <w:szCs w:val="20"/>
                <w:color w:val="auto"/>
              </w:rPr>
            </w:pPr>
            <w:r>
              <w:rPr>
                <w:rFonts w:ascii="Arial" w:cs="Arial" w:eastAsia="Arial" w:hAnsi="Arial"/>
                <w:sz w:val="13"/>
                <w:szCs w:val="13"/>
                <w:color w:val="auto"/>
              </w:rPr>
              <w:t>(dollars in thousands)</w:t>
            </w:r>
          </w:p>
        </w:tc>
        <w:tc>
          <w:tcPr>
            <w:tcW w:w="640" w:type="dxa"/>
            <w:vAlign w:val="bottom"/>
            <w:tcBorders>
              <w:bottom w:val="single" w:sz="8" w:color="004483"/>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004483"/>
            </w:tcBorders>
          </w:tcPr>
          <w:p>
            <w:pPr>
              <w:spacing w:after="0"/>
              <w:rPr>
                <w:sz w:val="12"/>
                <w:szCs w:val="12"/>
                <w:color w:val="auto"/>
              </w:rPr>
            </w:pPr>
          </w:p>
        </w:tc>
        <w:tc>
          <w:tcPr>
            <w:tcW w:w="160" w:type="dxa"/>
            <w:vAlign w:val="bottom"/>
            <w:tcBorders>
              <w:bottom w:val="single" w:sz="8" w:color="004483"/>
            </w:tcBorders>
          </w:tcPr>
          <w:p>
            <w:pPr>
              <w:spacing w:after="0"/>
              <w:rPr>
                <w:sz w:val="12"/>
                <w:szCs w:val="12"/>
                <w:color w:val="auto"/>
              </w:rPr>
            </w:pPr>
          </w:p>
        </w:tc>
        <w:tc>
          <w:tcPr>
            <w:tcW w:w="1960" w:type="dxa"/>
            <w:vAlign w:val="bottom"/>
            <w:tcBorders>
              <w:bottom w:val="single" w:sz="8" w:color="004483"/>
            </w:tcBorders>
            <w:gridSpan w:val="4"/>
          </w:tcPr>
          <w:p>
            <w:pPr>
              <w:jc w:val="right"/>
              <w:ind w:right="119"/>
              <w:spacing w:after="0"/>
              <w:rPr>
                <w:sz w:val="20"/>
                <w:szCs w:val="20"/>
                <w:color w:val="auto"/>
              </w:rPr>
            </w:pPr>
            <w:r>
              <w:rPr>
                <w:rFonts w:ascii="Arial" w:cs="Arial" w:eastAsia="Arial" w:hAnsi="Arial"/>
                <w:sz w:val="13"/>
                <w:szCs w:val="13"/>
                <w:color w:val="auto"/>
              </w:rPr>
              <w:t>(dollars in thousands)</w:t>
            </w:r>
          </w:p>
        </w:tc>
        <w:tc>
          <w:tcPr>
            <w:tcW w:w="660" w:type="dxa"/>
            <w:vAlign w:val="bottom"/>
            <w:tcBorders>
              <w:bottom w:val="single" w:sz="8" w:color="004483"/>
            </w:tcBorders>
          </w:tcPr>
          <w:p>
            <w:pPr>
              <w:spacing w:after="0"/>
              <w:rPr>
                <w:sz w:val="12"/>
                <w:szCs w:val="12"/>
                <w:color w:val="auto"/>
              </w:rPr>
            </w:pPr>
          </w:p>
        </w:tc>
        <w:tc>
          <w:tcPr>
            <w:tcW w:w="100" w:type="dxa"/>
            <w:vAlign w:val="bottom"/>
          </w:tcPr>
          <w:p>
            <w:pPr>
              <w:spacing w:after="0"/>
              <w:rPr>
                <w:sz w:val="12"/>
                <w:szCs w:val="12"/>
                <w:color w:val="auto"/>
              </w:rPr>
            </w:pPr>
          </w:p>
        </w:tc>
      </w:tr>
      <w:tr>
        <w:trPr>
          <w:trHeight w:val="206"/>
        </w:trPr>
        <w:tc>
          <w:tcPr>
            <w:tcW w:w="3420" w:type="dxa"/>
            <w:vAlign w:val="bottom"/>
          </w:tcPr>
          <w:p>
            <w:pPr>
              <w:spacing w:after="0"/>
              <w:rPr>
                <w:sz w:val="20"/>
                <w:szCs w:val="20"/>
                <w:color w:val="auto"/>
              </w:rPr>
            </w:pPr>
            <w:r>
              <w:rPr>
                <w:rFonts w:ascii="Arial" w:cs="Arial" w:eastAsia="Arial" w:hAnsi="Arial"/>
                <w:sz w:val="16"/>
                <w:szCs w:val="16"/>
                <w:color w:val="auto"/>
              </w:rPr>
              <w:t>Interest Income</w:t>
            </w:r>
          </w:p>
        </w:tc>
        <w:tc>
          <w:tcPr>
            <w:tcW w:w="20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(40)</w:t>
            </w:r>
          </w:p>
        </w:tc>
        <w:tc>
          <w:tcPr>
            <w:tcW w:w="740" w:type="dxa"/>
            <w:vAlign w:val="bottom"/>
            <w:gridSpan w:val="2"/>
          </w:tcPr>
          <w:p>
            <w:pPr>
              <w:jc w:val="right"/>
              <w:ind w:right="464"/>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(7)</w:t>
            </w:r>
          </w:p>
        </w:tc>
        <w:tc>
          <w:tcPr>
            <w:tcW w:w="30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7"/>
                <w:szCs w:val="17"/>
                <w:color w:val="auto"/>
              </w:rPr>
            </w:pP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(11)</w:t>
            </w:r>
          </w:p>
        </w:tc>
      </w:tr>
      <w:tr>
        <w:trPr>
          <w:trHeight w:val="210"/>
        </w:trPr>
        <w:tc>
          <w:tcPr>
            <w:tcW w:w="342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6"/>
                <w:szCs w:val="16"/>
                <w:color w:val="auto"/>
              </w:rPr>
              <w:t>Interest Expense</w:t>
            </w:r>
          </w:p>
        </w:tc>
        <w:tc>
          <w:tcPr>
            <w:tcW w:w="1940" w:type="dxa"/>
            <w:vAlign w:val="bottom"/>
            <w:tcBorders>
              <w:top w:val="single" w:sz="8" w:color="A6A6A6"/>
              <w:bottom w:val="single" w:sz="8" w:color="A6A6A6"/>
            </w:tcBorders>
          </w:tcPr>
          <w:p>
            <w:pPr>
              <w:spacing w:after="0"/>
              <w:rPr>
                <w:sz w:val="18"/>
                <w:szCs w:val="18"/>
                <w:color w:val="auto"/>
              </w:rPr>
            </w:pPr>
          </w:p>
        </w:tc>
        <w:tc>
          <w:tcPr>
            <w:tcW w:w="140" w:type="dxa"/>
            <w:vAlign w:val="bottom"/>
            <w:tcBorders>
              <w:top w:val="single" w:sz="8" w:color="A6A6A6"/>
              <w:bottom w:val="single" w:sz="8" w:color="A6A6A6"/>
            </w:tcBorders>
          </w:tcPr>
          <w:p>
            <w:pPr>
              <w:spacing w:after="0"/>
              <w:rPr>
                <w:sz w:val="18"/>
                <w:szCs w:val="18"/>
                <w:color w:val="auto"/>
              </w:rPr>
            </w:pPr>
          </w:p>
        </w:tc>
        <w:tc>
          <w:tcPr>
            <w:tcW w:w="11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11,672</w:t>
            </w: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620" w:type="dxa"/>
            <w:vAlign w:val="bottom"/>
            <w:tcBorders>
              <w:top w:val="single" w:sz="8" w:color="A6A6A6"/>
              <w:bottom w:val="single" w:sz="8" w:color="A6A6A6"/>
            </w:tcBorders>
          </w:tcPr>
          <w:p>
            <w:pPr>
              <w:spacing w:after="0"/>
              <w:rPr>
                <w:sz w:val="18"/>
                <w:szCs w:val="18"/>
                <w:color w:val="auto"/>
              </w:rPr>
            </w:pPr>
          </w:p>
        </w:tc>
        <w:tc>
          <w:tcPr>
            <w:tcW w:w="6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9,861</w:t>
            </w:r>
          </w:p>
        </w:tc>
        <w:tc>
          <w:tcPr>
            <w:tcW w:w="100" w:type="dxa"/>
            <w:vAlign w:val="bottom"/>
          </w:tcPr>
          <w:p>
            <w:pPr>
              <w:spacing w:after="0"/>
              <w:rPr>
                <w:sz w:val="18"/>
                <w:szCs w:val="18"/>
                <w:color w:val="auto"/>
              </w:rPr>
            </w:pPr>
          </w:p>
        </w:tc>
        <w:tc>
          <w:tcPr>
            <w:tcW w:w="140" w:type="dxa"/>
            <w:vAlign w:val="bottom"/>
            <w:tcBorders>
              <w:top w:val="single" w:sz="8" w:color="A6A6A6"/>
              <w:bottom w:val="single" w:sz="8" w:color="A6A6A6"/>
            </w:tcBorders>
          </w:tcPr>
          <w:p>
            <w:pPr>
              <w:spacing w:after="0"/>
              <w:rPr>
                <w:sz w:val="18"/>
                <w:szCs w:val="18"/>
                <w:color w:val="auto"/>
              </w:rPr>
            </w:pPr>
          </w:p>
        </w:tc>
        <w:tc>
          <w:tcPr>
            <w:tcW w:w="160" w:type="dxa"/>
            <w:vAlign w:val="bottom"/>
            <w:tcBorders>
              <w:top w:val="single" w:sz="8" w:color="A6A6A6"/>
              <w:bottom w:val="single" w:sz="8" w:color="A6A6A6"/>
            </w:tcBorders>
          </w:tcPr>
          <w:p>
            <w:pPr>
              <w:spacing w:after="0"/>
              <w:rPr>
                <w:sz w:val="18"/>
                <w:szCs w:val="18"/>
                <w:color w:val="auto"/>
              </w:rPr>
            </w:pPr>
          </w:p>
        </w:tc>
        <w:tc>
          <w:tcPr>
            <w:tcW w:w="11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24,692</w:t>
            </w: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640" w:type="dxa"/>
            <w:vAlign w:val="bottom"/>
            <w:tcBorders>
              <w:top w:val="single" w:sz="8" w:color="A6A6A6"/>
              <w:bottom w:val="single" w:sz="8" w:color="A6A6A6"/>
            </w:tcBorders>
          </w:tcPr>
          <w:p>
            <w:pPr>
              <w:spacing w:after="0"/>
              <w:rPr>
                <w:sz w:val="18"/>
                <w:szCs w:val="18"/>
                <w:color w:val="auto"/>
              </w:rPr>
            </w:pPr>
          </w:p>
        </w:tc>
        <w:tc>
          <w:tcPr>
            <w:tcW w:w="6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18,432</w:t>
            </w:r>
          </w:p>
        </w:tc>
        <w:tc>
          <w:tcPr>
            <w:tcW w:w="100" w:type="dxa"/>
            <w:vAlign w:val="bottom"/>
          </w:tcPr>
          <w:p>
            <w:pPr>
              <w:spacing w:after="0"/>
              <w:rPr>
                <w:sz w:val="18"/>
                <w:szCs w:val="18"/>
                <w:color w:val="auto"/>
              </w:rPr>
            </w:pPr>
          </w:p>
        </w:tc>
      </w:tr>
      <w:tr>
        <w:trPr>
          <w:trHeight w:val="209"/>
        </w:trPr>
        <w:tc>
          <w:tcPr>
            <w:tcW w:w="3420" w:type="dxa"/>
            <w:vAlign w:val="bottom"/>
            <w:tcBorders>
              <w:bottom w:val="single" w:sz="8" w:color="A6A6A6"/>
            </w:tcBorders>
          </w:tcPr>
          <w:p>
            <w:pPr>
              <w:spacing w:after="0"/>
              <w:rPr>
                <w:sz w:val="20"/>
                <w:szCs w:val="20"/>
                <w:color w:val="auto"/>
              </w:rPr>
            </w:pPr>
            <w:r>
              <w:rPr>
                <w:rFonts w:ascii="Arial" w:cs="Arial" w:eastAsia="Arial" w:hAnsi="Arial"/>
                <w:sz w:val="16"/>
                <w:szCs w:val="16"/>
                <w:color w:val="auto"/>
              </w:rPr>
              <w:t>Other Expenses</w:t>
            </w:r>
          </w:p>
        </w:tc>
        <w:tc>
          <w:tcPr>
            <w:tcW w:w="1940" w:type="dxa"/>
            <w:vAlign w:val="bottom"/>
            <w:tcBorders>
              <w:bottom w:val="single" w:sz="8" w:color="A6A6A6"/>
            </w:tcBorders>
          </w:tcPr>
          <w:p>
            <w:pPr>
              <w:spacing w:after="0"/>
              <w:rPr>
                <w:sz w:val="18"/>
                <w:szCs w:val="18"/>
                <w:color w:val="auto"/>
              </w:rPr>
            </w:pPr>
          </w:p>
        </w:tc>
        <w:tc>
          <w:tcPr>
            <w:tcW w:w="14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924</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620" w:type="dxa"/>
            <w:vAlign w:val="bottom"/>
            <w:tcBorders>
              <w:bottom w:val="single" w:sz="8" w:color="004483"/>
            </w:tcBorders>
          </w:tcPr>
          <w:p>
            <w:pPr>
              <w:spacing w:after="0"/>
              <w:rPr>
                <w:sz w:val="18"/>
                <w:szCs w:val="18"/>
                <w:color w:val="auto"/>
              </w:rPr>
            </w:pPr>
          </w:p>
        </w:tc>
        <w:tc>
          <w:tcPr>
            <w:tcW w:w="6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60" w:type="dxa"/>
            <w:vAlign w:val="bottom"/>
            <w:tcBorders>
              <w:bottom w:val="single" w:sz="8" w:color="004483"/>
            </w:tcBorders>
          </w:tcPr>
          <w:p>
            <w:pPr>
              <w:spacing w:after="0"/>
              <w:rPr>
                <w:sz w:val="18"/>
                <w:szCs w:val="18"/>
                <w:color w:val="auto"/>
              </w:rPr>
            </w:pPr>
          </w:p>
        </w:tc>
        <w:tc>
          <w:tcPr>
            <w:tcW w:w="1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1,945</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640" w:type="dxa"/>
            <w:vAlign w:val="bottom"/>
            <w:tcBorders>
              <w:bottom w:val="single" w:sz="8" w:color="004483"/>
            </w:tcBorders>
          </w:tcPr>
          <w:p>
            <w:pPr>
              <w:spacing w:after="0"/>
              <w:rPr>
                <w:sz w:val="18"/>
                <w:szCs w:val="18"/>
                <w:color w:val="auto"/>
              </w:rPr>
            </w:pPr>
          </w:p>
        </w:tc>
        <w:tc>
          <w:tcPr>
            <w:tcW w:w="6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562</w:t>
            </w:r>
          </w:p>
        </w:tc>
        <w:tc>
          <w:tcPr>
            <w:tcW w:w="100" w:type="dxa"/>
            <w:vAlign w:val="bottom"/>
          </w:tcPr>
          <w:p>
            <w:pPr>
              <w:spacing w:after="0"/>
              <w:rPr>
                <w:sz w:val="18"/>
                <w:szCs w:val="18"/>
                <w:color w:val="auto"/>
              </w:rPr>
            </w:pPr>
          </w:p>
        </w:tc>
      </w:tr>
      <w:tr>
        <w:trPr>
          <w:trHeight w:val="210"/>
        </w:trPr>
        <w:tc>
          <w:tcPr>
            <w:tcW w:w="3420" w:type="dxa"/>
            <w:vAlign w:val="bottom"/>
          </w:tcPr>
          <w:p>
            <w:pPr>
              <w:spacing w:after="0"/>
              <w:rPr>
                <w:sz w:val="20"/>
                <w:szCs w:val="20"/>
                <w:color w:val="auto"/>
              </w:rPr>
            </w:pPr>
            <w:r>
              <w:rPr>
                <w:rFonts w:ascii="Arial" w:cs="Arial" w:eastAsia="Arial" w:hAnsi="Arial"/>
                <w:sz w:val="16"/>
                <w:szCs w:val="16"/>
                <w:b w:val="1"/>
                <w:bCs w:val="1"/>
                <w:color w:val="auto"/>
              </w:rPr>
              <w:t>Interest Expense, net</w:t>
            </w:r>
          </w:p>
        </w:tc>
        <w:tc>
          <w:tcPr>
            <w:tcW w:w="1940" w:type="dxa"/>
            <w:vAlign w:val="bottom"/>
          </w:tcPr>
          <w:p>
            <w:pPr>
              <w:spacing w:after="0"/>
              <w:rPr>
                <w:sz w:val="18"/>
                <w:szCs w:val="18"/>
                <w:color w:val="auto"/>
              </w:rPr>
            </w:pPr>
          </w:p>
        </w:tc>
        <w:tc>
          <w:tcPr>
            <w:tcW w:w="140" w:type="dxa"/>
            <w:vAlign w:val="bottom"/>
            <w:tcBorders>
              <w:bottom w:val="single" w:sz="8" w:color="004483"/>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12,556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bottom w:val="single" w:sz="8" w:color="004483"/>
            </w:tcBorders>
          </w:tcPr>
          <w:p>
            <w:pPr>
              <w:jc w:val="right"/>
              <w:ind w:right="464"/>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10,137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004483"/>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26,597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bottom w:val="single" w:sz="8" w:color="004483"/>
            </w:tcBorders>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18,983</w:t>
            </w:r>
          </w:p>
        </w:tc>
        <w:tc>
          <w:tcPr>
            <w:tcW w:w="100" w:type="dxa"/>
            <w:vAlign w:val="bottom"/>
          </w:tcPr>
          <w:p>
            <w:pPr>
              <w:spacing w:after="0"/>
              <w:rPr>
                <w:sz w:val="18"/>
                <w:szCs w:val="18"/>
                <w:color w:val="auto"/>
              </w:rPr>
            </w:pPr>
          </w:p>
        </w:tc>
      </w:tr>
      <w:tr>
        <w:trPr>
          <w:trHeight w:val="20"/>
        </w:trPr>
        <w:tc>
          <w:tcPr>
            <w:tcW w:w="34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004483"/>
            </w:tcBorders>
          </w:tcPr>
          <w:p>
            <w:pPr>
              <w:spacing w:after="0" w:line="20" w:lineRule="exact"/>
              <w:rPr>
                <w:sz w:val="1"/>
                <w:szCs w:val="1"/>
                <w:color w:val="auto"/>
              </w:rPr>
            </w:pPr>
          </w:p>
        </w:tc>
        <w:tc>
          <w:tcPr>
            <w:tcW w:w="6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004483"/>
            </w:tcBorders>
          </w:tcPr>
          <w:p>
            <w:pPr>
              <w:spacing w:after="0" w:line="20" w:lineRule="exact"/>
              <w:rPr>
                <w:sz w:val="1"/>
                <w:szCs w:val="1"/>
                <w:color w:val="auto"/>
              </w:rPr>
            </w:pPr>
          </w:p>
        </w:tc>
        <w:tc>
          <w:tcPr>
            <w:tcW w:w="6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Interest Income includes interest earned on investments of excess cash. Components of Interest Expense include interest associated with the Revolving Credit Facility, Term Loan, Senior Unsecured Notes, and commitment fees based on the unused portion of the Revolving Credit Facility. Other Expenses include amortization of debt issuance costs and Revolving Credit Facility costs.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20"/>
          <w:szCs w:val="20"/>
          <w:b w:val="1"/>
          <w:bCs w:val="1"/>
          <w:color w:val="auto"/>
        </w:rPr>
        <w:t>(Q) COMMITMENTS AND CONTINGENCIES</w:t>
      </w:r>
    </w:p>
    <w:p>
      <w:pPr>
        <w:spacing w:after="0" w:line="134"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We have certain deductible limits under our workers’ compensation and liability insurance policies for which reserves are established based on the undiscounted estimated costs of known and anticipated claims. We have entered into standby letter of credit agreements relating to workers’ compensation and auto and general liability self-insurance. At September 30, 2020, we had contingent liabilities under these outstanding letters of credit of approximately $5.0 million.</w:t>
      </w:r>
    </w:p>
    <w:p>
      <w:pPr>
        <w:spacing w:after="0" w:line="9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the ordinary course of business, we execute contracts involving indemnifications that are standard in the industry and indemnifications specific to a transaction such as the sale of a business. These indemnifications may include claims relating to any of the following: environmental and tax matters; intellectual property rights; governmental regulations and employment-related matters; customer, supplier, and other commercial contractual relationships; construction contracts and financial matters. While the maximum amount to which the Company may be exposed under such agreements cannot be estimated, management believes these indemnifications will not have a material adverse effect on our consolidated financial position, results of operations, or cash flows. We currently have no outstanding guarantees.</w:t>
      </w:r>
    </w:p>
    <w:p>
      <w:pPr>
        <w:spacing w:after="0" w:line="97"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color w:val="auto"/>
        </w:rPr>
        <w:t>We are currently contingently liable for performance under $27.8 million in performance bonds required by certain states and municipalities and their related agencies. The bonds are principally for certain reclamation obligations and mining permits. We have indemnified the underwriting insurance company against any exposure under the performance bonds. In our past experience, no material claims have been made against these financial instruments.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 FAIR VALUE OF FINANCIAL INSTRUMENTS</w:t>
      </w:r>
    </w:p>
    <w:p>
      <w:pPr>
        <w:spacing w:after="0" w:line="13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fair value of our long-term debt has been estimated based upon our current incremental borrowing rates for similar types of borrowing arrangements. The fair value of our Senior Unsecured Notes at September 30, 2020 is as follows:</w:t>
      </w:r>
    </w:p>
    <w:p>
      <w:pPr>
        <w:spacing w:after="0" w:line="274" w:lineRule="exact"/>
        <w:rPr>
          <w:sz w:val="20"/>
          <w:szCs w:val="20"/>
          <w:color w:val="auto"/>
        </w:rPr>
      </w:pPr>
    </w:p>
    <w:p>
      <w:pPr>
        <w:jc w:val="right"/>
        <w:ind w:right="80"/>
        <w:spacing w:after="0"/>
        <w:rPr>
          <w:sz w:val="20"/>
          <w:szCs w:val="20"/>
          <w:color w:val="auto"/>
        </w:rPr>
      </w:pPr>
      <w:r>
        <w:rPr>
          <w:rFonts w:ascii="Arial" w:cs="Arial" w:eastAsia="Arial" w:hAnsi="Arial"/>
          <w:sz w:val="13"/>
          <w:szCs w:val="13"/>
          <w:b w:val="1"/>
          <w:bCs w:val="1"/>
          <w:color w:val="auto"/>
        </w:rPr>
        <w:t>Fair Value</w:t>
      </w:r>
    </w:p>
    <w:p>
      <w:pPr>
        <w:spacing w:after="0" w:line="13" w:lineRule="exact"/>
        <w:rPr>
          <w:sz w:val="20"/>
          <w:szCs w:val="20"/>
          <w:color w:val="auto"/>
        </w:rPr>
      </w:pPr>
    </w:p>
    <w:p>
      <w:pPr>
        <w:jc w:val="right"/>
        <w:ind w:right="80"/>
        <w:spacing w:after="0"/>
        <w:rPr>
          <w:sz w:val="20"/>
          <w:szCs w:val="20"/>
          <w:color w:val="auto"/>
        </w:rPr>
      </w:pPr>
      <w:r>
        <w:rPr>
          <w:rFonts w:ascii="Arial" w:cs="Arial" w:eastAsia="Arial" w:hAnsi="Arial"/>
          <w:sz w:val="13"/>
          <w:szCs w:val="13"/>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06374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tabs>
          <w:tab w:leader="none" w:pos="8920" w:val="left"/>
          <w:tab w:leader="none" w:pos="10580" w:val="left"/>
        </w:tabs>
        <w:rPr>
          <w:sz w:val="20"/>
          <w:szCs w:val="20"/>
          <w:color w:val="auto"/>
        </w:rPr>
      </w:pPr>
      <w:r>
        <w:rPr>
          <w:rFonts w:ascii="Arial" w:cs="Arial" w:eastAsia="Arial" w:hAnsi="Arial"/>
          <w:sz w:val="16"/>
          <w:szCs w:val="16"/>
          <w:color w:val="004483"/>
        </w:rPr>
        <w:t>4.500% Senior Unsecured Notes Due 2026</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364,613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637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64"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The estimated fair value of our long-term debt was based on quoted prices of similar debt instruments with similar terms that are publicly traded (level 2 input). The carrying values of cash, restricted cash, cash equivalents, accounts and notes receivable, accounts payable, and accrued liabilities approximate their fair values at September 30, 2020, due to the short-term maturities of these assets and liabilities. The fair value of our Revolving Credit Facility and Term Loan also approximates their carrying values at September 30, 2020.</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25" w:name="page26"/>
    <w:bookmarkEnd w:id="25"/>
    <w:p>
      <w:pPr>
        <w:spacing w:after="0"/>
        <w:rPr>
          <w:sz w:val="20"/>
          <w:szCs w:val="20"/>
          <w:color w:val="auto"/>
        </w:rPr>
      </w:pPr>
      <w:r>
        <w:rPr>
          <w:rFonts w:ascii="Arial" w:cs="Arial" w:eastAsia="Arial" w:hAnsi="Arial"/>
          <w:sz w:val="23"/>
          <w:szCs w:val="23"/>
          <w:b w:val="1"/>
          <w:bCs w:val="1"/>
          <w:color w:val="auto"/>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color w:val="auto"/>
        </w:rPr>
        <w:t>We are a leading supplier of heavy construction materials and light building materials in the United States. Our primary products are commodities that are essential in commercial and residential construction; public construction projects; and projects to build, expand, and repair roads and highways. Demand for our products is generally cyclical and seasonal, depending on economic and geographic conditions. We distribute our products across many United States markets, which provides us with regional economic diversification.</w:t>
      </w:r>
    </w:p>
    <w:p>
      <w:pPr>
        <w:spacing w:after="0" w:line="98"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On September 18, 2020, we sold our Oil and Gas Proppants business, which had been reported as an operating segment, resulting in a gain of approximately $9.2 million. Because the sale of the Oil and Gas Proppants business was determined to meet the discontinued operations accounting criteria, this segment is no longer separately reported in our reportable segment footnote for any of the periods presented. See Footnote (C) in the Unaudited Consolidated Financial Statements for more information about the sale of the Oil and Gas Proppants business.</w:t>
      </w:r>
    </w:p>
    <w:p>
      <w:pPr>
        <w:spacing w:after="0" w:line="98" w:lineRule="exact"/>
        <w:rPr>
          <w:sz w:val="20"/>
          <w:szCs w:val="20"/>
          <w:color w:val="auto"/>
        </w:rPr>
      </w:pPr>
    </w:p>
    <w:p>
      <w:pPr>
        <w:ind w:right="300"/>
        <w:spacing w:after="0" w:line="269" w:lineRule="auto"/>
        <w:rPr>
          <w:sz w:val="20"/>
          <w:szCs w:val="20"/>
          <w:color w:val="auto"/>
        </w:rPr>
      </w:pPr>
      <w:r>
        <w:rPr>
          <w:rFonts w:ascii="Arial" w:cs="Arial" w:eastAsia="Arial" w:hAnsi="Arial"/>
          <w:sz w:val="18"/>
          <w:szCs w:val="18"/>
          <w:color w:val="auto"/>
        </w:rPr>
        <w:t>Our remaining businesses are organized into two sectors: Heavy Materials, which includes the Cement and Concrete and Aggregates segments; and Light Materials, which includes the Gypsum Wallboard and Recycled Paperboard segments. Financial results and other information for the three and six months ended September 30, 2020 and 2019, respectively, are presented on a consolidated basis and by these business segments – Cement, Concrete and Aggregates, Gypsum Wallboard, and Recycled Paperboard.</w:t>
      </w:r>
    </w:p>
    <w:p>
      <w:pPr>
        <w:spacing w:after="0" w:line="9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conduct one of our cement operations through a joint venture, Texas Lehigh Cement Company LP, which is located in Buda, Texas (the Joint Venture). We own a 50% interest in the Joint Venture and account for our interest under the equity method of accounting. We proportionately consolidate our 50% share of the Joint Venture’s Revenue and Operating Earnings in the presentation of our Cement segment, which is the way management organizes the segments within the Company for making operating decisions and assessing performance.</w:t>
      </w:r>
    </w:p>
    <w:p>
      <w:pPr>
        <w:spacing w:after="0" w:line="10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All our business activities are conducted in the United States. These activities include the mining of limestone for the manufacture, production, distribution, and sale of portland cement (a basic construction material that is the essential binding ingredient in concrete); the grinding and sale of slag; the mining of gypsum for the manufacture and sale of gypsum wallboard; the manufacture and sale of recycled paperboard to the gypsum wallboard industry and other paperboard converters; the sale of readymix concrete; and the mining and sale of aggregates (crushed stone, sand, and gravel).</w:t>
      </w:r>
    </w:p>
    <w:p>
      <w:pPr>
        <w:spacing w:after="0" w:line="100"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color w:val="auto"/>
        </w:rPr>
        <w:t>Demand for our products is generally cyclical and seasonal, depending on economic and geographic conditions. We distribute our products throughout most of the United States, except the Northeast, which provides us with regional economic diversification. However, general economic downturns or localized downturns in the regions where we have operations may have a material adverse effect on our business, financial condition, and results of operations.</w:t>
      </w:r>
    </w:p>
    <w:p>
      <w:pPr>
        <w:spacing w:after="0" w:line="9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On August 2, 2019, we acquired the assets of a readymix concrete and aggregates business in Northern Nevada (the ConAgg Acquisition). The purchase price (Purchase Price) of the ConAgg Acquisition was approximately $30.4 million. The Purchase Price and expenses incurred in connection with the ConAgg Acquisition were funded through operating cash flows and borrowings under our Revolving Credit Facility. The ConAgg Acquisition’s assets and operating results are included in our Concrete and Aggregates segment reporting from August 2, 2019 through March 31, 2020, and for the six months ended September 30, 2020.</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26" w:name="page27"/>
    <w:bookmarkEnd w:id="26"/>
    <w:p>
      <w:pPr>
        <w:ind w:right="20"/>
        <w:spacing w:after="0" w:line="267" w:lineRule="auto"/>
        <w:rPr>
          <w:sz w:val="20"/>
          <w:szCs w:val="20"/>
          <w:color w:val="auto"/>
        </w:rPr>
      </w:pPr>
      <w:r>
        <w:rPr>
          <w:rFonts w:ascii="Arial" w:cs="Arial" w:eastAsia="Arial" w:hAnsi="Arial"/>
          <w:sz w:val="18"/>
          <w:szCs w:val="18"/>
          <w:color w:val="auto"/>
        </w:rPr>
        <w:t>On March 6, 2020, we acquired the assets of Kosmos Cement Company (Kosmos), a joint venture between CEMEX S.A.B. de C.V. and Buzzi Unicem S.p.A. for approximately $669 million (the Kosmos Acquisition). The Kosmos Acquisition included (i) a cement plant located in Louisville, Kentucky, (ii) a limestone quarry located in Battletown, Kentucky, (iii) cement distribution terminals located in Indianapolis, Indiana; Cincinnati, Ohio; Pittsburgh, Pennsylvania; Charleston, West Virginia; Ceredo, West Virginia; Mt. Vernon, Indiana; and Lexington, Kentucky, and (iv) certain other properties and assets used by Kosmos in connection with the foregoing (collectively, the Kosmos Business). We also assumed certain liabilities and obligations of Kosmos relating to the Kosmos Business, including contractual obligations, reclamation obligations, and various other liabilities and obligations arising out of or relating to the Kosmos Business. We funded the payment of the purchase price and expenses incurred in connection with the transaction through a combination of cash on hand and a syndicated term loan facility. The Kosmos Business’ assets and operating results are included in our Cement segment reporting from March 6, 2020 through March 31, 2020, and for the six months ended September 30, 2020.</w:t>
      </w:r>
    </w:p>
    <w:p>
      <w:pPr>
        <w:spacing w:after="0" w:line="100"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On April 17, 2020, we sold our Western Aggregates LLC (Western) and Mathews Readymix LLC (Mathews) businesses for an aggregate purchase price of $93.5 million, resulting in a gain of $52.0 million. Western and Mathews were part of our Concrete and Aggregates operating segment, and their results of operations were included in our financial statements for the period from April 1, 2020 through April 17, 2020.</w:t>
      </w:r>
    </w:p>
    <w:p>
      <w:pPr>
        <w:spacing w:after="0" w:line="98"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As previously announced on May 30, 2019, the Company plans to separate its Heavy Materials and Light Materials businesses into two independent, publicly traded corporations by means of a tax-free spin-off to Eagle shareholders. We remain committed to the separation and continue to make preparations to ensure that the two businesses are well-positioned for the separation, although the timing of the separation remains uncertain given the effects of the COVID-19 pandemic.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CONDITIONS AND OUTLOOK</w:t>
      </w:r>
    </w:p>
    <w:p>
      <w:pPr>
        <w:spacing w:after="0" w:line="126"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To date, we have not been materially affected by the extraordinary and wide-ranging actions taken by international, federal, state and local public health and governmental authorities to contain and combat the spread of COVID-19.</w:t>
      </w:r>
    </w:p>
    <w:p>
      <w:pPr>
        <w:spacing w:after="0" w:line="89"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Our second quarter results reflected another strong quarter for Eagle. Our end markets have remained resilient despite the COVID-related uncertainty. Our regional construction markets continued to outperform the national average and sales volume performance in both of our major business lines continued to improve – our wallboard shipments were up 6% and our organic cement sales volume was up 1%.</w:t>
      </w:r>
    </w:p>
    <w:p>
      <w:pPr>
        <w:spacing w:after="0" w:line="9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For the short term, we are well positioned to manage our cost structure and meet our customer needs. Our substantial raw material reserves support our low-cost producer position and during the early summer we implemented cement price increases across all of our markets and we have an announced wallboard price increase to be implemented in early November. Recycled fiber prices retreated from their spring highs and have largely been flat since July.</w:t>
      </w:r>
    </w:p>
    <w:p>
      <w:pPr>
        <w:spacing w:after="0" w:line="9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For the intermediate term, we are closely monitoring the disruptions caused by the COVID-19 pandemic, including potential second wave issues, and any responses designed to contain its spread and their possible impact on our business and our customers. While, recent economic data has been more constructive than many expected earlier this year, the extent to which the spread of COVID-19 will impact the national and local economies in which we operate, and ultimately our business, will depend on numerous factors, which are highly uncertain and difficult to predict; therefore, we continue to prepare for a broad range of economic outcomes.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27" w:name="page28"/>
    <w:bookmarkEnd w:id="27"/>
    <w:p>
      <w:pPr>
        <w:spacing w:after="0"/>
        <w:rPr>
          <w:sz w:val="20"/>
          <w:szCs w:val="20"/>
          <w:color w:val="auto"/>
        </w:rPr>
      </w:pPr>
      <w:r>
        <w:rPr>
          <w:rFonts w:ascii="Arial" w:cs="Arial" w:eastAsia="Arial" w:hAnsi="Arial"/>
          <w:sz w:val="20"/>
          <w:szCs w:val="20"/>
          <w:b w:val="1"/>
          <w:bCs w:val="1"/>
          <w:color w:val="auto"/>
        </w:rPr>
        <w:t>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2020 COMPARED WITH THREE MONTHS ENDED SEPTEMBER 30, 2019</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shd w:val="clear" w:color="auto" w:fill="004483"/>
          </w:tcPr>
          <w:p>
            <w:pPr>
              <w:spacing w:after="0"/>
              <w:rPr>
                <w:sz w:val="19"/>
                <w:szCs w:val="19"/>
                <w:color w:val="auto"/>
              </w:rPr>
            </w:pPr>
          </w:p>
        </w:tc>
        <w:tc>
          <w:tcPr>
            <w:tcW w:w="3120" w:type="dxa"/>
            <w:vAlign w:val="bottom"/>
            <w:gridSpan w:val="6"/>
            <w:shd w:val="clear" w:color="auto" w:fill="004483"/>
          </w:tcPr>
          <w:p>
            <w:pPr>
              <w:jc w:val="right"/>
              <w:ind w:right="560"/>
              <w:spacing w:after="0"/>
              <w:rPr>
                <w:sz w:val="20"/>
                <w:szCs w:val="20"/>
                <w:color w:val="auto"/>
              </w:rPr>
            </w:pPr>
            <w:r>
              <w:rPr>
                <w:rFonts w:ascii="Arial" w:cs="Arial" w:eastAsia="Arial" w:hAnsi="Arial"/>
                <w:sz w:val="13"/>
                <w:szCs w:val="13"/>
                <w:b w:val="1"/>
                <w:bCs w:val="1"/>
                <w:color w:val="FFFFFF"/>
                <w:w w:val="94"/>
              </w:rPr>
              <w:t>For the Three Months Ended September 30,</w:t>
            </w:r>
          </w:p>
        </w:tc>
        <w:tc>
          <w:tcPr>
            <w:tcW w:w="1580" w:type="dxa"/>
            <w:vAlign w:val="bottom"/>
            <w:gridSpan w:val="3"/>
            <w:vMerge w:val="restart"/>
          </w:tcPr>
          <w:p>
            <w:pPr>
              <w:jc w:val="right"/>
              <w:ind w:right="20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00" w:type="dxa"/>
            <w:vAlign w:val="bottom"/>
            <w:tcBorders>
              <w:bottom w:val="single" w:sz="8" w:color="004483"/>
            </w:tcBorders>
          </w:tcPr>
          <w:p>
            <w:pPr>
              <w:spacing w:after="0"/>
              <w:rPr>
                <w:sz w:val="12"/>
                <w:szCs w:val="12"/>
                <w:color w:val="auto"/>
              </w:rPr>
            </w:pPr>
          </w:p>
        </w:tc>
        <w:tc>
          <w:tcPr>
            <w:tcW w:w="1160" w:type="dxa"/>
            <w:vAlign w:val="bottom"/>
            <w:tcBorders>
              <w:bottom w:val="single" w:sz="8" w:color="004483"/>
            </w:tcBorders>
          </w:tcPr>
          <w:p>
            <w:pPr>
              <w:spacing w:after="0"/>
              <w:rPr>
                <w:sz w:val="12"/>
                <w:szCs w:val="12"/>
                <w:color w:val="auto"/>
              </w:rPr>
            </w:pPr>
          </w:p>
        </w:tc>
        <w:tc>
          <w:tcPr>
            <w:tcW w:w="260" w:type="dxa"/>
            <w:vAlign w:val="bottom"/>
            <w:tcBorders>
              <w:bottom w:val="single" w:sz="8" w:color="004483"/>
            </w:tcBorders>
          </w:tcPr>
          <w:p>
            <w:pPr>
              <w:spacing w:after="0"/>
              <w:rPr>
                <w:sz w:val="12"/>
                <w:szCs w:val="12"/>
                <w:color w:val="auto"/>
              </w:rPr>
            </w:pPr>
          </w:p>
        </w:tc>
        <w:tc>
          <w:tcPr>
            <w:tcW w:w="2400" w:type="dxa"/>
            <w:vAlign w:val="bottom"/>
            <w:tcBorders>
              <w:bottom w:val="single" w:sz="8" w:color="004483"/>
            </w:tcBorders>
            <w:gridSpan w:val="4"/>
          </w:tcPr>
          <w:p>
            <w:pPr>
              <w:jc w:val="right"/>
              <w:spacing w:after="0"/>
              <w:rPr>
                <w:sz w:val="20"/>
                <w:szCs w:val="20"/>
                <w:color w:val="auto"/>
              </w:rPr>
            </w:pPr>
            <w:r>
              <w:rPr>
                <w:rFonts w:ascii="Arial" w:cs="Arial" w:eastAsia="Arial" w:hAnsi="Arial"/>
                <w:sz w:val="13"/>
                <w:szCs w:val="13"/>
                <w:color w:val="auto"/>
              </w:rPr>
              <w:t>(dollars in thousands, except per share)</w:t>
            </w:r>
          </w:p>
        </w:tc>
        <w:tc>
          <w:tcPr>
            <w:tcW w:w="620" w:type="dxa"/>
            <w:vAlign w:val="bottom"/>
            <w:tcBorders>
              <w:bottom w:val="single" w:sz="8" w:color="004483"/>
            </w:tcBorders>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Borders>
              <w:bottom w:val="single" w:sz="8" w:color="004483"/>
            </w:tcBorders>
          </w:tcPr>
          <w:p>
            <w:pPr>
              <w:spacing w:after="0"/>
              <w:rPr>
                <w:sz w:val="12"/>
                <w:szCs w:val="12"/>
                <w:color w:val="auto"/>
              </w:rPr>
            </w:pPr>
          </w:p>
        </w:tc>
        <w:tc>
          <w:tcPr>
            <w:tcW w:w="20" w:type="dxa"/>
            <w:vAlign w:val="bottom"/>
            <w:tcBorders>
              <w:bottom w:val="single" w:sz="8" w:color="004483"/>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5100" w:type="dxa"/>
            <w:vAlign w:val="bottom"/>
          </w:tcPr>
          <w:p>
            <w:pPr>
              <w:spacing w:after="0"/>
              <w:rPr>
                <w:sz w:val="20"/>
                <w:szCs w:val="20"/>
                <w:color w:val="auto"/>
              </w:rPr>
            </w:pPr>
            <w:r>
              <w:rPr>
                <w:rFonts w:ascii="Arial" w:cs="Arial" w:eastAsia="Arial" w:hAnsi="Arial"/>
                <w:sz w:val="16"/>
                <w:szCs w:val="16"/>
                <w:color w:val="004483"/>
              </w:rPr>
              <w:t>Revenue</w:t>
            </w:r>
          </w:p>
        </w:tc>
        <w:tc>
          <w:tcPr>
            <w:tcW w:w="142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447,684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744"/>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400,569</w:t>
            </w:r>
          </w:p>
        </w:tc>
        <w:tc>
          <w:tcPr>
            <w:tcW w:w="100" w:type="dxa"/>
            <w:vAlign w:val="bottom"/>
          </w:tcPr>
          <w:p>
            <w:pPr>
              <w:spacing w:after="0"/>
              <w:rPr>
                <w:sz w:val="17"/>
                <w:szCs w:val="17"/>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
        </w:trPr>
        <w:tc>
          <w:tcPr>
            <w:tcW w:w="5100" w:type="dxa"/>
            <w:vAlign w:val="bottom"/>
            <w:shd w:val="clear" w:color="auto" w:fill="A6A6A6"/>
          </w:tcPr>
          <w:p>
            <w:pPr>
              <w:spacing w:after="0" w:line="20" w:lineRule="exact"/>
              <w:rPr>
                <w:sz w:val="1"/>
                <w:szCs w:val="1"/>
                <w:color w:val="auto"/>
              </w:rPr>
            </w:pPr>
          </w:p>
        </w:tc>
        <w:tc>
          <w:tcPr>
            <w:tcW w:w="116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12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900" w:type="dxa"/>
            <w:vAlign w:val="bottom"/>
            <w:shd w:val="clear" w:color="auto" w:fill="A6A6A6"/>
          </w:tcPr>
          <w:p>
            <w:pPr>
              <w:spacing w:after="0" w:line="20" w:lineRule="exact"/>
              <w:rPr>
                <w:sz w:val="1"/>
                <w:szCs w:val="1"/>
                <w:color w:val="auto"/>
              </w:rPr>
            </w:pPr>
          </w:p>
        </w:tc>
        <w:tc>
          <w:tcPr>
            <w:tcW w:w="6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tcPr>
          <w:p>
            <w:pPr>
              <w:spacing w:after="0"/>
              <w:rPr>
                <w:sz w:val="20"/>
                <w:szCs w:val="20"/>
                <w:color w:val="auto"/>
              </w:rPr>
            </w:pPr>
            <w:r>
              <w:rPr>
                <w:rFonts w:ascii="Arial" w:cs="Arial" w:eastAsia="Arial" w:hAnsi="Arial"/>
                <w:sz w:val="16"/>
                <w:szCs w:val="16"/>
                <w:color w:val="004483"/>
              </w:rPr>
              <w:t>Cost of Goods Sold</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(324,835)</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w w:val="96"/>
              </w:rPr>
              <w:t>(291,549)</w:t>
            </w:r>
          </w:p>
        </w:tc>
        <w:tc>
          <w:tcPr>
            <w:tcW w:w="1580" w:type="dxa"/>
            <w:vAlign w:val="bottom"/>
            <w:gridSpan w:val="3"/>
          </w:tcPr>
          <w:p>
            <w:pPr>
              <w:jc w:val="right"/>
              <w:ind w:right="4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5100" w:type="dxa"/>
            <w:vAlign w:val="bottom"/>
            <w:shd w:val="clear" w:color="auto" w:fill="A6A6A6"/>
          </w:tcPr>
          <w:p>
            <w:pPr>
              <w:spacing w:after="0" w:line="20" w:lineRule="exact"/>
              <w:rPr>
                <w:sz w:val="1"/>
                <w:szCs w:val="1"/>
                <w:color w:val="auto"/>
              </w:rPr>
            </w:pPr>
          </w:p>
        </w:tc>
        <w:tc>
          <w:tcPr>
            <w:tcW w:w="1160" w:type="dxa"/>
            <w:vAlign w:val="bottom"/>
            <w:shd w:val="clear" w:color="auto" w:fill="A6A6A6"/>
          </w:tcPr>
          <w:p>
            <w:pPr>
              <w:spacing w:after="0" w:line="20" w:lineRule="exact"/>
              <w:rPr>
                <w:sz w:val="1"/>
                <w:szCs w:val="1"/>
                <w:color w:val="auto"/>
              </w:rPr>
            </w:pPr>
          </w:p>
        </w:tc>
        <w:tc>
          <w:tcPr>
            <w:tcW w:w="260" w:type="dxa"/>
            <w:vAlign w:val="bottom"/>
            <w:shd w:val="clear" w:color="auto" w:fill="004483"/>
          </w:tcPr>
          <w:p>
            <w:pPr>
              <w:spacing w:after="0" w:line="20" w:lineRule="exact"/>
              <w:rPr>
                <w:sz w:val="1"/>
                <w:szCs w:val="1"/>
                <w:color w:val="auto"/>
              </w:rPr>
            </w:pPr>
          </w:p>
        </w:tc>
        <w:tc>
          <w:tcPr>
            <w:tcW w:w="126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900" w:type="dxa"/>
            <w:vAlign w:val="bottom"/>
            <w:shd w:val="clear" w:color="auto" w:fill="004483"/>
          </w:tcPr>
          <w:p>
            <w:pPr>
              <w:spacing w:after="0" w:line="20" w:lineRule="exact"/>
              <w:rPr>
                <w:sz w:val="1"/>
                <w:szCs w:val="1"/>
                <w:color w:val="auto"/>
              </w:rPr>
            </w:pPr>
          </w:p>
        </w:tc>
        <w:tc>
          <w:tcPr>
            <w:tcW w:w="62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00" w:type="dxa"/>
            <w:vAlign w:val="bottom"/>
          </w:tcPr>
          <w:p>
            <w:pPr>
              <w:spacing w:after="0"/>
              <w:rPr>
                <w:sz w:val="20"/>
                <w:szCs w:val="20"/>
                <w:color w:val="auto"/>
              </w:rPr>
            </w:pPr>
            <w:r>
              <w:rPr>
                <w:rFonts w:ascii="Arial" w:cs="Arial" w:eastAsia="Arial" w:hAnsi="Arial"/>
                <w:sz w:val="16"/>
                <w:szCs w:val="16"/>
                <w:color w:val="004483"/>
              </w:rPr>
              <w:t>Gross Profit</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122,849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109,020</w:t>
            </w:r>
          </w:p>
        </w:tc>
        <w:tc>
          <w:tcPr>
            <w:tcW w:w="100" w:type="dxa"/>
            <w:vAlign w:val="bottom"/>
          </w:tcPr>
          <w:p>
            <w:pPr>
              <w:spacing w:after="0"/>
              <w:rPr>
                <w:sz w:val="18"/>
                <w:szCs w:val="18"/>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
        </w:trPr>
        <w:tc>
          <w:tcPr>
            <w:tcW w:w="5100" w:type="dxa"/>
            <w:vAlign w:val="bottom"/>
            <w:shd w:val="clear" w:color="auto" w:fill="A6A6A6"/>
          </w:tcPr>
          <w:p>
            <w:pPr>
              <w:spacing w:after="0" w:line="20" w:lineRule="exact"/>
              <w:rPr>
                <w:sz w:val="1"/>
                <w:szCs w:val="1"/>
                <w:color w:val="auto"/>
              </w:rPr>
            </w:pPr>
          </w:p>
        </w:tc>
        <w:tc>
          <w:tcPr>
            <w:tcW w:w="116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12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900" w:type="dxa"/>
            <w:vAlign w:val="bottom"/>
            <w:shd w:val="clear" w:color="auto" w:fill="A6A6A6"/>
          </w:tcPr>
          <w:p>
            <w:pPr>
              <w:spacing w:after="0" w:line="20" w:lineRule="exact"/>
              <w:rPr>
                <w:sz w:val="1"/>
                <w:szCs w:val="1"/>
                <w:color w:val="auto"/>
              </w:rPr>
            </w:pPr>
          </w:p>
        </w:tc>
        <w:tc>
          <w:tcPr>
            <w:tcW w:w="6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00" w:type="dxa"/>
            <w:vAlign w:val="bottom"/>
          </w:tcPr>
          <w:p>
            <w:pPr>
              <w:spacing w:after="0"/>
              <w:rPr>
                <w:sz w:val="20"/>
                <w:szCs w:val="20"/>
                <w:color w:val="auto"/>
              </w:rPr>
            </w:pPr>
            <w:r>
              <w:rPr>
                <w:rFonts w:ascii="Arial" w:cs="Arial" w:eastAsia="Arial" w:hAnsi="Arial"/>
                <w:sz w:val="16"/>
                <w:szCs w:val="16"/>
                <w:color w:val="004483"/>
              </w:rPr>
              <w:t>Equity in Earnings of Unconsolidated Joint Venture</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10,577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12,357</w:t>
            </w:r>
          </w:p>
        </w:tc>
        <w:tc>
          <w:tcPr>
            <w:tcW w:w="10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
        </w:trPr>
        <w:tc>
          <w:tcPr>
            <w:tcW w:w="5100" w:type="dxa"/>
            <w:vAlign w:val="bottom"/>
            <w:shd w:val="clear" w:color="auto" w:fill="A6A6A6"/>
          </w:tcPr>
          <w:p>
            <w:pPr>
              <w:spacing w:after="0" w:line="20" w:lineRule="exact"/>
              <w:rPr>
                <w:sz w:val="1"/>
                <w:szCs w:val="1"/>
                <w:color w:val="auto"/>
              </w:rPr>
            </w:pPr>
          </w:p>
        </w:tc>
        <w:tc>
          <w:tcPr>
            <w:tcW w:w="116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12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900" w:type="dxa"/>
            <w:vAlign w:val="bottom"/>
            <w:shd w:val="clear" w:color="auto" w:fill="A6A6A6"/>
          </w:tcPr>
          <w:p>
            <w:pPr>
              <w:spacing w:after="0" w:line="20" w:lineRule="exact"/>
              <w:rPr>
                <w:sz w:val="1"/>
                <w:szCs w:val="1"/>
                <w:color w:val="auto"/>
              </w:rPr>
            </w:pPr>
          </w:p>
        </w:tc>
        <w:tc>
          <w:tcPr>
            <w:tcW w:w="6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00" w:type="dxa"/>
            <w:vAlign w:val="bottom"/>
          </w:tcPr>
          <w:p>
            <w:pPr>
              <w:spacing w:after="0"/>
              <w:rPr>
                <w:sz w:val="20"/>
                <w:szCs w:val="20"/>
                <w:color w:val="auto"/>
              </w:rPr>
            </w:pPr>
            <w:r>
              <w:rPr>
                <w:rFonts w:ascii="Arial" w:cs="Arial" w:eastAsia="Arial" w:hAnsi="Arial"/>
                <w:sz w:val="16"/>
                <w:szCs w:val="16"/>
                <w:color w:val="004483"/>
              </w:rPr>
              <w:t>Corporate General and Administrative</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(11,109)</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(13,458)</w:t>
            </w:r>
          </w:p>
        </w:tc>
        <w:tc>
          <w:tcPr>
            <w:tcW w:w="1580" w:type="dxa"/>
            <w:vAlign w:val="bottom"/>
            <w:gridSpan w:val="3"/>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5100" w:type="dxa"/>
            <w:vAlign w:val="bottom"/>
            <w:shd w:val="clear" w:color="auto" w:fill="A6A6A6"/>
          </w:tcPr>
          <w:p>
            <w:pPr>
              <w:spacing w:after="0" w:line="20" w:lineRule="exact"/>
              <w:rPr>
                <w:sz w:val="1"/>
                <w:szCs w:val="1"/>
                <w:color w:val="auto"/>
              </w:rPr>
            </w:pPr>
          </w:p>
        </w:tc>
        <w:tc>
          <w:tcPr>
            <w:tcW w:w="116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12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900" w:type="dxa"/>
            <w:vAlign w:val="bottom"/>
            <w:shd w:val="clear" w:color="auto" w:fill="A6A6A6"/>
          </w:tcPr>
          <w:p>
            <w:pPr>
              <w:spacing w:after="0" w:line="20" w:lineRule="exact"/>
              <w:rPr>
                <w:sz w:val="1"/>
                <w:szCs w:val="1"/>
                <w:color w:val="auto"/>
              </w:rPr>
            </w:pPr>
          </w:p>
        </w:tc>
        <w:tc>
          <w:tcPr>
            <w:tcW w:w="6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00" w:type="dxa"/>
            <w:vAlign w:val="bottom"/>
          </w:tcPr>
          <w:p>
            <w:pPr>
              <w:spacing w:after="0"/>
              <w:rPr>
                <w:sz w:val="20"/>
                <w:szCs w:val="20"/>
                <w:color w:val="auto"/>
              </w:rPr>
            </w:pPr>
            <w:r>
              <w:rPr>
                <w:rFonts w:ascii="Arial" w:cs="Arial" w:eastAsia="Arial" w:hAnsi="Arial"/>
                <w:sz w:val="16"/>
                <w:szCs w:val="16"/>
                <w:color w:val="004483"/>
              </w:rPr>
              <w:t>Other Non-Operating Income (Loss)</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(90)</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0"/>
        </w:trPr>
        <w:tc>
          <w:tcPr>
            <w:tcW w:w="5100" w:type="dxa"/>
            <w:vAlign w:val="bottom"/>
            <w:shd w:val="clear" w:color="auto" w:fill="A6A6A6"/>
          </w:tcPr>
          <w:p>
            <w:pPr>
              <w:spacing w:after="0" w:line="20" w:lineRule="exact"/>
              <w:rPr>
                <w:sz w:val="1"/>
                <w:szCs w:val="1"/>
                <w:color w:val="auto"/>
              </w:rPr>
            </w:pPr>
          </w:p>
        </w:tc>
        <w:tc>
          <w:tcPr>
            <w:tcW w:w="116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12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900" w:type="dxa"/>
            <w:vAlign w:val="bottom"/>
            <w:shd w:val="clear" w:color="auto" w:fill="A6A6A6"/>
          </w:tcPr>
          <w:p>
            <w:pPr>
              <w:spacing w:after="0" w:line="20" w:lineRule="exact"/>
              <w:rPr>
                <w:sz w:val="1"/>
                <w:szCs w:val="1"/>
                <w:color w:val="auto"/>
              </w:rPr>
            </w:pPr>
          </w:p>
        </w:tc>
        <w:tc>
          <w:tcPr>
            <w:tcW w:w="6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tcPr>
          <w:p>
            <w:pPr>
              <w:spacing w:after="0"/>
              <w:rPr>
                <w:sz w:val="20"/>
                <w:szCs w:val="20"/>
                <w:color w:val="auto"/>
              </w:rPr>
            </w:pPr>
            <w:r>
              <w:rPr>
                <w:rFonts w:ascii="Arial" w:cs="Arial" w:eastAsia="Arial" w:hAnsi="Arial"/>
                <w:sz w:val="16"/>
                <w:szCs w:val="16"/>
                <w:color w:val="004483"/>
              </w:rPr>
              <w:t>Interest Expense, net</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(12,556)</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(10,137)</w:t>
            </w:r>
          </w:p>
        </w:tc>
        <w:tc>
          <w:tcPr>
            <w:tcW w:w="1580" w:type="dxa"/>
            <w:vAlign w:val="bottom"/>
            <w:gridSpan w:val="3"/>
          </w:tcPr>
          <w:p>
            <w:pPr>
              <w:jc w:val="right"/>
              <w:ind w:right="4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
        </w:trPr>
        <w:tc>
          <w:tcPr>
            <w:tcW w:w="5100" w:type="dxa"/>
            <w:vAlign w:val="bottom"/>
            <w:shd w:val="clear" w:color="auto" w:fill="A6A6A6"/>
          </w:tcPr>
          <w:p>
            <w:pPr>
              <w:spacing w:after="0" w:line="20" w:lineRule="exact"/>
              <w:rPr>
                <w:sz w:val="1"/>
                <w:szCs w:val="1"/>
                <w:color w:val="auto"/>
              </w:rPr>
            </w:pPr>
          </w:p>
        </w:tc>
        <w:tc>
          <w:tcPr>
            <w:tcW w:w="1160" w:type="dxa"/>
            <w:vAlign w:val="bottom"/>
            <w:shd w:val="clear" w:color="auto" w:fill="A6A6A6"/>
          </w:tcPr>
          <w:p>
            <w:pPr>
              <w:spacing w:after="0" w:line="20" w:lineRule="exact"/>
              <w:rPr>
                <w:sz w:val="1"/>
                <w:szCs w:val="1"/>
                <w:color w:val="auto"/>
              </w:rPr>
            </w:pPr>
          </w:p>
        </w:tc>
        <w:tc>
          <w:tcPr>
            <w:tcW w:w="260" w:type="dxa"/>
            <w:vAlign w:val="bottom"/>
            <w:shd w:val="clear" w:color="auto" w:fill="004483"/>
          </w:tcPr>
          <w:p>
            <w:pPr>
              <w:spacing w:after="0" w:line="20" w:lineRule="exact"/>
              <w:rPr>
                <w:sz w:val="1"/>
                <w:szCs w:val="1"/>
                <w:color w:val="auto"/>
              </w:rPr>
            </w:pPr>
          </w:p>
        </w:tc>
        <w:tc>
          <w:tcPr>
            <w:tcW w:w="126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900" w:type="dxa"/>
            <w:vAlign w:val="bottom"/>
            <w:shd w:val="clear" w:color="auto" w:fill="004483"/>
          </w:tcPr>
          <w:p>
            <w:pPr>
              <w:spacing w:after="0" w:line="20" w:lineRule="exact"/>
              <w:rPr>
                <w:sz w:val="1"/>
                <w:szCs w:val="1"/>
                <w:color w:val="auto"/>
              </w:rPr>
            </w:pPr>
          </w:p>
        </w:tc>
        <w:tc>
          <w:tcPr>
            <w:tcW w:w="62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tcPr>
          <w:p>
            <w:pPr>
              <w:spacing w:after="0"/>
              <w:rPr>
                <w:sz w:val="20"/>
                <w:szCs w:val="20"/>
                <w:color w:val="auto"/>
              </w:rPr>
            </w:pPr>
            <w:r>
              <w:rPr>
                <w:rFonts w:ascii="Arial" w:cs="Arial" w:eastAsia="Arial" w:hAnsi="Arial"/>
                <w:sz w:val="16"/>
                <w:szCs w:val="16"/>
                <w:color w:val="004483"/>
              </w:rPr>
              <w:t>Earnings from Continuing Operations Before Income Taxes</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109,671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98,367</w:t>
            </w:r>
          </w:p>
        </w:tc>
        <w:tc>
          <w:tcPr>
            <w:tcW w:w="100" w:type="dxa"/>
            <w:vAlign w:val="bottom"/>
          </w:tcPr>
          <w:p>
            <w:pPr>
              <w:spacing w:after="0"/>
              <w:rPr>
                <w:sz w:val="18"/>
                <w:szCs w:val="18"/>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5100" w:type="dxa"/>
            <w:vAlign w:val="bottom"/>
            <w:shd w:val="clear" w:color="auto" w:fill="A6A6A6"/>
          </w:tcPr>
          <w:p>
            <w:pPr>
              <w:spacing w:after="0" w:line="20" w:lineRule="exact"/>
              <w:rPr>
                <w:sz w:val="1"/>
                <w:szCs w:val="1"/>
                <w:color w:val="auto"/>
              </w:rPr>
            </w:pPr>
          </w:p>
        </w:tc>
        <w:tc>
          <w:tcPr>
            <w:tcW w:w="116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12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900" w:type="dxa"/>
            <w:vAlign w:val="bottom"/>
            <w:shd w:val="clear" w:color="auto" w:fill="A6A6A6"/>
          </w:tcPr>
          <w:p>
            <w:pPr>
              <w:spacing w:after="0" w:line="20" w:lineRule="exact"/>
              <w:rPr>
                <w:sz w:val="1"/>
                <w:szCs w:val="1"/>
                <w:color w:val="auto"/>
              </w:rPr>
            </w:pPr>
          </w:p>
        </w:tc>
        <w:tc>
          <w:tcPr>
            <w:tcW w:w="6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00" w:type="dxa"/>
            <w:vAlign w:val="bottom"/>
          </w:tcPr>
          <w:p>
            <w:pPr>
              <w:spacing w:after="0"/>
              <w:rPr>
                <w:sz w:val="20"/>
                <w:szCs w:val="20"/>
                <w:color w:val="auto"/>
              </w:rPr>
            </w:pPr>
            <w:r>
              <w:rPr>
                <w:rFonts w:ascii="Arial" w:cs="Arial" w:eastAsia="Arial" w:hAnsi="Arial"/>
                <w:sz w:val="16"/>
                <w:szCs w:val="16"/>
                <w:color w:val="004483"/>
              </w:rPr>
              <w:t>Income Tax Expense</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(19,800)</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(23,303)</w:t>
            </w:r>
          </w:p>
        </w:tc>
        <w:tc>
          <w:tcPr>
            <w:tcW w:w="1580" w:type="dxa"/>
            <w:vAlign w:val="bottom"/>
            <w:gridSpan w:val="3"/>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
        </w:trPr>
        <w:tc>
          <w:tcPr>
            <w:tcW w:w="5100" w:type="dxa"/>
            <w:vAlign w:val="bottom"/>
            <w:shd w:val="clear" w:color="auto" w:fill="A6A6A6"/>
          </w:tcPr>
          <w:p>
            <w:pPr>
              <w:spacing w:after="0" w:line="20" w:lineRule="exact"/>
              <w:rPr>
                <w:sz w:val="1"/>
                <w:szCs w:val="1"/>
                <w:color w:val="auto"/>
              </w:rPr>
            </w:pPr>
          </w:p>
        </w:tc>
        <w:tc>
          <w:tcPr>
            <w:tcW w:w="1160" w:type="dxa"/>
            <w:vAlign w:val="bottom"/>
            <w:shd w:val="clear" w:color="auto" w:fill="A6A6A6"/>
          </w:tcPr>
          <w:p>
            <w:pPr>
              <w:spacing w:after="0" w:line="20" w:lineRule="exact"/>
              <w:rPr>
                <w:sz w:val="1"/>
                <w:szCs w:val="1"/>
                <w:color w:val="auto"/>
              </w:rPr>
            </w:pPr>
          </w:p>
        </w:tc>
        <w:tc>
          <w:tcPr>
            <w:tcW w:w="260" w:type="dxa"/>
            <w:vAlign w:val="bottom"/>
            <w:shd w:val="clear" w:color="auto" w:fill="004483"/>
          </w:tcPr>
          <w:p>
            <w:pPr>
              <w:spacing w:after="0" w:line="20" w:lineRule="exact"/>
              <w:rPr>
                <w:sz w:val="1"/>
                <w:szCs w:val="1"/>
                <w:color w:val="auto"/>
              </w:rPr>
            </w:pPr>
          </w:p>
        </w:tc>
        <w:tc>
          <w:tcPr>
            <w:tcW w:w="126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900" w:type="dxa"/>
            <w:vAlign w:val="bottom"/>
            <w:shd w:val="clear" w:color="auto" w:fill="004483"/>
          </w:tcPr>
          <w:p>
            <w:pPr>
              <w:spacing w:after="0" w:line="20" w:lineRule="exact"/>
              <w:rPr>
                <w:sz w:val="1"/>
                <w:szCs w:val="1"/>
                <w:color w:val="auto"/>
              </w:rPr>
            </w:pPr>
          </w:p>
        </w:tc>
        <w:tc>
          <w:tcPr>
            <w:tcW w:w="62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tcPr>
          <w:p>
            <w:pPr>
              <w:spacing w:after="0"/>
              <w:rPr>
                <w:sz w:val="20"/>
                <w:szCs w:val="20"/>
                <w:color w:val="auto"/>
              </w:rPr>
            </w:pPr>
            <w:r>
              <w:rPr>
                <w:rFonts w:ascii="Arial" w:cs="Arial" w:eastAsia="Arial" w:hAnsi="Arial"/>
                <w:sz w:val="16"/>
                <w:szCs w:val="16"/>
                <w:b w:val="1"/>
                <w:bCs w:val="1"/>
                <w:color w:val="004483"/>
              </w:rPr>
              <w:t>Net Earnings from Continuing Operations</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89,871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75,064</w:t>
            </w:r>
          </w:p>
        </w:tc>
        <w:tc>
          <w:tcPr>
            <w:tcW w:w="100" w:type="dxa"/>
            <w:vAlign w:val="bottom"/>
          </w:tcPr>
          <w:p>
            <w:pPr>
              <w:spacing w:after="0"/>
              <w:rPr>
                <w:sz w:val="18"/>
                <w:szCs w:val="18"/>
                <w:color w:val="auto"/>
              </w:rPr>
            </w:pPr>
          </w:p>
        </w:tc>
        <w:tc>
          <w:tcPr>
            <w:tcW w:w="15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20%</w:t>
            </w:r>
          </w:p>
        </w:tc>
        <w:tc>
          <w:tcPr>
            <w:tcW w:w="0" w:type="dxa"/>
            <w:vAlign w:val="bottom"/>
          </w:tcPr>
          <w:p>
            <w:pPr>
              <w:spacing w:after="0"/>
              <w:rPr>
                <w:sz w:val="1"/>
                <w:szCs w:val="1"/>
                <w:color w:val="auto"/>
              </w:rPr>
            </w:pPr>
          </w:p>
        </w:tc>
      </w:tr>
      <w:tr>
        <w:trPr>
          <w:trHeight w:val="20"/>
        </w:trPr>
        <w:tc>
          <w:tcPr>
            <w:tcW w:w="5100" w:type="dxa"/>
            <w:vAlign w:val="bottom"/>
            <w:shd w:val="clear" w:color="auto" w:fill="A6A6A6"/>
          </w:tcPr>
          <w:p>
            <w:pPr>
              <w:spacing w:after="0" w:line="20" w:lineRule="exact"/>
              <w:rPr>
                <w:sz w:val="1"/>
                <w:szCs w:val="1"/>
                <w:color w:val="auto"/>
              </w:rPr>
            </w:pPr>
          </w:p>
        </w:tc>
        <w:tc>
          <w:tcPr>
            <w:tcW w:w="1420" w:type="dxa"/>
            <w:vAlign w:val="bottom"/>
            <w:gridSpan w:val="2"/>
            <w:shd w:val="clear" w:color="auto" w:fill="A6A6A6"/>
          </w:tcPr>
          <w:p>
            <w:pPr>
              <w:spacing w:after="0" w:line="20" w:lineRule="exact"/>
              <w:rPr>
                <w:sz w:val="1"/>
                <w:szCs w:val="1"/>
                <w:color w:val="auto"/>
              </w:rPr>
            </w:pPr>
          </w:p>
        </w:tc>
        <w:tc>
          <w:tcPr>
            <w:tcW w:w="12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900" w:type="dxa"/>
            <w:vAlign w:val="bottom"/>
            <w:shd w:val="clear" w:color="auto" w:fill="A6A6A6"/>
          </w:tcPr>
          <w:p>
            <w:pPr>
              <w:spacing w:after="0" w:line="20" w:lineRule="exact"/>
              <w:rPr>
                <w:sz w:val="1"/>
                <w:szCs w:val="1"/>
                <w:color w:val="auto"/>
              </w:rPr>
            </w:pPr>
          </w:p>
        </w:tc>
        <w:tc>
          <w:tcPr>
            <w:tcW w:w="6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00" w:type="dxa"/>
            <w:vAlign w:val="bottom"/>
          </w:tcPr>
          <w:p>
            <w:pPr>
              <w:spacing w:after="0"/>
              <w:rPr>
                <w:sz w:val="20"/>
                <w:szCs w:val="20"/>
                <w:color w:val="auto"/>
              </w:rPr>
            </w:pPr>
            <w:r>
              <w:rPr>
                <w:rFonts w:ascii="Arial" w:cs="Arial" w:eastAsia="Arial" w:hAnsi="Arial"/>
                <w:sz w:val="16"/>
                <w:szCs w:val="16"/>
                <w:color w:val="004483"/>
              </w:rPr>
              <w:t>Net Earnings (Loss) from Discontinued Operations</w:t>
            </w:r>
          </w:p>
        </w:tc>
        <w:tc>
          <w:tcPr>
            <w:tcW w:w="142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6,163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744"/>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(3,271)</w:t>
            </w:r>
          </w:p>
        </w:tc>
        <w:tc>
          <w:tcPr>
            <w:tcW w:w="1580" w:type="dxa"/>
            <w:vAlign w:val="bottom"/>
            <w:gridSpan w:val="3"/>
          </w:tcPr>
          <w:p>
            <w:pPr>
              <w:jc w:val="right"/>
              <w:ind w:right="40"/>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53"/>
        </w:trPr>
        <w:tc>
          <w:tcPr>
            <w:tcW w:w="510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6"/>
                <w:szCs w:val="16"/>
                <w:b w:val="1"/>
                <w:bCs w:val="1"/>
                <w:color w:val="004483"/>
              </w:rPr>
              <w:t>Net Earnings</w:t>
            </w:r>
          </w:p>
        </w:tc>
        <w:tc>
          <w:tcPr>
            <w:tcW w:w="1160" w:type="dxa"/>
            <w:vAlign w:val="bottom"/>
            <w:tcBorders>
              <w:top w:val="single" w:sz="8" w:color="A6A6A6"/>
              <w:bottom w:val="single" w:sz="8" w:color="A6A6A6"/>
            </w:tcBorders>
          </w:tcPr>
          <w:p>
            <w:pPr>
              <w:spacing w:after="0"/>
              <w:rPr>
                <w:sz w:val="21"/>
                <w:szCs w:val="21"/>
                <w:color w:val="auto"/>
              </w:rPr>
            </w:pPr>
          </w:p>
        </w:tc>
        <w:tc>
          <w:tcPr>
            <w:tcW w:w="260" w:type="dxa"/>
            <w:vAlign w:val="bottom"/>
            <w:tcBorders>
              <w:top w:val="single" w:sz="8" w:color="004483"/>
              <w:bottom w:val="single" w:sz="8" w:color="004483"/>
            </w:tcBorders>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96,034</w:t>
            </w:r>
          </w:p>
        </w:tc>
        <w:tc>
          <w:tcPr>
            <w:tcW w:w="100" w:type="dxa"/>
            <w:vAlign w:val="bottom"/>
          </w:tcPr>
          <w:p>
            <w:pPr>
              <w:spacing w:after="0"/>
              <w:rPr>
                <w:sz w:val="21"/>
                <w:szCs w:val="21"/>
                <w:color w:val="auto"/>
              </w:rPr>
            </w:pPr>
          </w:p>
        </w:tc>
        <w:tc>
          <w:tcPr>
            <w:tcW w:w="140" w:type="dxa"/>
            <w:vAlign w:val="bottom"/>
            <w:tcBorders>
              <w:top w:val="single" w:sz="8" w:color="A6A6A6"/>
              <w:bottom w:val="single" w:sz="8" w:color="A6A6A6"/>
            </w:tcBorders>
          </w:tcPr>
          <w:p>
            <w:pPr>
              <w:spacing w:after="0"/>
              <w:rPr>
                <w:sz w:val="21"/>
                <w:szCs w:val="21"/>
                <w:color w:val="auto"/>
              </w:rPr>
            </w:pPr>
          </w:p>
        </w:tc>
        <w:tc>
          <w:tcPr>
            <w:tcW w:w="900" w:type="dxa"/>
            <w:vAlign w:val="bottom"/>
            <w:tcBorders>
              <w:top w:val="single" w:sz="8" w:color="004483"/>
              <w:bottom w:val="single" w:sz="8" w:color="004483"/>
            </w:tcBorders>
          </w:tcPr>
          <w:p>
            <w:pPr>
              <w:jc w:val="right"/>
              <w:ind w:right="744"/>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71,793</w:t>
            </w:r>
          </w:p>
        </w:tc>
        <w:tc>
          <w:tcPr>
            <w:tcW w:w="100" w:type="dxa"/>
            <w:vAlign w:val="bottom"/>
          </w:tcPr>
          <w:p>
            <w:pPr>
              <w:spacing w:after="0"/>
              <w:rPr>
                <w:sz w:val="21"/>
                <w:szCs w:val="21"/>
                <w:color w:val="auto"/>
              </w:rPr>
            </w:pPr>
          </w:p>
        </w:tc>
        <w:tc>
          <w:tcPr>
            <w:tcW w:w="14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b w:val="1"/>
                <w:bCs w:val="1"/>
                <w:color w:val="auto"/>
              </w:rPr>
              <w:t>34</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w w:val="98"/>
              </w:rPr>
              <w:t>%</w:t>
            </w:r>
          </w:p>
        </w:tc>
        <w:tc>
          <w:tcPr>
            <w:tcW w:w="0" w:type="dxa"/>
            <w:vAlign w:val="bottom"/>
          </w:tcPr>
          <w:p>
            <w:pPr>
              <w:spacing w:after="0"/>
              <w:rPr>
                <w:sz w:val="1"/>
                <w:szCs w:val="1"/>
                <w:color w:val="auto"/>
              </w:rPr>
            </w:pPr>
          </w:p>
        </w:tc>
      </w:tr>
      <w:tr>
        <w:trPr>
          <w:trHeight w:val="217"/>
        </w:trPr>
        <w:tc>
          <w:tcPr>
            <w:tcW w:w="5100" w:type="dxa"/>
            <w:vAlign w:val="bottom"/>
          </w:tcPr>
          <w:p>
            <w:pPr>
              <w:spacing w:after="0"/>
              <w:rPr>
                <w:sz w:val="20"/>
                <w:szCs w:val="20"/>
                <w:color w:val="auto"/>
              </w:rPr>
            </w:pPr>
            <w:r>
              <w:rPr>
                <w:rFonts w:ascii="Arial" w:cs="Arial" w:eastAsia="Arial" w:hAnsi="Arial"/>
                <w:sz w:val="16"/>
                <w:szCs w:val="16"/>
                <w:b w:val="1"/>
                <w:bCs w:val="1"/>
                <w:color w:val="004483"/>
              </w:rPr>
              <w:t>Diluted Earnings per Share from Continuing Operations</w:t>
            </w:r>
          </w:p>
        </w:tc>
        <w:tc>
          <w:tcPr>
            <w:tcW w:w="1160" w:type="dxa"/>
            <w:vAlign w:val="bottom"/>
          </w:tcPr>
          <w:p>
            <w:pPr>
              <w:spacing w:after="0"/>
              <w:rPr>
                <w:sz w:val="18"/>
                <w:szCs w:val="18"/>
                <w:color w:val="auto"/>
              </w:rPr>
            </w:pPr>
          </w:p>
        </w:tc>
        <w:tc>
          <w:tcPr>
            <w:tcW w:w="260" w:type="dxa"/>
            <w:vAlign w:val="bottom"/>
            <w:tcBorders>
              <w:bottom w:val="single" w:sz="8" w:color="004483"/>
            </w:tcBorders>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bottom w:val="single" w:sz="8" w:color="004483"/>
            </w:tcBorders>
          </w:tcPr>
          <w:p>
            <w:pPr>
              <w:jc w:val="right"/>
              <w:ind w:right="744"/>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1.80</w:t>
            </w:r>
          </w:p>
        </w:tc>
        <w:tc>
          <w:tcPr>
            <w:tcW w:w="100" w:type="dxa"/>
            <w:vAlign w:val="bottom"/>
          </w:tcPr>
          <w:p>
            <w:pPr>
              <w:spacing w:after="0"/>
              <w:rPr>
                <w:sz w:val="18"/>
                <w:szCs w:val="18"/>
                <w:color w:val="auto"/>
              </w:rPr>
            </w:pPr>
          </w:p>
        </w:tc>
        <w:tc>
          <w:tcPr>
            <w:tcW w:w="15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20%</w:t>
            </w:r>
          </w:p>
        </w:tc>
        <w:tc>
          <w:tcPr>
            <w:tcW w:w="0" w:type="dxa"/>
            <w:vAlign w:val="bottom"/>
          </w:tcPr>
          <w:p>
            <w:pPr>
              <w:spacing w:after="0"/>
              <w:rPr>
                <w:sz w:val="1"/>
                <w:szCs w:val="1"/>
                <w:color w:val="auto"/>
              </w:rPr>
            </w:pPr>
          </w:p>
        </w:tc>
      </w:tr>
      <w:tr>
        <w:trPr>
          <w:trHeight w:val="20"/>
        </w:trPr>
        <w:tc>
          <w:tcPr>
            <w:tcW w:w="5100" w:type="dxa"/>
            <w:vAlign w:val="bottom"/>
            <w:tcBorders>
              <w:top w:val="single" w:sz="8" w:color="A6A6A6"/>
            </w:tcBorders>
          </w:tcPr>
          <w:p>
            <w:pPr>
              <w:spacing w:after="0" w:line="20" w:lineRule="exact"/>
              <w:rPr>
                <w:sz w:val="1"/>
                <w:szCs w:val="1"/>
                <w:color w:val="auto"/>
              </w:rPr>
            </w:pPr>
          </w:p>
        </w:tc>
        <w:tc>
          <w:tcPr>
            <w:tcW w:w="1160" w:type="dxa"/>
            <w:vAlign w:val="bottom"/>
            <w:tcBorders>
              <w:top w:val="single" w:sz="8" w:color="A6A6A6"/>
            </w:tcBorders>
          </w:tcPr>
          <w:p>
            <w:pPr>
              <w:spacing w:after="0" w:line="20" w:lineRule="exact"/>
              <w:rPr>
                <w:sz w:val="1"/>
                <w:szCs w:val="1"/>
                <w:color w:val="auto"/>
              </w:rPr>
            </w:pPr>
          </w:p>
        </w:tc>
        <w:tc>
          <w:tcPr>
            <w:tcW w:w="260" w:type="dxa"/>
            <w:vAlign w:val="bottom"/>
            <w:shd w:val="clear" w:color="auto" w:fill="004483"/>
          </w:tcPr>
          <w:p>
            <w:pPr>
              <w:spacing w:after="0" w:line="20" w:lineRule="exact"/>
              <w:rPr>
                <w:sz w:val="1"/>
                <w:szCs w:val="1"/>
                <w:color w:val="auto"/>
              </w:rPr>
            </w:pPr>
          </w:p>
        </w:tc>
        <w:tc>
          <w:tcPr>
            <w:tcW w:w="126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6A6A6"/>
            </w:tcBorders>
          </w:tcPr>
          <w:p>
            <w:pPr>
              <w:spacing w:after="0" w:line="20" w:lineRule="exact"/>
              <w:rPr>
                <w:sz w:val="1"/>
                <w:szCs w:val="1"/>
                <w:color w:val="auto"/>
              </w:rPr>
            </w:pPr>
          </w:p>
        </w:tc>
        <w:tc>
          <w:tcPr>
            <w:tcW w:w="900" w:type="dxa"/>
            <w:vAlign w:val="bottom"/>
            <w:shd w:val="clear" w:color="auto" w:fill="004483"/>
          </w:tcPr>
          <w:p>
            <w:pPr>
              <w:spacing w:after="0" w:line="20" w:lineRule="exact"/>
              <w:rPr>
                <w:sz w:val="1"/>
                <w:szCs w:val="1"/>
                <w:color w:val="auto"/>
              </w:rPr>
            </w:pPr>
          </w:p>
        </w:tc>
        <w:tc>
          <w:tcPr>
            <w:tcW w:w="62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A6A6A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5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Revenue increased by $47.1 million, or 12%, to $447.7 million for the three months ended September 30, 2020. The Kosmos Acquisition contributed $50.0 million of Revenue for the three months ended September 30, 2020, while Western and Mathews contributed $9.6 million of Revenue for the three months ended September 30, 2019. Excluding the acquisition and dispositions, Revenue improved by $6.7 million, or 2%. The increase was due to higher gross sales prices, which positively affected Revenue by approximately $7.1 million. This was partially offset by lower Sales Volume, which negatively affected Revenue by $0.4 million.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15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Cost of Goods Sold increased by $33.3 million, or 11%, to $324.8 million for the three months ended September 30, 2020. The Kosmos Acquisition contributed $35.6 million of Cost of Goods Sold for the three months ended September 30, 2020, while Western and Mathews contributed $8.1 million of Cost of Goods Sold for the three months ended September 30, 2019. Excluding the acquisitions and dispositions, Cost of Goods Sold increased by $5.8 million, or 2%. The increase in Cost of Goods Sold was due to higher operating costs of approximately $7.3 million, partially offset by lower Sales Volume of $1.6 million. The incease in operating costs was primarily related to our Cement and Concrete and Aggregates segments, which are discussed further on pages 31-32.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53"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color w:val="auto"/>
        </w:rPr>
        <w:t>Gross Profit increased 13% to $122.8 million during the three months ended September 30, 2020. Excluding the acquisitions and dispositions, Gross Profit rose by $0.9 million, or 1%. The improvement in Gross Profit was primarily due to higher gross sales prices, partially offset by increased operating costs. The gross margin decreased to 27% from 28%, primarily because of increased operating costs, partially offset by higher gross sales prices.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EARNINGS OF UNCONSOLIDATED JOINT VENTURE</w:t>
      </w:r>
    </w:p>
    <w:p>
      <w:pPr>
        <w:spacing w:after="0" w:line="15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Equity in Earnings of our Unconsolidated Joint Venture decreased $1.8 million, or 14%, for the three months ended September 30, 2020. The decline was primarily due to lower net sales prices and Sales Volume, which adversely affected earnings by approximately $0.4 million and $1.1 million, respectively, as well as increased operating costs, which lowered operating earnings by approximately $0.3 million.</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CORPORATE GENERAL AND ADMINISTRATIVE</w:t>
      </w:r>
    </w:p>
    <w:p>
      <w:pPr>
        <w:spacing w:after="0" w:line="15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Corporate General and Administrative expenses declined by approximately $2.4 million, or 17%, for the three months ended September 30, 2020. The decrease was primarily because of lower salary and incentive compensation costs and legal and professional fees of approximately $1.3 million and $1.4 million, respectively. The lower salary and incentive compensation costs were primarily due to the retirement of personnel and the sale of businesses, while the lower legal and professional fees related to amounts spent in the prior fiscal year in connection with our strategic portfolio review.</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NON-OPERATING INCOME (LOSS)</w:t>
      </w:r>
    </w:p>
    <w:p>
      <w:pPr>
        <w:spacing w:after="0" w:line="15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Other Non-Operating Income (Loss) consists of a variety of items that are unrelated to segment operations and include non-inventoried aggregates income, asset sales, and other miscellaneous income and cost items.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5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Interest Expense, net increased by approximately $2.5 million, or 24%, during the three months ended September 30, 2020. The increase in Interest Expense, net was primarily due to higher interest on borrowings under our Term Loan of approximately $1.5 million and amortization of related debt issuances costs of $0.6 million. These increases were partially offset by lower interest on our Revolving Credit Facility of approximately $2.8 million and our Unsecured Private Placement Notes, which were paid in full in fiscal 2020, of $0.6 million. The increase in debt issuance costs was related to the issuance of the Term Loan and the amendment of both the Revolving Credit Facility and the Term Loan in April 2020. The lower interest expense on our Revolving Credit Facility was due to reducing our balance by approximately $240.0 million during the three months ended September 30,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FROM CONTINUING OPERATIONS BEFORE INCOME TAXES</w:t>
      </w:r>
    </w:p>
    <w:p>
      <w:pPr>
        <w:spacing w:after="0" w:line="153" w:lineRule="exact"/>
        <w:rPr>
          <w:sz w:val="20"/>
          <w:szCs w:val="20"/>
          <w:color w:val="auto"/>
        </w:rPr>
      </w:pPr>
    </w:p>
    <w:p>
      <w:pPr>
        <w:jc w:val="both"/>
        <w:ind w:right="40"/>
        <w:spacing w:after="0" w:line="271" w:lineRule="auto"/>
        <w:rPr>
          <w:sz w:val="20"/>
          <w:szCs w:val="20"/>
          <w:color w:val="auto"/>
        </w:rPr>
      </w:pPr>
      <w:r>
        <w:rPr>
          <w:rFonts w:ascii="Arial" w:cs="Arial" w:eastAsia="Arial" w:hAnsi="Arial"/>
          <w:sz w:val="18"/>
          <w:szCs w:val="18"/>
          <w:color w:val="auto"/>
        </w:rPr>
        <w:t>Earnings from Continuing Operations Before Income Taxes increased to $109.7 million during the three months ended September 30, 2020, primarily as a result of higher Gross Profit and lower Corporate General and Administrative Expense. This was partially offset by lower Equity in Earnings of Unconsolidated Joint Venture and increased Interest Expense, net.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53"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Income Tax Expense for the three months ended September 30, 2020 declined to $19.8 million from $23.3 million for the three months ended September 30, 2019. The effective tax rate decreased to 18% from 24% in the prior-year period. The decline in the effective tax rate was primarily due to a benefit recognized related to the reversal of all our uncertain tax positions during the three months ended September 30,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 FROM CONTINUING OPERATIONS AND DILUTED EARNINGS PER SHARE FROM CONTINUING OPERATIONS</w:t>
      </w:r>
    </w:p>
    <w:p>
      <w:pPr>
        <w:spacing w:after="0" w:line="15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Net Earnings from Continuing Operations increased 20% to $89.9 million for the three months ended September 30, 2020. Diluted Earnings per Share from Continuing Operations also increased 20% to $2.16 per share.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 (LOSS) FROM DISCONTINUED OPERATIONS</w:t>
      </w:r>
    </w:p>
    <w:p>
      <w:pPr>
        <w:spacing w:after="0" w:line="153" w:lineRule="exact"/>
        <w:rPr>
          <w:sz w:val="20"/>
          <w:szCs w:val="20"/>
          <w:color w:val="auto"/>
        </w:rPr>
      </w:pPr>
    </w:p>
    <w:p>
      <w:pPr>
        <w:jc w:val="both"/>
        <w:ind w:right="160"/>
        <w:spacing w:after="0" w:line="271" w:lineRule="auto"/>
        <w:rPr>
          <w:sz w:val="20"/>
          <w:szCs w:val="20"/>
          <w:color w:val="auto"/>
        </w:rPr>
      </w:pPr>
      <w:r>
        <w:rPr>
          <w:rFonts w:ascii="Arial" w:cs="Arial" w:eastAsia="Arial" w:hAnsi="Arial"/>
          <w:sz w:val="18"/>
          <w:szCs w:val="18"/>
          <w:color w:val="auto"/>
        </w:rPr>
        <w:t>Net Earnings from Discontinued Operations increased to $6.2 million during the three months ended September 30, 2020, compared with a Net Loss from Discontinued Operations of $3.3 million for the three months ended September 30, 2019. The increase was due primarily to the recognition of a $9.2 million gain on the sale of the Oil and Gas Proppants business in September 2020.</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NET EARNINGS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Net Earnings increased 34% to $96.0 million for the three months ended September 30, 2020.</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SEPTEMBER 30, 2020 COMPARED WITH SIX MONTHS ENDED SEPTEMBER 30, 2019</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shd w:val="clear" w:color="auto" w:fill="004483"/>
          </w:tcPr>
          <w:p>
            <w:pPr>
              <w:spacing w:after="0"/>
              <w:rPr>
                <w:sz w:val="19"/>
                <w:szCs w:val="19"/>
                <w:color w:val="auto"/>
              </w:rPr>
            </w:pPr>
          </w:p>
        </w:tc>
        <w:tc>
          <w:tcPr>
            <w:tcW w:w="3080" w:type="dxa"/>
            <w:vAlign w:val="bottom"/>
            <w:gridSpan w:val="6"/>
            <w:shd w:val="clear" w:color="auto" w:fill="004483"/>
          </w:tcPr>
          <w:p>
            <w:pPr>
              <w:jc w:val="right"/>
              <w:ind w:right="640"/>
              <w:spacing w:after="0"/>
              <w:rPr>
                <w:sz w:val="20"/>
                <w:szCs w:val="20"/>
                <w:color w:val="auto"/>
              </w:rPr>
            </w:pPr>
            <w:r>
              <w:rPr>
                <w:rFonts w:ascii="Arial" w:cs="Arial" w:eastAsia="Arial" w:hAnsi="Arial"/>
                <w:sz w:val="13"/>
                <w:szCs w:val="13"/>
                <w:b w:val="1"/>
                <w:bCs w:val="1"/>
                <w:color w:val="FFFFFF"/>
                <w:w w:val="95"/>
              </w:rPr>
              <w:t>For the Six Months Ended September 30,</w:t>
            </w:r>
          </w:p>
        </w:tc>
        <w:tc>
          <w:tcPr>
            <w:tcW w:w="1580" w:type="dxa"/>
            <w:vAlign w:val="bottom"/>
            <w:gridSpan w:val="3"/>
            <w:vMerge w:val="restart"/>
          </w:tcPr>
          <w:p>
            <w:pPr>
              <w:jc w:val="right"/>
              <w:ind w:right="20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00" w:type="dxa"/>
            <w:vAlign w:val="bottom"/>
            <w:tcBorders>
              <w:bottom w:val="single" w:sz="8" w:color="004483"/>
            </w:tcBorders>
          </w:tcPr>
          <w:p>
            <w:pPr>
              <w:spacing w:after="0"/>
              <w:rPr>
                <w:sz w:val="12"/>
                <w:szCs w:val="12"/>
                <w:color w:val="auto"/>
              </w:rPr>
            </w:pPr>
          </w:p>
        </w:tc>
        <w:tc>
          <w:tcPr>
            <w:tcW w:w="1160" w:type="dxa"/>
            <w:vAlign w:val="bottom"/>
            <w:tcBorders>
              <w:bottom w:val="single" w:sz="8" w:color="004483"/>
            </w:tcBorders>
          </w:tcPr>
          <w:p>
            <w:pPr>
              <w:spacing w:after="0"/>
              <w:rPr>
                <w:sz w:val="12"/>
                <w:szCs w:val="12"/>
                <w:color w:val="auto"/>
              </w:rPr>
            </w:pPr>
          </w:p>
        </w:tc>
        <w:tc>
          <w:tcPr>
            <w:tcW w:w="300" w:type="dxa"/>
            <w:vAlign w:val="bottom"/>
            <w:tcBorders>
              <w:bottom w:val="single" w:sz="8" w:color="004483"/>
            </w:tcBorders>
          </w:tcPr>
          <w:p>
            <w:pPr>
              <w:spacing w:after="0"/>
              <w:rPr>
                <w:sz w:val="12"/>
                <w:szCs w:val="12"/>
                <w:color w:val="auto"/>
              </w:rPr>
            </w:pPr>
          </w:p>
        </w:tc>
        <w:tc>
          <w:tcPr>
            <w:tcW w:w="2360" w:type="dxa"/>
            <w:vAlign w:val="bottom"/>
            <w:tcBorders>
              <w:bottom w:val="single" w:sz="8" w:color="004483"/>
            </w:tcBorders>
            <w:gridSpan w:val="4"/>
          </w:tcPr>
          <w:p>
            <w:pPr>
              <w:jc w:val="right"/>
              <w:spacing w:after="0"/>
              <w:rPr>
                <w:sz w:val="20"/>
                <w:szCs w:val="20"/>
                <w:color w:val="auto"/>
              </w:rPr>
            </w:pPr>
            <w:r>
              <w:rPr>
                <w:rFonts w:ascii="Arial" w:cs="Arial" w:eastAsia="Arial" w:hAnsi="Arial"/>
                <w:sz w:val="13"/>
                <w:szCs w:val="13"/>
                <w:color w:val="auto"/>
              </w:rPr>
              <w:t>(dollars in thousands, except per share)</w:t>
            </w:r>
          </w:p>
        </w:tc>
        <w:tc>
          <w:tcPr>
            <w:tcW w:w="620" w:type="dxa"/>
            <w:vAlign w:val="bottom"/>
            <w:tcBorders>
              <w:bottom w:val="single" w:sz="8" w:color="004483"/>
            </w:tcBorders>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Borders>
              <w:bottom w:val="single" w:sz="8" w:color="004483"/>
            </w:tcBorders>
          </w:tcPr>
          <w:p>
            <w:pPr>
              <w:spacing w:after="0"/>
              <w:rPr>
                <w:sz w:val="12"/>
                <w:szCs w:val="12"/>
                <w:color w:val="auto"/>
              </w:rPr>
            </w:pPr>
          </w:p>
        </w:tc>
        <w:tc>
          <w:tcPr>
            <w:tcW w:w="20" w:type="dxa"/>
            <w:vAlign w:val="bottom"/>
            <w:tcBorders>
              <w:bottom w:val="single" w:sz="8" w:color="004483"/>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5100" w:type="dxa"/>
            <w:vAlign w:val="bottom"/>
          </w:tcPr>
          <w:p>
            <w:pPr>
              <w:spacing w:after="0"/>
              <w:rPr>
                <w:sz w:val="20"/>
                <w:szCs w:val="20"/>
                <w:color w:val="auto"/>
              </w:rPr>
            </w:pPr>
            <w:r>
              <w:rPr>
                <w:rFonts w:ascii="Arial" w:cs="Arial" w:eastAsia="Arial" w:hAnsi="Arial"/>
                <w:sz w:val="16"/>
                <w:szCs w:val="16"/>
                <w:color w:val="004483"/>
              </w:rPr>
              <w:t>Revenue</w:t>
            </w:r>
          </w:p>
        </w:tc>
        <w:tc>
          <w:tcPr>
            <w:tcW w:w="1460" w:type="dxa"/>
            <w:vAlign w:val="bottom"/>
            <w:gridSpan w:val="2"/>
          </w:tcPr>
          <w:p>
            <w:pPr>
              <w:jc w:val="right"/>
              <w:ind w:right="144"/>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874,673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744"/>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755,934</w:t>
            </w:r>
          </w:p>
        </w:tc>
        <w:tc>
          <w:tcPr>
            <w:tcW w:w="100" w:type="dxa"/>
            <w:vAlign w:val="bottom"/>
          </w:tcPr>
          <w:p>
            <w:pPr>
              <w:spacing w:after="0"/>
              <w:rPr>
                <w:sz w:val="17"/>
                <w:szCs w:val="17"/>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
        </w:trPr>
        <w:tc>
          <w:tcPr>
            <w:tcW w:w="5100" w:type="dxa"/>
            <w:vAlign w:val="bottom"/>
            <w:shd w:val="clear" w:color="auto" w:fill="A6A6A6"/>
          </w:tcPr>
          <w:p>
            <w:pPr>
              <w:spacing w:after="0" w:line="20" w:lineRule="exact"/>
              <w:rPr>
                <w:sz w:val="1"/>
                <w:szCs w:val="1"/>
                <w:color w:val="auto"/>
              </w:rPr>
            </w:pPr>
          </w:p>
        </w:tc>
        <w:tc>
          <w:tcPr>
            <w:tcW w:w="1160" w:type="dxa"/>
            <w:vAlign w:val="bottom"/>
            <w:shd w:val="clear" w:color="auto" w:fill="A6A6A6"/>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12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900" w:type="dxa"/>
            <w:vAlign w:val="bottom"/>
            <w:shd w:val="clear" w:color="auto" w:fill="A6A6A6"/>
          </w:tcPr>
          <w:p>
            <w:pPr>
              <w:spacing w:after="0" w:line="20" w:lineRule="exact"/>
              <w:rPr>
                <w:sz w:val="1"/>
                <w:szCs w:val="1"/>
                <w:color w:val="auto"/>
              </w:rPr>
            </w:pPr>
          </w:p>
        </w:tc>
        <w:tc>
          <w:tcPr>
            <w:tcW w:w="6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00" w:type="dxa"/>
            <w:vAlign w:val="bottom"/>
          </w:tcPr>
          <w:p>
            <w:pPr>
              <w:spacing w:after="0"/>
              <w:rPr>
                <w:sz w:val="20"/>
                <w:szCs w:val="20"/>
                <w:color w:val="auto"/>
              </w:rPr>
            </w:pPr>
            <w:r>
              <w:rPr>
                <w:rFonts w:ascii="Arial" w:cs="Arial" w:eastAsia="Arial" w:hAnsi="Arial"/>
                <w:sz w:val="16"/>
                <w:szCs w:val="16"/>
                <w:color w:val="004483"/>
              </w:rPr>
              <w:t>Cost of Goods Sold</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(649,527)</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w w:val="96"/>
              </w:rPr>
              <w:t>(568,820)</w:t>
            </w:r>
          </w:p>
        </w:tc>
        <w:tc>
          <w:tcPr>
            <w:tcW w:w="1580" w:type="dxa"/>
            <w:vAlign w:val="bottom"/>
            <w:gridSpan w:val="3"/>
          </w:tcPr>
          <w:p>
            <w:pPr>
              <w:jc w:val="right"/>
              <w:ind w:right="4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
        </w:trPr>
        <w:tc>
          <w:tcPr>
            <w:tcW w:w="5100" w:type="dxa"/>
            <w:vAlign w:val="bottom"/>
            <w:shd w:val="clear" w:color="auto" w:fill="A6A6A6"/>
          </w:tcPr>
          <w:p>
            <w:pPr>
              <w:spacing w:after="0" w:line="20" w:lineRule="exact"/>
              <w:rPr>
                <w:sz w:val="1"/>
                <w:szCs w:val="1"/>
                <w:color w:val="auto"/>
              </w:rPr>
            </w:pPr>
          </w:p>
        </w:tc>
        <w:tc>
          <w:tcPr>
            <w:tcW w:w="1160" w:type="dxa"/>
            <w:vAlign w:val="bottom"/>
            <w:shd w:val="clear" w:color="auto" w:fill="A6A6A6"/>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122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900" w:type="dxa"/>
            <w:vAlign w:val="bottom"/>
            <w:shd w:val="clear" w:color="auto" w:fill="004483"/>
          </w:tcPr>
          <w:p>
            <w:pPr>
              <w:spacing w:after="0" w:line="20" w:lineRule="exact"/>
              <w:rPr>
                <w:sz w:val="1"/>
                <w:szCs w:val="1"/>
                <w:color w:val="auto"/>
              </w:rPr>
            </w:pPr>
          </w:p>
        </w:tc>
        <w:tc>
          <w:tcPr>
            <w:tcW w:w="62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00" w:type="dxa"/>
            <w:vAlign w:val="bottom"/>
          </w:tcPr>
          <w:p>
            <w:pPr>
              <w:spacing w:after="0"/>
              <w:rPr>
                <w:sz w:val="20"/>
                <w:szCs w:val="20"/>
                <w:color w:val="auto"/>
              </w:rPr>
            </w:pPr>
            <w:r>
              <w:rPr>
                <w:rFonts w:ascii="Arial" w:cs="Arial" w:eastAsia="Arial" w:hAnsi="Arial"/>
                <w:sz w:val="16"/>
                <w:szCs w:val="16"/>
                <w:color w:val="004483"/>
              </w:rPr>
              <w:t>Gross Profit</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225,146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187,114</w:t>
            </w:r>
          </w:p>
        </w:tc>
        <w:tc>
          <w:tcPr>
            <w:tcW w:w="100" w:type="dxa"/>
            <w:vAlign w:val="bottom"/>
          </w:tcPr>
          <w:p>
            <w:pPr>
              <w:spacing w:after="0"/>
              <w:rPr>
                <w:sz w:val="18"/>
                <w:szCs w:val="18"/>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
        </w:trPr>
        <w:tc>
          <w:tcPr>
            <w:tcW w:w="5100" w:type="dxa"/>
            <w:vAlign w:val="bottom"/>
            <w:shd w:val="clear" w:color="auto" w:fill="A6A6A6"/>
          </w:tcPr>
          <w:p>
            <w:pPr>
              <w:spacing w:after="0" w:line="20" w:lineRule="exact"/>
              <w:rPr>
                <w:sz w:val="1"/>
                <w:szCs w:val="1"/>
                <w:color w:val="auto"/>
              </w:rPr>
            </w:pPr>
          </w:p>
        </w:tc>
        <w:tc>
          <w:tcPr>
            <w:tcW w:w="1160" w:type="dxa"/>
            <w:vAlign w:val="bottom"/>
            <w:shd w:val="clear" w:color="auto" w:fill="A6A6A6"/>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12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900" w:type="dxa"/>
            <w:vAlign w:val="bottom"/>
            <w:shd w:val="clear" w:color="auto" w:fill="A6A6A6"/>
          </w:tcPr>
          <w:p>
            <w:pPr>
              <w:spacing w:after="0" w:line="20" w:lineRule="exact"/>
              <w:rPr>
                <w:sz w:val="1"/>
                <w:szCs w:val="1"/>
                <w:color w:val="auto"/>
              </w:rPr>
            </w:pPr>
          </w:p>
        </w:tc>
        <w:tc>
          <w:tcPr>
            <w:tcW w:w="6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00" w:type="dxa"/>
            <w:vAlign w:val="bottom"/>
          </w:tcPr>
          <w:p>
            <w:pPr>
              <w:spacing w:after="0"/>
              <w:rPr>
                <w:sz w:val="20"/>
                <w:szCs w:val="20"/>
                <w:color w:val="auto"/>
              </w:rPr>
            </w:pPr>
            <w:r>
              <w:rPr>
                <w:rFonts w:ascii="Arial" w:cs="Arial" w:eastAsia="Arial" w:hAnsi="Arial"/>
                <w:sz w:val="16"/>
                <w:szCs w:val="16"/>
                <w:color w:val="004483"/>
              </w:rPr>
              <w:t>Equity in Earnings of Unconsolidated Joint Venture</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18,373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21,789</w:t>
            </w:r>
          </w:p>
        </w:tc>
        <w:tc>
          <w:tcPr>
            <w:tcW w:w="10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
        </w:trPr>
        <w:tc>
          <w:tcPr>
            <w:tcW w:w="5100" w:type="dxa"/>
            <w:vAlign w:val="bottom"/>
            <w:shd w:val="clear" w:color="auto" w:fill="A6A6A6"/>
          </w:tcPr>
          <w:p>
            <w:pPr>
              <w:spacing w:after="0" w:line="20" w:lineRule="exact"/>
              <w:rPr>
                <w:sz w:val="1"/>
                <w:szCs w:val="1"/>
                <w:color w:val="auto"/>
              </w:rPr>
            </w:pPr>
          </w:p>
        </w:tc>
        <w:tc>
          <w:tcPr>
            <w:tcW w:w="1160" w:type="dxa"/>
            <w:vAlign w:val="bottom"/>
            <w:shd w:val="clear" w:color="auto" w:fill="A6A6A6"/>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12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900" w:type="dxa"/>
            <w:vAlign w:val="bottom"/>
            <w:shd w:val="clear" w:color="auto" w:fill="A6A6A6"/>
          </w:tcPr>
          <w:p>
            <w:pPr>
              <w:spacing w:after="0" w:line="20" w:lineRule="exact"/>
              <w:rPr>
                <w:sz w:val="1"/>
                <w:szCs w:val="1"/>
                <w:color w:val="auto"/>
              </w:rPr>
            </w:pPr>
          </w:p>
        </w:tc>
        <w:tc>
          <w:tcPr>
            <w:tcW w:w="6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tcPr>
          <w:p>
            <w:pPr>
              <w:spacing w:after="0"/>
              <w:rPr>
                <w:sz w:val="20"/>
                <w:szCs w:val="20"/>
                <w:color w:val="auto"/>
              </w:rPr>
            </w:pPr>
            <w:r>
              <w:rPr>
                <w:rFonts w:ascii="Arial" w:cs="Arial" w:eastAsia="Arial" w:hAnsi="Arial"/>
                <w:sz w:val="16"/>
                <w:szCs w:val="16"/>
                <w:color w:val="004483"/>
              </w:rPr>
              <w:t>Corporate General and Administrative</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(28,898)</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(34,712)</w:t>
            </w:r>
          </w:p>
        </w:tc>
        <w:tc>
          <w:tcPr>
            <w:tcW w:w="1580" w:type="dxa"/>
            <w:vAlign w:val="bottom"/>
            <w:gridSpan w:val="3"/>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9"/>
        </w:trPr>
        <w:tc>
          <w:tcPr>
            <w:tcW w:w="510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6"/>
                <w:szCs w:val="16"/>
                <w:color w:val="17385E"/>
              </w:rPr>
              <w:t>Gain on Sale of Businesses</w:t>
            </w:r>
          </w:p>
        </w:tc>
        <w:tc>
          <w:tcPr>
            <w:tcW w:w="1160" w:type="dxa"/>
            <w:vAlign w:val="bottom"/>
            <w:tcBorders>
              <w:top w:val="single" w:sz="8" w:color="A6A6A6"/>
              <w:bottom w:val="single" w:sz="8" w:color="A6A6A6"/>
            </w:tcBorders>
          </w:tcPr>
          <w:p>
            <w:pPr>
              <w:spacing w:after="0"/>
              <w:rPr>
                <w:sz w:val="18"/>
                <w:szCs w:val="18"/>
                <w:color w:val="auto"/>
              </w:rPr>
            </w:pPr>
          </w:p>
        </w:tc>
        <w:tc>
          <w:tcPr>
            <w:tcW w:w="300" w:type="dxa"/>
            <w:vAlign w:val="bottom"/>
            <w:tcBorders>
              <w:top w:val="single" w:sz="8" w:color="A6A6A6"/>
              <w:bottom w:val="single" w:sz="8" w:color="A6A6A6"/>
            </w:tcBorders>
          </w:tcPr>
          <w:p>
            <w:pPr>
              <w:spacing w:after="0"/>
              <w:rPr>
                <w:sz w:val="18"/>
                <w:szCs w:val="18"/>
                <w:color w:val="auto"/>
              </w:rPr>
            </w:pPr>
          </w:p>
        </w:tc>
        <w:tc>
          <w:tcPr>
            <w:tcW w:w="12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51,973</w:t>
            </w:r>
          </w:p>
        </w:tc>
        <w:tc>
          <w:tcPr>
            <w:tcW w:w="100" w:type="dxa"/>
            <w:vAlign w:val="bottom"/>
          </w:tcPr>
          <w:p>
            <w:pPr>
              <w:spacing w:after="0"/>
              <w:rPr>
                <w:sz w:val="18"/>
                <w:szCs w:val="18"/>
                <w:color w:val="auto"/>
              </w:rPr>
            </w:pPr>
          </w:p>
        </w:tc>
        <w:tc>
          <w:tcPr>
            <w:tcW w:w="140" w:type="dxa"/>
            <w:vAlign w:val="bottom"/>
            <w:tcBorders>
              <w:top w:val="single" w:sz="8" w:color="A6A6A6"/>
              <w:bottom w:val="single" w:sz="8" w:color="A6A6A6"/>
            </w:tcBorders>
          </w:tcPr>
          <w:p>
            <w:pPr>
              <w:spacing w:after="0"/>
              <w:rPr>
                <w:sz w:val="18"/>
                <w:szCs w:val="18"/>
                <w:color w:val="auto"/>
              </w:rPr>
            </w:pPr>
          </w:p>
        </w:tc>
        <w:tc>
          <w:tcPr>
            <w:tcW w:w="900" w:type="dxa"/>
            <w:vAlign w:val="bottom"/>
            <w:tcBorders>
              <w:top w:val="single" w:sz="8" w:color="A6A6A6"/>
              <w:bottom w:val="single" w:sz="8" w:color="A6A6A6"/>
            </w:tcBorders>
          </w:tcPr>
          <w:p>
            <w:pPr>
              <w:spacing w:after="0"/>
              <w:rPr>
                <w:sz w:val="18"/>
                <w:szCs w:val="18"/>
                <w:color w:val="auto"/>
              </w:rPr>
            </w:pPr>
          </w:p>
        </w:tc>
        <w:tc>
          <w:tcPr>
            <w:tcW w:w="6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20" w:type="dxa"/>
            <w:vAlign w:val="bottom"/>
            <w:tcBorders>
              <w:top w:val="single" w:sz="8" w:color="A6A6A6"/>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00" w:type="dxa"/>
            <w:vAlign w:val="bottom"/>
          </w:tcPr>
          <w:p>
            <w:pPr>
              <w:spacing w:after="0"/>
              <w:rPr>
                <w:sz w:val="20"/>
                <w:szCs w:val="20"/>
                <w:color w:val="auto"/>
              </w:rPr>
            </w:pPr>
            <w:r>
              <w:rPr>
                <w:rFonts w:ascii="Arial" w:cs="Arial" w:eastAsia="Arial" w:hAnsi="Arial"/>
                <w:sz w:val="16"/>
                <w:szCs w:val="16"/>
                <w:color w:val="004483"/>
              </w:rPr>
              <w:t>Other Non-Operating Income (Loss)</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(399)</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723</w:t>
            </w:r>
          </w:p>
        </w:tc>
        <w:tc>
          <w:tcPr>
            <w:tcW w:w="10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0"/>
        </w:trPr>
        <w:tc>
          <w:tcPr>
            <w:tcW w:w="5100" w:type="dxa"/>
            <w:vAlign w:val="bottom"/>
            <w:shd w:val="clear" w:color="auto" w:fill="A6A6A6"/>
          </w:tcPr>
          <w:p>
            <w:pPr>
              <w:spacing w:after="0" w:line="20" w:lineRule="exact"/>
              <w:rPr>
                <w:sz w:val="1"/>
                <w:szCs w:val="1"/>
                <w:color w:val="auto"/>
              </w:rPr>
            </w:pPr>
          </w:p>
        </w:tc>
        <w:tc>
          <w:tcPr>
            <w:tcW w:w="1160" w:type="dxa"/>
            <w:vAlign w:val="bottom"/>
            <w:shd w:val="clear" w:color="auto" w:fill="A6A6A6"/>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12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900" w:type="dxa"/>
            <w:vAlign w:val="bottom"/>
            <w:shd w:val="clear" w:color="auto" w:fill="A6A6A6"/>
          </w:tcPr>
          <w:p>
            <w:pPr>
              <w:spacing w:after="0" w:line="20" w:lineRule="exact"/>
              <w:rPr>
                <w:sz w:val="1"/>
                <w:szCs w:val="1"/>
                <w:color w:val="auto"/>
              </w:rPr>
            </w:pPr>
          </w:p>
        </w:tc>
        <w:tc>
          <w:tcPr>
            <w:tcW w:w="6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00" w:type="dxa"/>
            <w:vAlign w:val="bottom"/>
          </w:tcPr>
          <w:p>
            <w:pPr>
              <w:spacing w:after="0"/>
              <w:rPr>
                <w:sz w:val="20"/>
                <w:szCs w:val="20"/>
                <w:color w:val="auto"/>
              </w:rPr>
            </w:pPr>
            <w:r>
              <w:rPr>
                <w:rFonts w:ascii="Arial" w:cs="Arial" w:eastAsia="Arial" w:hAnsi="Arial"/>
                <w:sz w:val="16"/>
                <w:szCs w:val="16"/>
                <w:color w:val="004483"/>
              </w:rPr>
              <w:t>Interest Expense, net</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(26,597)</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(18,983)</w:t>
            </w:r>
          </w:p>
        </w:tc>
        <w:tc>
          <w:tcPr>
            <w:tcW w:w="1580" w:type="dxa"/>
            <w:vAlign w:val="bottom"/>
            <w:gridSpan w:val="3"/>
          </w:tcPr>
          <w:p>
            <w:pPr>
              <w:jc w:val="right"/>
              <w:ind w:right="4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
        </w:trPr>
        <w:tc>
          <w:tcPr>
            <w:tcW w:w="5100" w:type="dxa"/>
            <w:vAlign w:val="bottom"/>
            <w:shd w:val="clear" w:color="auto" w:fill="A6A6A6"/>
          </w:tcPr>
          <w:p>
            <w:pPr>
              <w:spacing w:after="0" w:line="20" w:lineRule="exact"/>
              <w:rPr>
                <w:sz w:val="1"/>
                <w:szCs w:val="1"/>
                <w:color w:val="auto"/>
              </w:rPr>
            </w:pPr>
          </w:p>
        </w:tc>
        <w:tc>
          <w:tcPr>
            <w:tcW w:w="1160" w:type="dxa"/>
            <w:vAlign w:val="bottom"/>
            <w:shd w:val="clear" w:color="auto" w:fill="A6A6A6"/>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122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900" w:type="dxa"/>
            <w:vAlign w:val="bottom"/>
            <w:shd w:val="clear" w:color="auto" w:fill="004483"/>
          </w:tcPr>
          <w:p>
            <w:pPr>
              <w:spacing w:after="0" w:line="20" w:lineRule="exact"/>
              <w:rPr>
                <w:sz w:val="1"/>
                <w:szCs w:val="1"/>
                <w:color w:val="auto"/>
              </w:rPr>
            </w:pPr>
          </w:p>
        </w:tc>
        <w:tc>
          <w:tcPr>
            <w:tcW w:w="62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00" w:type="dxa"/>
            <w:vAlign w:val="bottom"/>
          </w:tcPr>
          <w:p>
            <w:pPr>
              <w:spacing w:after="0"/>
              <w:rPr>
                <w:sz w:val="20"/>
                <w:szCs w:val="20"/>
                <w:color w:val="auto"/>
              </w:rPr>
            </w:pPr>
            <w:r>
              <w:rPr>
                <w:rFonts w:ascii="Arial" w:cs="Arial" w:eastAsia="Arial" w:hAnsi="Arial"/>
                <w:sz w:val="16"/>
                <w:szCs w:val="16"/>
                <w:color w:val="004483"/>
              </w:rPr>
              <w:t>Earnings from Continuing Operations Before Income Taxes</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239,598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155,931</w:t>
            </w:r>
          </w:p>
        </w:tc>
        <w:tc>
          <w:tcPr>
            <w:tcW w:w="100" w:type="dxa"/>
            <w:vAlign w:val="bottom"/>
          </w:tcPr>
          <w:p>
            <w:pPr>
              <w:spacing w:after="0"/>
              <w:rPr>
                <w:sz w:val="18"/>
                <w:szCs w:val="18"/>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0"/>
        </w:trPr>
        <w:tc>
          <w:tcPr>
            <w:tcW w:w="5100" w:type="dxa"/>
            <w:vAlign w:val="bottom"/>
            <w:shd w:val="clear" w:color="auto" w:fill="A6A6A6"/>
          </w:tcPr>
          <w:p>
            <w:pPr>
              <w:spacing w:after="0" w:line="20" w:lineRule="exact"/>
              <w:rPr>
                <w:sz w:val="1"/>
                <w:szCs w:val="1"/>
                <w:color w:val="auto"/>
              </w:rPr>
            </w:pPr>
          </w:p>
        </w:tc>
        <w:tc>
          <w:tcPr>
            <w:tcW w:w="1160" w:type="dxa"/>
            <w:vAlign w:val="bottom"/>
            <w:shd w:val="clear" w:color="auto" w:fill="A6A6A6"/>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12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900" w:type="dxa"/>
            <w:vAlign w:val="bottom"/>
            <w:shd w:val="clear" w:color="auto" w:fill="A6A6A6"/>
          </w:tcPr>
          <w:p>
            <w:pPr>
              <w:spacing w:after="0" w:line="20" w:lineRule="exact"/>
              <w:rPr>
                <w:sz w:val="1"/>
                <w:szCs w:val="1"/>
                <w:color w:val="auto"/>
              </w:rPr>
            </w:pPr>
          </w:p>
        </w:tc>
        <w:tc>
          <w:tcPr>
            <w:tcW w:w="6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tcPr>
          <w:p>
            <w:pPr>
              <w:spacing w:after="0"/>
              <w:rPr>
                <w:sz w:val="20"/>
                <w:szCs w:val="20"/>
                <w:color w:val="auto"/>
              </w:rPr>
            </w:pPr>
            <w:r>
              <w:rPr>
                <w:rFonts w:ascii="Arial" w:cs="Arial" w:eastAsia="Arial" w:hAnsi="Arial"/>
                <w:sz w:val="16"/>
                <w:szCs w:val="16"/>
                <w:color w:val="004483"/>
              </w:rPr>
              <w:t>Income Tax Expense</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(52,636)</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(37,534)</w:t>
            </w:r>
          </w:p>
        </w:tc>
        <w:tc>
          <w:tcPr>
            <w:tcW w:w="1580" w:type="dxa"/>
            <w:vAlign w:val="bottom"/>
            <w:gridSpan w:val="3"/>
          </w:tcPr>
          <w:p>
            <w:pPr>
              <w:jc w:val="right"/>
              <w:ind w:right="4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
        </w:trPr>
        <w:tc>
          <w:tcPr>
            <w:tcW w:w="5100" w:type="dxa"/>
            <w:vAlign w:val="bottom"/>
            <w:shd w:val="clear" w:color="auto" w:fill="A6A6A6"/>
          </w:tcPr>
          <w:p>
            <w:pPr>
              <w:spacing w:after="0" w:line="20" w:lineRule="exact"/>
              <w:rPr>
                <w:sz w:val="1"/>
                <w:szCs w:val="1"/>
                <w:color w:val="auto"/>
              </w:rPr>
            </w:pPr>
          </w:p>
        </w:tc>
        <w:tc>
          <w:tcPr>
            <w:tcW w:w="1160" w:type="dxa"/>
            <w:vAlign w:val="bottom"/>
            <w:shd w:val="clear" w:color="auto" w:fill="A6A6A6"/>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122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900" w:type="dxa"/>
            <w:vAlign w:val="bottom"/>
            <w:shd w:val="clear" w:color="auto" w:fill="004483"/>
          </w:tcPr>
          <w:p>
            <w:pPr>
              <w:spacing w:after="0" w:line="20" w:lineRule="exact"/>
              <w:rPr>
                <w:sz w:val="1"/>
                <w:szCs w:val="1"/>
                <w:color w:val="auto"/>
              </w:rPr>
            </w:pPr>
          </w:p>
        </w:tc>
        <w:tc>
          <w:tcPr>
            <w:tcW w:w="62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tcPr>
          <w:p>
            <w:pPr>
              <w:spacing w:after="0"/>
              <w:rPr>
                <w:sz w:val="20"/>
                <w:szCs w:val="20"/>
                <w:color w:val="auto"/>
              </w:rPr>
            </w:pPr>
            <w:r>
              <w:rPr>
                <w:rFonts w:ascii="Arial" w:cs="Arial" w:eastAsia="Arial" w:hAnsi="Arial"/>
                <w:sz w:val="16"/>
                <w:szCs w:val="16"/>
                <w:b w:val="1"/>
                <w:bCs w:val="1"/>
                <w:color w:val="004483"/>
              </w:rPr>
              <w:t>Net Earnings from Continuing Operations</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186,962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118,397</w:t>
            </w:r>
          </w:p>
        </w:tc>
        <w:tc>
          <w:tcPr>
            <w:tcW w:w="100" w:type="dxa"/>
            <w:vAlign w:val="bottom"/>
          </w:tcPr>
          <w:p>
            <w:pPr>
              <w:spacing w:after="0"/>
              <w:rPr>
                <w:sz w:val="18"/>
                <w:szCs w:val="18"/>
                <w:color w:val="auto"/>
              </w:rPr>
            </w:pPr>
          </w:p>
        </w:tc>
        <w:tc>
          <w:tcPr>
            <w:tcW w:w="15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58%</w:t>
            </w:r>
          </w:p>
        </w:tc>
        <w:tc>
          <w:tcPr>
            <w:tcW w:w="0" w:type="dxa"/>
            <w:vAlign w:val="bottom"/>
          </w:tcPr>
          <w:p>
            <w:pPr>
              <w:spacing w:after="0"/>
              <w:rPr>
                <w:sz w:val="1"/>
                <w:szCs w:val="1"/>
                <w:color w:val="auto"/>
              </w:rPr>
            </w:pPr>
          </w:p>
        </w:tc>
      </w:tr>
      <w:tr>
        <w:trPr>
          <w:trHeight w:val="20"/>
        </w:trPr>
        <w:tc>
          <w:tcPr>
            <w:tcW w:w="5100" w:type="dxa"/>
            <w:vAlign w:val="bottom"/>
            <w:shd w:val="clear" w:color="auto" w:fill="A6A6A6"/>
          </w:tcPr>
          <w:p>
            <w:pPr>
              <w:spacing w:after="0" w:line="20" w:lineRule="exact"/>
              <w:rPr>
                <w:sz w:val="1"/>
                <w:szCs w:val="1"/>
                <w:color w:val="auto"/>
              </w:rPr>
            </w:pPr>
          </w:p>
        </w:tc>
        <w:tc>
          <w:tcPr>
            <w:tcW w:w="1460" w:type="dxa"/>
            <w:vAlign w:val="bottom"/>
            <w:gridSpan w:val="2"/>
            <w:shd w:val="clear" w:color="auto" w:fill="A6A6A6"/>
          </w:tcPr>
          <w:p>
            <w:pPr>
              <w:spacing w:after="0" w:line="20" w:lineRule="exact"/>
              <w:rPr>
                <w:sz w:val="1"/>
                <w:szCs w:val="1"/>
                <w:color w:val="auto"/>
              </w:rPr>
            </w:pPr>
          </w:p>
        </w:tc>
        <w:tc>
          <w:tcPr>
            <w:tcW w:w="12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900" w:type="dxa"/>
            <w:vAlign w:val="bottom"/>
            <w:shd w:val="clear" w:color="auto" w:fill="A6A6A6"/>
          </w:tcPr>
          <w:p>
            <w:pPr>
              <w:spacing w:after="0" w:line="20" w:lineRule="exact"/>
              <w:rPr>
                <w:sz w:val="1"/>
                <w:szCs w:val="1"/>
                <w:color w:val="auto"/>
              </w:rPr>
            </w:pPr>
          </w:p>
        </w:tc>
        <w:tc>
          <w:tcPr>
            <w:tcW w:w="6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00" w:type="dxa"/>
            <w:vAlign w:val="bottom"/>
          </w:tcPr>
          <w:p>
            <w:pPr>
              <w:spacing w:after="0"/>
              <w:rPr>
                <w:sz w:val="20"/>
                <w:szCs w:val="20"/>
                <w:color w:val="auto"/>
              </w:rPr>
            </w:pPr>
            <w:r>
              <w:rPr>
                <w:rFonts w:ascii="Arial" w:cs="Arial" w:eastAsia="Arial" w:hAnsi="Arial"/>
                <w:sz w:val="16"/>
                <w:szCs w:val="16"/>
                <w:color w:val="004483"/>
              </w:rPr>
              <w:t>Net Earnings (Loss) from Discontinued Operations</w:t>
            </w:r>
          </w:p>
        </w:tc>
        <w:tc>
          <w:tcPr>
            <w:tcW w:w="1460" w:type="dxa"/>
            <w:vAlign w:val="bottom"/>
            <w:gridSpan w:val="2"/>
          </w:tcPr>
          <w:p>
            <w:pPr>
              <w:jc w:val="right"/>
              <w:ind w:right="144"/>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5,278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744"/>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(5,300)</w:t>
            </w:r>
          </w:p>
        </w:tc>
        <w:tc>
          <w:tcPr>
            <w:tcW w:w="15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-200%</w:t>
            </w:r>
          </w:p>
        </w:tc>
        <w:tc>
          <w:tcPr>
            <w:tcW w:w="0" w:type="dxa"/>
            <w:vAlign w:val="bottom"/>
          </w:tcPr>
          <w:p>
            <w:pPr>
              <w:spacing w:after="0"/>
              <w:rPr>
                <w:sz w:val="1"/>
                <w:szCs w:val="1"/>
                <w:color w:val="auto"/>
              </w:rPr>
            </w:pPr>
          </w:p>
        </w:tc>
      </w:tr>
      <w:tr>
        <w:trPr>
          <w:trHeight w:val="252"/>
        </w:trPr>
        <w:tc>
          <w:tcPr>
            <w:tcW w:w="510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6"/>
                <w:szCs w:val="16"/>
                <w:b w:val="1"/>
                <w:bCs w:val="1"/>
                <w:color w:val="004483"/>
              </w:rPr>
              <w:t>Net Earnings</w:t>
            </w:r>
          </w:p>
        </w:tc>
        <w:tc>
          <w:tcPr>
            <w:tcW w:w="1160" w:type="dxa"/>
            <w:vAlign w:val="bottom"/>
            <w:tcBorders>
              <w:top w:val="single" w:sz="8" w:color="A6A6A6"/>
              <w:bottom w:val="single" w:sz="8" w:color="A6A6A6"/>
            </w:tcBorders>
          </w:tcPr>
          <w:p>
            <w:pPr>
              <w:spacing w:after="0"/>
              <w:rPr>
                <w:sz w:val="21"/>
                <w:szCs w:val="21"/>
                <w:color w:val="auto"/>
              </w:rPr>
            </w:pPr>
          </w:p>
        </w:tc>
        <w:tc>
          <w:tcPr>
            <w:tcW w:w="300" w:type="dxa"/>
            <w:vAlign w:val="bottom"/>
            <w:tcBorders>
              <w:top w:val="single" w:sz="8" w:color="004483"/>
              <w:bottom w:val="single" w:sz="8" w:color="004483"/>
            </w:tcBorders>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192,240</w:t>
            </w:r>
          </w:p>
        </w:tc>
        <w:tc>
          <w:tcPr>
            <w:tcW w:w="100" w:type="dxa"/>
            <w:vAlign w:val="bottom"/>
          </w:tcPr>
          <w:p>
            <w:pPr>
              <w:spacing w:after="0"/>
              <w:rPr>
                <w:sz w:val="21"/>
                <w:szCs w:val="21"/>
                <w:color w:val="auto"/>
              </w:rPr>
            </w:pPr>
          </w:p>
        </w:tc>
        <w:tc>
          <w:tcPr>
            <w:tcW w:w="140" w:type="dxa"/>
            <w:vAlign w:val="bottom"/>
            <w:tcBorders>
              <w:top w:val="single" w:sz="8" w:color="A6A6A6"/>
              <w:bottom w:val="single" w:sz="8" w:color="A6A6A6"/>
            </w:tcBorders>
          </w:tcPr>
          <w:p>
            <w:pPr>
              <w:spacing w:after="0"/>
              <w:rPr>
                <w:sz w:val="21"/>
                <w:szCs w:val="21"/>
                <w:color w:val="auto"/>
              </w:rPr>
            </w:pPr>
          </w:p>
        </w:tc>
        <w:tc>
          <w:tcPr>
            <w:tcW w:w="900" w:type="dxa"/>
            <w:vAlign w:val="bottom"/>
            <w:tcBorders>
              <w:top w:val="single" w:sz="8" w:color="004483"/>
              <w:bottom w:val="single" w:sz="8" w:color="004483"/>
            </w:tcBorders>
          </w:tcPr>
          <w:p>
            <w:pPr>
              <w:jc w:val="right"/>
              <w:ind w:right="744"/>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113,097</w:t>
            </w:r>
          </w:p>
        </w:tc>
        <w:tc>
          <w:tcPr>
            <w:tcW w:w="100" w:type="dxa"/>
            <w:vAlign w:val="bottom"/>
          </w:tcPr>
          <w:p>
            <w:pPr>
              <w:spacing w:after="0"/>
              <w:rPr>
                <w:sz w:val="21"/>
                <w:szCs w:val="21"/>
                <w:color w:val="auto"/>
              </w:rPr>
            </w:pPr>
          </w:p>
        </w:tc>
        <w:tc>
          <w:tcPr>
            <w:tcW w:w="14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b w:val="1"/>
                <w:bCs w:val="1"/>
                <w:color w:val="auto"/>
              </w:rPr>
              <w:t>70</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w w:val="98"/>
              </w:rPr>
              <w:t>%</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6"/>
                <w:szCs w:val="16"/>
                <w:b w:val="1"/>
                <w:bCs w:val="1"/>
                <w:color w:val="004483"/>
              </w:rPr>
              <w:t>Diluted Earnings per Share from Continuing Operations</w:t>
            </w:r>
          </w:p>
        </w:tc>
        <w:tc>
          <w:tcPr>
            <w:tcW w:w="1160" w:type="dxa"/>
            <w:vAlign w:val="bottom"/>
          </w:tcPr>
          <w:p>
            <w:pPr>
              <w:spacing w:after="0"/>
              <w:rPr>
                <w:sz w:val="18"/>
                <w:szCs w:val="18"/>
                <w:color w:val="auto"/>
              </w:rPr>
            </w:pPr>
          </w:p>
        </w:tc>
        <w:tc>
          <w:tcPr>
            <w:tcW w:w="300" w:type="dxa"/>
            <w:vAlign w:val="bottom"/>
            <w:tcBorders>
              <w:bottom w:val="single" w:sz="8" w:color="004483"/>
            </w:tcBorders>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bottom w:val="single" w:sz="8" w:color="004483"/>
            </w:tcBorders>
          </w:tcPr>
          <w:p>
            <w:pPr>
              <w:jc w:val="right"/>
              <w:ind w:right="744"/>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2.75</w:t>
            </w:r>
          </w:p>
        </w:tc>
        <w:tc>
          <w:tcPr>
            <w:tcW w:w="100" w:type="dxa"/>
            <w:vAlign w:val="bottom"/>
          </w:tcPr>
          <w:p>
            <w:pPr>
              <w:spacing w:after="0"/>
              <w:rPr>
                <w:sz w:val="18"/>
                <w:szCs w:val="18"/>
                <w:color w:val="auto"/>
              </w:rPr>
            </w:pPr>
          </w:p>
        </w:tc>
        <w:tc>
          <w:tcPr>
            <w:tcW w:w="15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63%</w:t>
            </w:r>
          </w:p>
        </w:tc>
        <w:tc>
          <w:tcPr>
            <w:tcW w:w="0" w:type="dxa"/>
            <w:vAlign w:val="bottom"/>
          </w:tcPr>
          <w:p>
            <w:pPr>
              <w:spacing w:after="0"/>
              <w:rPr>
                <w:sz w:val="1"/>
                <w:szCs w:val="1"/>
                <w:color w:val="auto"/>
              </w:rPr>
            </w:pPr>
          </w:p>
        </w:tc>
      </w:tr>
      <w:tr>
        <w:trPr>
          <w:trHeight w:val="20"/>
        </w:trPr>
        <w:tc>
          <w:tcPr>
            <w:tcW w:w="5100" w:type="dxa"/>
            <w:vAlign w:val="bottom"/>
            <w:tcBorders>
              <w:top w:val="single" w:sz="8" w:color="A6A6A6"/>
            </w:tcBorders>
          </w:tcPr>
          <w:p>
            <w:pPr>
              <w:spacing w:after="0" w:line="20" w:lineRule="exact"/>
              <w:rPr>
                <w:sz w:val="1"/>
                <w:szCs w:val="1"/>
                <w:color w:val="auto"/>
              </w:rPr>
            </w:pPr>
          </w:p>
        </w:tc>
        <w:tc>
          <w:tcPr>
            <w:tcW w:w="1160" w:type="dxa"/>
            <w:vAlign w:val="bottom"/>
            <w:tcBorders>
              <w:top w:val="single" w:sz="8" w:color="A6A6A6"/>
            </w:tcBorders>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122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6A6A6"/>
            </w:tcBorders>
          </w:tcPr>
          <w:p>
            <w:pPr>
              <w:spacing w:after="0" w:line="20" w:lineRule="exact"/>
              <w:rPr>
                <w:sz w:val="1"/>
                <w:szCs w:val="1"/>
                <w:color w:val="auto"/>
              </w:rPr>
            </w:pPr>
          </w:p>
        </w:tc>
        <w:tc>
          <w:tcPr>
            <w:tcW w:w="900" w:type="dxa"/>
            <w:vAlign w:val="bottom"/>
            <w:shd w:val="clear" w:color="auto" w:fill="004483"/>
          </w:tcPr>
          <w:p>
            <w:pPr>
              <w:spacing w:after="0" w:line="20" w:lineRule="exact"/>
              <w:rPr>
                <w:sz w:val="1"/>
                <w:szCs w:val="1"/>
                <w:color w:val="auto"/>
              </w:rPr>
            </w:pPr>
          </w:p>
        </w:tc>
        <w:tc>
          <w:tcPr>
            <w:tcW w:w="62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A6A6A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5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Revenue increased by $118.8 million, or 16%, to $874.7 million for the six months ended September 30, 2020. The Kosmos Acquisition and ConAgg Acquisition contributed $109.4 million of Revenue for the six months ended September 30, 2020, while Western and Mathews contributed $17.3 million of Revenue for the six months ended September 30, 2019. Excluding the acquisitions and dispositions, Revenue improved by $26.7 million, or 4%. The increase in Revenue was due to higher Sales Volume and gross sales prices, which positively affected Revenue by approximately $20.8 million and $5.9 million,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15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Cost of Goods Sold increased by $80.7 million, or 14%, to $649.5 million for the six months ended September 30, 2020. The Kosmos and ConAgg Acquisitions contributed $83.5 million of Cost of Goods Sold for the six months ended September 30, 2020, while Western and Mathews contributed $14.8 million of Cost of Goods Sold for the six months ended September 30, 2019. Excluding the acquisitions and dispositions, Cost of Goods Sold increased by $12.0 million, or 2%. The higher in Cost of Goods Sold was due to increased Sales Volume of $13.1 million, partially offset by the reduction in operating costs of approximately $1.1 million.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53" w:lineRule="exact"/>
        <w:rPr>
          <w:sz w:val="20"/>
          <w:szCs w:val="20"/>
          <w:color w:val="auto"/>
        </w:rPr>
      </w:pPr>
    </w:p>
    <w:p>
      <w:pPr>
        <w:jc w:val="both"/>
        <w:ind w:right="100"/>
        <w:spacing w:after="0" w:line="269" w:lineRule="auto"/>
        <w:rPr>
          <w:sz w:val="20"/>
          <w:szCs w:val="20"/>
          <w:color w:val="auto"/>
        </w:rPr>
      </w:pPr>
      <w:r>
        <w:rPr>
          <w:rFonts w:ascii="Arial" w:cs="Arial" w:eastAsia="Arial" w:hAnsi="Arial"/>
          <w:sz w:val="18"/>
          <w:szCs w:val="18"/>
          <w:color w:val="auto"/>
        </w:rPr>
        <w:t>Gross Profit increased 20% to $225.1 million during the six months ended September 30, 2020. Excluding the acquisitions and dispositions, Gross Profit increased by $14.6 million, or 8%. The increase in Gross Profit was primarily related to higher gross sales prices and increased Sales Volume, as well as lower operating expenses. The gross margin increased to 26% from 25%, primarily because of higher gross sales prices and lower operating expenses.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27"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EQUITY IN EARNINGS OF UNCONSOLIDATED JOINT VENTURE</w:t>
      </w:r>
    </w:p>
    <w:p>
      <w:pPr>
        <w:spacing w:after="0" w:line="15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Equity in Earnings of our Unconsolidated Joint Venture decreased $3.4 million, or 16%, for the six months ended September 30, 2020. The decline was primarily due to lower net sales prices and Sales Volume, which adversely affected earnings by approximately $1.3 million and $1.6 million, respectively, as well as increased operating costs, which decreased operating earnings by approximately $0.5 million. The increase in operating costs was primarily related to maintenance, which increased by approximately $0.9 million, partially offset by lower energy costs of $0.4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GENERAL AND ADMINISTRATIVE</w:t>
      </w:r>
    </w:p>
    <w:p>
      <w:pPr>
        <w:spacing w:after="0" w:line="15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Corporate General and Administrative expenses declined by approximately $5.8 million, or 17%, for the six months ended September 30, 2020. The decrease was primarily because of lower salary and incentive compensation costs of approximately $5.4 million and legal and professional costs of $0.5 million. The lower salary and incentive compensation costs were primarily due to the acceleration of stock compensation costs of $5.3 million upon the retirement of our Chief Executive Officer in the first quarter of fiscal 2020, while the lower legal and professional fees related to amounts spent in the prior year in connection with our strategic portfolio review, partially offset by increased professional costs associated with the Kosmos Acquisition, as well as the sales of Mathews and Western, and our Oil and Gas Proppants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OF BUSINESSES</w:t>
      </w:r>
    </w:p>
    <w:p>
      <w:pPr>
        <w:spacing w:after="0" w:line="15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April 17, 2020 we sold Western and Mathews for approximately $93.5 million. See Footnote (C) to the Unaudited Consolidated Financial Statements for more information regarding the sale.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NON-OPERATING INCOME (LOSS)</w:t>
      </w:r>
    </w:p>
    <w:p>
      <w:pPr>
        <w:spacing w:after="0" w:line="15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Other Non-Operating Income (Loss) consists of a variety of items that are unrelated to segment operations and include non-inventoried aggregates income, asset sales, and other miscellaneous income and cost items.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5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Interest Expense, net increased by approximately $7.6 million, or 40%, during the six months ended September 30, 2020. The increase in Interest Expense, net was primarily due to higher interest on borrowings under our Term Loan of approximately $9.6 million and amortization of related debt issuances costs of $1.4 million. These increases were partially offset by lower interest on our Revolving Credit Facility of approximately $2.3 million and our Unsecured Private Placement Notes, which were paid in full in fiscal 2020, of $1.1 million. The higher in debt issuance costs were related to the issuance of the Term Loan and the amendment of both the Revolving Credit Facility and the Term Loan in April 2020. The lower interest expense on our Revolving Credit Facility was due to reducing our balance by approximately $315.0 million during the six months ended September 30,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FROM CONTINUING OPERATIONS BEFORE INCOME TAXES</w:t>
      </w:r>
    </w:p>
    <w:p>
      <w:pPr>
        <w:spacing w:after="0" w:line="153"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Earnings from Continuing Operations Before Income Taxes increased to $239.6 million during the six months ended September 30, 2020, primarily as a result of higher Gross Profit and Gain on Sale of Businesses, and lower Corporate General and Administrative Expense. This was partially offset by lower Equity in Earnings of Unconsolidated Joint Venture and increased Interest Expense, net.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53" w:lineRule="exact"/>
        <w:rPr>
          <w:sz w:val="20"/>
          <w:szCs w:val="20"/>
          <w:color w:val="auto"/>
        </w:rPr>
      </w:pPr>
    </w:p>
    <w:p>
      <w:pPr>
        <w:ind w:right="200"/>
        <w:spacing w:after="0" w:line="269" w:lineRule="auto"/>
        <w:rPr>
          <w:sz w:val="20"/>
          <w:szCs w:val="20"/>
          <w:color w:val="auto"/>
        </w:rPr>
      </w:pPr>
      <w:r>
        <w:rPr>
          <w:rFonts w:ascii="Arial" w:cs="Arial" w:eastAsia="Arial" w:hAnsi="Arial"/>
          <w:sz w:val="18"/>
          <w:szCs w:val="18"/>
          <w:color w:val="auto"/>
        </w:rPr>
        <w:t>Income Tax Expense for the six months ended September 30, 2020 increased to $52.6 million from $37.5 million for the six months ended September 30, 2019. The effective tax rate declined to 22% from 24% in the prior-year period. The decrease in the effective tax rate was primarily due to a benefit recognized related to the reversal of all our uncertain tax positions during the six months ended September 30, 2020.</w:t>
      </w: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603" w:right="41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NET EARNINGS FROM CONTINUING OPERATIONS AND DILUTED EARNINGS PER SHARE FROM CONTINUING OPERATIONS</w:t>
      </w:r>
    </w:p>
    <w:p>
      <w:pPr>
        <w:spacing w:after="0" w:line="15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Net Earnings from Continuing Operations increased 58% to $187.0 million for the six months ended September 30, 2020. Diluted Earnings per Share increased 63% to $4.49 per share.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 (LOSS) FROM DISCONTINUED OPERATIONS</w:t>
      </w:r>
    </w:p>
    <w:p>
      <w:pPr>
        <w:spacing w:after="0" w:line="15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Net Earnings from Discontinued Operations increased to $5.3 million during the six months ended September 30, 2020, compared with a Net Loss from Discontinued Operations of $5.3 million for the six months ended September 30, 2019. The increase was due primarily to the recognition of a $9.2 million gain on the sale of the Oil and Gas Proppants business in September 2020.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Net Earnings increased 70% to $192.2 million for the six months ended September 30, 2020.</w:t>
      </w:r>
    </w:p>
    <w:p>
      <w:pPr>
        <w:spacing w:after="0" w:line="230" w:lineRule="exact"/>
        <w:rPr>
          <w:sz w:val="20"/>
          <w:szCs w:val="20"/>
          <w:color w:val="auto"/>
        </w:rPr>
      </w:pPr>
    </w:p>
    <w:p>
      <w:pPr>
        <w:ind w:right="360"/>
        <w:spacing w:after="0" w:line="303" w:lineRule="auto"/>
        <w:rPr>
          <w:sz w:val="20"/>
          <w:szCs w:val="20"/>
          <w:color w:val="auto"/>
        </w:rPr>
      </w:pPr>
      <w:r>
        <w:rPr>
          <w:rFonts w:ascii="Arial" w:cs="Arial" w:eastAsia="Arial" w:hAnsi="Arial"/>
          <w:sz w:val="18"/>
          <w:szCs w:val="18"/>
          <w:b w:val="1"/>
          <w:bCs w:val="1"/>
          <w:color w:val="auto"/>
        </w:rPr>
        <w:t>THREE AND SIX MONTHS ENDED SEPTEMBER 30, 2020 COMPARED WITH THREE AND SIX MONTHS ENDED SEPTEMBER 30, 2019 BY SEGMENT</w:t>
      </w:r>
    </w:p>
    <w:p>
      <w:pPr>
        <w:spacing w:after="0" w:line="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presents results within our two business sectors for the three and six months ended September 30, 2020 and 2019. Revenue and operating results are organized by sector and discussed by individual business segment within each respective business sector.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auto"/>
        </w:rPr>
        <w:t>Heavy Materials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CEMENT </w:t>
      </w:r>
      <w:r>
        <w:rPr>
          <w:rFonts w:ascii="Arial" w:cs="Arial" w:eastAsia="Arial" w:hAnsi="Arial"/>
          <w:sz w:val="30"/>
          <w:szCs w:val="30"/>
          <w:b w:val="1"/>
          <w:bCs w:val="1"/>
          <w:color w:val="auto"/>
          <w:vertAlign w:val="superscript"/>
        </w:rPr>
        <w:t>(1)</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20" w:type="dxa"/>
            <w:vAlign w:val="bottom"/>
          </w:tcPr>
          <w:p>
            <w:pPr>
              <w:spacing w:after="0"/>
              <w:rPr>
                <w:sz w:val="13"/>
                <w:szCs w:val="13"/>
                <w:color w:val="auto"/>
              </w:rPr>
            </w:pPr>
          </w:p>
        </w:tc>
        <w:tc>
          <w:tcPr>
            <w:tcW w:w="2320" w:type="dxa"/>
            <w:vAlign w:val="bottom"/>
            <w:gridSpan w:val="7"/>
            <w:shd w:val="clear" w:color="auto" w:fill="004483"/>
          </w:tcPr>
          <w:p>
            <w:pPr>
              <w:spacing w:after="0"/>
              <w:rPr>
                <w:sz w:val="20"/>
                <w:szCs w:val="20"/>
                <w:color w:val="auto"/>
              </w:rPr>
            </w:pPr>
            <w:r>
              <w:rPr>
                <w:rFonts w:ascii="Arial" w:cs="Arial" w:eastAsia="Arial" w:hAnsi="Arial"/>
                <w:sz w:val="13"/>
                <w:szCs w:val="13"/>
                <w:b w:val="1"/>
                <w:bCs w:val="1"/>
                <w:color w:val="FFFFFF"/>
                <w:w w:val="93"/>
              </w:rPr>
              <w:t>For the Three Months Ended September</w:t>
            </w: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shd w:val="clear" w:color="auto" w:fill="004483"/>
          </w:tcPr>
          <w:p>
            <w:pPr>
              <w:spacing w:after="0"/>
              <w:rPr>
                <w:sz w:val="13"/>
                <w:szCs w:val="13"/>
                <w:color w:val="auto"/>
              </w:rPr>
            </w:pPr>
          </w:p>
        </w:tc>
        <w:tc>
          <w:tcPr>
            <w:tcW w:w="2240" w:type="dxa"/>
            <w:vAlign w:val="bottom"/>
            <w:gridSpan w:val="6"/>
            <w:shd w:val="clear" w:color="auto" w:fill="004483"/>
          </w:tcPr>
          <w:p>
            <w:pPr>
              <w:jc w:val="center"/>
              <w:ind w:right="200"/>
              <w:spacing w:after="0"/>
              <w:rPr>
                <w:sz w:val="20"/>
                <w:szCs w:val="20"/>
                <w:color w:val="auto"/>
              </w:rPr>
            </w:pPr>
            <w:r>
              <w:rPr>
                <w:rFonts w:ascii="Arial" w:cs="Arial" w:eastAsia="Arial" w:hAnsi="Arial"/>
                <w:sz w:val="13"/>
                <w:szCs w:val="13"/>
                <w:b w:val="1"/>
                <w:bCs w:val="1"/>
                <w:color w:val="FFFFFF"/>
                <w:w w:val="88"/>
              </w:rPr>
              <w:t>For the Six Months Ended September</w:t>
            </w: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tcPr>
          <w:p>
            <w:pPr>
              <w:spacing w:after="0"/>
              <w:rPr>
                <w:sz w:val="13"/>
                <w:szCs w:val="13"/>
                <w:color w:val="auto"/>
              </w:rPr>
            </w:pPr>
          </w:p>
        </w:tc>
        <w:tc>
          <w:tcPr>
            <w:tcW w:w="280" w:type="dxa"/>
            <w:vAlign w:val="bottom"/>
            <w:tcBorders>
              <w:bottom w:val="single" w:sz="8" w:color="auto"/>
            </w:tcBorders>
            <w:shd w:val="clear" w:color="auto" w:fill="004483"/>
          </w:tcPr>
          <w:p>
            <w:pPr>
              <w:spacing w:after="0"/>
              <w:rPr>
                <w:sz w:val="13"/>
                <w:szCs w:val="13"/>
                <w:color w:val="auto"/>
              </w:rPr>
            </w:pPr>
          </w:p>
        </w:tc>
        <w:tc>
          <w:tcPr>
            <w:tcW w:w="940" w:type="dxa"/>
            <w:vAlign w:val="bottom"/>
            <w:tcBorders>
              <w:bottom w:val="single" w:sz="8" w:color="auto"/>
            </w:tcBorders>
            <w:gridSpan w:val="3"/>
            <w:shd w:val="clear" w:color="auto" w:fill="004483"/>
          </w:tcPr>
          <w:p>
            <w:pPr>
              <w:jc w:val="right"/>
              <w:ind w:right="40"/>
              <w:spacing w:after="0"/>
              <w:rPr>
                <w:sz w:val="20"/>
                <w:szCs w:val="20"/>
                <w:color w:val="auto"/>
              </w:rPr>
            </w:pPr>
            <w:r>
              <w:rPr>
                <w:rFonts w:ascii="Arial" w:cs="Arial" w:eastAsia="Arial" w:hAnsi="Arial"/>
                <w:sz w:val="13"/>
                <w:szCs w:val="13"/>
                <w:b w:val="1"/>
                <w:bCs w:val="1"/>
                <w:color w:val="FFFFFF"/>
              </w:rPr>
              <w:t>30,</w:t>
            </w:r>
          </w:p>
        </w:tc>
        <w:tc>
          <w:tcPr>
            <w:tcW w:w="260" w:type="dxa"/>
            <w:vAlign w:val="bottom"/>
            <w:tcBorders>
              <w:bottom w:val="single" w:sz="8" w:color="auto"/>
            </w:tcBorders>
            <w:shd w:val="clear" w:color="auto" w:fill="004483"/>
          </w:tcPr>
          <w:p>
            <w:pPr>
              <w:spacing w:after="0"/>
              <w:rPr>
                <w:sz w:val="13"/>
                <w:szCs w:val="13"/>
                <w:color w:val="auto"/>
              </w:rPr>
            </w:pPr>
          </w:p>
        </w:tc>
        <w:tc>
          <w:tcPr>
            <w:tcW w:w="740" w:type="dxa"/>
            <w:vAlign w:val="bottom"/>
            <w:tcBorders>
              <w:bottom w:val="single" w:sz="8" w:color="auto"/>
            </w:tcBorders>
            <w:shd w:val="clear" w:color="auto" w:fill="004483"/>
          </w:tcPr>
          <w:p>
            <w:pPr>
              <w:spacing w:after="0"/>
              <w:rPr>
                <w:sz w:val="13"/>
                <w:szCs w:val="13"/>
                <w:color w:val="auto"/>
              </w:rPr>
            </w:pPr>
          </w:p>
        </w:tc>
        <w:tc>
          <w:tcPr>
            <w:tcW w:w="100" w:type="dxa"/>
            <w:vAlign w:val="bottom"/>
            <w:shd w:val="clear" w:color="auto" w:fill="004483"/>
          </w:tcPr>
          <w:p>
            <w:pPr>
              <w:spacing w:after="0"/>
              <w:rPr>
                <w:sz w:val="13"/>
                <w:szCs w:val="13"/>
                <w:color w:val="auto"/>
              </w:rPr>
            </w:pPr>
          </w:p>
        </w:tc>
        <w:tc>
          <w:tcPr>
            <w:tcW w:w="1240" w:type="dxa"/>
            <w:vAlign w:val="bottom"/>
            <w:gridSpan w:val="3"/>
            <w:vMerge w:val="restart"/>
          </w:tcPr>
          <w:p>
            <w:pPr>
              <w:jc w:val="center"/>
              <w:ind w:right="200"/>
              <w:spacing w:after="0"/>
              <w:rPr>
                <w:sz w:val="20"/>
                <w:szCs w:val="20"/>
                <w:color w:val="auto"/>
              </w:rPr>
            </w:pPr>
            <w:r>
              <w:rPr>
                <w:rFonts w:ascii="Arial" w:cs="Arial" w:eastAsia="Arial" w:hAnsi="Arial"/>
                <w:sz w:val="13"/>
                <w:szCs w:val="13"/>
                <w:b w:val="1"/>
                <w:bCs w:val="1"/>
                <w:color w:val="auto"/>
                <w:w w:val="85"/>
              </w:rPr>
              <w:t>Percentage</w:t>
            </w:r>
          </w:p>
        </w:tc>
        <w:tc>
          <w:tcPr>
            <w:tcW w:w="80" w:type="dxa"/>
            <w:vAlign w:val="bottom"/>
            <w:tcBorders>
              <w:bottom w:val="single" w:sz="8" w:color="auto"/>
            </w:tcBorders>
            <w:shd w:val="clear" w:color="auto" w:fill="004483"/>
          </w:tcPr>
          <w:p>
            <w:pPr>
              <w:spacing w:after="0"/>
              <w:rPr>
                <w:sz w:val="13"/>
                <w:szCs w:val="13"/>
                <w:color w:val="auto"/>
              </w:rPr>
            </w:pPr>
          </w:p>
        </w:tc>
        <w:tc>
          <w:tcPr>
            <w:tcW w:w="1140" w:type="dxa"/>
            <w:vAlign w:val="bottom"/>
            <w:tcBorders>
              <w:bottom w:val="single" w:sz="8" w:color="auto"/>
            </w:tcBorders>
            <w:gridSpan w:val="3"/>
            <w:shd w:val="clear" w:color="auto" w:fill="004483"/>
          </w:tcPr>
          <w:p>
            <w:pPr>
              <w:jc w:val="center"/>
              <w:ind w:left="823"/>
              <w:spacing w:after="0"/>
              <w:rPr>
                <w:sz w:val="20"/>
                <w:szCs w:val="20"/>
                <w:color w:val="auto"/>
              </w:rPr>
            </w:pPr>
            <w:r>
              <w:rPr>
                <w:rFonts w:ascii="Arial" w:cs="Arial" w:eastAsia="Arial" w:hAnsi="Arial"/>
                <w:sz w:val="13"/>
                <w:szCs w:val="13"/>
                <w:b w:val="1"/>
                <w:bCs w:val="1"/>
                <w:color w:val="FFFFFF"/>
                <w:w w:val="88"/>
              </w:rPr>
              <w:t>30,</w:t>
            </w:r>
          </w:p>
        </w:tc>
        <w:tc>
          <w:tcPr>
            <w:tcW w:w="260" w:type="dxa"/>
            <w:vAlign w:val="bottom"/>
            <w:tcBorders>
              <w:bottom w:val="single" w:sz="8" w:color="auto"/>
            </w:tcBorders>
            <w:shd w:val="clear" w:color="auto" w:fill="004483"/>
          </w:tcPr>
          <w:p>
            <w:pPr>
              <w:spacing w:after="0"/>
              <w:rPr>
                <w:sz w:val="13"/>
                <w:szCs w:val="13"/>
                <w:color w:val="auto"/>
              </w:rPr>
            </w:pPr>
          </w:p>
        </w:tc>
        <w:tc>
          <w:tcPr>
            <w:tcW w:w="740" w:type="dxa"/>
            <w:vAlign w:val="bottom"/>
            <w:tcBorders>
              <w:bottom w:val="single" w:sz="8" w:color="auto"/>
            </w:tcBorders>
            <w:shd w:val="clear" w:color="auto" w:fill="004483"/>
          </w:tcPr>
          <w:p>
            <w:pPr>
              <w:spacing w:after="0"/>
              <w:rPr>
                <w:sz w:val="13"/>
                <w:szCs w:val="13"/>
                <w:color w:val="auto"/>
              </w:rPr>
            </w:pPr>
          </w:p>
        </w:tc>
        <w:tc>
          <w:tcPr>
            <w:tcW w:w="100" w:type="dxa"/>
            <w:vAlign w:val="bottom"/>
            <w:shd w:val="clear" w:color="auto" w:fill="004483"/>
          </w:tcPr>
          <w:p>
            <w:pPr>
              <w:spacing w:after="0"/>
              <w:rPr>
                <w:sz w:val="13"/>
                <w:szCs w:val="13"/>
                <w:color w:val="auto"/>
              </w:rPr>
            </w:pPr>
          </w:p>
        </w:tc>
        <w:tc>
          <w:tcPr>
            <w:tcW w:w="1120" w:type="dxa"/>
            <w:vAlign w:val="bottom"/>
            <w:gridSpan w:val="2"/>
            <w:vMerge w:val="restart"/>
          </w:tcPr>
          <w:p>
            <w:pPr>
              <w:jc w:val="right"/>
              <w:ind w:right="30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24"/>
        </w:trPr>
        <w:tc>
          <w:tcPr>
            <w:tcW w:w="4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3"/>
                <w:szCs w:val="13"/>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8"/>
              </w:rPr>
              <w:t>Change</w:t>
            </w:r>
          </w:p>
        </w:tc>
        <w:tc>
          <w:tcPr>
            <w:tcW w:w="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49"/>
        </w:trPr>
        <w:tc>
          <w:tcPr>
            <w:tcW w:w="4220" w:type="dxa"/>
            <w:vAlign w:val="bottom"/>
            <w:tcBorders>
              <w:bottom w:val="single" w:sz="8" w:color="17385E"/>
            </w:tcBorders>
          </w:tcPr>
          <w:p>
            <w:pPr>
              <w:spacing w:after="0"/>
              <w:rPr>
                <w:sz w:val="12"/>
                <w:szCs w:val="12"/>
                <w:color w:val="auto"/>
              </w:rPr>
            </w:pPr>
          </w:p>
        </w:tc>
        <w:tc>
          <w:tcPr>
            <w:tcW w:w="2220" w:type="dxa"/>
            <w:vAlign w:val="bottom"/>
            <w:tcBorders>
              <w:bottom w:val="single" w:sz="8" w:color="17385E"/>
            </w:tcBorders>
            <w:gridSpan w:val="6"/>
          </w:tcPr>
          <w:p>
            <w:pPr>
              <w:jc w:val="center"/>
              <w:spacing w:after="0"/>
              <w:rPr>
                <w:sz w:val="20"/>
                <w:szCs w:val="20"/>
                <w:color w:val="auto"/>
              </w:rPr>
            </w:pPr>
            <w:r>
              <w:rPr>
                <w:rFonts w:ascii="Arial" w:cs="Arial" w:eastAsia="Arial" w:hAnsi="Arial"/>
                <w:sz w:val="13"/>
                <w:szCs w:val="13"/>
                <w:color w:val="auto"/>
                <w:w w:val="88"/>
              </w:rPr>
              <w:t>(in thousands, except per ton information)</w:t>
            </w:r>
          </w:p>
        </w:tc>
        <w:tc>
          <w:tcPr>
            <w:tcW w:w="100" w:type="dxa"/>
            <w:vAlign w:val="bottom"/>
          </w:tcPr>
          <w:p>
            <w:pPr>
              <w:spacing w:after="0"/>
              <w:rPr>
                <w:sz w:val="12"/>
                <w:szCs w:val="12"/>
                <w:color w:val="auto"/>
              </w:rPr>
            </w:pPr>
          </w:p>
        </w:tc>
        <w:tc>
          <w:tcPr>
            <w:tcW w:w="940" w:type="dxa"/>
            <w:vAlign w:val="bottom"/>
            <w:tcBorders>
              <w:bottom w:val="single" w:sz="8" w:color="17385E"/>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17385E"/>
            </w:tcBorders>
          </w:tcPr>
          <w:p>
            <w:pPr>
              <w:spacing w:after="0"/>
              <w:rPr>
                <w:sz w:val="12"/>
                <w:szCs w:val="12"/>
                <w:color w:val="auto"/>
              </w:rPr>
            </w:pPr>
          </w:p>
        </w:tc>
        <w:tc>
          <w:tcPr>
            <w:tcW w:w="2220" w:type="dxa"/>
            <w:vAlign w:val="bottom"/>
            <w:tcBorders>
              <w:bottom w:val="single" w:sz="8" w:color="17385E"/>
            </w:tcBorders>
            <w:gridSpan w:val="6"/>
          </w:tcPr>
          <w:p>
            <w:pPr>
              <w:jc w:val="center"/>
              <w:spacing w:after="0"/>
              <w:rPr>
                <w:sz w:val="20"/>
                <w:szCs w:val="20"/>
                <w:color w:val="auto"/>
              </w:rPr>
            </w:pPr>
            <w:r>
              <w:rPr>
                <w:rFonts w:ascii="Arial" w:cs="Arial" w:eastAsia="Arial" w:hAnsi="Arial"/>
                <w:sz w:val="13"/>
                <w:szCs w:val="13"/>
                <w:color w:val="auto"/>
                <w:w w:val="88"/>
              </w:rPr>
              <w:t>(in thousands, except per ton information)</w:t>
            </w:r>
          </w:p>
        </w:tc>
        <w:tc>
          <w:tcPr>
            <w:tcW w:w="100" w:type="dxa"/>
            <w:vAlign w:val="bottom"/>
          </w:tcPr>
          <w:p>
            <w:pPr>
              <w:spacing w:after="0"/>
              <w:rPr>
                <w:sz w:val="12"/>
                <w:szCs w:val="12"/>
                <w:color w:val="auto"/>
              </w:rPr>
            </w:pPr>
          </w:p>
        </w:tc>
        <w:tc>
          <w:tcPr>
            <w:tcW w:w="940" w:type="dxa"/>
            <w:vAlign w:val="bottom"/>
            <w:tcBorders>
              <w:bottom w:val="single" w:sz="8" w:color="17385E"/>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4220" w:type="dxa"/>
            <w:vAlign w:val="bottom"/>
          </w:tcPr>
          <w:p>
            <w:pPr>
              <w:spacing w:after="0"/>
              <w:rPr>
                <w:sz w:val="20"/>
                <w:szCs w:val="20"/>
                <w:color w:val="auto"/>
              </w:rPr>
            </w:pPr>
            <w:r>
              <w:rPr>
                <w:rFonts w:ascii="Arial" w:cs="Arial" w:eastAsia="Arial" w:hAnsi="Arial"/>
                <w:sz w:val="16"/>
                <w:szCs w:val="16"/>
                <w:color w:val="004483"/>
              </w:rPr>
              <w:t>Gross Revenue, including Intersegment and Joint Venture</w:t>
            </w: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278,062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227,013</w:t>
            </w:r>
          </w:p>
        </w:tc>
        <w:tc>
          <w:tcPr>
            <w:tcW w:w="10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539,473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422,326</w:t>
            </w:r>
          </w:p>
        </w:tc>
        <w:tc>
          <w:tcPr>
            <w:tcW w:w="1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
        </w:trPr>
        <w:tc>
          <w:tcPr>
            <w:tcW w:w="422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8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20" w:type="dxa"/>
            <w:vAlign w:val="bottom"/>
          </w:tcPr>
          <w:p>
            <w:pPr>
              <w:spacing w:after="0"/>
              <w:rPr>
                <w:sz w:val="20"/>
                <w:szCs w:val="20"/>
                <w:color w:val="auto"/>
              </w:rPr>
            </w:pPr>
            <w:r>
              <w:rPr>
                <w:rFonts w:ascii="Arial" w:cs="Arial" w:eastAsia="Arial" w:hAnsi="Arial"/>
                <w:sz w:val="16"/>
                <w:szCs w:val="16"/>
                <w:color w:val="004483"/>
              </w:rPr>
              <w:t>Less Intersegment Revenue</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(6,267)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(6,703)</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(12,298)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(10,956)</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
        </w:trPr>
        <w:tc>
          <w:tcPr>
            <w:tcW w:w="422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8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20" w:type="dxa"/>
            <w:vAlign w:val="bottom"/>
          </w:tcPr>
          <w:p>
            <w:pPr>
              <w:spacing w:after="0"/>
              <w:rPr>
                <w:sz w:val="20"/>
                <w:szCs w:val="20"/>
                <w:color w:val="auto"/>
              </w:rPr>
            </w:pPr>
            <w:r>
              <w:rPr>
                <w:rFonts w:ascii="Arial" w:cs="Arial" w:eastAsia="Arial" w:hAnsi="Arial"/>
                <w:sz w:val="16"/>
                <w:szCs w:val="16"/>
                <w:color w:val="004483"/>
              </w:rPr>
              <w:t>Less Joint Venture Revenue</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(27,193)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(29,888)</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(52,493)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(57,393)</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
        </w:trPr>
        <w:tc>
          <w:tcPr>
            <w:tcW w:w="4220" w:type="dxa"/>
            <w:vAlign w:val="bottom"/>
            <w:shd w:val="clear" w:color="auto" w:fill="A6A6A6"/>
          </w:tcPr>
          <w:p>
            <w:pPr>
              <w:spacing w:after="0" w:line="20" w:lineRule="exact"/>
              <w:rPr>
                <w:sz w:val="1"/>
                <w:szCs w:val="1"/>
                <w:color w:val="auto"/>
              </w:rPr>
            </w:pPr>
          </w:p>
        </w:tc>
        <w:tc>
          <w:tcPr>
            <w:tcW w:w="280" w:type="dxa"/>
            <w:vAlign w:val="bottom"/>
            <w:shd w:val="clear" w:color="auto" w:fill="004483"/>
          </w:tcPr>
          <w:p>
            <w:pPr>
              <w:spacing w:after="0" w:line="20" w:lineRule="exact"/>
              <w:rPr>
                <w:sz w:val="1"/>
                <w:szCs w:val="1"/>
                <w:color w:val="auto"/>
              </w:rPr>
            </w:pPr>
          </w:p>
        </w:tc>
        <w:tc>
          <w:tcPr>
            <w:tcW w:w="72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60" w:type="dxa"/>
            <w:vAlign w:val="bottom"/>
            <w:shd w:val="clear" w:color="auto" w:fill="004483"/>
          </w:tcPr>
          <w:p>
            <w:pPr>
              <w:spacing w:after="0" w:line="20" w:lineRule="exact"/>
              <w:rPr>
                <w:sz w:val="1"/>
                <w:szCs w:val="1"/>
                <w:color w:val="auto"/>
              </w:rPr>
            </w:pPr>
          </w:p>
        </w:tc>
        <w:tc>
          <w:tcPr>
            <w:tcW w:w="74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80" w:type="dxa"/>
            <w:vAlign w:val="bottom"/>
            <w:shd w:val="clear" w:color="auto" w:fill="004483"/>
          </w:tcPr>
          <w:p>
            <w:pPr>
              <w:spacing w:after="0" w:line="20" w:lineRule="exact"/>
              <w:rPr>
                <w:sz w:val="1"/>
                <w:szCs w:val="1"/>
                <w:color w:val="auto"/>
              </w:rPr>
            </w:pPr>
          </w:p>
        </w:tc>
        <w:tc>
          <w:tcPr>
            <w:tcW w:w="92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60" w:type="dxa"/>
            <w:vAlign w:val="bottom"/>
            <w:shd w:val="clear" w:color="auto" w:fill="004483"/>
          </w:tcPr>
          <w:p>
            <w:pPr>
              <w:spacing w:after="0" w:line="20" w:lineRule="exact"/>
              <w:rPr>
                <w:sz w:val="1"/>
                <w:szCs w:val="1"/>
                <w:color w:val="auto"/>
              </w:rPr>
            </w:pPr>
          </w:p>
        </w:tc>
        <w:tc>
          <w:tcPr>
            <w:tcW w:w="74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20" w:type="dxa"/>
            <w:vAlign w:val="bottom"/>
          </w:tcPr>
          <w:p>
            <w:pPr>
              <w:spacing w:after="0"/>
              <w:rPr>
                <w:sz w:val="20"/>
                <w:szCs w:val="20"/>
                <w:color w:val="auto"/>
              </w:rPr>
            </w:pPr>
            <w:r>
              <w:rPr>
                <w:rFonts w:ascii="Arial" w:cs="Arial" w:eastAsia="Arial" w:hAnsi="Arial"/>
                <w:sz w:val="16"/>
                <w:szCs w:val="16"/>
                <w:color w:val="004483"/>
              </w:rPr>
              <w:t>Gross Revenue, as reported</w:t>
            </w: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244,602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190,422</w:t>
            </w: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474,682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353,977</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
        </w:trPr>
        <w:tc>
          <w:tcPr>
            <w:tcW w:w="422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8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20" w:type="dxa"/>
            <w:vAlign w:val="bottom"/>
          </w:tcPr>
          <w:p>
            <w:pPr>
              <w:spacing w:after="0"/>
              <w:rPr>
                <w:sz w:val="20"/>
                <w:szCs w:val="20"/>
                <w:color w:val="auto"/>
              </w:rPr>
            </w:pPr>
            <w:r>
              <w:rPr>
                <w:rFonts w:ascii="Arial" w:cs="Arial" w:eastAsia="Arial" w:hAnsi="Arial"/>
                <w:sz w:val="16"/>
                <w:szCs w:val="16"/>
                <w:color w:val="004483"/>
              </w:rPr>
              <w:t>Freight and Delivery Costs billed to Customers</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(18,850)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(15,475)</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(35,819)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(28,371)</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
        </w:trPr>
        <w:tc>
          <w:tcPr>
            <w:tcW w:w="4220" w:type="dxa"/>
            <w:vAlign w:val="bottom"/>
            <w:shd w:val="clear" w:color="auto" w:fill="A6A6A6"/>
          </w:tcPr>
          <w:p>
            <w:pPr>
              <w:spacing w:after="0" w:line="20" w:lineRule="exact"/>
              <w:rPr>
                <w:sz w:val="1"/>
                <w:szCs w:val="1"/>
                <w:color w:val="auto"/>
              </w:rPr>
            </w:pPr>
          </w:p>
        </w:tc>
        <w:tc>
          <w:tcPr>
            <w:tcW w:w="280" w:type="dxa"/>
            <w:vAlign w:val="bottom"/>
            <w:shd w:val="clear" w:color="auto" w:fill="004483"/>
          </w:tcPr>
          <w:p>
            <w:pPr>
              <w:spacing w:after="0" w:line="20" w:lineRule="exact"/>
              <w:rPr>
                <w:sz w:val="1"/>
                <w:szCs w:val="1"/>
                <w:color w:val="auto"/>
              </w:rPr>
            </w:pPr>
          </w:p>
        </w:tc>
        <w:tc>
          <w:tcPr>
            <w:tcW w:w="72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60" w:type="dxa"/>
            <w:vAlign w:val="bottom"/>
            <w:shd w:val="clear" w:color="auto" w:fill="004483"/>
          </w:tcPr>
          <w:p>
            <w:pPr>
              <w:spacing w:after="0" w:line="20" w:lineRule="exact"/>
              <w:rPr>
                <w:sz w:val="1"/>
                <w:szCs w:val="1"/>
                <w:color w:val="auto"/>
              </w:rPr>
            </w:pPr>
          </w:p>
        </w:tc>
        <w:tc>
          <w:tcPr>
            <w:tcW w:w="74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80" w:type="dxa"/>
            <w:vAlign w:val="bottom"/>
            <w:shd w:val="clear" w:color="auto" w:fill="004483"/>
          </w:tcPr>
          <w:p>
            <w:pPr>
              <w:spacing w:after="0" w:line="20" w:lineRule="exact"/>
              <w:rPr>
                <w:sz w:val="1"/>
                <w:szCs w:val="1"/>
                <w:color w:val="auto"/>
              </w:rPr>
            </w:pPr>
          </w:p>
        </w:tc>
        <w:tc>
          <w:tcPr>
            <w:tcW w:w="92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60" w:type="dxa"/>
            <w:vAlign w:val="bottom"/>
            <w:shd w:val="clear" w:color="auto" w:fill="004483"/>
          </w:tcPr>
          <w:p>
            <w:pPr>
              <w:spacing w:after="0" w:line="20" w:lineRule="exact"/>
              <w:rPr>
                <w:sz w:val="1"/>
                <w:szCs w:val="1"/>
                <w:color w:val="auto"/>
              </w:rPr>
            </w:pPr>
          </w:p>
        </w:tc>
        <w:tc>
          <w:tcPr>
            <w:tcW w:w="74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tcPr>
          <w:p>
            <w:pPr>
              <w:spacing w:after="0"/>
              <w:rPr>
                <w:sz w:val="20"/>
                <w:szCs w:val="20"/>
                <w:color w:val="auto"/>
              </w:rPr>
            </w:pPr>
            <w:r>
              <w:rPr>
                <w:rFonts w:ascii="Arial" w:cs="Arial" w:eastAsia="Arial" w:hAnsi="Arial"/>
                <w:sz w:val="16"/>
                <w:szCs w:val="16"/>
                <w:color w:val="004483"/>
              </w:rPr>
              <w:t>Net Revenue</w:t>
            </w: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225,752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174,947</w:t>
            </w: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438,863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325,606</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3"/>
        </w:trPr>
        <w:tc>
          <w:tcPr>
            <w:tcW w:w="4220" w:type="dxa"/>
            <w:vAlign w:val="bottom"/>
            <w:tcBorders>
              <w:top w:val="single" w:sz="8" w:color="A6A6A6"/>
              <w:bottom w:val="single" w:sz="8" w:color="A6A6A6"/>
            </w:tcBorders>
          </w:tcPr>
          <w:p>
            <w:pPr>
              <w:spacing w:after="0"/>
              <w:rPr>
                <w:sz w:val="18"/>
                <w:szCs w:val="18"/>
                <w:color w:val="auto"/>
              </w:rPr>
            </w:pPr>
          </w:p>
        </w:tc>
        <w:tc>
          <w:tcPr>
            <w:tcW w:w="280" w:type="dxa"/>
            <w:vAlign w:val="bottom"/>
            <w:tcBorders>
              <w:top w:val="single" w:sz="8" w:color="A6A6A6"/>
              <w:bottom w:val="single" w:sz="8" w:color="A6A6A6"/>
            </w:tcBorders>
          </w:tcPr>
          <w:p>
            <w:pPr>
              <w:spacing w:after="0"/>
              <w:rPr>
                <w:sz w:val="18"/>
                <w:szCs w:val="18"/>
                <w:color w:val="auto"/>
              </w:rPr>
            </w:pPr>
          </w:p>
        </w:tc>
        <w:tc>
          <w:tcPr>
            <w:tcW w:w="720" w:type="dxa"/>
            <w:vAlign w:val="bottom"/>
            <w:tcBorders>
              <w:top w:val="single" w:sz="8" w:color="A6A6A6"/>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60" w:type="dxa"/>
            <w:vAlign w:val="bottom"/>
            <w:tcBorders>
              <w:top w:val="single" w:sz="8" w:color="A6A6A6"/>
              <w:bottom w:val="single" w:sz="8" w:color="A6A6A6"/>
            </w:tcBorders>
          </w:tcPr>
          <w:p>
            <w:pPr>
              <w:spacing w:after="0"/>
              <w:rPr>
                <w:sz w:val="18"/>
                <w:szCs w:val="18"/>
                <w:color w:val="auto"/>
              </w:rPr>
            </w:pPr>
          </w:p>
        </w:tc>
        <w:tc>
          <w:tcPr>
            <w:tcW w:w="740" w:type="dxa"/>
            <w:vAlign w:val="bottom"/>
            <w:tcBorders>
              <w:top w:val="single" w:sz="8" w:color="A6A6A6"/>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6A6A6"/>
              <w:bottom w:val="single" w:sz="8" w:color="A6A6A6"/>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6A6A6"/>
              <w:bottom w:val="single" w:sz="8" w:color="A6A6A6"/>
            </w:tcBorders>
          </w:tcPr>
          <w:p>
            <w:pPr>
              <w:spacing w:after="0"/>
              <w:rPr>
                <w:sz w:val="18"/>
                <w:szCs w:val="18"/>
                <w:color w:val="auto"/>
              </w:rPr>
            </w:pPr>
          </w:p>
        </w:tc>
        <w:tc>
          <w:tcPr>
            <w:tcW w:w="80" w:type="dxa"/>
            <w:vAlign w:val="bottom"/>
            <w:tcBorders>
              <w:top w:val="single" w:sz="8" w:color="A6A6A6"/>
              <w:bottom w:val="single" w:sz="8" w:color="A6A6A6"/>
            </w:tcBorders>
          </w:tcPr>
          <w:p>
            <w:pPr>
              <w:spacing w:after="0"/>
              <w:rPr>
                <w:sz w:val="18"/>
                <w:szCs w:val="18"/>
                <w:color w:val="auto"/>
              </w:rPr>
            </w:pPr>
          </w:p>
        </w:tc>
        <w:tc>
          <w:tcPr>
            <w:tcW w:w="92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6A6A6"/>
              <w:bottom w:val="single" w:sz="8" w:color="A6A6A6"/>
            </w:tcBorders>
          </w:tcPr>
          <w:p>
            <w:pPr>
              <w:spacing w:after="0"/>
              <w:rPr>
                <w:sz w:val="18"/>
                <w:szCs w:val="18"/>
                <w:color w:val="auto"/>
              </w:rPr>
            </w:pPr>
          </w:p>
        </w:tc>
        <w:tc>
          <w:tcPr>
            <w:tcW w:w="260" w:type="dxa"/>
            <w:vAlign w:val="bottom"/>
            <w:tcBorders>
              <w:top w:val="single" w:sz="8" w:color="A6A6A6"/>
              <w:bottom w:val="single" w:sz="8" w:color="A6A6A6"/>
            </w:tcBorders>
          </w:tcPr>
          <w:p>
            <w:pPr>
              <w:spacing w:after="0"/>
              <w:rPr>
                <w:sz w:val="18"/>
                <w:szCs w:val="18"/>
                <w:color w:val="auto"/>
              </w:rPr>
            </w:pPr>
          </w:p>
        </w:tc>
        <w:tc>
          <w:tcPr>
            <w:tcW w:w="740" w:type="dxa"/>
            <w:vAlign w:val="bottom"/>
            <w:tcBorders>
              <w:top w:val="single" w:sz="8" w:color="A6A6A6"/>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6A6A6"/>
              <w:bottom w:val="single" w:sz="8" w:color="A6A6A6"/>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20" w:type="dxa"/>
            <w:vAlign w:val="bottom"/>
          </w:tcPr>
          <w:p>
            <w:pPr>
              <w:spacing w:after="0"/>
              <w:rPr>
                <w:sz w:val="20"/>
                <w:szCs w:val="20"/>
                <w:color w:val="auto"/>
              </w:rPr>
            </w:pPr>
            <w:r>
              <w:rPr>
                <w:rFonts w:ascii="Arial" w:cs="Arial" w:eastAsia="Arial" w:hAnsi="Arial"/>
                <w:sz w:val="16"/>
                <w:szCs w:val="16"/>
                <w:color w:val="004483"/>
              </w:rPr>
              <w:t>Sales Volume (M Tons)</w:t>
            </w: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2,180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1,778</w:t>
            </w:r>
          </w:p>
        </w:tc>
        <w:tc>
          <w:tcPr>
            <w:tcW w:w="10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4,265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3,328</w:t>
            </w:r>
          </w:p>
        </w:tc>
        <w:tc>
          <w:tcPr>
            <w:tcW w:w="1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
        </w:trPr>
        <w:tc>
          <w:tcPr>
            <w:tcW w:w="422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8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220" w:type="dxa"/>
            <w:vAlign w:val="bottom"/>
          </w:tcPr>
          <w:p>
            <w:pPr>
              <w:spacing w:after="0" w:line="212" w:lineRule="exact"/>
              <w:rPr>
                <w:sz w:val="20"/>
                <w:szCs w:val="20"/>
                <w:color w:val="auto"/>
              </w:rPr>
            </w:pPr>
            <w:r>
              <w:rPr>
                <w:rFonts w:ascii="Arial" w:cs="Arial" w:eastAsia="Arial" w:hAnsi="Arial"/>
                <w:sz w:val="15"/>
                <w:szCs w:val="15"/>
                <w:color w:val="004483"/>
              </w:rPr>
              <w:t xml:space="preserve">Average Net Sales Price, per ton </w:t>
            </w:r>
            <w:r>
              <w:rPr>
                <w:rFonts w:ascii="Arial" w:cs="Arial" w:eastAsia="Arial" w:hAnsi="Arial"/>
                <w:sz w:val="24"/>
                <w:szCs w:val="24"/>
                <w:color w:val="004483"/>
                <w:vertAlign w:val="superscript"/>
              </w:rPr>
              <w:t>(2)</w:t>
            </w: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111.59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109.35</w:t>
            </w: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110.38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109.51</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422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8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220" w:type="dxa"/>
            <w:vAlign w:val="bottom"/>
          </w:tcPr>
          <w:p>
            <w:pPr>
              <w:spacing w:after="0"/>
              <w:rPr>
                <w:sz w:val="20"/>
                <w:szCs w:val="20"/>
                <w:color w:val="auto"/>
              </w:rPr>
            </w:pPr>
            <w:r>
              <w:rPr>
                <w:rFonts w:ascii="Arial" w:cs="Arial" w:eastAsia="Arial" w:hAnsi="Arial"/>
                <w:sz w:val="16"/>
                <w:szCs w:val="16"/>
                <w:color w:val="004483"/>
              </w:rPr>
              <w:t>Operating Margin, per ton</w:t>
            </w: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36.66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37.42</w:t>
            </w:r>
          </w:p>
        </w:tc>
        <w:tc>
          <w:tcPr>
            <w:tcW w:w="10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32.91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30.84</w:t>
            </w:r>
          </w:p>
        </w:tc>
        <w:tc>
          <w:tcPr>
            <w:tcW w:w="1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
        </w:trPr>
        <w:tc>
          <w:tcPr>
            <w:tcW w:w="422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8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tcPr>
          <w:p>
            <w:pPr>
              <w:spacing w:after="0"/>
              <w:rPr>
                <w:sz w:val="20"/>
                <w:szCs w:val="20"/>
                <w:color w:val="auto"/>
              </w:rPr>
            </w:pPr>
            <w:r>
              <w:rPr>
                <w:rFonts w:ascii="Arial" w:cs="Arial" w:eastAsia="Arial" w:hAnsi="Arial"/>
                <w:sz w:val="16"/>
                <w:szCs w:val="16"/>
                <w:color w:val="004483"/>
              </w:rPr>
              <w:t>Operating Earnings</w:t>
            </w: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79,913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66,526</w:t>
            </w: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140,368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102,647</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
        </w:trPr>
        <w:tc>
          <w:tcPr>
            <w:tcW w:w="422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8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240" w:hanging="232"/>
        <w:spacing w:after="0"/>
        <w:tabs>
          <w:tab w:leader="none" w:pos="2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Total of wholly owned subsidiaries and proportionately consolidated 50% interest of the Joint Venture’s results.</w:t>
      </w:r>
    </w:p>
    <w:p>
      <w:pPr>
        <w:spacing w:after="0" w:line="3" w:lineRule="exact"/>
        <w:rPr>
          <w:rFonts w:ascii="Arial" w:cs="Arial" w:eastAsia="Arial" w:hAnsi="Arial"/>
          <w:sz w:val="15"/>
          <w:szCs w:val="15"/>
          <w:color w:val="auto"/>
        </w:rPr>
      </w:pPr>
    </w:p>
    <w:p>
      <w:pPr>
        <w:ind w:left="240" w:hanging="232"/>
        <w:spacing w:after="0"/>
        <w:tabs>
          <w:tab w:leader="none" w:pos="2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Net of freight per ton, including Joint Venture.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2020</w:t>
      </w:r>
    </w:p>
    <w:p>
      <w:pPr>
        <w:spacing w:after="0" w:line="15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Cement Revenue was $278.1 million, a 22% increase, for the three months ended September 30, 2020. Organic Cement Revenue increased approximately $5.5 million, primarily related to higher gross sales prices.</w:t>
      </w:r>
    </w:p>
    <w:p>
      <w:pPr>
        <w:spacing w:after="0" w:line="8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Cement Operating Earnings increased 20% to $79.9 million for the three months ended September 30, 2020. Excluding $14.4 million of Operating Earnings related to the Kosmos Acquisition, Operating Earnings decreased $1.0 million, or 2%. The decline was due to higher operating costs and product mix, which negatively affected Operating Earnings by approximately $5.1 million and $1.4 million, respectively. This was partially offset by higher gross sales prices, which increased Operating Earnings by $5.5 million. The increase in operating costs was primarily because of a change in the timing of our annual cement maintenance outages. Historically our outages occur in the fiscal first quarter, but we deferred the outages at two of our facilities until the current fiscal quarter, resulting in higher maintenance expense compared to the prior year period. The operating margin remained consistent at 29% during the quarter.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September 30, 2020</w:t>
      </w:r>
    </w:p>
    <w:p>
      <w:pPr>
        <w:spacing w:after="0" w:line="153"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Cement Revenue was $539.5 million, a 28% increase, for the six months ended September 30, 2020. Organic Cement Revenue increased approximately $24.0 million, and was primarily due to higher gross sales prices and Sales Volume, which improved Cement Revenue by approximately $9.3 million and $14.7 million, respectively.</w:t>
      </w:r>
    </w:p>
    <w:p>
      <w:pPr>
        <w:spacing w:after="0" w:line="9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Cement Operating Earnings increased 37% to $140.4 million for the six months ended September 30, 2020. Excluding $25.0 million of Operating Earnings related to the Kosmos Acquisition, Operating Earnings increased $12.8 million, or 12%. The increase was due to higher gross sales prices and Sales Volume, which positively affected Operating Earnings by approximately $9.3 million and $1.5 million, respectively, as well as lower operating costs which increased Operating Earnings by $2.0 million. The decrease in operating costs was primarily because of lower energy costs. The operating margin increased to 26% from 24%, primarily because of lower operating costs and higher gross sales prices.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CONCRETE AND AGGREGATES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20" w:type="dxa"/>
            <w:vAlign w:val="bottom"/>
          </w:tcPr>
          <w:p>
            <w:pPr>
              <w:spacing w:after="0"/>
              <w:rPr>
                <w:sz w:val="13"/>
                <w:szCs w:val="13"/>
                <w:color w:val="auto"/>
              </w:rPr>
            </w:pPr>
          </w:p>
        </w:tc>
        <w:tc>
          <w:tcPr>
            <w:tcW w:w="2320" w:type="dxa"/>
            <w:vAlign w:val="bottom"/>
            <w:gridSpan w:val="7"/>
            <w:shd w:val="clear" w:color="auto" w:fill="004483"/>
          </w:tcPr>
          <w:p>
            <w:pPr>
              <w:spacing w:after="0"/>
              <w:rPr>
                <w:sz w:val="20"/>
                <w:szCs w:val="20"/>
                <w:color w:val="auto"/>
              </w:rPr>
            </w:pPr>
            <w:r>
              <w:rPr>
                <w:rFonts w:ascii="Arial" w:cs="Arial" w:eastAsia="Arial" w:hAnsi="Arial"/>
                <w:sz w:val="13"/>
                <w:szCs w:val="13"/>
                <w:b w:val="1"/>
                <w:bCs w:val="1"/>
                <w:color w:val="FFFFFF"/>
                <w:w w:val="93"/>
              </w:rPr>
              <w:t>For the Three Months Ended September</w:t>
            </w: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shd w:val="clear" w:color="auto" w:fill="004483"/>
          </w:tcPr>
          <w:p>
            <w:pPr>
              <w:spacing w:after="0"/>
              <w:rPr>
                <w:sz w:val="13"/>
                <w:szCs w:val="13"/>
                <w:color w:val="auto"/>
              </w:rPr>
            </w:pPr>
          </w:p>
        </w:tc>
        <w:tc>
          <w:tcPr>
            <w:tcW w:w="2240" w:type="dxa"/>
            <w:vAlign w:val="bottom"/>
            <w:gridSpan w:val="6"/>
            <w:shd w:val="clear" w:color="auto" w:fill="004483"/>
          </w:tcPr>
          <w:p>
            <w:pPr>
              <w:jc w:val="center"/>
              <w:ind w:right="200"/>
              <w:spacing w:after="0"/>
              <w:rPr>
                <w:sz w:val="20"/>
                <w:szCs w:val="20"/>
                <w:color w:val="auto"/>
              </w:rPr>
            </w:pPr>
            <w:r>
              <w:rPr>
                <w:rFonts w:ascii="Arial" w:cs="Arial" w:eastAsia="Arial" w:hAnsi="Arial"/>
                <w:sz w:val="13"/>
                <w:szCs w:val="13"/>
                <w:b w:val="1"/>
                <w:bCs w:val="1"/>
                <w:color w:val="FFFFFF"/>
                <w:w w:val="88"/>
              </w:rPr>
              <w:t>For the Six Months Ended September</w:t>
            </w: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tcPr>
          <w:p>
            <w:pPr>
              <w:spacing w:after="0"/>
              <w:rPr>
                <w:sz w:val="13"/>
                <w:szCs w:val="13"/>
                <w:color w:val="auto"/>
              </w:rPr>
            </w:pPr>
          </w:p>
        </w:tc>
        <w:tc>
          <w:tcPr>
            <w:tcW w:w="120" w:type="dxa"/>
            <w:vAlign w:val="bottom"/>
            <w:tcBorders>
              <w:bottom w:val="single" w:sz="8" w:color="auto"/>
            </w:tcBorders>
            <w:shd w:val="clear" w:color="auto" w:fill="004483"/>
          </w:tcPr>
          <w:p>
            <w:pPr>
              <w:spacing w:after="0"/>
              <w:rPr>
                <w:sz w:val="13"/>
                <w:szCs w:val="13"/>
                <w:color w:val="auto"/>
              </w:rPr>
            </w:pPr>
          </w:p>
        </w:tc>
        <w:tc>
          <w:tcPr>
            <w:tcW w:w="880" w:type="dxa"/>
            <w:vAlign w:val="bottom"/>
            <w:tcBorders>
              <w:bottom w:val="single" w:sz="8" w:color="auto"/>
            </w:tcBorders>
            <w:shd w:val="clear" w:color="auto" w:fill="004483"/>
          </w:tcPr>
          <w:p>
            <w:pPr>
              <w:spacing w:after="0"/>
              <w:rPr>
                <w:sz w:val="13"/>
                <w:szCs w:val="13"/>
                <w:color w:val="auto"/>
              </w:rPr>
            </w:pPr>
          </w:p>
        </w:tc>
        <w:tc>
          <w:tcPr>
            <w:tcW w:w="220" w:type="dxa"/>
            <w:vAlign w:val="bottom"/>
            <w:tcBorders>
              <w:bottom w:val="single" w:sz="8" w:color="auto"/>
            </w:tcBorders>
            <w:gridSpan w:val="2"/>
            <w:shd w:val="clear" w:color="auto" w:fill="004483"/>
          </w:tcPr>
          <w:p>
            <w:pPr>
              <w:jc w:val="right"/>
              <w:spacing w:after="0"/>
              <w:rPr>
                <w:sz w:val="20"/>
                <w:szCs w:val="20"/>
                <w:color w:val="auto"/>
              </w:rPr>
            </w:pPr>
            <w:r>
              <w:rPr>
                <w:rFonts w:ascii="Arial" w:cs="Arial" w:eastAsia="Arial" w:hAnsi="Arial"/>
                <w:sz w:val="13"/>
                <w:szCs w:val="13"/>
                <w:b w:val="1"/>
                <w:bCs w:val="1"/>
                <w:color w:val="FFFFFF"/>
                <w:w w:val="88"/>
              </w:rPr>
              <w:t>30,</w:t>
            </w:r>
          </w:p>
        </w:tc>
        <w:tc>
          <w:tcPr>
            <w:tcW w:w="300" w:type="dxa"/>
            <w:vAlign w:val="bottom"/>
            <w:tcBorders>
              <w:bottom w:val="single" w:sz="8" w:color="auto"/>
            </w:tcBorders>
            <w:shd w:val="clear" w:color="auto" w:fill="004483"/>
          </w:tcPr>
          <w:p>
            <w:pPr>
              <w:spacing w:after="0"/>
              <w:rPr>
                <w:sz w:val="13"/>
                <w:szCs w:val="13"/>
                <w:color w:val="auto"/>
              </w:rPr>
            </w:pPr>
          </w:p>
        </w:tc>
        <w:tc>
          <w:tcPr>
            <w:tcW w:w="700" w:type="dxa"/>
            <w:vAlign w:val="bottom"/>
            <w:tcBorders>
              <w:bottom w:val="single" w:sz="8" w:color="auto"/>
            </w:tcBorders>
            <w:shd w:val="clear" w:color="auto" w:fill="004483"/>
          </w:tcPr>
          <w:p>
            <w:pPr>
              <w:spacing w:after="0"/>
              <w:rPr>
                <w:sz w:val="13"/>
                <w:szCs w:val="13"/>
                <w:color w:val="auto"/>
              </w:rPr>
            </w:pPr>
          </w:p>
        </w:tc>
        <w:tc>
          <w:tcPr>
            <w:tcW w:w="100" w:type="dxa"/>
            <w:vAlign w:val="bottom"/>
            <w:shd w:val="clear" w:color="auto" w:fill="004483"/>
          </w:tcPr>
          <w:p>
            <w:pPr>
              <w:spacing w:after="0"/>
              <w:rPr>
                <w:sz w:val="13"/>
                <w:szCs w:val="13"/>
                <w:color w:val="auto"/>
              </w:rPr>
            </w:pPr>
          </w:p>
        </w:tc>
        <w:tc>
          <w:tcPr>
            <w:tcW w:w="1240" w:type="dxa"/>
            <w:vAlign w:val="bottom"/>
            <w:gridSpan w:val="3"/>
            <w:vMerge w:val="restart"/>
          </w:tcPr>
          <w:p>
            <w:pPr>
              <w:jc w:val="center"/>
              <w:ind w:right="200"/>
              <w:spacing w:after="0"/>
              <w:rPr>
                <w:sz w:val="20"/>
                <w:szCs w:val="20"/>
                <w:color w:val="auto"/>
              </w:rPr>
            </w:pPr>
            <w:r>
              <w:rPr>
                <w:rFonts w:ascii="Arial" w:cs="Arial" w:eastAsia="Arial" w:hAnsi="Arial"/>
                <w:sz w:val="13"/>
                <w:szCs w:val="13"/>
                <w:b w:val="1"/>
                <w:bCs w:val="1"/>
                <w:color w:val="auto"/>
                <w:w w:val="85"/>
              </w:rPr>
              <w:t>Percentage</w:t>
            </w:r>
          </w:p>
        </w:tc>
        <w:tc>
          <w:tcPr>
            <w:tcW w:w="80" w:type="dxa"/>
            <w:vAlign w:val="bottom"/>
            <w:tcBorders>
              <w:bottom w:val="single" w:sz="8" w:color="auto"/>
            </w:tcBorders>
            <w:shd w:val="clear" w:color="auto" w:fill="004483"/>
          </w:tcPr>
          <w:p>
            <w:pPr>
              <w:spacing w:after="0"/>
              <w:rPr>
                <w:sz w:val="13"/>
                <w:szCs w:val="13"/>
                <w:color w:val="auto"/>
              </w:rPr>
            </w:pPr>
          </w:p>
        </w:tc>
        <w:tc>
          <w:tcPr>
            <w:tcW w:w="1140" w:type="dxa"/>
            <w:vAlign w:val="bottom"/>
            <w:tcBorders>
              <w:bottom w:val="single" w:sz="8" w:color="auto"/>
            </w:tcBorders>
            <w:gridSpan w:val="3"/>
            <w:shd w:val="clear" w:color="auto" w:fill="004483"/>
          </w:tcPr>
          <w:p>
            <w:pPr>
              <w:jc w:val="center"/>
              <w:ind w:left="825"/>
              <w:spacing w:after="0"/>
              <w:rPr>
                <w:sz w:val="20"/>
                <w:szCs w:val="20"/>
                <w:color w:val="auto"/>
              </w:rPr>
            </w:pPr>
            <w:r>
              <w:rPr>
                <w:rFonts w:ascii="Arial" w:cs="Arial" w:eastAsia="Arial" w:hAnsi="Arial"/>
                <w:sz w:val="13"/>
                <w:szCs w:val="13"/>
                <w:b w:val="1"/>
                <w:bCs w:val="1"/>
                <w:color w:val="FFFFFF"/>
                <w:w w:val="88"/>
              </w:rPr>
              <w:t>30,</w:t>
            </w:r>
          </w:p>
        </w:tc>
        <w:tc>
          <w:tcPr>
            <w:tcW w:w="300" w:type="dxa"/>
            <w:vAlign w:val="bottom"/>
            <w:tcBorders>
              <w:bottom w:val="single" w:sz="8" w:color="auto"/>
            </w:tcBorders>
            <w:shd w:val="clear" w:color="auto" w:fill="004483"/>
          </w:tcPr>
          <w:p>
            <w:pPr>
              <w:spacing w:after="0"/>
              <w:rPr>
                <w:sz w:val="13"/>
                <w:szCs w:val="13"/>
                <w:color w:val="auto"/>
              </w:rPr>
            </w:pPr>
          </w:p>
        </w:tc>
        <w:tc>
          <w:tcPr>
            <w:tcW w:w="700" w:type="dxa"/>
            <w:vAlign w:val="bottom"/>
            <w:tcBorders>
              <w:bottom w:val="single" w:sz="8" w:color="auto"/>
            </w:tcBorders>
            <w:shd w:val="clear" w:color="auto" w:fill="004483"/>
          </w:tcPr>
          <w:p>
            <w:pPr>
              <w:spacing w:after="0"/>
              <w:rPr>
                <w:sz w:val="13"/>
                <w:szCs w:val="13"/>
                <w:color w:val="auto"/>
              </w:rPr>
            </w:pPr>
          </w:p>
        </w:tc>
        <w:tc>
          <w:tcPr>
            <w:tcW w:w="100" w:type="dxa"/>
            <w:vAlign w:val="bottom"/>
            <w:shd w:val="clear" w:color="auto" w:fill="004483"/>
          </w:tcPr>
          <w:p>
            <w:pPr>
              <w:spacing w:after="0"/>
              <w:rPr>
                <w:sz w:val="13"/>
                <w:szCs w:val="13"/>
                <w:color w:val="auto"/>
              </w:rPr>
            </w:pPr>
          </w:p>
        </w:tc>
        <w:tc>
          <w:tcPr>
            <w:tcW w:w="1120" w:type="dxa"/>
            <w:vAlign w:val="bottom"/>
            <w:gridSpan w:val="2"/>
            <w:vMerge w:val="restart"/>
          </w:tcPr>
          <w:p>
            <w:pPr>
              <w:jc w:val="right"/>
              <w:ind w:right="30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24"/>
        </w:trPr>
        <w:tc>
          <w:tcPr>
            <w:tcW w:w="4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3"/>
                <w:szCs w:val="13"/>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8"/>
              </w:rPr>
              <w:t>Change</w:t>
            </w:r>
          </w:p>
        </w:tc>
        <w:tc>
          <w:tcPr>
            <w:tcW w:w="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49"/>
        </w:trPr>
        <w:tc>
          <w:tcPr>
            <w:tcW w:w="4220" w:type="dxa"/>
            <w:vAlign w:val="bottom"/>
            <w:tcBorders>
              <w:bottom w:val="single" w:sz="8" w:color="17385E"/>
            </w:tcBorders>
          </w:tcPr>
          <w:p>
            <w:pPr>
              <w:spacing w:after="0"/>
              <w:rPr>
                <w:sz w:val="12"/>
                <w:szCs w:val="12"/>
                <w:color w:val="auto"/>
              </w:rPr>
            </w:pPr>
          </w:p>
        </w:tc>
        <w:tc>
          <w:tcPr>
            <w:tcW w:w="120" w:type="dxa"/>
            <w:vAlign w:val="bottom"/>
            <w:tcBorders>
              <w:bottom w:val="single" w:sz="8" w:color="17385E"/>
            </w:tcBorders>
          </w:tcPr>
          <w:p>
            <w:pPr>
              <w:spacing w:after="0"/>
              <w:rPr>
                <w:sz w:val="12"/>
                <w:szCs w:val="12"/>
                <w:color w:val="auto"/>
              </w:rPr>
            </w:pPr>
          </w:p>
        </w:tc>
        <w:tc>
          <w:tcPr>
            <w:tcW w:w="2100" w:type="dxa"/>
            <w:vAlign w:val="bottom"/>
            <w:tcBorders>
              <w:bottom w:val="single" w:sz="8" w:color="17385E"/>
            </w:tcBorders>
            <w:gridSpan w:val="5"/>
          </w:tcPr>
          <w:p>
            <w:pPr>
              <w:jc w:val="center"/>
              <w:ind w:right="61"/>
              <w:spacing w:after="0"/>
              <w:rPr>
                <w:sz w:val="20"/>
                <w:szCs w:val="20"/>
                <w:color w:val="auto"/>
              </w:rPr>
            </w:pPr>
            <w:r>
              <w:rPr>
                <w:rFonts w:ascii="Arial" w:cs="Arial" w:eastAsia="Arial" w:hAnsi="Arial"/>
                <w:sz w:val="13"/>
                <w:szCs w:val="13"/>
                <w:color w:val="auto"/>
                <w:w w:val="86"/>
              </w:rPr>
              <w:t>(in thousands, except net sales prices)</w:t>
            </w:r>
          </w:p>
        </w:tc>
        <w:tc>
          <w:tcPr>
            <w:tcW w:w="100" w:type="dxa"/>
            <w:vAlign w:val="bottom"/>
          </w:tcPr>
          <w:p>
            <w:pPr>
              <w:spacing w:after="0"/>
              <w:rPr>
                <w:sz w:val="12"/>
                <w:szCs w:val="12"/>
                <w:color w:val="auto"/>
              </w:rPr>
            </w:pPr>
          </w:p>
        </w:tc>
        <w:tc>
          <w:tcPr>
            <w:tcW w:w="940" w:type="dxa"/>
            <w:vAlign w:val="bottom"/>
            <w:tcBorders>
              <w:bottom w:val="single" w:sz="8" w:color="17385E"/>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17385E"/>
            </w:tcBorders>
          </w:tcPr>
          <w:p>
            <w:pPr>
              <w:spacing w:after="0"/>
              <w:rPr>
                <w:sz w:val="12"/>
                <w:szCs w:val="12"/>
                <w:color w:val="auto"/>
              </w:rPr>
            </w:pPr>
          </w:p>
        </w:tc>
        <w:tc>
          <w:tcPr>
            <w:tcW w:w="80" w:type="dxa"/>
            <w:vAlign w:val="bottom"/>
            <w:tcBorders>
              <w:bottom w:val="single" w:sz="8" w:color="17385E"/>
            </w:tcBorders>
          </w:tcPr>
          <w:p>
            <w:pPr>
              <w:spacing w:after="0"/>
              <w:rPr>
                <w:sz w:val="12"/>
                <w:szCs w:val="12"/>
                <w:color w:val="auto"/>
              </w:rPr>
            </w:pPr>
          </w:p>
        </w:tc>
        <w:tc>
          <w:tcPr>
            <w:tcW w:w="2140" w:type="dxa"/>
            <w:vAlign w:val="bottom"/>
            <w:tcBorders>
              <w:bottom w:val="single" w:sz="8" w:color="17385E"/>
            </w:tcBorders>
            <w:gridSpan w:val="5"/>
          </w:tcPr>
          <w:p>
            <w:pPr>
              <w:jc w:val="center"/>
              <w:ind w:right="1"/>
              <w:spacing w:after="0"/>
              <w:rPr>
                <w:sz w:val="20"/>
                <w:szCs w:val="20"/>
                <w:color w:val="auto"/>
              </w:rPr>
            </w:pPr>
            <w:r>
              <w:rPr>
                <w:rFonts w:ascii="Arial" w:cs="Arial" w:eastAsia="Arial" w:hAnsi="Arial"/>
                <w:sz w:val="13"/>
                <w:szCs w:val="13"/>
                <w:color w:val="auto"/>
                <w:w w:val="85"/>
              </w:rPr>
              <w:t>(in thousands, except net sales prices)</w:t>
            </w:r>
          </w:p>
        </w:tc>
        <w:tc>
          <w:tcPr>
            <w:tcW w:w="100" w:type="dxa"/>
            <w:vAlign w:val="bottom"/>
          </w:tcPr>
          <w:p>
            <w:pPr>
              <w:spacing w:after="0"/>
              <w:rPr>
                <w:sz w:val="12"/>
                <w:szCs w:val="12"/>
                <w:color w:val="auto"/>
              </w:rPr>
            </w:pPr>
          </w:p>
        </w:tc>
        <w:tc>
          <w:tcPr>
            <w:tcW w:w="940" w:type="dxa"/>
            <w:vAlign w:val="bottom"/>
            <w:tcBorders>
              <w:bottom w:val="single" w:sz="8" w:color="17385E"/>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4220" w:type="dxa"/>
            <w:vAlign w:val="bottom"/>
          </w:tcPr>
          <w:p>
            <w:pPr>
              <w:spacing w:after="0"/>
              <w:rPr>
                <w:sz w:val="20"/>
                <w:szCs w:val="20"/>
                <w:color w:val="auto"/>
              </w:rPr>
            </w:pPr>
            <w:r>
              <w:rPr>
                <w:rFonts w:ascii="Arial" w:cs="Arial" w:eastAsia="Arial" w:hAnsi="Arial"/>
                <w:sz w:val="16"/>
                <w:szCs w:val="16"/>
                <w:color w:val="004483"/>
              </w:rPr>
              <w:t>Gross Revenue, including intersegment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46,300</w:t>
            </w:r>
          </w:p>
        </w:tc>
        <w:tc>
          <w:tcPr>
            <w:tcW w:w="100" w:type="dxa"/>
            <w:vAlign w:val="bottom"/>
          </w:tcPr>
          <w:p>
            <w:pPr>
              <w:spacing w:after="0"/>
              <w:rPr>
                <w:sz w:val="17"/>
                <w:szCs w:val="17"/>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55,971</w:t>
            </w:r>
          </w:p>
        </w:tc>
        <w:tc>
          <w:tcPr>
            <w:tcW w:w="10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90,490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95,749</w:t>
            </w:r>
          </w:p>
        </w:tc>
        <w:tc>
          <w:tcPr>
            <w:tcW w:w="10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4220" w:type="dxa"/>
            <w:vAlign w:val="bottom"/>
            <w:shd w:val="clear" w:color="auto" w:fill="A6A6A6"/>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8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8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tcPr>
          <w:p>
            <w:pPr>
              <w:spacing w:after="0"/>
              <w:rPr>
                <w:sz w:val="20"/>
                <w:szCs w:val="20"/>
                <w:color w:val="auto"/>
              </w:rPr>
            </w:pPr>
            <w:r>
              <w:rPr>
                <w:rFonts w:ascii="Arial" w:cs="Arial" w:eastAsia="Arial" w:hAnsi="Arial"/>
                <w:sz w:val="16"/>
                <w:szCs w:val="16"/>
                <w:color w:val="004483"/>
              </w:rPr>
              <w:t>Less intersegment Revenue</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(407)</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(784)</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0"/>
        </w:trPr>
        <w:tc>
          <w:tcPr>
            <w:tcW w:w="4220" w:type="dxa"/>
            <w:vAlign w:val="bottom"/>
            <w:shd w:val="clear" w:color="auto" w:fill="A6A6A6"/>
          </w:tcPr>
          <w:p>
            <w:pPr>
              <w:spacing w:after="0" w:line="20" w:lineRule="exact"/>
              <w:rPr>
                <w:sz w:val="1"/>
                <w:szCs w:val="1"/>
                <w:color w:val="auto"/>
              </w:rPr>
            </w:pPr>
          </w:p>
        </w:tc>
        <w:tc>
          <w:tcPr>
            <w:tcW w:w="120" w:type="dxa"/>
            <w:vAlign w:val="bottom"/>
            <w:shd w:val="clear" w:color="auto" w:fill="004483"/>
          </w:tcPr>
          <w:p>
            <w:pPr>
              <w:spacing w:after="0" w:line="20" w:lineRule="exact"/>
              <w:rPr>
                <w:sz w:val="1"/>
                <w:szCs w:val="1"/>
                <w:color w:val="auto"/>
              </w:rPr>
            </w:pPr>
          </w:p>
        </w:tc>
        <w:tc>
          <w:tcPr>
            <w:tcW w:w="88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70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80" w:type="dxa"/>
            <w:vAlign w:val="bottom"/>
            <w:shd w:val="clear" w:color="auto" w:fill="004483"/>
          </w:tcPr>
          <w:p>
            <w:pPr>
              <w:spacing w:after="0" w:line="20" w:lineRule="exact"/>
              <w:rPr>
                <w:sz w:val="1"/>
                <w:szCs w:val="1"/>
                <w:color w:val="auto"/>
              </w:rPr>
            </w:pPr>
          </w:p>
        </w:tc>
        <w:tc>
          <w:tcPr>
            <w:tcW w:w="92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70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tcPr>
          <w:p>
            <w:pPr>
              <w:spacing w:after="0"/>
              <w:rPr>
                <w:sz w:val="20"/>
                <w:szCs w:val="20"/>
                <w:color w:val="auto"/>
              </w:rPr>
            </w:pPr>
            <w:r>
              <w:rPr>
                <w:rFonts w:ascii="Arial" w:cs="Arial" w:eastAsia="Arial" w:hAnsi="Arial"/>
                <w:sz w:val="16"/>
                <w:szCs w:val="16"/>
                <w:color w:val="004483"/>
              </w:rPr>
              <w:t>Gross Revenue, as reported</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46,300</w:t>
            </w:r>
          </w:p>
        </w:tc>
        <w:tc>
          <w:tcPr>
            <w:tcW w:w="10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55,564</w:t>
            </w: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90,384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94,965</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2"/>
        </w:trPr>
        <w:tc>
          <w:tcPr>
            <w:tcW w:w="4220" w:type="dxa"/>
            <w:vAlign w:val="bottom"/>
            <w:tcBorders>
              <w:top w:val="single" w:sz="8" w:color="A6A6A6"/>
              <w:bottom w:val="single" w:sz="8" w:color="A6A6A6"/>
            </w:tcBorders>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880" w:type="dxa"/>
            <w:vAlign w:val="bottom"/>
            <w:tcBorders>
              <w:top w:val="single" w:sz="8" w:color="A6A6A6"/>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300" w:type="dxa"/>
            <w:vAlign w:val="bottom"/>
            <w:tcBorders>
              <w:top w:val="single" w:sz="8" w:color="A6A6A6"/>
              <w:bottom w:val="single" w:sz="8" w:color="A6A6A6"/>
            </w:tcBorders>
          </w:tcPr>
          <w:p>
            <w:pPr>
              <w:spacing w:after="0"/>
              <w:rPr>
                <w:sz w:val="18"/>
                <w:szCs w:val="18"/>
                <w:color w:val="auto"/>
              </w:rPr>
            </w:pPr>
          </w:p>
        </w:tc>
        <w:tc>
          <w:tcPr>
            <w:tcW w:w="700" w:type="dxa"/>
            <w:vAlign w:val="bottom"/>
            <w:tcBorders>
              <w:top w:val="single" w:sz="8" w:color="A6A6A6"/>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6A6A6"/>
              <w:bottom w:val="single" w:sz="8" w:color="A6A6A6"/>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6A6A6"/>
              <w:bottom w:val="single" w:sz="8" w:color="A6A6A6"/>
            </w:tcBorders>
          </w:tcPr>
          <w:p>
            <w:pPr>
              <w:spacing w:after="0"/>
              <w:rPr>
                <w:sz w:val="18"/>
                <w:szCs w:val="18"/>
                <w:color w:val="auto"/>
              </w:rPr>
            </w:pPr>
          </w:p>
        </w:tc>
        <w:tc>
          <w:tcPr>
            <w:tcW w:w="80" w:type="dxa"/>
            <w:vAlign w:val="bottom"/>
            <w:tcBorders>
              <w:top w:val="single" w:sz="8" w:color="A6A6A6"/>
              <w:bottom w:val="single" w:sz="8" w:color="A6A6A6"/>
            </w:tcBorders>
          </w:tcPr>
          <w:p>
            <w:pPr>
              <w:spacing w:after="0"/>
              <w:rPr>
                <w:sz w:val="18"/>
                <w:szCs w:val="18"/>
                <w:color w:val="auto"/>
              </w:rPr>
            </w:pPr>
          </w:p>
        </w:tc>
        <w:tc>
          <w:tcPr>
            <w:tcW w:w="92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6A6A6"/>
              <w:bottom w:val="single" w:sz="8" w:color="A6A6A6"/>
            </w:tcBorders>
          </w:tcPr>
          <w:p>
            <w:pPr>
              <w:spacing w:after="0"/>
              <w:rPr>
                <w:sz w:val="18"/>
                <w:szCs w:val="18"/>
                <w:color w:val="auto"/>
              </w:rPr>
            </w:pPr>
          </w:p>
        </w:tc>
        <w:tc>
          <w:tcPr>
            <w:tcW w:w="300" w:type="dxa"/>
            <w:vAlign w:val="bottom"/>
            <w:tcBorders>
              <w:top w:val="single" w:sz="8" w:color="A6A6A6"/>
              <w:bottom w:val="single" w:sz="8" w:color="A6A6A6"/>
            </w:tcBorders>
          </w:tcPr>
          <w:p>
            <w:pPr>
              <w:spacing w:after="0"/>
              <w:rPr>
                <w:sz w:val="18"/>
                <w:szCs w:val="18"/>
                <w:color w:val="auto"/>
              </w:rPr>
            </w:pPr>
          </w:p>
        </w:tc>
        <w:tc>
          <w:tcPr>
            <w:tcW w:w="700" w:type="dxa"/>
            <w:vAlign w:val="bottom"/>
            <w:tcBorders>
              <w:top w:val="single" w:sz="8" w:color="A6A6A6"/>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6A6A6"/>
              <w:bottom w:val="single" w:sz="8" w:color="A6A6A6"/>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20" w:type="dxa"/>
            <w:vAlign w:val="bottom"/>
            <w:tcBorders>
              <w:bottom w:val="single" w:sz="8" w:color="A6A6A6"/>
            </w:tcBorders>
          </w:tcPr>
          <w:p>
            <w:pPr>
              <w:spacing w:after="0"/>
              <w:rPr>
                <w:sz w:val="20"/>
                <w:szCs w:val="20"/>
                <w:color w:val="auto"/>
              </w:rPr>
            </w:pPr>
            <w:r>
              <w:rPr>
                <w:rFonts w:ascii="Arial" w:cs="Arial" w:eastAsia="Arial" w:hAnsi="Arial"/>
                <w:sz w:val="16"/>
                <w:szCs w:val="16"/>
                <w:color w:val="004483"/>
              </w:rPr>
              <w:t>Sales Volume -</w:t>
            </w:r>
          </w:p>
        </w:tc>
        <w:tc>
          <w:tcPr>
            <w:tcW w:w="120" w:type="dxa"/>
            <w:vAlign w:val="bottom"/>
            <w:tcBorders>
              <w:bottom w:val="single" w:sz="8" w:color="A6A6A6"/>
            </w:tcBorders>
          </w:tcPr>
          <w:p>
            <w:pPr>
              <w:spacing w:after="0"/>
              <w:rPr>
                <w:sz w:val="17"/>
                <w:szCs w:val="17"/>
                <w:color w:val="auto"/>
              </w:rPr>
            </w:pPr>
          </w:p>
        </w:tc>
        <w:tc>
          <w:tcPr>
            <w:tcW w:w="88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300" w:type="dxa"/>
            <w:vAlign w:val="bottom"/>
            <w:tcBorders>
              <w:bottom w:val="single" w:sz="8" w:color="A6A6A6"/>
            </w:tcBorders>
          </w:tcPr>
          <w:p>
            <w:pPr>
              <w:spacing w:after="0"/>
              <w:rPr>
                <w:sz w:val="17"/>
                <w:szCs w:val="17"/>
                <w:color w:val="auto"/>
              </w:rPr>
            </w:pPr>
          </w:p>
        </w:tc>
        <w:tc>
          <w:tcPr>
            <w:tcW w:w="70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bottom w:val="single" w:sz="8" w:color="A6A6A6"/>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6A6A6"/>
            </w:tcBorders>
          </w:tcPr>
          <w:p>
            <w:pPr>
              <w:spacing w:after="0"/>
              <w:rPr>
                <w:sz w:val="17"/>
                <w:szCs w:val="17"/>
                <w:color w:val="auto"/>
              </w:rPr>
            </w:pPr>
          </w:p>
        </w:tc>
        <w:tc>
          <w:tcPr>
            <w:tcW w:w="80" w:type="dxa"/>
            <w:vAlign w:val="bottom"/>
            <w:tcBorders>
              <w:bottom w:val="single" w:sz="8" w:color="A6A6A6"/>
            </w:tcBorders>
          </w:tcPr>
          <w:p>
            <w:pPr>
              <w:spacing w:after="0"/>
              <w:rPr>
                <w:sz w:val="17"/>
                <w:szCs w:val="17"/>
                <w:color w:val="auto"/>
              </w:rPr>
            </w:pPr>
          </w:p>
        </w:tc>
        <w:tc>
          <w:tcPr>
            <w:tcW w:w="920" w:type="dxa"/>
            <w:vAlign w:val="bottom"/>
            <w:tcBorders>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6A6A6"/>
            </w:tcBorders>
          </w:tcPr>
          <w:p>
            <w:pPr>
              <w:spacing w:after="0"/>
              <w:rPr>
                <w:sz w:val="17"/>
                <w:szCs w:val="17"/>
                <w:color w:val="auto"/>
              </w:rPr>
            </w:pPr>
          </w:p>
        </w:tc>
        <w:tc>
          <w:tcPr>
            <w:tcW w:w="300" w:type="dxa"/>
            <w:vAlign w:val="bottom"/>
            <w:tcBorders>
              <w:bottom w:val="single" w:sz="8" w:color="A6A6A6"/>
            </w:tcBorders>
          </w:tcPr>
          <w:p>
            <w:pPr>
              <w:spacing w:after="0"/>
              <w:rPr>
                <w:sz w:val="17"/>
                <w:szCs w:val="17"/>
                <w:color w:val="auto"/>
              </w:rPr>
            </w:pPr>
          </w:p>
        </w:tc>
        <w:tc>
          <w:tcPr>
            <w:tcW w:w="70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bottom w:val="single" w:sz="8" w:color="A6A6A6"/>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20" w:type="dxa"/>
            <w:vAlign w:val="bottom"/>
          </w:tcPr>
          <w:p>
            <w:pPr>
              <w:ind w:left="260"/>
              <w:spacing w:after="0"/>
              <w:rPr>
                <w:sz w:val="20"/>
                <w:szCs w:val="20"/>
                <w:color w:val="auto"/>
              </w:rPr>
            </w:pPr>
            <w:r>
              <w:rPr>
                <w:rFonts w:ascii="Arial" w:cs="Arial" w:eastAsia="Arial" w:hAnsi="Arial"/>
                <w:sz w:val="16"/>
                <w:szCs w:val="16"/>
                <w:color w:val="004483"/>
              </w:rPr>
              <w:t>M Cubic Yards of Concrete</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428</w:t>
            </w: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738</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4220" w:type="dxa"/>
            <w:vAlign w:val="bottom"/>
            <w:shd w:val="clear" w:color="auto" w:fill="A6A6A6"/>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8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8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20" w:type="dxa"/>
            <w:vAlign w:val="bottom"/>
          </w:tcPr>
          <w:p>
            <w:pPr>
              <w:ind w:left="260"/>
              <w:spacing w:after="0"/>
              <w:rPr>
                <w:sz w:val="20"/>
                <w:szCs w:val="20"/>
                <w:color w:val="auto"/>
              </w:rPr>
            </w:pPr>
            <w:r>
              <w:rPr>
                <w:rFonts w:ascii="Arial" w:cs="Arial" w:eastAsia="Arial" w:hAnsi="Arial"/>
                <w:sz w:val="16"/>
                <w:szCs w:val="16"/>
                <w:color w:val="004483"/>
              </w:rPr>
              <w:t>M Tons of Aggregate</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1,060</w:t>
            </w: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1,859</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0"/>
        </w:trPr>
        <w:tc>
          <w:tcPr>
            <w:tcW w:w="422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6"/>
                <w:szCs w:val="16"/>
                <w:color w:val="004483"/>
              </w:rPr>
              <w:t>Average Net Sales Price -</w:t>
            </w:r>
          </w:p>
        </w:tc>
        <w:tc>
          <w:tcPr>
            <w:tcW w:w="120" w:type="dxa"/>
            <w:vAlign w:val="bottom"/>
            <w:tcBorders>
              <w:top w:val="single" w:sz="8" w:color="A6A6A6"/>
              <w:bottom w:val="single" w:sz="8" w:color="A6A6A6"/>
            </w:tcBorders>
          </w:tcPr>
          <w:p>
            <w:pPr>
              <w:spacing w:after="0"/>
              <w:rPr>
                <w:sz w:val="18"/>
                <w:szCs w:val="18"/>
                <w:color w:val="auto"/>
              </w:rPr>
            </w:pPr>
          </w:p>
        </w:tc>
        <w:tc>
          <w:tcPr>
            <w:tcW w:w="880" w:type="dxa"/>
            <w:vAlign w:val="bottom"/>
            <w:tcBorders>
              <w:top w:val="single" w:sz="8" w:color="A6A6A6"/>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300" w:type="dxa"/>
            <w:vAlign w:val="bottom"/>
            <w:tcBorders>
              <w:top w:val="single" w:sz="8" w:color="A6A6A6"/>
              <w:bottom w:val="single" w:sz="8" w:color="A6A6A6"/>
            </w:tcBorders>
          </w:tcPr>
          <w:p>
            <w:pPr>
              <w:spacing w:after="0"/>
              <w:rPr>
                <w:sz w:val="18"/>
                <w:szCs w:val="18"/>
                <w:color w:val="auto"/>
              </w:rPr>
            </w:pPr>
          </w:p>
        </w:tc>
        <w:tc>
          <w:tcPr>
            <w:tcW w:w="700" w:type="dxa"/>
            <w:vAlign w:val="bottom"/>
            <w:tcBorders>
              <w:top w:val="single" w:sz="8" w:color="A6A6A6"/>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6A6A6"/>
              <w:bottom w:val="single" w:sz="8" w:color="A6A6A6"/>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6A6A6"/>
              <w:bottom w:val="single" w:sz="8" w:color="A6A6A6"/>
            </w:tcBorders>
          </w:tcPr>
          <w:p>
            <w:pPr>
              <w:spacing w:after="0"/>
              <w:rPr>
                <w:sz w:val="18"/>
                <w:szCs w:val="18"/>
                <w:color w:val="auto"/>
              </w:rPr>
            </w:pPr>
          </w:p>
        </w:tc>
        <w:tc>
          <w:tcPr>
            <w:tcW w:w="80" w:type="dxa"/>
            <w:vAlign w:val="bottom"/>
            <w:tcBorders>
              <w:top w:val="single" w:sz="8" w:color="A6A6A6"/>
              <w:bottom w:val="single" w:sz="8" w:color="A6A6A6"/>
            </w:tcBorders>
          </w:tcPr>
          <w:p>
            <w:pPr>
              <w:spacing w:after="0"/>
              <w:rPr>
                <w:sz w:val="18"/>
                <w:szCs w:val="18"/>
                <w:color w:val="auto"/>
              </w:rPr>
            </w:pPr>
          </w:p>
        </w:tc>
        <w:tc>
          <w:tcPr>
            <w:tcW w:w="92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6A6A6"/>
              <w:bottom w:val="single" w:sz="8" w:color="A6A6A6"/>
            </w:tcBorders>
          </w:tcPr>
          <w:p>
            <w:pPr>
              <w:spacing w:after="0"/>
              <w:rPr>
                <w:sz w:val="18"/>
                <w:szCs w:val="18"/>
                <w:color w:val="auto"/>
              </w:rPr>
            </w:pPr>
          </w:p>
        </w:tc>
        <w:tc>
          <w:tcPr>
            <w:tcW w:w="300" w:type="dxa"/>
            <w:vAlign w:val="bottom"/>
            <w:tcBorders>
              <w:top w:val="single" w:sz="8" w:color="A6A6A6"/>
              <w:bottom w:val="single" w:sz="8" w:color="A6A6A6"/>
            </w:tcBorders>
          </w:tcPr>
          <w:p>
            <w:pPr>
              <w:spacing w:after="0"/>
              <w:rPr>
                <w:sz w:val="18"/>
                <w:szCs w:val="18"/>
                <w:color w:val="auto"/>
              </w:rPr>
            </w:pPr>
          </w:p>
        </w:tc>
        <w:tc>
          <w:tcPr>
            <w:tcW w:w="700" w:type="dxa"/>
            <w:vAlign w:val="bottom"/>
            <w:tcBorders>
              <w:top w:val="single" w:sz="8" w:color="A6A6A6"/>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6A6A6"/>
              <w:bottom w:val="single" w:sz="8" w:color="A6A6A6"/>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tcPr>
          <w:p>
            <w:pPr>
              <w:ind w:left="260"/>
              <w:spacing w:after="0"/>
              <w:rPr>
                <w:sz w:val="20"/>
                <w:szCs w:val="20"/>
                <w:color w:val="auto"/>
              </w:rPr>
            </w:pPr>
            <w:r>
              <w:rPr>
                <w:rFonts w:ascii="Arial" w:cs="Arial" w:eastAsia="Arial" w:hAnsi="Arial"/>
                <w:sz w:val="16"/>
                <w:szCs w:val="16"/>
                <w:color w:val="004483"/>
              </w:rPr>
              <w:t>Concrete - Per Cubic Yard</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116.55</w:t>
            </w:r>
          </w:p>
        </w:tc>
        <w:tc>
          <w:tcPr>
            <w:tcW w:w="10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107.69</w:t>
            </w: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115.10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105.94</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
        </w:trPr>
        <w:tc>
          <w:tcPr>
            <w:tcW w:w="4220" w:type="dxa"/>
            <w:vAlign w:val="bottom"/>
            <w:shd w:val="clear" w:color="auto" w:fill="A6A6A6"/>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8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8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20" w:type="dxa"/>
            <w:vAlign w:val="bottom"/>
          </w:tcPr>
          <w:p>
            <w:pPr>
              <w:ind w:left="260"/>
              <w:spacing w:after="0"/>
              <w:rPr>
                <w:sz w:val="20"/>
                <w:szCs w:val="20"/>
                <w:color w:val="auto"/>
              </w:rPr>
            </w:pPr>
            <w:r>
              <w:rPr>
                <w:rFonts w:ascii="Arial" w:cs="Arial" w:eastAsia="Arial" w:hAnsi="Arial"/>
                <w:sz w:val="16"/>
                <w:szCs w:val="16"/>
                <w:color w:val="004483"/>
              </w:rPr>
              <w:t>Aggregates - Per Ton</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10.02</w:t>
            </w:r>
          </w:p>
        </w:tc>
        <w:tc>
          <w:tcPr>
            <w:tcW w:w="10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9.25</w:t>
            </w: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9.42</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6"/>
        </w:trPr>
        <w:tc>
          <w:tcPr>
            <w:tcW w:w="4220" w:type="dxa"/>
            <w:vAlign w:val="bottom"/>
            <w:tcBorders>
              <w:top w:val="single" w:sz="8" w:color="A6A6A6"/>
              <w:bottom w:val="single" w:sz="8" w:color="A6A6A6"/>
            </w:tcBorders>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880" w:type="dxa"/>
            <w:vAlign w:val="bottom"/>
            <w:tcBorders>
              <w:top w:val="single" w:sz="8" w:color="A6A6A6"/>
              <w:bottom w:val="single" w:sz="8" w:color="A6A6A6"/>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300" w:type="dxa"/>
            <w:vAlign w:val="bottom"/>
            <w:tcBorders>
              <w:top w:val="single" w:sz="8" w:color="A6A6A6"/>
              <w:bottom w:val="single" w:sz="8" w:color="A6A6A6"/>
            </w:tcBorders>
          </w:tcPr>
          <w:p>
            <w:pPr>
              <w:spacing w:after="0"/>
              <w:rPr>
                <w:sz w:val="19"/>
                <w:szCs w:val="19"/>
                <w:color w:val="auto"/>
              </w:rPr>
            </w:pPr>
          </w:p>
        </w:tc>
        <w:tc>
          <w:tcPr>
            <w:tcW w:w="700" w:type="dxa"/>
            <w:vAlign w:val="bottom"/>
            <w:tcBorders>
              <w:top w:val="single" w:sz="8" w:color="A6A6A6"/>
              <w:bottom w:val="single" w:sz="8" w:color="A6A6A6"/>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top w:val="single" w:sz="8" w:color="A6A6A6"/>
              <w:bottom w:val="single" w:sz="8" w:color="A6A6A6"/>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6A6A6"/>
              <w:bottom w:val="single" w:sz="8" w:color="A6A6A6"/>
            </w:tcBorders>
          </w:tcPr>
          <w:p>
            <w:pPr>
              <w:spacing w:after="0"/>
              <w:rPr>
                <w:sz w:val="19"/>
                <w:szCs w:val="19"/>
                <w:color w:val="auto"/>
              </w:rPr>
            </w:pPr>
          </w:p>
        </w:tc>
        <w:tc>
          <w:tcPr>
            <w:tcW w:w="80" w:type="dxa"/>
            <w:vAlign w:val="bottom"/>
            <w:tcBorders>
              <w:top w:val="single" w:sz="8" w:color="A6A6A6"/>
              <w:bottom w:val="single" w:sz="8" w:color="A6A6A6"/>
            </w:tcBorders>
          </w:tcPr>
          <w:p>
            <w:pPr>
              <w:spacing w:after="0"/>
              <w:rPr>
                <w:sz w:val="19"/>
                <w:szCs w:val="19"/>
                <w:color w:val="auto"/>
              </w:rPr>
            </w:pPr>
          </w:p>
        </w:tc>
        <w:tc>
          <w:tcPr>
            <w:tcW w:w="920" w:type="dxa"/>
            <w:vAlign w:val="bottom"/>
            <w:tcBorders>
              <w:top w:val="single" w:sz="8" w:color="A6A6A6"/>
              <w:bottom w:val="single" w:sz="8" w:color="A6A6A6"/>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6A6A6"/>
              <w:bottom w:val="single" w:sz="8" w:color="A6A6A6"/>
            </w:tcBorders>
          </w:tcPr>
          <w:p>
            <w:pPr>
              <w:spacing w:after="0"/>
              <w:rPr>
                <w:sz w:val="19"/>
                <w:szCs w:val="19"/>
                <w:color w:val="auto"/>
              </w:rPr>
            </w:pPr>
          </w:p>
        </w:tc>
        <w:tc>
          <w:tcPr>
            <w:tcW w:w="300" w:type="dxa"/>
            <w:vAlign w:val="bottom"/>
            <w:tcBorders>
              <w:top w:val="single" w:sz="8" w:color="A6A6A6"/>
              <w:bottom w:val="single" w:sz="8" w:color="A6A6A6"/>
            </w:tcBorders>
          </w:tcPr>
          <w:p>
            <w:pPr>
              <w:spacing w:after="0"/>
              <w:rPr>
                <w:sz w:val="19"/>
                <w:szCs w:val="19"/>
                <w:color w:val="auto"/>
              </w:rPr>
            </w:pPr>
          </w:p>
        </w:tc>
        <w:tc>
          <w:tcPr>
            <w:tcW w:w="700" w:type="dxa"/>
            <w:vAlign w:val="bottom"/>
            <w:tcBorders>
              <w:top w:val="single" w:sz="8" w:color="A6A6A6"/>
              <w:bottom w:val="single" w:sz="8" w:color="A6A6A6"/>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top w:val="single" w:sz="8" w:color="A6A6A6"/>
              <w:bottom w:val="single" w:sz="8" w:color="A6A6A6"/>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220" w:type="dxa"/>
            <w:vAlign w:val="bottom"/>
          </w:tcPr>
          <w:p>
            <w:pPr>
              <w:spacing w:after="0"/>
              <w:rPr>
                <w:sz w:val="20"/>
                <w:szCs w:val="20"/>
                <w:color w:val="auto"/>
              </w:rPr>
            </w:pPr>
            <w:r>
              <w:rPr>
                <w:rFonts w:ascii="Arial" w:cs="Arial" w:eastAsia="Arial" w:hAnsi="Arial"/>
                <w:sz w:val="16"/>
                <w:szCs w:val="16"/>
                <w:color w:val="004483"/>
              </w:rPr>
              <w:t>Operating Earnings</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5,255</w:t>
            </w:r>
          </w:p>
        </w:tc>
        <w:tc>
          <w:tcPr>
            <w:tcW w:w="100" w:type="dxa"/>
            <w:vAlign w:val="bottom"/>
          </w:tcPr>
          <w:p>
            <w:pPr>
              <w:spacing w:after="0"/>
              <w:rPr>
                <w:sz w:val="17"/>
                <w:szCs w:val="17"/>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7,255</w:t>
            </w:r>
          </w:p>
        </w:tc>
        <w:tc>
          <w:tcPr>
            <w:tcW w:w="10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10,673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11,689</w:t>
            </w:r>
          </w:p>
        </w:tc>
        <w:tc>
          <w:tcPr>
            <w:tcW w:w="10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
        </w:trPr>
        <w:tc>
          <w:tcPr>
            <w:tcW w:w="4220" w:type="dxa"/>
            <w:vAlign w:val="bottom"/>
            <w:shd w:val="clear" w:color="auto" w:fill="A6A6A6"/>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8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8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2020</w:t>
      </w:r>
    </w:p>
    <w:p>
      <w:pPr>
        <w:spacing w:after="0" w:line="153"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Concrete and Aggregates Revenue decreased 17% to $46.3 million for the three months ended September 30, 2020. Excluding Revenue related to Western and Mathews in fiscal 2020, Revenue increased $0.3 million, or 1%. The primary reason for the increase in Revenue was higher gross sales prices, which positively affected Revenue by $3.5 million. This was partially offset by lower Sales Volume, which reduced Revenue by $3.2 million.</w:t>
      </w:r>
    </w:p>
    <w:p>
      <w:pPr>
        <w:spacing w:after="0" w:line="9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Operating Earnings decreased 28% to approximately $5.3 million. Excluding Operating Earnings related to Western and Mathews in fiscal 2020, Operating Earnings decreased $0.4 million, or 8%. The decline was a result of lower Concrete Sales Volume and higher operating costs, which negatively affected Operating Earnings by approximately $1.8 million and $2.2 million respectively. The decline was partially offset by higher gross sales prices of approximately $3.5 million. The increase in operating costs was primarily because of higher cost of materials of approximately $1.7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September 30, 2020</w:t>
      </w:r>
    </w:p>
    <w:p>
      <w:pPr>
        <w:spacing w:after="0" w:line="153" w:lineRule="exact"/>
        <w:rPr>
          <w:sz w:val="20"/>
          <w:szCs w:val="20"/>
          <w:color w:val="auto"/>
        </w:rPr>
      </w:pPr>
    </w:p>
    <w:p>
      <w:pPr>
        <w:ind w:right="260"/>
        <w:spacing w:after="0" w:line="269" w:lineRule="auto"/>
        <w:rPr>
          <w:sz w:val="20"/>
          <w:szCs w:val="20"/>
          <w:color w:val="auto"/>
        </w:rPr>
      </w:pPr>
      <w:r>
        <w:rPr>
          <w:rFonts w:ascii="Arial" w:cs="Arial" w:eastAsia="Arial" w:hAnsi="Arial"/>
          <w:sz w:val="18"/>
          <w:szCs w:val="18"/>
          <w:color w:val="auto"/>
        </w:rPr>
        <w:t>Concrete and Aggregates Revenue decreased 5% to $90.5 million for the six months ended September 30, 2020. Excluding Revenue related to the ConAgg Acquisition and Western and Mathews for the first quarter of fiscal 2021, as well as Western and Mathews in fiscal 2020, Revenue increased $1.0 million, or 1%. The increase in Revenue was primarily related to higher gross sales prices, which positively affected Revenue by $5.4 million. This was partially offset by lower Sales Volume, which reduced Revenue by $4.4 million.</w:t>
      </w:r>
    </w:p>
    <w:p>
      <w:pPr>
        <w:spacing w:after="0" w:line="9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Operating Earnings decreased 28% to approximately $5.3 million. Excluding Operating Earnings related to the ConAgg Acquisition and Western and Mathews for the first quarter of fiscal 2021, and Western and Mathews in fiscal 2020, Operating Earnings increased $0.6 million, or 6%. The increase was due to higher gross sales prices, which positively affected Operating Earnings by $5.4 million, partially offset by lower Sales Volume and higher operating costs, which negatively impacted Operating Earnings by approximately $0.5 million and $4.2 million respectively. The increase in operating costs was primarily because of higher cost of materials of approximately $2.3 million and overhead costs of $1.4 million.</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34" w:name="page35"/>
    <w:bookmarkEnd w:id="34"/>
    <w:p>
      <w:pPr>
        <w:spacing w:after="0"/>
        <w:rPr>
          <w:sz w:val="20"/>
          <w:szCs w:val="20"/>
          <w:color w:val="auto"/>
        </w:rPr>
      </w:pPr>
      <w:r>
        <w:rPr>
          <w:rFonts w:ascii="Arial" w:cs="Arial" w:eastAsia="Arial" w:hAnsi="Arial"/>
          <w:sz w:val="20"/>
          <w:szCs w:val="20"/>
          <w:b w:val="1"/>
          <w:bCs w:val="1"/>
          <w:u w:val="single" w:color="auto"/>
          <w:color w:val="auto"/>
        </w:rPr>
        <w:t>Light Materials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GYPSUM WALLBOARD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320" w:type="dxa"/>
            <w:vAlign w:val="bottom"/>
            <w:gridSpan w:val="7"/>
            <w:shd w:val="clear" w:color="auto" w:fill="004483"/>
          </w:tcPr>
          <w:p>
            <w:pPr>
              <w:spacing w:after="0"/>
              <w:rPr>
                <w:sz w:val="20"/>
                <w:szCs w:val="20"/>
                <w:color w:val="auto"/>
              </w:rPr>
            </w:pPr>
            <w:r>
              <w:rPr>
                <w:rFonts w:ascii="Arial" w:cs="Arial" w:eastAsia="Arial" w:hAnsi="Arial"/>
                <w:sz w:val="13"/>
                <w:szCs w:val="13"/>
                <w:b w:val="1"/>
                <w:bCs w:val="1"/>
                <w:color w:val="FFFFFF"/>
                <w:w w:val="93"/>
              </w:rPr>
              <w:t>For the Three Months Ended September</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7"/>
            <w:shd w:val="clear" w:color="auto" w:fill="004483"/>
          </w:tcPr>
          <w:p>
            <w:pPr>
              <w:jc w:val="center"/>
              <w:ind w:right="140"/>
              <w:spacing w:after="0"/>
              <w:rPr>
                <w:sz w:val="20"/>
                <w:szCs w:val="20"/>
                <w:color w:val="auto"/>
              </w:rPr>
            </w:pPr>
            <w:r>
              <w:rPr>
                <w:rFonts w:ascii="Arial" w:cs="Arial" w:eastAsia="Arial" w:hAnsi="Arial"/>
                <w:sz w:val="13"/>
                <w:szCs w:val="13"/>
                <w:b w:val="1"/>
                <w:bCs w:val="1"/>
                <w:color w:val="FFFFFF"/>
                <w:w w:val="88"/>
              </w:rPr>
              <w:t>For the Six Months Ended September</w:t>
            </w: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Borders>
              <w:bottom w:val="single" w:sz="8" w:color="auto"/>
            </w:tcBorders>
            <w:shd w:val="clear" w:color="auto" w:fill="004483"/>
          </w:tcPr>
          <w:p>
            <w:pPr>
              <w:spacing w:after="0"/>
              <w:rPr>
                <w:sz w:val="13"/>
                <w:szCs w:val="13"/>
                <w:color w:val="auto"/>
              </w:rPr>
            </w:pPr>
          </w:p>
        </w:tc>
        <w:tc>
          <w:tcPr>
            <w:tcW w:w="1000" w:type="dxa"/>
            <w:vAlign w:val="bottom"/>
            <w:tcBorders>
              <w:bottom w:val="single" w:sz="8" w:color="auto"/>
            </w:tcBorders>
            <w:gridSpan w:val="3"/>
            <w:shd w:val="clear" w:color="auto" w:fill="004483"/>
          </w:tcPr>
          <w:p>
            <w:pPr>
              <w:jc w:val="center"/>
              <w:ind w:left="725"/>
              <w:spacing w:after="0"/>
              <w:rPr>
                <w:sz w:val="20"/>
                <w:szCs w:val="20"/>
                <w:color w:val="auto"/>
              </w:rPr>
            </w:pPr>
            <w:r>
              <w:rPr>
                <w:rFonts w:ascii="Arial" w:cs="Arial" w:eastAsia="Arial" w:hAnsi="Arial"/>
                <w:sz w:val="13"/>
                <w:szCs w:val="13"/>
                <w:b w:val="1"/>
                <w:bCs w:val="1"/>
                <w:color w:val="FFFFFF"/>
                <w:w w:val="88"/>
              </w:rPr>
              <w:t>30,</w:t>
            </w:r>
          </w:p>
        </w:tc>
        <w:tc>
          <w:tcPr>
            <w:tcW w:w="340" w:type="dxa"/>
            <w:vAlign w:val="bottom"/>
            <w:tcBorders>
              <w:bottom w:val="single" w:sz="8" w:color="auto"/>
            </w:tcBorders>
            <w:shd w:val="clear" w:color="auto" w:fill="004483"/>
          </w:tcPr>
          <w:p>
            <w:pPr>
              <w:spacing w:after="0"/>
              <w:rPr>
                <w:sz w:val="13"/>
                <w:szCs w:val="13"/>
                <w:color w:val="auto"/>
              </w:rPr>
            </w:pPr>
          </w:p>
        </w:tc>
        <w:tc>
          <w:tcPr>
            <w:tcW w:w="660" w:type="dxa"/>
            <w:vAlign w:val="bottom"/>
            <w:tcBorders>
              <w:bottom w:val="single" w:sz="8" w:color="auto"/>
            </w:tcBorders>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c>
          <w:tcPr>
            <w:tcW w:w="122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w w:val="85"/>
              </w:rPr>
              <w:t>Percentage</w:t>
            </w:r>
          </w:p>
        </w:tc>
        <w:tc>
          <w:tcPr>
            <w:tcW w:w="200" w:type="dxa"/>
            <w:vAlign w:val="bottom"/>
            <w:tcBorders>
              <w:bottom w:val="single" w:sz="8" w:color="auto"/>
            </w:tcBorders>
            <w:shd w:val="clear" w:color="auto" w:fill="004483"/>
          </w:tcPr>
          <w:p>
            <w:pPr>
              <w:spacing w:after="0"/>
              <w:rPr>
                <w:sz w:val="13"/>
                <w:szCs w:val="13"/>
                <w:color w:val="auto"/>
              </w:rPr>
            </w:pPr>
          </w:p>
        </w:tc>
        <w:tc>
          <w:tcPr>
            <w:tcW w:w="1000" w:type="dxa"/>
            <w:vAlign w:val="bottom"/>
            <w:tcBorders>
              <w:bottom w:val="single" w:sz="8" w:color="auto"/>
              <w:right w:val="single" w:sz="8" w:color="004483"/>
            </w:tcBorders>
            <w:gridSpan w:val="3"/>
            <w:shd w:val="clear" w:color="auto" w:fill="004483"/>
          </w:tcPr>
          <w:p>
            <w:pPr>
              <w:jc w:val="center"/>
              <w:ind w:left="685"/>
              <w:spacing w:after="0"/>
              <w:rPr>
                <w:sz w:val="20"/>
                <w:szCs w:val="20"/>
                <w:color w:val="auto"/>
              </w:rPr>
            </w:pPr>
            <w:r>
              <w:rPr>
                <w:rFonts w:ascii="Arial" w:cs="Arial" w:eastAsia="Arial" w:hAnsi="Arial"/>
                <w:sz w:val="13"/>
                <w:szCs w:val="13"/>
                <w:b w:val="1"/>
                <w:bCs w:val="1"/>
                <w:color w:val="FFFFFF"/>
                <w:w w:val="88"/>
              </w:rPr>
              <w:t>30,</w:t>
            </w:r>
          </w:p>
        </w:tc>
        <w:tc>
          <w:tcPr>
            <w:tcW w:w="320" w:type="dxa"/>
            <w:vAlign w:val="bottom"/>
            <w:tcBorders>
              <w:bottom w:val="single" w:sz="8" w:color="auto"/>
            </w:tcBorders>
            <w:shd w:val="clear" w:color="auto" w:fill="004483"/>
          </w:tcPr>
          <w:p>
            <w:pPr>
              <w:spacing w:after="0"/>
              <w:rPr>
                <w:sz w:val="13"/>
                <w:szCs w:val="13"/>
                <w:color w:val="auto"/>
              </w:rPr>
            </w:pPr>
          </w:p>
        </w:tc>
        <w:tc>
          <w:tcPr>
            <w:tcW w:w="680" w:type="dxa"/>
            <w:vAlign w:val="bottom"/>
            <w:tcBorders>
              <w:bottom w:val="single" w:sz="8" w:color="auto"/>
            </w:tcBorders>
            <w:shd w:val="clear" w:color="auto" w:fill="004483"/>
          </w:tcPr>
          <w:p>
            <w:pPr>
              <w:spacing w:after="0"/>
              <w:rPr>
                <w:sz w:val="13"/>
                <w:szCs w:val="13"/>
                <w:color w:val="auto"/>
              </w:rPr>
            </w:pPr>
          </w:p>
        </w:tc>
        <w:tc>
          <w:tcPr>
            <w:tcW w:w="100" w:type="dxa"/>
            <w:vAlign w:val="bottom"/>
            <w:shd w:val="clear" w:color="auto" w:fill="004483"/>
          </w:tcPr>
          <w:p>
            <w:pPr>
              <w:spacing w:after="0"/>
              <w:rPr>
                <w:sz w:val="13"/>
                <w:szCs w:val="13"/>
                <w:color w:val="auto"/>
              </w:rPr>
            </w:pPr>
          </w:p>
        </w:tc>
        <w:tc>
          <w:tcPr>
            <w:tcW w:w="1100" w:type="dxa"/>
            <w:vAlign w:val="bottom"/>
            <w:gridSpan w:val="2"/>
            <w:vMerge w:val="restart"/>
          </w:tcPr>
          <w:p>
            <w:pPr>
              <w:jc w:val="right"/>
              <w:ind w:right="30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24"/>
        </w:trPr>
        <w:tc>
          <w:tcPr>
            <w:tcW w:w="3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3"/>
                <w:szCs w:val="13"/>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8"/>
              </w:rPr>
              <w:t>Change</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35"/>
        </w:trPr>
        <w:tc>
          <w:tcPr>
            <w:tcW w:w="3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20" w:type="dxa"/>
            <w:vAlign w:val="bottom"/>
            <w:gridSpan w:val="6"/>
          </w:tcPr>
          <w:p>
            <w:pPr>
              <w:jc w:val="center"/>
              <w:ind w:right="320"/>
              <w:spacing w:after="0" w:line="135" w:lineRule="exact"/>
              <w:rPr>
                <w:sz w:val="20"/>
                <w:szCs w:val="20"/>
                <w:color w:val="auto"/>
              </w:rPr>
            </w:pPr>
            <w:r>
              <w:rPr>
                <w:rFonts w:ascii="Arial" w:cs="Arial" w:eastAsia="Arial" w:hAnsi="Arial"/>
                <w:sz w:val="13"/>
                <w:szCs w:val="13"/>
                <w:color w:val="auto"/>
                <w:w w:val="88"/>
              </w:rPr>
              <w:t>(in thousands, except per MSF</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00" w:type="dxa"/>
            <w:vAlign w:val="bottom"/>
            <w:gridSpan w:val="6"/>
          </w:tcPr>
          <w:p>
            <w:pPr>
              <w:jc w:val="center"/>
              <w:ind w:right="320"/>
              <w:spacing w:after="0" w:line="135" w:lineRule="exact"/>
              <w:rPr>
                <w:sz w:val="20"/>
                <w:szCs w:val="20"/>
                <w:color w:val="auto"/>
              </w:rPr>
            </w:pPr>
            <w:r>
              <w:rPr>
                <w:rFonts w:ascii="Arial" w:cs="Arial" w:eastAsia="Arial" w:hAnsi="Arial"/>
                <w:sz w:val="13"/>
                <w:szCs w:val="13"/>
                <w:color w:val="auto"/>
                <w:w w:val="86"/>
              </w:rPr>
              <w:t>(in thousands, except per MSF</w:t>
            </w: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80" w:type="dxa"/>
            <w:vAlign w:val="bottom"/>
            <w:tcBorders>
              <w:bottom w:val="single" w:sz="8" w:color="17385E"/>
            </w:tcBorders>
          </w:tcPr>
          <w:p>
            <w:pPr>
              <w:spacing w:after="0"/>
              <w:rPr>
                <w:sz w:val="12"/>
                <w:szCs w:val="12"/>
                <w:color w:val="auto"/>
              </w:rPr>
            </w:pPr>
          </w:p>
        </w:tc>
        <w:tc>
          <w:tcPr>
            <w:tcW w:w="600" w:type="dxa"/>
            <w:vAlign w:val="bottom"/>
            <w:tcBorders>
              <w:bottom w:val="single" w:sz="8" w:color="17385E"/>
            </w:tcBorders>
          </w:tcPr>
          <w:p>
            <w:pPr>
              <w:spacing w:after="0"/>
              <w:rPr>
                <w:sz w:val="12"/>
                <w:szCs w:val="12"/>
                <w:color w:val="auto"/>
              </w:rPr>
            </w:pPr>
          </w:p>
        </w:tc>
        <w:tc>
          <w:tcPr>
            <w:tcW w:w="200" w:type="dxa"/>
            <w:vAlign w:val="bottom"/>
            <w:tcBorders>
              <w:bottom w:val="single" w:sz="8" w:color="17385E"/>
            </w:tcBorders>
          </w:tcPr>
          <w:p>
            <w:pPr>
              <w:spacing w:after="0"/>
              <w:rPr>
                <w:sz w:val="12"/>
                <w:szCs w:val="12"/>
                <w:color w:val="auto"/>
              </w:rPr>
            </w:pPr>
          </w:p>
        </w:tc>
        <w:tc>
          <w:tcPr>
            <w:tcW w:w="1340" w:type="dxa"/>
            <w:vAlign w:val="bottom"/>
            <w:tcBorders>
              <w:bottom w:val="single" w:sz="8" w:color="17385E"/>
            </w:tcBorders>
            <w:gridSpan w:val="4"/>
          </w:tcPr>
          <w:p>
            <w:pPr>
              <w:jc w:val="center"/>
              <w:ind w:left="385"/>
              <w:spacing w:after="0"/>
              <w:rPr>
                <w:sz w:val="20"/>
                <w:szCs w:val="20"/>
                <w:color w:val="auto"/>
              </w:rPr>
            </w:pPr>
            <w:r>
              <w:rPr>
                <w:rFonts w:ascii="Arial" w:cs="Arial" w:eastAsia="Arial" w:hAnsi="Arial"/>
                <w:sz w:val="13"/>
                <w:szCs w:val="13"/>
                <w:color w:val="auto"/>
                <w:w w:val="93"/>
              </w:rPr>
              <w:t>information)</w:t>
            </w:r>
          </w:p>
        </w:tc>
        <w:tc>
          <w:tcPr>
            <w:tcW w:w="660" w:type="dxa"/>
            <w:vAlign w:val="bottom"/>
            <w:tcBorders>
              <w:bottom w:val="single" w:sz="8" w:color="17385E"/>
            </w:tcBorders>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bottom w:val="single" w:sz="8" w:color="17385E"/>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17385E"/>
            </w:tcBorders>
          </w:tcPr>
          <w:p>
            <w:pPr>
              <w:spacing w:after="0"/>
              <w:rPr>
                <w:sz w:val="12"/>
                <w:szCs w:val="12"/>
                <w:color w:val="auto"/>
              </w:rPr>
            </w:pPr>
          </w:p>
        </w:tc>
        <w:tc>
          <w:tcPr>
            <w:tcW w:w="200" w:type="dxa"/>
            <w:vAlign w:val="bottom"/>
            <w:tcBorders>
              <w:bottom w:val="single" w:sz="8" w:color="17385E"/>
            </w:tcBorders>
          </w:tcPr>
          <w:p>
            <w:pPr>
              <w:spacing w:after="0"/>
              <w:rPr>
                <w:sz w:val="12"/>
                <w:szCs w:val="12"/>
                <w:color w:val="auto"/>
              </w:rPr>
            </w:pPr>
          </w:p>
        </w:tc>
        <w:tc>
          <w:tcPr>
            <w:tcW w:w="1320" w:type="dxa"/>
            <w:vAlign w:val="bottom"/>
            <w:tcBorders>
              <w:bottom w:val="single" w:sz="8" w:color="17385E"/>
            </w:tcBorders>
            <w:gridSpan w:val="4"/>
          </w:tcPr>
          <w:p>
            <w:pPr>
              <w:jc w:val="center"/>
              <w:ind w:left="365"/>
              <w:spacing w:after="0"/>
              <w:rPr>
                <w:sz w:val="20"/>
                <w:szCs w:val="20"/>
                <w:color w:val="auto"/>
              </w:rPr>
            </w:pPr>
            <w:r>
              <w:rPr>
                <w:rFonts w:ascii="Arial" w:cs="Arial" w:eastAsia="Arial" w:hAnsi="Arial"/>
                <w:sz w:val="13"/>
                <w:szCs w:val="13"/>
                <w:color w:val="auto"/>
                <w:w w:val="93"/>
              </w:rPr>
              <w:t>information)</w:t>
            </w:r>
          </w:p>
        </w:tc>
        <w:tc>
          <w:tcPr>
            <w:tcW w:w="680" w:type="dxa"/>
            <w:vAlign w:val="bottom"/>
            <w:tcBorders>
              <w:bottom w:val="single" w:sz="8" w:color="17385E"/>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bottom w:val="single" w:sz="8" w:color="17385E"/>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3680" w:type="dxa"/>
            <w:vAlign w:val="bottom"/>
          </w:tcPr>
          <w:p>
            <w:pPr>
              <w:spacing w:after="0"/>
              <w:rPr>
                <w:sz w:val="20"/>
                <w:szCs w:val="20"/>
                <w:color w:val="auto"/>
              </w:rPr>
            </w:pPr>
            <w:r>
              <w:rPr>
                <w:rFonts w:ascii="Arial" w:cs="Arial" w:eastAsia="Arial" w:hAnsi="Arial"/>
                <w:sz w:val="16"/>
                <w:szCs w:val="16"/>
                <w:color w:val="004483"/>
              </w:rPr>
              <w:t>Gross Revenue, as reported</w:t>
            </w:r>
          </w:p>
        </w:tc>
        <w:tc>
          <w:tcPr>
            <w:tcW w:w="80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131,210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128,660</w:t>
            </w:r>
          </w:p>
        </w:tc>
        <w:tc>
          <w:tcPr>
            <w:tcW w:w="12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261,360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255,384</w:t>
            </w:r>
          </w:p>
        </w:tc>
        <w:tc>
          <w:tcPr>
            <w:tcW w:w="10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3680" w:type="dxa"/>
            <w:vAlign w:val="bottom"/>
            <w:shd w:val="clear" w:color="auto" w:fill="A6A6A6"/>
          </w:tcPr>
          <w:p>
            <w:pPr>
              <w:spacing w:after="0" w:line="20" w:lineRule="exact"/>
              <w:rPr>
                <w:sz w:val="1"/>
                <w:szCs w:val="1"/>
                <w:color w:val="auto"/>
              </w:rPr>
            </w:pPr>
          </w:p>
        </w:tc>
        <w:tc>
          <w:tcPr>
            <w:tcW w:w="60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A6A6A6"/>
          </w:tcPr>
          <w:p>
            <w:pPr>
              <w:spacing w:after="0" w:line="20" w:lineRule="exact"/>
              <w:rPr>
                <w:sz w:val="1"/>
                <w:szCs w:val="1"/>
                <w:color w:val="auto"/>
              </w:rPr>
            </w:pPr>
          </w:p>
        </w:tc>
        <w:tc>
          <w:tcPr>
            <w:tcW w:w="340" w:type="dxa"/>
            <w:vAlign w:val="bottom"/>
            <w:shd w:val="clear" w:color="auto" w:fill="A6A6A6"/>
          </w:tcPr>
          <w:p>
            <w:pPr>
              <w:spacing w:after="0" w:line="20" w:lineRule="exact"/>
              <w:rPr>
                <w:sz w:val="1"/>
                <w:szCs w:val="1"/>
                <w:color w:val="auto"/>
              </w:rPr>
            </w:pPr>
          </w:p>
        </w:tc>
        <w:tc>
          <w:tcPr>
            <w:tcW w:w="6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6A6A6"/>
            </w:tcBorders>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80" w:type="dxa"/>
            <w:vAlign w:val="bottom"/>
          </w:tcPr>
          <w:p>
            <w:pPr>
              <w:spacing w:after="0"/>
              <w:rPr>
                <w:sz w:val="20"/>
                <w:szCs w:val="20"/>
                <w:color w:val="auto"/>
              </w:rPr>
            </w:pPr>
            <w:r>
              <w:rPr>
                <w:rFonts w:ascii="Arial" w:cs="Arial" w:eastAsia="Arial" w:hAnsi="Arial"/>
                <w:sz w:val="16"/>
                <w:szCs w:val="16"/>
                <w:color w:val="004483"/>
              </w:rPr>
              <w:t>Freight and Delivery Costs billed to Customers</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(27,977)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(27,811)</w:t>
            </w:r>
          </w:p>
        </w:tc>
        <w:tc>
          <w:tcPr>
            <w:tcW w:w="122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(55,099)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(54,911)</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680" w:type="dxa"/>
            <w:vAlign w:val="bottom"/>
            <w:shd w:val="clear" w:color="auto" w:fill="A6A6A6"/>
          </w:tcPr>
          <w:p>
            <w:pPr>
              <w:spacing w:after="0" w:line="20" w:lineRule="exact"/>
              <w:rPr>
                <w:sz w:val="1"/>
                <w:szCs w:val="1"/>
                <w:color w:val="auto"/>
              </w:rPr>
            </w:pPr>
          </w:p>
        </w:tc>
        <w:tc>
          <w:tcPr>
            <w:tcW w:w="600" w:type="dxa"/>
            <w:vAlign w:val="bottom"/>
            <w:shd w:val="clear" w:color="auto" w:fill="A6A6A6"/>
          </w:tcPr>
          <w:p>
            <w:pPr>
              <w:spacing w:after="0" w:line="20" w:lineRule="exact"/>
              <w:rPr>
                <w:sz w:val="1"/>
                <w:szCs w:val="1"/>
                <w:color w:val="auto"/>
              </w:rPr>
            </w:pPr>
          </w:p>
        </w:tc>
        <w:tc>
          <w:tcPr>
            <w:tcW w:w="200" w:type="dxa"/>
            <w:vAlign w:val="bottom"/>
            <w:shd w:val="clear" w:color="auto" w:fill="004483"/>
          </w:tcPr>
          <w:p>
            <w:pPr>
              <w:spacing w:after="0" w:line="20" w:lineRule="exact"/>
              <w:rPr>
                <w:sz w:val="1"/>
                <w:szCs w:val="1"/>
                <w:color w:val="auto"/>
              </w:rPr>
            </w:pPr>
          </w:p>
        </w:tc>
        <w:tc>
          <w:tcPr>
            <w:tcW w:w="80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A6A6A6"/>
          </w:tcPr>
          <w:p>
            <w:pPr>
              <w:spacing w:after="0" w:line="20" w:lineRule="exact"/>
              <w:rPr>
                <w:sz w:val="1"/>
                <w:szCs w:val="1"/>
                <w:color w:val="auto"/>
              </w:rPr>
            </w:pPr>
          </w:p>
        </w:tc>
        <w:tc>
          <w:tcPr>
            <w:tcW w:w="340" w:type="dxa"/>
            <w:vAlign w:val="bottom"/>
            <w:shd w:val="clear" w:color="auto" w:fill="004483"/>
          </w:tcPr>
          <w:p>
            <w:pPr>
              <w:spacing w:after="0" w:line="20" w:lineRule="exact"/>
              <w:rPr>
                <w:sz w:val="1"/>
                <w:szCs w:val="1"/>
                <w:color w:val="auto"/>
              </w:rPr>
            </w:pPr>
          </w:p>
        </w:tc>
        <w:tc>
          <w:tcPr>
            <w:tcW w:w="66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00" w:type="dxa"/>
            <w:vAlign w:val="bottom"/>
            <w:shd w:val="clear" w:color="auto" w:fill="004483"/>
          </w:tcPr>
          <w:p>
            <w:pPr>
              <w:spacing w:after="0" w:line="20" w:lineRule="exact"/>
              <w:rPr>
                <w:sz w:val="1"/>
                <w:szCs w:val="1"/>
                <w:color w:val="auto"/>
              </w:rPr>
            </w:pPr>
          </w:p>
        </w:tc>
        <w:tc>
          <w:tcPr>
            <w:tcW w:w="78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6A6A6"/>
            </w:tcBorders>
            <w:shd w:val="clear" w:color="auto" w:fill="A6A6A6"/>
          </w:tcPr>
          <w:p>
            <w:pPr>
              <w:spacing w:after="0" w:line="20" w:lineRule="exact"/>
              <w:rPr>
                <w:sz w:val="1"/>
                <w:szCs w:val="1"/>
                <w:color w:val="auto"/>
              </w:rPr>
            </w:pPr>
          </w:p>
        </w:tc>
        <w:tc>
          <w:tcPr>
            <w:tcW w:w="320" w:type="dxa"/>
            <w:vAlign w:val="bottom"/>
            <w:shd w:val="clear" w:color="auto" w:fill="004483"/>
          </w:tcPr>
          <w:p>
            <w:pPr>
              <w:spacing w:after="0" w:line="20" w:lineRule="exact"/>
              <w:rPr>
                <w:sz w:val="1"/>
                <w:szCs w:val="1"/>
                <w:color w:val="auto"/>
              </w:rPr>
            </w:pPr>
          </w:p>
        </w:tc>
        <w:tc>
          <w:tcPr>
            <w:tcW w:w="68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80" w:type="dxa"/>
            <w:vAlign w:val="bottom"/>
          </w:tcPr>
          <w:p>
            <w:pPr>
              <w:spacing w:after="0"/>
              <w:rPr>
                <w:sz w:val="20"/>
                <w:szCs w:val="20"/>
                <w:color w:val="auto"/>
              </w:rPr>
            </w:pPr>
            <w:r>
              <w:rPr>
                <w:rFonts w:ascii="Arial" w:cs="Arial" w:eastAsia="Arial" w:hAnsi="Arial"/>
                <w:sz w:val="16"/>
                <w:szCs w:val="16"/>
                <w:color w:val="004483"/>
              </w:rPr>
              <w:t>Net Revenue</w:t>
            </w:r>
          </w:p>
        </w:tc>
        <w:tc>
          <w:tcPr>
            <w:tcW w:w="6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103,233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100,849</w:t>
            </w: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206,261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200,473</w:t>
            </w: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3680" w:type="dxa"/>
            <w:vAlign w:val="bottom"/>
            <w:tcBorders>
              <w:top w:val="single" w:sz="8" w:color="A6A6A6"/>
              <w:bottom w:val="single" w:sz="8" w:color="A6A6A6"/>
            </w:tcBorders>
          </w:tcPr>
          <w:p>
            <w:pPr>
              <w:spacing w:after="0"/>
              <w:rPr>
                <w:sz w:val="18"/>
                <w:szCs w:val="18"/>
                <w:color w:val="auto"/>
              </w:rPr>
            </w:pPr>
          </w:p>
        </w:tc>
        <w:tc>
          <w:tcPr>
            <w:tcW w:w="600" w:type="dxa"/>
            <w:vAlign w:val="bottom"/>
            <w:tcBorders>
              <w:top w:val="single" w:sz="8" w:color="A6A6A6"/>
              <w:bottom w:val="single" w:sz="8" w:color="A6A6A6"/>
            </w:tcBorders>
          </w:tcPr>
          <w:p>
            <w:pPr>
              <w:spacing w:after="0"/>
              <w:rPr>
                <w:sz w:val="18"/>
                <w:szCs w:val="18"/>
                <w:color w:val="auto"/>
              </w:rPr>
            </w:pPr>
          </w:p>
        </w:tc>
        <w:tc>
          <w:tcPr>
            <w:tcW w:w="200" w:type="dxa"/>
            <w:vAlign w:val="bottom"/>
            <w:tcBorders>
              <w:top w:val="single" w:sz="8" w:color="A6A6A6"/>
              <w:bottom w:val="single" w:sz="8" w:color="A6A6A6"/>
            </w:tcBorders>
          </w:tcPr>
          <w:p>
            <w:pPr>
              <w:spacing w:after="0"/>
              <w:rPr>
                <w:sz w:val="18"/>
                <w:szCs w:val="18"/>
                <w:color w:val="auto"/>
              </w:rPr>
            </w:pPr>
          </w:p>
        </w:tc>
        <w:tc>
          <w:tcPr>
            <w:tcW w:w="80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6A6A6"/>
              <w:bottom w:val="single" w:sz="8" w:color="A6A6A6"/>
            </w:tcBorders>
          </w:tcPr>
          <w:p>
            <w:pPr>
              <w:spacing w:after="0"/>
              <w:rPr>
                <w:sz w:val="18"/>
                <w:szCs w:val="18"/>
                <w:color w:val="auto"/>
              </w:rPr>
            </w:pPr>
          </w:p>
        </w:tc>
        <w:tc>
          <w:tcPr>
            <w:tcW w:w="340" w:type="dxa"/>
            <w:vAlign w:val="bottom"/>
            <w:tcBorders>
              <w:top w:val="single" w:sz="8" w:color="A6A6A6"/>
              <w:bottom w:val="single" w:sz="8" w:color="A6A6A6"/>
            </w:tcBorders>
          </w:tcPr>
          <w:p>
            <w:pPr>
              <w:spacing w:after="0"/>
              <w:rPr>
                <w:sz w:val="18"/>
                <w:szCs w:val="18"/>
                <w:color w:val="auto"/>
              </w:rPr>
            </w:pPr>
          </w:p>
        </w:tc>
        <w:tc>
          <w:tcPr>
            <w:tcW w:w="66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6A6A6"/>
              <w:bottom w:val="single" w:sz="8" w:color="A6A6A6"/>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6A6A6"/>
              <w:bottom w:val="single" w:sz="8" w:color="A6A6A6"/>
            </w:tcBorders>
          </w:tcPr>
          <w:p>
            <w:pPr>
              <w:spacing w:after="0"/>
              <w:rPr>
                <w:sz w:val="18"/>
                <w:szCs w:val="18"/>
                <w:color w:val="auto"/>
              </w:rPr>
            </w:pPr>
          </w:p>
        </w:tc>
        <w:tc>
          <w:tcPr>
            <w:tcW w:w="200" w:type="dxa"/>
            <w:vAlign w:val="bottom"/>
            <w:tcBorders>
              <w:top w:val="single" w:sz="8" w:color="A6A6A6"/>
              <w:bottom w:val="single" w:sz="8" w:color="A6A6A6"/>
            </w:tcBorders>
          </w:tcPr>
          <w:p>
            <w:pPr>
              <w:spacing w:after="0"/>
              <w:rPr>
                <w:sz w:val="18"/>
                <w:szCs w:val="18"/>
                <w:color w:val="auto"/>
              </w:rPr>
            </w:pPr>
          </w:p>
        </w:tc>
        <w:tc>
          <w:tcPr>
            <w:tcW w:w="78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6A6A6"/>
              <w:bottom w:val="single" w:sz="8" w:color="A6A6A6"/>
            </w:tcBorders>
          </w:tcPr>
          <w:p>
            <w:pPr>
              <w:spacing w:after="0"/>
              <w:rPr>
                <w:sz w:val="18"/>
                <w:szCs w:val="18"/>
                <w:color w:val="auto"/>
              </w:rPr>
            </w:pPr>
          </w:p>
        </w:tc>
        <w:tc>
          <w:tcPr>
            <w:tcW w:w="320" w:type="dxa"/>
            <w:vAlign w:val="bottom"/>
            <w:tcBorders>
              <w:top w:val="single" w:sz="8" w:color="A6A6A6"/>
              <w:bottom w:val="single" w:sz="8" w:color="A6A6A6"/>
            </w:tcBorders>
          </w:tcPr>
          <w:p>
            <w:pPr>
              <w:spacing w:after="0"/>
              <w:rPr>
                <w:sz w:val="18"/>
                <w:szCs w:val="18"/>
                <w:color w:val="auto"/>
              </w:rPr>
            </w:pPr>
          </w:p>
        </w:tc>
        <w:tc>
          <w:tcPr>
            <w:tcW w:w="680" w:type="dxa"/>
            <w:vAlign w:val="bottom"/>
            <w:tcBorders>
              <w:top w:val="single" w:sz="8" w:color="A6A6A6"/>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6A6A6"/>
              <w:bottom w:val="single" w:sz="8" w:color="A6A6A6"/>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680" w:type="dxa"/>
            <w:vAlign w:val="bottom"/>
          </w:tcPr>
          <w:p>
            <w:pPr>
              <w:spacing w:after="0"/>
              <w:rPr>
                <w:sz w:val="20"/>
                <w:szCs w:val="20"/>
                <w:color w:val="auto"/>
              </w:rPr>
            </w:pPr>
            <w:r>
              <w:rPr>
                <w:rFonts w:ascii="Arial" w:cs="Arial" w:eastAsia="Arial" w:hAnsi="Arial"/>
                <w:sz w:val="16"/>
                <w:szCs w:val="16"/>
                <w:color w:val="004483"/>
              </w:rPr>
              <w:t>Sales Volume (MMSF)</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720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681</w:t>
            </w:r>
          </w:p>
        </w:tc>
        <w:tc>
          <w:tcPr>
            <w:tcW w:w="12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1,424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1,341</w:t>
            </w:r>
          </w:p>
        </w:tc>
        <w:tc>
          <w:tcPr>
            <w:tcW w:w="10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3680" w:type="dxa"/>
            <w:vAlign w:val="bottom"/>
            <w:shd w:val="clear" w:color="auto" w:fill="A6A6A6"/>
          </w:tcPr>
          <w:p>
            <w:pPr>
              <w:spacing w:after="0" w:line="20" w:lineRule="exact"/>
              <w:rPr>
                <w:sz w:val="1"/>
                <w:szCs w:val="1"/>
                <w:color w:val="auto"/>
              </w:rPr>
            </w:pPr>
          </w:p>
        </w:tc>
        <w:tc>
          <w:tcPr>
            <w:tcW w:w="800" w:type="dxa"/>
            <w:vAlign w:val="bottom"/>
            <w:gridSpan w:val="2"/>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A6A6A6"/>
          </w:tcPr>
          <w:p>
            <w:pPr>
              <w:spacing w:after="0" w:line="20" w:lineRule="exact"/>
              <w:rPr>
                <w:sz w:val="1"/>
                <w:szCs w:val="1"/>
                <w:color w:val="auto"/>
              </w:rPr>
            </w:pPr>
          </w:p>
        </w:tc>
        <w:tc>
          <w:tcPr>
            <w:tcW w:w="340" w:type="dxa"/>
            <w:vAlign w:val="bottom"/>
            <w:shd w:val="clear" w:color="auto" w:fill="A6A6A6"/>
          </w:tcPr>
          <w:p>
            <w:pPr>
              <w:spacing w:after="0" w:line="20" w:lineRule="exact"/>
              <w:rPr>
                <w:sz w:val="1"/>
                <w:szCs w:val="1"/>
                <w:color w:val="auto"/>
              </w:rPr>
            </w:pPr>
          </w:p>
        </w:tc>
        <w:tc>
          <w:tcPr>
            <w:tcW w:w="6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6A6A6"/>
            </w:tcBorders>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680" w:type="dxa"/>
            <w:vAlign w:val="bottom"/>
          </w:tcPr>
          <w:p>
            <w:pPr>
              <w:spacing w:after="0" w:line="212" w:lineRule="exact"/>
              <w:rPr>
                <w:sz w:val="20"/>
                <w:szCs w:val="20"/>
                <w:color w:val="auto"/>
              </w:rPr>
            </w:pPr>
            <w:r>
              <w:rPr>
                <w:rFonts w:ascii="Arial" w:cs="Arial" w:eastAsia="Arial" w:hAnsi="Arial"/>
                <w:sz w:val="15"/>
                <w:szCs w:val="15"/>
                <w:color w:val="004483"/>
              </w:rPr>
              <w:t xml:space="preserve">Average Net Sales Price, per MSF </w:t>
            </w:r>
            <w:r>
              <w:rPr>
                <w:rFonts w:ascii="Arial" w:cs="Arial" w:eastAsia="Arial" w:hAnsi="Arial"/>
                <w:sz w:val="24"/>
                <w:szCs w:val="24"/>
                <w:color w:val="004483"/>
                <w:vertAlign w:val="superscript"/>
              </w:rPr>
              <w:t>(1)</w:t>
            </w:r>
          </w:p>
        </w:tc>
        <w:tc>
          <w:tcPr>
            <w:tcW w:w="80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143.41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148.16</w:t>
            </w: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144.83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149.53</w:t>
            </w: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3680" w:type="dxa"/>
            <w:vAlign w:val="bottom"/>
            <w:shd w:val="clear" w:color="auto" w:fill="A6A6A6"/>
          </w:tcPr>
          <w:p>
            <w:pPr>
              <w:spacing w:after="0" w:line="20" w:lineRule="exact"/>
              <w:rPr>
                <w:sz w:val="1"/>
                <w:szCs w:val="1"/>
                <w:color w:val="auto"/>
              </w:rPr>
            </w:pPr>
          </w:p>
        </w:tc>
        <w:tc>
          <w:tcPr>
            <w:tcW w:w="800" w:type="dxa"/>
            <w:vAlign w:val="bottom"/>
            <w:gridSpan w:val="2"/>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A6A6A6"/>
          </w:tcPr>
          <w:p>
            <w:pPr>
              <w:spacing w:after="0" w:line="20" w:lineRule="exact"/>
              <w:rPr>
                <w:sz w:val="1"/>
                <w:szCs w:val="1"/>
                <w:color w:val="auto"/>
              </w:rPr>
            </w:pPr>
          </w:p>
        </w:tc>
        <w:tc>
          <w:tcPr>
            <w:tcW w:w="340" w:type="dxa"/>
            <w:vAlign w:val="bottom"/>
            <w:shd w:val="clear" w:color="auto" w:fill="A6A6A6"/>
          </w:tcPr>
          <w:p>
            <w:pPr>
              <w:spacing w:after="0" w:line="20" w:lineRule="exact"/>
              <w:rPr>
                <w:sz w:val="1"/>
                <w:szCs w:val="1"/>
                <w:color w:val="auto"/>
              </w:rPr>
            </w:pPr>
          </w:p>
        </w:tc>
        <w:tc>
          <w:tcPr>
            <w:tcW w:w="6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6A6A6"/>
            </w:tcBorders>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680" w:type="dxa"/>
            <w:vAlign w:val="bottom"/>
          </w:tcPr>
          <w:p>
            <w:pPr>
              <w:spacing w:after="0"/>
              <w:rPr>
                <w:sz w:val="20"/>
                <w:szCs w:val="20"/>
                <w:color w:val="auto"/>
              </w:rPr>
            </w:pPr>
            <w:r>
              <w:rPr>
                <w:rFonts w:ascii="Arial" w:cs="Arial" w:eastAsia="Arial" w:hAnsi="Arial"/>
                <w:sz w:val="16"/>
                <w:szCs w:val="16"/>
                <w:color w:val="004483"/>
              </w:rPr>
              <w:t>Freight, per MSF</w:t>
            </w:r>
          </w:p>
        </w:tc>
        <w:tc>
          <w:tcPr>
            <w:tcW w:w="80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38.86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40.84</w:t>
            </w:r>
          </w:p>
        </w:tc>
        <w:tc>
          <w:tcPr>
            <w:tcW w:w="12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38.69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40.95</w:t>
            </w:r>
          </w:p>
        </w:tc>
        <w:tc>
          <w:tcPr>
            <w:tcW w:w="1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3680" w:type="dxa"/>
            <w:vAlign w:val="bottom"/>
            <w:shd w:val="clear" w:color="auto" w:fill="A6A6A6"/>
          </w:tcPr>
          <w:p>
            <w:pPr>
              <w:spacing w:after="0" w:line="20" w:lineRule="exact"/>
              <w:rPr>
                <w:sz w:val="1"/>
                <w:szCs w:val="1"/>
                <w:color w:val="auto"/>
              </w:rPr>
            </w:pPr>
          </w:p>
        </w:tc>
        <w:tc>
          <w:tcPr>
            <w:tcW w:w="800" w:type="dxa"/>
            <w:vAlign w:val="bottom"/>
            <w:gridSpan w:val="2"/>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A6A6A6"/>
          </w:tcPr>
          <w:p>
            <w:pPr>
              <w:spacing w:after="0" w:line="20" w:lineRule="exact"/>
              <w:rPr>
                <w:sz w:val="1"/>
                <w:szCs w:val="1"/>
                <w:color w:val="auto"/>
              </w:rPr>
            </w:pPr>
          </w:p>
        </w:tc>
        <w:tc>
          <w:tcPr>
            <w:tcW w:w="340" w:type="dxa"/>
            <w:vAlign w:val="bottom"/>
            <w:shd w:val="clear" w:color="auto" w:fill="A6A6A6"/>
          </w:tcPr>
          <w:p>
            <w:pPr>
              <w:spacing w:after="0" w:line="20" w:lineRule="exact"/>
              <w:rPr>
                <w:sz w:val="1"/>
                <w:szCs w:val="1"/>
                <w:color w:val="auto"/>
              </w:rPr>
            </w:pPr>
          </w:p>
        </w:tc>
        <w:tc>
          <w:tcPr>
            <w:tcW w:w="6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6A6A6"/>
            </w:tcBorders>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80" w:type="dxa"/>
            <w:vAlign w:val="bottom"/>
          </w:tcPr>
          <w:p>
            <w:pPr>
              <w:spacing w:after="0"/>
              <w:rPr>
                <w:sz w:val="20"/>
                <w:szCs w:val="20"/>
                <w:color w:val="auto"/>
              </w:rPr>
            </w:pPr>
            <w:r>
              <w:rPr>
                <w:rFonts w:ascii="Arial" w:cs="Arial" w:eastAsia="Arial" w:hAnsi="Arial"/>
                <w:sz w:val="16"/>
                <w:szCs w:val="16"/>
                <w:color w:val="004483"/>
              </w:rPr>
              <w:t>Operating Margin, per MSF</w:t>
            </w:r>
          </w:p>
        </w:tc>
        <w:tc>
          <w:tcPr>
            <w:tcW w:w="80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52.23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56.47</w:t>
            </w: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55.43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56.96</w:t>
            </w: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3680" w:type="dxa"/>
            <w:vAlign w:val="bottom"/>
            <w:shd w:val="clear" w:color="auto" w:fill="A6A6A6"/>
          </w:tcPr>
          <w:p>
            <w:pPr>
              <w:spacing w:after="0" w:line="20" w:lineRule="exact"/>
              <w:rPr>
                <w:sz w:val="1"/>
                <w:szCs w:val="1"/>
                <w:color w:val="auto"/>
              </w:rPr>
            </w:pPr>
          </w:p>
        </w:tc>
        <w:tc>
          <w:tcPr>
            <w:tcW w:w="800" w:type="dxa"/>
            <w:vAlign w:val="bottom"/>
            <w:gridSpan w:val="2"/>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A6A6A6"/>
          </w:tcPr>
          <w:p>
            <w:pPr>
              <w:spacing w:after="0" w:line="20" w:lineRule="exact"/>
              <w:rPr>
                <w:sz w:val="1"/>
                <w:szCs w:val="1"/>
                <w:color w:val="auto"/>
              </w:rPr>
            </w:pPr>
          </w:p>
        </w:tc>
        <w:tc>
          <w:tcPr>
            <w:tcW w:w="340" w:type="dxa"/>
            <w:vAlign w:val="bottom"/>
            <w:shd w:val="clear" w:color="auto" w:fill="A6A6A6"/>
          </w:tcPr>
          <w:p>
            <w:pPr>
              <w:spacing w:after="0" w:line="20" w:lineRule="exact"/>
              <w:rPr>
                <w:sz w:val="1"/>
                <w:szCs w:val="1"/>
                <w:color w:val="auto"/>
              </w:rPr>
            </w:pPr>
          </w:p>
        </w:tc>
        <w:tc>
          <w:tcPr>
            <w:tcW w:w="6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6A6A6"/>
            </w:tcBorders>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80" w:type="dxa"/>
            <w:vAlign w:val="bottom"/>
          </w:tcPr>
          <w:p>
            <w:pPr>
              <w:spacing w:after="0"/>
              <w:rPr>
                <w:sz w:val="20"/>
                <w:szCs w:val="20"/>
                <w:color w:val="auto"/>
              </w:rPr>
            </w:pPr>
            <w:r>
              <w:rPr>
                <w:rFonts w:ascii="Arial" w:cs="Arial" w:eastAsia="Arial" w:hAnsi="Arial"/>
                <w:sz w:val="16"/>
                <w:szCs w:val="16"/>
                <w:color w:val="004483"/>
              </w:rPr>
              <w:t>Operating Earnings</w:t>
            </w:r>
          </w:p>
        </w:tc>
        <w:tc>
          <w:tcPr>
            <w:tcW w:w="80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37,606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38,456</w:t>
            </w: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78,931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76,388</w:t>
            </w: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3680" w:type="dxa"/>
            <w:vAlign w:val="bottom"/>
            <w:shd w:val="clear" w:color="auto" w:fill="A6A6A6"/>
          </w:tcPr>
          <w:p>
            <w:pPr>
              <w:spacing w:after="0" w:line="20" w:lineRule="exact"/>
              <w:rPr>
                <w:sz w:val="1"/>
                <w:szCs w:val="1"/>
                <w:color w:val="auto"/>
              </w:rPr>
            </w:pPr>
          </w:p>
        </w:tc>
        <w:tc>
          <w:tcPr>
            <w:tcW w:w="60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A6A6A6"/>
          </w:tcPr>
          <w:p>
            <w:pPr>
              <w:spacing w:after="0" w:line="20" w:lineRule="exact"/>
              <w:rPr>
                <w:sz w:val="1"/>
                <w:szCs w:val="1"/>
                <w:color w:val="auto"/>
              </w:rPr>
            </w:pPr>
          </w:p>
        </w:tc>
        <w:tc>
          <w:tcPr>
            <w:tcW w:w="340" w:type="dxa"/>
            <w:vAlign w:val="bottom"/>
            <w:shd w:val="clear" w:color="auto" w:fill="A6A6A6"/>
          </w:tcPr>
          <w:p>
            <w:pPr>
              <w:spacing w:after="0" w:line="20" w:lineRule="exact"/>
              <w:rPr>
                <w:sz w:val="1"/>
                <w:szCs w:val="1"/>
                <w:color w:val="auto"/>
              </w:rPr>
            </w:pPr>
          </w:p>
        </w:tc>
        <w:tc>
          <w:tcPr>
            <w:tcW w:w="6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6A6A6"/>
            </w:tcBorders>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(1) Net of freight per MSF.</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2020</w:t>
      </w:r>
    </w:p>
    <w:p>
      <w:pPr>
        <w:spacing w:after="0" w:line="153"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Gypsum Wallboard Revenue increased 2% to $131.2 million for the three months ended September 30, 2020, primarily related to a 6% increase in Sales Volume. The higher Sales Volume positively affected Revenue by approximately $7.4 million, partially offset by lower gross sales prices, which adversely affected Revenue by $4.9 million. Our market share increased slightly during the three months ended September 30, 2020, due to the strength in our regional markets compared to the national average.</w:t>
      </w:r>
    </w:p>
    <w:p>
      <w:pPr>
        <w:spacing w:after="0" w:line="9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Operating Earnings decreased 2% to $37.6 million, primarily due to lower gross sales prices, which negatively affected Operating Earnings by $4.9 million. The decline was partially offset by higher Sales Volume and lower operating costs that positively affected Operating Earnings by approximately $2.2 million and $1.8 million, respectively. The lower operating costs were primarily related to freight, energy, and maintenance and other, which reduced operating costs by approximately $1.4 million, $0.4 million, and $2.1 million, respectively. These were partially offset by higher paper costs of approximately $2.0 million. The operating margin declined to 29% for the three months ended September 30, 2020, primarily related to lower gross sales prices, partially offset by lower operating costs. Fixed costs are not a significant portion of the overall cost of wallboard; therefore, changes in utilization have a relatively minor impact on our operating cost per unit.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September 30, 2020</w:t>
      </w:r>
    </w:p>
    <w:p>
      <w:pPr>
        <w:spacing w:after="0" w:line="153" w:lineRule="exact"/>
        <w:rPr>
          <w:sz w:val="20"/>
          <w:szCs w:val="20"/>
          <w:color w:val="auto"/>
        </w:rPr>
      </w:pPr>
    </w:p>
    <w:p>
      <w:pPr>
        <w:ind w:right="440"/>
        <w:spacing w:after="0" w:line="269" w:lineRule="auto"/>
        <w:rPr>
          <w:sz w:val="20"/>
          <w:szCs w:val="20"/>
          <w:color w:val="auto"/>
        </w:rPr>
      </w:pPr>
      <w:r>
        <w:rPr>
          <w:rFonts w:ascii="Arial" w:cs="Arial" w:eastAsia="Arial" w:hAnsi="Arial"/>
          <w:sz w:val="18"/>
          <w:szCs w:val="18"/>
          <w:color w:val="auto"/>
        </w:rPr>
        <w:t>Gypsum Wallboard Revenue increased 2% to $261.4 million for the six months ended September 30, 2020, primarily related to a 6% increase in Sales Volume. The higher Sales Volume positively affected Revenue by approximately $15.8 million, partially offset by lower gross sales prices, which adversely affected Revenue by $9.8 million. Our market share increased slightly during the six months ended September 30, 2020, due to the strength in our regional markets compared to the national average.</w:t>
      </w:r>
    </w:p>
    <w:p>
      <w:pPr>
        <w:spacing w:after="0" w:line="9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Operating Earnings increased 3% to $78.9 million, primarily due to higher Sales Volume and lower operating costs, which positively affected Operating Earnings by $4.7 million and $7.6 million, respectively. This was partially offset by lower gross sales prices that negatively affected Operating Earnings by approximately $9.8 million. The lower operating costs were primarily related to freight, energy, and maintenance, which reduced operating costs by approximately $3.2 million, $1.5 million, and $2.0 million, respectively. The operating margin remained consistent at 30% for the six months ended September 30, 2020, with lower gross sales prices being offset by lower operating costs. Fixed costs are not a significant portion of the overall cost of wallboard; therefore, changes in utilization have a relatively minor impact on our operating cost per unit.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RECYCLED PAPERBOARD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20" w:type="dxa"/>
            <w:vAlign w:val="bottom"/>
          </w:tcPr>
          <w:p>
            <w:pPr>
              <w:spacing w:after="0"/>
              <w:rPr>
                <w:sz w:val="13"/>
                <w:szCs w:val="13"/>
                <w:color w:val="auto"/>
              </w:rPr>
            </w:pPr>
          </w:p>
        </w:tc>
        <w:tc>
          <w:tcPr>
            <w:tcW w:w="2320" w:type="dxa"/>
            <w:vAlign w:val="bottom"/>
            <w:gridSpan w:val="7"/>
            <w:shd w:val="clear" w:color="auto" w:fill="004483"/>
          </w:tcPr>
          <w:p>
            <w:pPr>
              <w:spacing w:after="0"/>
              <w:rPr>
                <w:sz w:val="20"/>
                <w:szCs w:val="20"/>
                <w:color w:val="auto"/>
              </w:rPr>
            </w:pPr>
            <w:r>
              <w:rPr>
                <w:rFonts w:ascii="Arial" w:cs="Arial" w:eastAsia="Arial" w:hAnsi="Arial"/>
                <w:sz w:val="13"/>
                <w:szCs w:val="13"/>
                <w:b w:val="1"/>
                <w:bCs w:val="1"/>
                <w:color w:val="FFFFFF"/>
                <w:w w:val="93"/>
              </w:rPr>
              <w:t>For the Three Months Ended September</w:t>
            </w: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shd w:val="clear" w:color="auto" w:fill="004483"/>
          </w:tcPr>
          <w:p>
            <w:pPr>
              <w:spacing w:after="0"/>
              <w:rPr>
                <w:sz w:val="13"/>
                <w:szCs w:val="13"/>
                <w:color w:val="auto"/>
              </w:rPr>
            </w:pPr>
          </w:p>
        </w:tc>
        <w:tc>
          <w:tcPr>
            <w:tcW w:w="2240" w:type="dxa"/>
            <w:vAlign w:val="bottom"/>
            <w:gridSpan w:val="6"/>
            <w:shd w:val="clear" w:color="auto" w:fill="004483"/>
          </w:tcPr>
          <w:p>
            <w:pPr>
              <w:jc w:val="center"/>
              <w:ind w:right="200"/>
              <w:spacing w:after="0"/>
              <w:rPr>
                <w:sz w:val="20"/>
                <w:szCs w:val="20"/>
                <w:color w:val="auto"/>
              </w:rPr>
            </w:pPr>
            <w:r>
              <w:rPr>
                <w:rFonts w:ascii="Arial" w:cs="Arial" w:eastAsia="Arial" w:hAnsi="Arial"/>
                <w:sz w:val="13"/>
                <w:szCs w:val="13"/>
                <w:b w:val="1"/>
                <w:bCs w:val="1"/>
                <w:color w:val="FFFFFF"/>
                <w:w w:val="88"/>
              </w:rPr>
              <w:t>For the Six Months Ended September</w:t>
            </w: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tcPr>
          <w:p>
            <w:pPr>
              <w:spacing w:after="0"/>
              <w:rPr>
                <w:sz w:val="13"/>
                <w:szCs w:val="13"/>
                <w:color w:val="auto"/>
              </w:rPr>
            </w:pPr>
          </w:p>
        </w:tc>
        <w:tc>
          <w:tcPr>
            <w:tcW w:w="280" w:type="dxa"/>
            <w:vAlign w:val="bottom"/>
            <w:tcBorders>
              <w:bottom w:val="single" w:sz="8" w:color="auto"/>
            </w:tcBorders>
            <w:shd w:val="clear" w:color="auto" w:fill="004483"/>
          </w:tcPr>
          <w:p>
            <w:pPr>
              <w:spacing w:after="0"/>
              <w:rPr>
                <w:sz w:val="13"/>
                <w:szCs w:val="13"/>
                <w:color w:val="auto"/>
              </w:rPr>
            </w:pPr>
          </w:p>
        </w:tc>
        <w:tc>
          <w:tcPr>
            <w:tcW w:w="940" w:type="dxa"/>
            <w:vAlign w:val="bottom"/>
            <w:tcBorders>
              <w:bottom w:val="single" w:sz="8" w:color="auto"/>
            </w:tcBorders>
            <w:gridSpan w:val="3"/>
            <w:shd w:val="clear" w:color="auto" w:fill="004483"/>
          </w:tcPr>
          <w:p>
            <w:pPr>
              <w:jc w:val="right"/>
              <w:ind w:right="40"/>
              <w:spacing w:after="0"/>
              <w:rPr>
                <w:sz w:val="20"/>
                <w:szCs w:val="20"/>
                <w:color w:val="auto"/>
              </w:rPr>
            </w:pPr>
            <w:r>
              <w:rPr>
                <w:rFonts w:ascii="Arial" w:cs="Arial" w:eastAsia="Arial" w:hAnsi="Arial"/>
                <w:sz w:val="13"/>
                <w:szCs w:val="13"/>
                <w:b w:val="1"/>
                <w:bCs w:val="1"/>
                <w:color w:val="FFFFFF"/>
              </w:rPr>
              <w:t>30,</w:t>
            </w:r>
          </w:p>
        </w:tc>
        <w:tc>
          <w:tcPr>
            <w:tcW w:w="280" w:type="dxa"/>
            <w:vAlign w:val="bottom"/>
            <w:tcBorders>
              <w:bottom w:val="single" w:sz="8" w:color="auto"/>
            </w:tcBorders>
            <w:shd w:val="clear" w:color="auto" w:fill="004483"/>
          </w:tcPr>
          <w:p>
            <w:pPr>
              <w:spacing w:after="0"/>
              <w:rPr>
                <w:sz w:val="13"/>
                <w:szCs w:val="13"/>
                <w:color w:val="auto"/>
              </w:rPr>
            </w:pPr>
          </w:p>
        </w:tc>
        <w:tc>
          <w:tcPr>
            <w:tcW w:w="720" w:type="dxa"/>
            <w:vAlign w:val="bottom"/>
            <w:tcBorders>
              <w:bottom w:val="single" w:sz="8" w:color="auto"/>
            </w:tcBorders>
            <w:shd w:val="clear" w:color="auto" w:fill="004483"/>
          </w:tcPr>
          <w:p>
            <w:pPr>
              <w:spacing w:after="0"/>
              <w:rPr>
                <w:sz w:val="13"/>
                <w:szCs w:val="13"/>
                <w:color w:val="auto"/>
              </w:rPr>
            </w:pPr>
          </w:p>
        </w:tc>
        <w:tc>
          <w:tcPr>
            <w:tcW w:w="100" w:type="dxa"/>
            <w:vAlign w:val="bottom"/>
            <w:shd w:val="clear" w:color="auto" w:fill="004483"/>
          </w:tcPr>
          <w:p>
            <w:pPr>
              <w:spacing w:after="0"/>
              <w:rPr>
                <w:sz w:val="13"/>
                <w:szCs w:val="13"/>
                <w:color w:val="auto"/>
              </w:rPr>
            </w:pPr>
          </w:p>
        </w:tc>
        <w:tc>
          <w:tcPr>
            <w:tcW w:w="1240" w:type="dxa"/>
            <w:vAlign w:val="bottom"/>
            <w:gridSpan w:val="3"/>
            <w:vMerge w:val="restart"/>
          </w:tcPr>
          <w:p>
            <w:pPr>
              <w:jc w:val="center"/>
              <w:ind w:right="200"/>
              <w:spacing w:after="0"/>
              <w:rPr>
                <w:sz w:val="20"/>
                <w:szCs w:val="20"/>
                <w:color w:val="auto"/>
              </w:rPr>
            </w:pPr>
            <w:r>
              <w:rPr>
                <w:rFonts w:ascii="Arial" w:cs="Arial" w:eastAsia="Arial" w:hAnsi="Arial"/>
                <w:sz w:val="13"/>
                <w:szCs w:val="13"/>
                <w:b w:val="1"/>
                <w:bCs w:val="1"/>
                <w:color w:val="auto"/>
                <w:w w:val="85"/>
              </w:rPr>
              <w:t>Percentage</w:t>
            </w:r>
          </w:p>
        </w:tc>
        <w:tc>
          <w:tcPr>
            <w:tcW w:w="80" w:type="dxa"/>
            <w:vAlign w:val="bottom"/>
            <w:tcBorders>
              <w:bottom w:val="single" w:sz="8" w:color="auto"/>
            </w:tcBorders>
            <w:shd w:val="clear" w:color="auto" w:fill="004483"/>
          </w:tcPr>
          <w:p>
            <w:pPr>
              <w:spacing w:after="0"/>
              <w:rPr>
                <w:sz w:val="13"/>
                <w:szCs w:val="13"/>
                <w:color w:val="auto"/>
              </w:rPr>
            </w:pPr>
          </w:p>
        </w:tc>
        <w:tc>
          <w:tcPr>
            <w:tcW w:w="1140" w:type="dxa"/>
            <w:vAlign w:val="bottom"/>
            <w:tcBorders>
              <w:bottom w:val="single" w:sz="8" w:color="auto"/>
            </w:tcBorders>
            <w:gridSpan w:val="3"/>
            <w:shd w:val="clear" w:color="auto" w:fill="004483"/>
          </w:tcPr>
          <w:p>
            <w:pPr>
              <w:jc w:val="center"/>
              <w:ind w:left="823"/>
              <w:spacing w:after="0"/>
              <w:rPr>
                <w:sz w:val="20"/>
                <w:szCs w:val="20"/>
                <w:color w:val="auto"/>
              </w:rPr>
            </w:pPr>
            <w:r>
              <w:rPr>
                <w:rFonts w:ascii="Arial" w:cs="Arial" w:eastAsia="Arial" w:hAnsi="Arial"/>
                <w:sz w:val="13"/>
                <w:szCs w:val="13"/>
                <w:b w:val="1"/>
                <w:bCs w:val="1"/>
                <w:color w:val="FFFFFF"/>
                <w:w w:val="88"/>
              </w:rPr>
              <w:t>30,</w:t>
            </w:r>
          </w:p>
        </w:tc>
        <w:tc>
          <w:tcPr>
            <w:tcW w:w="280" w:type="dxa"/>
            <w:vAlign w:val="bottom"/>
            <w:tcBorders>
              <w:bottom w:val="single" w:sz="8" w:color="auto"/>
            </w:tcBorders>
            <w:shd w:val="clear" w:color="auto" w:fill="004483"/>
          </w:tcPr>
          <w:p>
            <w:pPr>
              <w:spacing w:after="0"/>
              <w:rPr>
                <w:sz w:val="13"/>
                <w:szCs w:val="13"/>
                <w:color w:val="auto"/>
              </w:rPr>
            </w:pPr>
          </w:p>
        </w:tc>
        <w:tc>
          <w:tcPr>
            <w:tcW w:w="720" w:type="dxa"/>
            <w:vAlign w:val="bottom"/>
            <w:tcBorders>
              <w:bottom w:val="single" w:sz="8" w:color="auto"/>
            </w:tcBorders>
            <w:shd w:val="clear" w:color="auto" w:fill="004483"/>
          </w:tcPr>
          <w:p>
            <w:pPr>
              <w:spacing w:after="0"/>
              <w:rPr>
                <w:sz w:val="13"/>
                <w:szCs w:val="13"/>
                <w:color w:val="auto"/>
              </w:rPr>
            </w:pPr>
          </w:p>
        </w:tc>
        <w:tc>
          <w:tcPr>
            <w:tcW w:w="100" w:type="dxa"/>
            <w:vAlign w:val="bottom"/>
            <w:shd w:val="clear" w:color="auto" w:fill="004483"/>
          </w:tcPr>
          <w:p>
            <w:pPr>
              <w:spacing w:after="0"/>
              <w:rPr>
                <w:sz w:val="13"/>
                <w:szCs w:val="13"/>
                <w:color w:val="auto"/>
              </w:rPr>
            </w:pPr>
          </w:p>
        </w:tc>
        <w:tc>
          <w:tcPr>
            <w:tcW w:w="1120" w:type="dxa"/>
            <w:vAlign w:val="bottom"/>
            <w:gridSpan w:val="2"/>
            <w:vMerge w:val="restart"/>
          </w:tcPr>
          <w:p>
            <w:pPr>
              <w:jc w:val="right"/>
              <w:ind w:right="30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24"/>
        </w:trPr>
        <w:tc>
          <w:tcPr>
            <w:tcW w:w="4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3"/>
                <w:szCs w:val="13"/>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8"/>
              </w:rPr>
              <w:t>Change</w:t>
            </w:r>
          </w:p>
        </w:tc>
        <w:tc>
          <w:tcPr>
            <w:tcW w:w="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49"/>
        </w:trPr>
        <w:tc>
          <w:tcPr>
            <w:tcW w:w="4220" w:type="dxa"/>
            <w:vAlign w:val="bottom"/>
            <w:tcBorders>
              <w:bottom w:val="single" w:sz="8" w:color="17385E"/>
            </w:tcBorders>
          </w:tcPr>
          <w:p>
            <w:pPr>
              <w:spacing w:after="0"/>
              <w:rPr>
                <w:sz w:val="12"/>
                <w:szCs w:val="12"/>
                <w:color w:val="auto"/>
              </w:rPr>
            </w:pPr>
          </w:p>
        </w:tc>
        <w:tc>
          <w:tcPr>
            <w:tcW w:w="2220" w:type="dxa"/>
            <w:vAlign w:val="bottom"/>
            <w:tcBorders>
              <w:bottom w:val="single" w:sz="8" w:color="17385E"/>
            </w:tcBorders>
            <w:gridSpan w:val="6"/>
          </w:tcPr>
          <w:p>
            <w:pPr>
              <w:jc w:val="center"/>
              <w:spacing w:after="0"/>
              <w:rPr>
                <w:sz w:val="20"/>
                <w:szCs w:val="20"/>
                <w:color w:val="auto"/>
              </w:rPr>
            </w:pPr>
            <w:r>
              <w:rPr>
                <w:rFonts w:ascii="Arial" w:cs="Arial" w:eastAsia="Arial" w:hAnsi="Arial"/>
                <w:sz w:val="13"/>
                <w:szCs w:val="13"/>
                <w:color w:val="auto"/>
                <w:w w:val="88"/>
              </w:rPr>
              <w:t>(in thousands, except per ton information)</w:t>
            </w:r>
          </w:p>
        </w:tc>
        <w:tc>
          <w:tcPr>
            <w:tcW w:w="100" w:type="dxa"/>
            <w:vAlign w:val="bottom"/>
          </w:tcPr>
          <w:p>
            <w:pPr>
              <w:spacing w:after="0"/>
              <w:rPr>
                <w:sz w:val="12"/>
                <w:szCs w:val="12"/>
                <w:color w:val="auto"/>
              </w:rPr>
            </w:pPr>
          </w:p>
        </w:tc>
        <w:tc>
          <w:tcPr>
            <w:tcW w:w="940" w:type="dxa"/>
            <w:vAlign w:val="bottom"/>
            <w:tcBorders>
              <w:bottom w:val="single" w:sz="8" w:color="17385E"/>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17385E"/>
            </w:tcBorders>
          </w:tcPr>
          <w:p>
            <w:pPr>
              <w:spacing w:after="0"/>
              <w:rPr>
                <w:sz w:val="12"/>
                <w:szCs w:val="12"/>
                <w:color w:val="auto"/>
              </w:rPr>
            </w:pPr>
          </w:p>
        </w:tc>
        <w:tc>
          <w:tcPr>
            <w:tcW w:w="2220" w:type="dxa"/>
            <w:vAlign w:val="bottom"/>
            <w:tcBorders>
              <w:bottom w:val="single" w:sz="8" w:color="17385E"/>
            </w:tcBorders>
            <w:gridSpan w:val="6"/>
          </w:tcPr>
          <w:p>
            <w:pPr>
              <w:jc w:val="center"/>
              <w:spacing w:after="0"/>
              <w:rPr>
                <w:sz w:val="20"/>
                <w:szCs w:val="20"/>
                <w:color w:val="auto"/>
              </w:rPr>
            </w:pPr>
            <w:r>
              <w:rPr>
                <w:rFonts w:ascii="Arial" w:cs="Arial" w:eastAsia="Arial" w:hAnsi="Arial"/>
                <w:sz w:val="13"/>
                <w:szCs w:val="13"/>
                <w:color w:val="auto"/>
                <w:w w:val="88"/>
              </w:rPr>
              <w:t>(in thousands, except per ton information)</w:t>
            </w:r>
          </w:p>
        </w:tc>
        <w:tc>
          <w:tcPr>
            <w:tcW w:w="100" w:type="dxa"/>
            <w:vAlign w:val="bottom"/>
          </w:tcPr>
          <w:p>
            <w:pPr>
              <w:spacing w:after="0"/>
              <w:rPr>
                <w:sz w:val="12"/>
                <w:szCs w:val="12"/>
                <w:color w:val="auto"/>
              </w:rPr>
            </w:pPr>
          </w:p>
        </w:tc>
        <w:tc>
          <w:tcPr>
            <w:tcW w:w="940" w:type="dxa"/>
            <w:vAlign w:val="bottom"/>
            <w:tcBorders>
              <w:bottom w:val="single" w:sz="8" w:color="17385E"/>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4220" w:type="dxa"/>
            <w:vAlign w:val="bottom"/>
          </w:tcPr>
          <w:p>
            <w:pPr>
              <w:spacing w:after="0"/>
              <w:rPr>
                <w:sz w:val="20"/>
                <w:szCs w:val="20"/>
                <w:color w:val="auto"/>
              </w:rPr>
            </w:pPr>
            <w:r>
              <w:rPr>
                <w:rFonts w:ascii="Arial" w:cs="Arial" w:eastAsia="Arial" w:hAnsi="Arial"/>
                <w:sz w:val="16"/>
                <w:szCs w:val="16"/>
                <w:color w:val="004483"/>
              </w:rPr>
              <w:t>Gross Revenue, including intersegment</w:t>
            </w: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46,071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41,847</w:t>
            </w:r>
          </w:p>
        </w:tc>
        <w:tc>
          <w:tcPr>
            <w:tcW w:w="10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82,815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84,547</w:t>
            </w:r>
          </w:p>
        </w:tc>
        <w:tc>
          <w:tcPr>
            <w:tcW w:w="10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422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8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tcPr>
          <w:p>
            <w:pPr>
              <w:spacing w:after="0"/>
              <w:rPr>
                <w:sz w:val="20"/>
                <w:szCs w:val="20"/>
                <w:color w:val="auto"/>
              </w:rPr>
            </w:pPr>
            <w:r>
              <w:rPr>
                <w:rFonts w:ascii="Arial" w:cs="Arial" w:eastAsia="Arial" w:hAnsi="Arial"/>
                <w:sz w:val="16"/>
                <w:szCs w:val="16"/>
                <w:color w:val="004483"/>
              </w:rPr>
              <w:t>Less intersegment Revenue</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(20,499)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(15,924)</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(34,568)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(32,939)</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4220" w:type="dxa"/>
            <w:vAlign w:val="bottom"/>
            <w:shd w:val="clear" w:color="auto" w:fill="A6A6A6"/>
          </w:tcPr>
          <w:p>
            <w:pPr>
              <w:spacing w:after="0" w:line="20" w:lineRule="exact"/>
              <w:rPr>
                <w:sz w:val="1"/>
                <w:szCs w:val="1"/>
                <w:color w:val="auto"/>
              </w:rPr>
            </w:pPr>
          </w:p>
        </w:tc>
        <w:tc>
          <w:tcPr>
            <w:tcW w:w="280" w:type="dxa"/>
            <w:vAlign w:val="bottom"/>
            <w:shd w:val="clear" w:color="auto" w:fill="004483"/>
          </w:tcPr>
          <w:p>
            <w:pPr>
              <w:spacing w:after="0" w:line="20" w:lineRule="exact"/>
              <w:rPr>
                <w:sz w:val="1"/>
                <w:szCs w:val="1"/>
                <w:color w:val="auto"/>
              </w:rPr>
            </w:pPr>
          </w:p>
        </w:tc>
        <w:tc>
          <w:tcPr>
            <w:tcW w:w="72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80" w:type="dxa"/>
            <w:vAlign w:val="bottom"/>
            <w:shd w:val="clear" w:color="auto" w:fill="004483"/>
          </w:tcPr>
          <w:p>
            <w:pPr>
              <w:spacing w:after="0" w:line="20" w:lineRule="exact"/>
              <w:rPr>
                <w:sz w:val="1"/>
                <w:szCs w:val="1"/>
                <w:color w:val="auto"/>
              </w:rPr>
            </w:pPr>
          </w:p>
        </w:tc>
        <w:tc>
          <w:tcPr>
            <w:tcW w:w="72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80" w:type="dxa"/>
            <w:vAlign w:val="bottom"/>
            <w:shd w:val="clear" w:color="auto" w:fill="004483"/>
          </w:tcPr>
          <w:p>
            <w:pPr>
              <w:spacing w:after="0" w:line="20" w:lineRule="exact"/>
              <w:rPr>
                <w:sz w:val="1"/>
                <w:szCs w:val="1"/>
                <w:color w:val="auto"/>
              </w:rPr>
            </w:pPr>
          </w:p>
        </w:tc>
        <w:tc>
          <w:tcPr>
            <w:tcW w:w="92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80" w:type="dxa"/>
            <w:vAlign w:val="bottom"/>
            <w:shd w:val="clear" w:color="auto" w:fill="004483"/>
          </w:tcPr>
          <w:p>
            <w:pPr>
              <w:spacing w:after="0" w:line="20" w:lineRule="exact"/>
              <w:rPr>
                <w:sz w:val="1"/>
                <w:szCs w:val="1"/>
                <w:color w:val="auto"/>
              </w:rPr>
            </w:pPr>
          </w:p>
        </w:tc>
        <w:tc>
          <w:tcPr>
            <w:tcW w:w="72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tcPr>
          <w:p>
            <w:pPr>
              <w:spacing w:after="0"/>
              <w:rPr>
                <w:sz w:val="20"/>
                <w:szCs w:val="20"/>
                <w:color w:val="auto"/>
              </w:rPr>
            </w:pPr>
            <w:r>
              <w:rPr>
                <w:rFonts w:ascii="Arial" w:cs="Arial" w:eastAsia="Arial" w:hAnsi="Arial"/>
                <w:sz w:val="16"/>
                <w:szCs w:val="16"/>
                <w:color w:val="004483"/>
              </w:rPr>
              <w:t>Gross Revenue, as reported</w:t>
            </w: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25,572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25,923</w:t>
            </w: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48,247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51,608</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
        </w:trPr>
        <w:tc>
          <w:tcPr>
            <w:tcW w:w="422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8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20" w:type="dxa"/>
            <w:vAlign w:val="bottom"/>
          </w:tcPr>
          <w:p>
            <w:pPr>
              <w:spacing w:after="0"/>
              <w:rPr>
                <w:sz w:val="20"/>
                <w:szCs w:val="20"/>
                <w:color w:val="auto"/>
              </w:rPr>
            </w:pPr>
            <w:r>
              <w:rPr>
                <w:rFonts w:ascii="Arial" w:cs="Arial" w:eastAsia="Arial" w:hAnsi="Arial"/>
                <w:sz w:val="16"/>
                <w:szCs w:val="16"/>
                <w:color w:val="004483"/>
              </w:rPr>
              <w:t>Freight and Delivery Costs billed to Customers</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(1,352)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(1,129)</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(2,685)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(2,334)</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
        </w:trPr>
        <w:tc>
          <w:tcPr>
            <w:tcW w:w="4220" w:type="dxa"/>
            <w:vAlign w:val="bottom"/>
            <w:shd w:val="clear" w:color="auto" w:fill="A6A6A6"/>
          </w:tcPr>
          <w:p>
            <w:pPr>
              <w:spacing w:after="0" w:line="20" w:lineRule="exact"/>
              <w:rPr>
                <w:sz w:val="1"/>
                <w:szCs w:val="1"/>
                <w:color w:val="auto"/>
              </w:rPr>
            </w:pPr>
          </w:p>
        </w:tc>
        <w:tc>
          <w:tcPr>
            <w:tcW w:w="280" w:type="dxa"/>
            <w:vAlign w:val="bottom"/>
            <w:shd w:val="clear" w:color="auto" w:fill="004483"/>
          </w:tcPr>
          <w:p>
            <w:pPr>
              <w:spacing w:after="0" w:line="20" w:lineRule="exact"/>
              <w:rPr>
                <w:sz w:val="1"/>
                <w:szCs w:val="1"/>
                <w:color w:val="auto"/>
              </w:rPr>
            </w:pPr>
          </w:p>
        </w:tc>
        <w:tc>
          <w:tcPr>
            <w:tcW w:w="72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80" w:type="dxa"/>
            <w:vAlign w:val="bottom"/>
            <w:shd w:val="clear" w:color="auto" w:fill="004483"/>
          </w:tcPr>
          <w:p>
            <w:pPr>
              <w:spacing w:after="0" w:line="20" w:lineRule="exact"/>
              <w:rPr>
                <w:sz w:val="1"/>
                <w:szCs w:val="1"/>
                <w:color w:val="auto"/>
              </w:rPr>
            </w:pPr>
          </w:p>
        </w:tc>
        <w:tc>
          <w:tcPr>
            <w:tcW w:w="72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80" w:type="dxa"/>
            <w:vAlign w:val="bottom"/>
            <w:shd w:val="clear" w:color="auto" w:fill="004483"/>
          </w:tcPr>
          <w:p>
            <w:pPr>
              <w:spacing w:after="0" w:line="20" w:lineRule="exact"/>
              <w:rPr>
                <w:sz w:val="1"/>
                <w:szCs w:val="1"/>
                <w:color w:val="auto"/>
              </w:rPr>
            </w:pPr>
          </w:p>
        </w:tc>
        <w:tc>
          <w:tcPr>
            <w:tcW w:w="92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80" w:type="dxa"/>
            <w:vAlign w:val="bottom"/>
            <w:shd w:val="clear" w:color="auto" w:fill="004483"/>
          </w:tcPr>
          <w:p>
            <w:pPr>
              <w:spacing w:after="0" w:line="20" w:lineRule="exact"/>
              <w:rPr>
                <w:sz w:val="1"/>
                <w:szCs w:val="1"/>
                <w:color w:val="auto"/>
              </w:rPr>
            </w:pPr>
          </w:p>
        </w:tc>
        <w:tc>
          <w:tcPr>
            <w:tcW w:w="72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20" w:type="dxa"/>
            <w:vAlign w:val="bottom"/>
          </w:tcPr>
          <w:p>
            <w:pPr>
              <w:spacing w:after="0"/>
              <w:rPr>
                <w:sz w:val="20"/>
                <w:szCs w:val="20"/>
                <w:color w:val="auto"/>
              </w:rPr>
            </w:pPr>
            <w:r>
              <w:rPr>
                <w:rFonts w:ascii="Arial" w:cs="Arial" w:eastAsia="Arial" w:hAnsi="Arial"/>
                <w:sz w:val="16"/>
                <w:szCs w:val="16"/>
                <w:color w:val="004483"/>
              </w:rPr>
              <w:t>Net Revenue</w:t>
            </w: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24,220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24,794</w:t>
            </w: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45,562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49,274</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4220" w:type="dxa"/>
            <w:vAlign w:val="bottom"/>
            <w:tcBorders>
              <w:top w:val="single" w:sz="8" w:color="A6A6A6"/>
              <w:bottom w:val="single" w:sz="8" w:color="A6A6A6"/>
            </w:tcBorders>
          </w:tcPr>
          <w:p>
            <w:pPr>
              <w:spacing w:after="0"/>
              <w:rPr>
                <w:sz w:val="18"/>
                <w:szCs w:val="18"/>
                <w:color w:val="auto"/>
              </w:rPr>
            </w:pPr>
          </w:p>
        </w:tc>
        <w:tc>
          <w:tcPr>
            <w:tcW w:w="280" w:type="dxa"/>
            <w:vAlign w:val="bottom"/>
            <w:tcBorders>
              <w:top w:val="single" w:sz="8" w:color="A6A6A6"/>
              <w:bottom w:val="single" w:sz="8" w:color="A6A6A6"/>
            </w:tcBorders>
          </w:tcPr>
          <w:p>
            <w:pPr>
              <w:spacing w:after="0"/>
              <w:rPr>
                <w:sz w:val="18"/>
                <w:szCs w:val="18"/>
                <w:color w:val="auto"/>
              </w:rPr>
            </w:pPr>
          </w:p>
        </w:tc>
        <w:tc>
          <w:tcPr>
            <w:tcW w:w="720" w:type="dxa"/>
            <w:vAlign w:val="bottom"/>
            <w:tcBorders>
              <w:top w:val="single" w:sz="8" w:color="A6A6A6"/>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80" w:type="dxa"/>
            <w:vAlign w:val="bottom"/>
            <w:tcBorders>
              <w:top w:val="single" w:sz="8" w:color="A6A6A6"/>
              <w:bottom w:val="single" w:sz="8" w:color="A6A6A6"/>
            </w:tcBorders>
          </w:tcPr>
          <w:p>
            <w:pPr>
              <w:spacing w:after="0"/>
              <w:rPr>
                <w:sz w:val="18"/>
                <w:szCs w:val="18"/>
                <w:color w:val="auto"/>
              </w:rPr>
            </w:pPr>
          </w:p>
        </w:tc>
        <w:tc>
          <w:tcPr>
            <w:tcW w:w="720" w:type="dxa"/>
            <w:vAlign w:val="bottom"/>
            <w:tcBorders>
              <w:top w:val="single" w:sz="8" w:color="A6A6A6"/>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6A6A6"/>
              <w:bottom w:val="single" w:sz="8" w:color="A6A6A6"/>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6A6A6"/>
              <w:bottom w:val="single" w:sz="8" w:color="A6A6A6"/>
            </w:tcBorders>
          </w:tcPr>
          <w:p>
            <w:pPr>
              <w:spacing w:after="0"/>
              <w:rPr>
                <w:sz w:val="18"/>
                <w:szCs w:val="18"/>
                <w:color w:val="auto"/>
              </w:rPr>
            </w:pPr>
          </w:p>
        </w:tc>
        <w:tc>
          <w:tcPr>
            <w:tcW w:w="80" w:type="dxa"/>
            <w:vAlign w:val="bottom"/>
            <w:tcBorders>
              <w:top w:val="single" w:sz="8" w:color="A6A6A6"/>
              <w:bottom w:val="single" w:sz="8" w:color="A6A6A6"/>
            </w:tcBorders>
          </w:tcPr>
          <w:p>
            <w:pPr>
              <w:spacing w:after="0"/>
              <w:rPr>
                <w:sz w:val="18"/>
                <w:szCs w:val="18"/>
                <w:color w:val="auto"/>
              </w:rPr>
            </w:pPr>
          </w:p>
        </w:tc>
        <w:tc>
          <w:tcPr>
            <w:tcW w:w="92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6A6A6"/>
              <w:bottom w:val="single" w:sz="8" w:color="A6A6A6"/>
            </w:tcBorders>
          </w:tcPr>
          <w:p>
            <w:pPr>
              <w:spacing w:after="0"/>
              <w:rPr>
                <w:sz w:val="18"/>
                <w:szCs w:val="18"/>
                <w:color w:val="auto"/>
              </w:rPr>
            </w:pPr>
          </w:p>
        </w:tc>
        <w:tc>
          <w:tcPr>
            <w:tcW w:w="280" w:type="dxa"/>
            <w:vAlign w:val="bottom"/>
            <w:tcBorders>
              <w:top w:val="single" w:sz="8" w:color="A6A6A6"/>
              <w:bottom w:val="single" w:sz="8" w:color="A6A6A6"/>
            </w:tcBorders>
          </w:tcPr>
          <w:p>
            <w:pPr>
              <w:spacing w:after="0"/>
              <w:rPr>
                <w:sz w:val="18"/>
                <w:szCs w:val="18"/>
                <w:color w:val="auto"/>
              </w:rPr>
            </w:pPr>
          </w:p>
        </w:tc>
        <w:tc>
          <w:tcPr>
            <w:tcW w:w="720" w:type="dxa"/>
            <w:vAlign w:val="bottom"/>
            <w:tcBorders>
              <w:top w:val="single" w:sz="8" w:color="A6A6A6"/>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6A6A6"/>
              <w:bottom w:val="single" w:sz="8" w:color="A6A6A6"/>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20" w:type="dxa"/>
            <w:vAlign w:val="bottom"/>
          </w:tcPr>
          <w:p>
            <w:pPr>
              <w:spacing w:after="0"/>
              <w:rPr>
                <w:sz w:val="20"/>
                <w:szCs w:val="20"/>
                <w:color w:val="auto"/>
              </w:rPr>
            </w:pPr>
            <w:r>
              <w:rPr>
                <w:rFonts w:ascii="Arial" w:cs="Arial" w:eastAsia="Arial" w:hAnsi="Arial"/>
                <w:sz w:val="16"/>
                <w:szCs w:val="16"/>
                <w:color w:val="004483"/>
              </w:rPr>
              <w:t>Sales Volume (M Tons)</w:t>
            </w: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422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8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220" w:type="dxa"/>
            <w:vAlign w:val="bottom"/>
          </w:tcPr>
          <w:p>
            <w:pPr>
              <w:spacing w:after="0" w:line="212" w:lineRule="exact"/>
              <w:rPr>
                <w:sz w:val="20"/>
                <w:szCs w:val="20"/>
                <w:color w:val="auto"/>
              </w:rPr>
            </w:pPr>
            <w:r>
              <w:rPr>
                <w:rFonts w:ascii="Arial" w:cs="Arial" w:eastAsia="Arial" w:hAnsi="Arial"/>
                <w:sz w:val="15"/>
                <w:szCs w:val="15"/>
                <w:color w:val="004483"/>
              </w:rPr>
              <w:t xml:space="preserve">Average Net Sales Price, per ton </w:t>
            </w:r>
            <w:r>
              <w:rPr>
                <w:rFonts w:ascii="Arial" w:cs="Arial" w:eastAsia="Arial" w:hAnsi="Arial"/>
                <w:sz w:val="24"/>
                <w:szCs w:val="24"/>
                <w:color w:val="004483"/>
                <w:vertAlign w:val="superscript"/>
              </w:rPr>
              <w:t>(1)</w:t>
            </w: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513.11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475.98</w:t>
            </w: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489.13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492.71</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422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8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220" w:type="dxa"/>
            <w:vAlign w:val="bottom"/>
          </w:tcPr>
          <w:p>
            <w:pPr>
              <w:spacing w:after="0"/>
              <w:rPr>
                <w:sz w:val="20"/>
                <w:szCs w:val="20"/>
                <w:color w:val="auto"/>
              </w:rPr>
            </w:pPr>
            <w:r>
              <w:rPr>
                <w:rFonts w:ascii="Arial" w:cs="Arial" w:eastAsia="Arial" w:hAnsi="Arial"/>
                <w:sz w:val="16"/>
                <w:szCs w:val="16"/>
                <w:color w:val="004483"/>
              </w:rPr>
              <w:t>Freight, per ton</w:t>
            </w: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15.54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13.13</w:t>
            </w:r>
          </w:p>
        </w:tc>
        <w:tc>
          <w:tcPr>
            <w:tcW w:w="10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16.37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13.98</w:t>
            </w:r>
          </w:p>
        </w:tc>
        <w:tc>
          <w:tcPr>
            <w:tcW w:w="1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422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8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20" w:type="dxa"/>
            <w:vAlign w:val="bottom"/>
          </w:tcPr>
          <w:p>
            <w:pPr>
              <w:spacing w:after="0"/>
              <w:rPr>
                <w:sz w:val="20"/>
                <w:szCs w:val="20"/>
                <w:color w:val="auto"/>
              </w:rPr>
            </w:pPr>
            <w:r>
              <w:rPr>
                <w:rFonts w:ascii="Arial" w:cs="Arial" w:eastAsia="Arial" w:hAnsi="Arial"/>
                <w:sz w:val="16"/>
                <w:szCs w:val="16"/>
                <w:color w:val="004483"/>
              </w:rPr>
              <w:t>Operating Margin, per ton</w:t>
            </w: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122.44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117.38</w:t>
            </w: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82.60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119.99</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
        </w:trPr>
        <w:tc>
          <w:tcPr>
            <w:tcW w:w="422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8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20" w:type="dxa"/>
            <w:vAlign w:val="bottom"/>
          </w:tcPr>
          <w:p>
            <w:pPr>
              <w:spacing w:after="0"/>
              <w:rPr>
                <w:sz w:val="20"/>
                <w:szCs w:val="20"/>
                <w:color w:val="auto"/>
              </w:rPr>
            </w:pPr>
            <w:r>
              <w:rPr>
                <w:rFonts w:ascii="Arial" w:cs="Arial" w:eastAsia="Arial" w:hAnsi="Arial"/>
                <w:sz w:val="16"/>
                <w:szCs w:val="16"/>
                <w:color w:val="004483"/>
              </w:rPr>
              <w:t>Operating Earnings</w:t>
            </w: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10,652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10,095</w:t>
            </w: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13,547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20,039</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
        </w:trPr>
        <w:tc>
          <w:tcPr>
            <w:tcW w:w="422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8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(1) Net of freight per ton.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2020</w:t>
      </w:r>
    </w:p>
    <w:p>
      <w:pPr>
        <w:spacing w:after="0" w:line="153" w:lineRule="exact"/>
        <w:rPr>
          <w:sz w:val="20"/>
          <w:szCs w:val="20"/>
          <w:color w:val="auto"/>
        </w:rPr>
      </w:pPr>
    </w:p>
    <w:p>
      <w:pPr>
        <w:jc w:val="both"/>
        <w:ind w:right="660"/>
        <w:spacing w:after="0" w:line="271" w:lineRule="auto"/>
        <w:rPr>
          <w:sz w:val="20"/>
          <w:szCs w:val="20"/>
          <w:color w:val="auto"/>
        </w:rPr>
      </w:pPr>
      <w:r>
        <w:rPr>
          <w:rFonts w:ascii="Arial" w:cs="Arial" w:eastAsia="Arial" w:hAnsi="Arial"/>
          <w:sz w:val="18"/>
          <w:szCs w:val="18"/>
          <w:color w:val="auto"/>
        </w:rPr>
        <w:t>Recycled Paperboard Revenue increased 10% to $46.1 million during the three months ended September 30, 2020. The increase in Revenue was due to higher gross sales prices and Sales Volume, which positively affected Revenue by $3.5 million and $0.8 million, respectively. Higher gross sales prices were due to the pricing provisions in our long-term sales agreements.</w:t>
      </w:r>
    </w:p>
    <w:p>
      <w:pPr>
        <w:spacing w:after="0" w:line="9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Operating Earnings increased 6% to $10.7 million, primarily because of the higher gross sales prices and Sales Volume, which positively affected Operating Earnings by approximately $3.5 million and $0.2 million, respectively. These increases were partially offset by higher operating costs of approximately $3.1 million. The increase in operating costs was primarily due to input costs and depreciation, which increased approximately $2.2 million and $1.1 million, respectively, partially offset by lower energy costs of $0.8 million. Operating margin decreased to 23% from 24%, primarily because of higher operating costs, partially offset by higher gross sales prices.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September 30, 2020</w:t>
      </w:r>
    </w:p>
    <w:p>
      <w:pPr>
        <w:spacing w:after="0" w:line="153"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Recycled Paperboard Revenue declined 2% to $82.8 million during the six months ended September 30, 2020. The decrease in Revenue was due to lower gross sales prices and Sales Volume, which adversely affected Revenue by $0.2 million and $1.5 million, respectively. Lower gross sales prices were due to the pricing provisions in our long-term sales agreements.</w:t>
      </w:r>
    </w:p>
    <w:p>
      <w:pPr>
        <w:spacing w:after="0" w:line="95"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Operating Earnings declined 32% to $13.5 million, primarily because of the decrease in gross sales prices and Sales Volume, and an increase in operating costs, which adversely affected Operating Earnings by approximately $0.2 million, $0.4 million, and $5.9 million, respectively. The increase in operating costs was primarily due to operating inefficiencies in April and May related to start-up of the papermill after the completion of the project to enhance and expand the mill, as well as higher input costs, namely fiber, which lowered Operating Earnings by approximately $2.1 million and $4.5 million, respectively. The increase in fiber cost occurred during the fiscal first quarter, and was due primarily to the decline in generation of OCC due to the shelter-in-place orders issued to combat the COVID-19 pandemic. This was partially offset by lower energy costs of approximately $1.3 million. Operating margin decreased to 16% from 24%, primarily because of higher operating costs and lower gross sales prices.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3"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5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United States requires management to adopt accounting policies and make significant judgments and estimates to develop amounts reflected and disclosed in the financial statements. In many cases, there are alternative policies or estimation techniques that could be used. We maintain a thorough process to review the application of our accounting policies and to evaluate the appropriateness of the many estimates that are required to prepare our financial statements. However, even under optimal circumstances, estimates routinely require adjustment based on changing circumstances and the receipt of new or better information.</w:t>
      </w:r>
    </w:p>
    <w:p>
      <w:pPr>
        <w:spacing w:after="0" w:line="9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Information regarding our Critical Accounting Policies can be found in our Annual Report. The three critical accounting policies that we believe either require the use of the most judgment, or the selection or application of alternative accounting policies, and are material to our financial statements, are those relating to long-lived assets, goodwill, and business combinations. Management has discussed the development and selection of these Critical Accounting Policies and estimates with the Audit Committee of our Board of Directors and with our independent registered public accounting firm. In addition, Note (A) to the financial statements in our Annual Report contains a summary of our significant accounting policies.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13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Refer to Footnote (A) in the Notes to Unaudited Consolidated Financial Statements of this Form 10-Q for information regarding recently issued accounting pronouncements that may affect our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Notwithstanding the anticipated challenges associated with COVID-19, we believe at this time we have access to sufficient financial resources from our liquidity sources to fund our business and operations, including contractual obligations, capital expenditures, and debt service obligations. We will continue to monitor the impact of COVID-19 on the economy, and on our operations and future liquidity needs, as a continued worldwide disruption of economic activity could materially affect our future access to these sources of liquidity. Please see the Debt Financing Activities section for a discussion of our cash position, credit facility, and the amount of borrowings available to us in the next twelve-month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our cash flows: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20" w:type="dxa"/>
            <w:vAlign w:val="bottom"/>
          </w:tcPr>
          <w:p>
            <w:pPr>
              <w:spacing w:after="0"/>
              <w:rPr>
                <w:sz w:val="19"/>
                <w:szCs w:val="19"/>
                <w:color w:val="auto"/>
              </w:rPr>
            </w:pPr>
          </w:p>
        </w:tc>
        <w:tc>
          <w:tcPr>
            <w:tcW w:w="440" w:type="dxa"/>
            <w:vAlign w:val="bottom"/>
            <w:shd w:val="clear" w:color="auto" w:fill="004483"/>
          </w:tcPr>
          <w:p>
            <w:pPr>
              <w:spacing w:after="0"/>
              <w:rPr>
                <w:sz w:val="19"/>
                <w:szCs w:val="19"/>
                <w:color w:val="auto"/>
              </w:rPr>
            </w:pPr>
          </w:p>
        </w:tc>
        <w:tc>
          <w:tcPr>
            <w:tcW w:w="2680" w:type="dxa"/>
            <w:vAlign w:val="bottom"/>
            <w:gridSpan w:val="4"/>
            <w:shd w:val="clear" w:color="auto" w:fill="004483"/>
          </w:tcPr>
          <w:p>
            <w:pPr>
              <w:jc w:val="right"/>
              <w:ind w:right="24"/>
              <w:spacing w:after="0"/>
              <w:rPr>
                <w:sz w:val="20"/>
                <w:szCs w:val="20"/>
                <w:color w:val="auto"/>
              </w:rPr>
            </w:pPr>
            <w:r>
              <w:rPr>
                <w:rFonts w:ascii="Arial" w:cs="Arial" w:eastAsia="Arial" w:hAnsi="Arial"/>
                <w:sz w:val="13"/>
                <w:szCs w:val="13"/>
                <w:b w:val="1"/>
                <w:bCs w:val="1"/>
                <w:color w:val="FFFFFF"/>
              </w:rPr>
              <w:t>For the Six Months Ended September 30,</w:t>
            </w:r>
          </w:p>
        </w:tc>
        <w:tc>
          <w:tcPr>
            <w:tcW w:w="700" w:type="dxa"/>
            <w:vAlign w:val="bottom"/>
            <w:shd w:val="clear" w:color="auto" w:fill="004483"/>
          </w:tcPr>
          <w:p>
            <w:pPr>
              <w:spacing w:after="0"/>
              <w:rPr>
                <w:sz w:val="19"/>
                <w:szCs w:val="19"/>
                <w:color w:val="auto"/>
              </w:rPr>
            </w:pPr>
          </w:p>
        </w:tc>
        <w:tc>
          <w:tcPr>
            <w:tcW w:w="100" w:type="dxa"/>
            <w:vAlign w:val="bottom"/>
            <w:shd w:val="clear" w:color="auto" w:fill="004483"/>
          </w:tcPr>
          <w:p>
            <w:pPr>
              <w:spacing w:after="0"/>
              <w:rPr>
                <w:sz w:val="19"/>
                <w:szCs w:val="19"/>
                <w:color w:val="auto"/>
              </w:rPr>
            </w:pPr>
          </w:p>
        </w:tc>
      </w:tr>
      <w:tr>
        <w:trPr>
          <w:trHeight w:val="148"/>
        </w:trPr>
        <w:tc>
          <w:tcPr>
            <w:tcW w:w="7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2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2"/>
                <w:szCs w:val="12"/>
                <w:color w:val="auto"/>
              </w:rPr>
            </w:pPr>
          </w:p>
        </w:tc>
      </w:tr>
      <w:tr>
        <w:trPr>
          <w:trHeight w:val="149"/>
        </w:trPr>
        <w:tc>
          <w:tcPr>
            <w:tcW w:w="7320" w:type="dxa"/>
            <w:vAlign w:val="bottom"/>
            <w:tcBorders>
              <w:bottom w:val="single" w:sz="8" w:color="004483"/>
            </w:tcBorders>
          </w:tcPr>
          <w:p>
            <w:pPr>
              <w:spacing w:after="0"/>
              <w:rPr>
                <w:sz w:val="12"/>
                <w:szCs w:val="12"/>
                <w:color w:val="auto"/>
              </w:rPr>
            </w:pPr>
          </w:p>
        </w:tc>
        <w:tc>
          <w:tcPr>
            <w:tcW w:w="440" w:type="dxa"/>
            <w:vAlign w:val="bottom"/>
            <w:tcBorders>
              <w:bottom w:val="single" w:sz="8" w:color="004483"/>
            </w:tcBorders>
          </w:tcPr>
          <w:p>
            <w:pPr>
              <w:spacing w:after="0"/>
              <w:rPr>
                <w:sz w:val="12"/>
                <w:szCs w:val="12"/>
                <w:color w:val="auto"/>
              </w:rPr>
            </w:pPr>
          </w:p>
        </w:tc>
        <w:tc>
          <w:tcPr>
            <w:tcW w:w="2680" w:type="dxa"/>
            <w:vAlign w:val="bottom"/>
            <w:tcBorders>
              <w:bottom w:val="single" w:sz="8" w:color="004483"/>
            </w:tcBorders>
            <w:gridSpan w:val="4"/>
          </w:tcPr>
          <w:p>
            <w:pPr>
              <w:jc w:val="right"/>
              <w:ind w:right="604"/>
              <w:spacing w:after="0"/>
              <w:rPr>
                <w:sz w:val="20"/>
                <w:szCs w:val="20"/>
                <w:color w:val="auto"/>
              </w:rPr>
            </w:pPr>
            <w:r>
              <w:rPr>
                <w:rFonts w:ascii="Arial" w:cs="Arial" w:eastAsia="Arial" w:hAnsi="Arial"/>
                <w:sz w:val="13"/>
                <w:szCs w:val="13"/>
                <w:color w:val="auto"/>
              </w:rPr>
              <w:t>(dollars in thousands)</w:t>
            </w:r>
          </w:p>
        </w:tc>
        <w:tc>
          <w:tcPr>
            <w:tcW w:w="700" w:type="dxa"/>
            <w:vAlign w:val="bottom"/>
            <w:tcBorders>
              <w:bottom w:val="single" w:sz="8" w:color="004483"/>
            </w:tcBorders>
          </w:tcPr>
          <w:p>
            <w:pPr>
              <w:spacing w:after="0"/>
              <w:rPr>
                <w:sz w:val="12"/>
                <w:szCs w:val="12"/>
                <w:color w:val="auto"/>
              </w:rPr>
            </w:pPr>
          </w:p>
        </w:tc>
        <w:tc>
          <w:tcPr>
            <w:tcW w:w="100" w:type="dxa"/>
            <w:vAlign w:val="bottom"/>
          </w:tcPr>
          <w:p>
            <w:pPr>
              <w:spacing w:after="0"/>
              <w:rPr>
                <w:sz w:val="12"/>
                <w:szCs w:val="12"/>
                <w:color w:val="auto"/>
              </w:rPr>
            </w:pPr>
          </w:p>
        </w:tc>
      </w:tr>
      <w:tr>
        <w:trPr>
          <w:trHeight w:val="207"/>
        </w:trPr>
        <w:tc>
          <w:tcPr>
            <w:tcW w:w="7320" w:type="dxa"/>
            <w:vAlign w:val="bottom"/>
            <w:tcBorders>
              <w:bottom w:val="single" w:sz="8" w:color="A6A6A6"/>
            </w:tcBorders>
          </w:tcPr>
          <w:p>
            <w:pPr>
              <w:spacing w:after="0"/>
              <w:rPr>
                <w:sz w:val="20"/>
                <w:szCs w:val="20"/>
                <w:color w:val="auto"/>
              </w:rPr>
            </w:pPr>
            <w:r>
              <w:rPr>
                <w:rFonts w:ascii="Arial" w:cs="Arial" w:eastAsia="Arial" w:hAnsi="Arial"/>
                <w:sz w:val="16"/>
                <w:szCs w:val="16"/>
                <w:b w:val="1"/>
                <w:bCs w:val="1"/>
                <w:color w:val="004483"/>
              </w:rPr>
              <w:t>Net Cash Provided by Operating Activities</w:t>
            </w:r>
          </w:p>
        </w:tc>
        <w:tc>
          <w:tcPr>
            <w:tcW w:w="440" w:type="dxa"/>
            <w:vAlign w:val="bottom"/>
            <w:tcBorders>
              <w:bottom w:val="single" w:sz="8" w:color="A6A6A6"/>
            </w:tcBorders>
          </w:tcPr>
          <w:p>
            <w:pPr>
              <w:jc w:val="right"/>
              <w:ind w:right="284"/>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bottom w:val="single" w:sz="8" w:color="A6A6A6"/>
            </w:tcBorders>
          </w:tcPr>
          <w:p>
            <w:pPr>
              <w:jc w:val="right"/>
              <w:spacing w:after="0"/>
              <w:rPr>
                <w:sz w:val="20"/>
                <w:szCs w:val="20"/>
                <w:color w:val="auto"/>
              </w:rPr>
            </w:pPr>
            <w:r>
              <w:rPr>
                <w:rFonts w:ascii="Arial" w:cs="Arial" w:eastAsia="Arial" w:hAnsi="Arial"/>
                <w:sz w:val="16"/>
                <w:szCs w:val="16"/>
                <w:b w:val="1"/>
                <w:bCs w:val="1"/>
                <w:color w:val="auto"/>
              </w:rPr>
              <w:t>358,377</w:t>
            </w:r>
          </w:p>
        </w:tc>
        <w:tc>
          <w:tcPr>
            <w:tcW w:w="100" w:type="dxa"/>
            <w:vAlign w:val="bottom"/>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1080" w:type="dxa"/>
            <w:vAlign w:val="bottom"/>
            <w:tcBorders>
              <w:bottom w:val="single" w:sz="8" w:color="A6A6A6"/>
            </w:tcBorders>
          </w:tcPr>
          <w:p>
            <w:pPr>
              <w:jc w:val="right"/>
              <w:ind w:right="924"/>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b w:val="1"/>
                <w:bCs w:val="1"/>
                <w:color w:val="auto"/>
              </w:rPr>
              <w:t>184,696</w:t>
            </w:r>
          </w:p>
        </w:tc>
        <w:tc>
          <w:tcPr>
            <w:tcW w:w="100" w:type="dxa"/>
            <w:vAlign w:val="bottom"/>
          </w:tcPr>
          <w:p>
            <w:pPr>
              <w:spacing w:after="0"/>
              <w:rPr>
                <w:sz w:val="17"/>
                <w:szCs w:val="17"/>
                <w:color w:val="auto"/>
              </w:rPr>
            </w:pPr>
          </w:p>
        </w:tc>
      </w:tr>
      <w:tr>
        <w:trPr>
          <w:trHeight w:val="210"/>
        </w:trPr>
        <w:tc>
          <w:tcPr>
            <w:tcW w:w="7320" w:type="dxa"/>
            <w:vAlign w:val="bottom"/>
            <w:tcBorders>
              <w:bottom w:val="single" w:sz="8" w:color="A6A6A6"/>
            </w:tcBorders>
          </w:tcPr>
          <w:p>
            <w:pPr>
              <w:spacing w:after="0"/>
              <w:rPr>
                <w:sz w:val="20"/>
                <w:szCs w:val="20"/>
                <w:color w:val="auto"/>
              </w:rPr>
            </w:pPr>
            <w:r>
              <w:rPr>
                <w:rFonts w:ascii="Arial" w:cs="Arial" w:eastAsia="Arial" w:hAnsi="Arial"/>
                <w:sz w:val="16"/>
                <w:szCs w:val="16"/>
                <w:b w:val="1"/>
                <w:bCs w:val="1"/>
                <w:color w:val="004483"/>
              </w:rPr>
              <w:t>Investing Activities:</w:t>
            </w:r>
          </w:p>
        </w:tc>
        <w:tc>
          <w:tcPr>
            <w:tcW w:w="440" w:type="dxa"/>
            <w:vAlign w:val="bottom"/>
            <w:tcBorders>
              <w:bottom w:val="single" w:sz="8" w:color="A6A6A6"/>
            </w:tcBorders>
          </w:tcPr>
          <w:p>
            <w:pPr>
              <w:spacing w:after="0"/>
              <w:rPr>
                <w:sz w:val="18"/>
                <w:szCs w:val="18"/>
                <w:color w:val="auto"/>
              </w:rPr>
            </w:pPr>
          </w:p>
        </w:tc>
        <w:tc>
          <w:tcPr>
            <w:tcW w:w="132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320" w:type="dxa"/>
            <w:vAlign w:val="bottom"/>
          </w:tcPr>
          <w:p>
            <w:pPr>
              <w:ind w:left="260"/>
              <w:spacing w:after="0"/>
              <w:rPr>
                <w:sz w:val="20"/>
                <w:szCs w:val="20"/>
                <w:color w:val="auto"/>
              </w:rPr>
            </w:pPr>
            <w:r>
              <w:rPr>
                <w:rFonts w:ascii="Arial" w:cs="Arial" w:eastAsia="Arial" w:hAnsi="Arial"/>
                <w:sz w:val="16"/>
                <w:szCs w:val="16"/>
                <w:color w:val="004483"/>
              </w:rPr>
              <w:t>Additions to Property, Plant, and Equipment</w:t>
            </w:r>
          </w:p>
        </w:tc>
        <w:tc>
          <w:tcPr>
            <w:tcW w:w="4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6"/>
                <w:szCs w:val="16"/>
                <w:color w:val="auto"/>
              </w:rPr>
              <w:t>(40,676)</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(60,007)</w:t>
            </w:r>
          </w:p>
        </w:tc>
      </w:tr>
      <w:tr>
        <w:trPr>
          <w:trHeight w:val="20"/>
        </w:trPr>
        <w:tc>
          <w:tcPr>
            <w:tcW w:w="7320" w:type="dxa"/>
            <w:vAlign w:val="bottom"/>
            <w:shd w:val="clear" w:color="auto" w:fill="A6A6A6"/>
          </w:tcPr>
          <w:p>
            <w:pPr>
              <w:spacing w:after="0" w:line="20" w:lineRule="exact"/>
              <w:rPr>
                <w:sz w:val="1"/>
                <w:szCs w:val="1"/>
                <w:color w:val="auto"/>
              </w:rPr>
            </w:pPr>
          </w:p>
        </w:tc>
        <w:tc>
          <w:tcPr>
            <w:tcW w:w="440" w:type="dxa"/>
            <w:vAlign w:val="bottom"/>
            <w:shd w:val="clear" w:color="auto" w:fill="A6A6A6"/>
          </w:tcPr>
          <w:p>
            <w:pPr>
              <w:spacing w:after="0" w:line="20" w:lineRule="exact"/>
              <w:rPr>
                <w:sz w:val="1"/>
                <w:szCs w:val="1"/>
                <w:color w:val="auto"/>
              </w:rPr>
            </w:pPr>
          </w:p>
        </w:tc>
        <w:tc>
          <w:tcPr>
            <w:tcW w:w="13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108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20" w:type="dxa"/>
            <w:vAlign w:val="bottom"/>
          </w:tcPr>
          <w:p>
            <w:pPr>
              <w:ind w:left="260"/>
              <w:spacing w:after="0"/>
              <w:rPr>
                <w:sz w:val="20"/>
                <w:szCs w:val="20"/>
                <w:color w:val="auto"/>
              </w:rPr>
            </w:pPr>
            <w:r>
              <w:rPr>
                <w:rFonts w:ascii="Arial" w:cs="Arial" w:eastAsia="Arial" w:hAnsi="Arial"/>
                <w:sz w:val="16"/>
                <w:szCs w:val="16"/>
                <w:color w:val="004483"/>
              </w:rPr>
              <w:t>Acquisition Spending</w:t>
            </w:r>
          </w:p>
        </w:tc>
        <w:tc>
          <w:tcPr>
            <w:tcW w:w="4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(30,872)</w:t>
            </w:r>
          </w:p>
        </w:tc>
      </w:tr>
      <w:tr>
        <w:trPr>
          <w:trHeight w:val="210"/>
        </w:trPr>
        <w:tc>
          <w:tcPr>
            <w:tcW w:w="7320" w:type="dxa"/>
            <w:vAlign w:val="bottom"/>
            <w:tcBorders>
              <w:top w:val="single" w:sz="8" w:color="A6A6A6"/>
              <w:bottom w:val="single" w:sz="8" w:color="A6A6A6"/>
            </w:tcBorders>
          </w:tcPr>
          <w:p>
            <w:pPr>
              <w:ind w:left="260"/>
              <w:spacing w:after="0"/>
              <w:rPr>
                <w:sz w:val="20"/>
                <w:szCs w:val="20"/>
                <w:color w:val="auto"/>
              </w:rPr>
            </w:pPr>
            <w:r>
              <w:rPr>
                <w:rFonts w:ascii="Arial" w:cs="Arial" w:eastAsia="Arial" w:hAnsi="Arial"/>
                <w:sz w:val="16"/>
                <w:szCs w:val="16"/>
                <w:color w:val="004483"/>
              </w:rPr>
              <w:t>Proceeds from Sale of Businesses</w:t>
            </w:r>
          </w:p>
        </w:tc>
        <w:tc>
          <w:tcPr>
            <w:tcW w:w="440" w:type="dxa"/>
            <w:vAlign w:val="bottom"/>
            <w:tcBorders>
              <w:top w:val="single" w:sz="8" w:color="A6A6A6"/>
              <w:bottom w:val="single" w:sz="8" w:color="004483"/>
            </w:tcBorders>
          </w:tcPr>
          <w:p>
            <w:pPr>
              <w:spacing w:after="0"/>
              <w:rPr>
                <w:sz w:val="18"/>
                <w:szCs w:val="18"/>
                <w:color w:val="auto"/>
              </w:rPr>
            </w:pPr>
          </w:p>
        </w:tc>
        <w:tc>
          <w:tcPr>
            <w:tcW w:w="132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91,022</w:t>
            </w:r>
          </w:p>
        </w:tc>
        <w:tc>
          <w:tcPr>
            <w:tcW w:w="100" w:type="dxa"/>
            <w:vAlign w:val="bottom"/>
          </w:tcPr>
          <w:p>
            <w:pPr>
              <w:spacing w:after="0"/>
              <w:rPr>
                <w:sz w:val="18"/>
                <w:szCs w:val="18"/>
                <w:color w:val="auto"/>
              </w:rPr>
            </w:pPr>
          </w:p>
        </w:tc>
        <w:tc>
          <w:tcPr>
            <w:tcW w:w="180" w:type="dxa"/>
            <w:vAlign w:val="bottom"/>
            <w:tcBorders>
              <w:top w:val="single" w:sz="8" w:color="A6A6A6"/>
              <w:bottom w:val="single" w:sz="8" w:color="A6A6A6"/>
            </w:tcBorders>
          </w:tcPr>
          <w:p>
            <w:pPr>
              <w:spacing w:after="0"/>
              <w:rPr>
                <w:sz w:val="18"/>
                <w:szCs w:val="18"/>
                <w:color w:val="auto"/>
              </w:rPr>
            </w:pPr>
          </w:p>
        </w:tc>
        <w:tc>
          <w:tcPr>
            <w:tcW w:w="1080" w:type="dxa"/>
            <w:vAlign w:val="bottom"/>
            <w:tcBorders>
              <w:top w:val="single" w:sz="8" w:color="A6A6A6"/>
              <w:bottom w:val="single" w:sz="8" w:color="004483"/>
            </w:tcBorders>
          </w:tcPr>
          <w:p>
            <w:pPr>
              <w:spacing w:after="0"/>
              <w:rPr>
                <w:sz w:val="18"/>
                <w:szCs w:val="18"/>
                <w:color w:val="auto"/>
              </w:rPr>
            </w:pPr>
          </w:p>
        </w:tc>
        <w:tc>
          <w:tcPr>
            <w:tcW w:w="7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10"/>
        </w:trPr>
        <w:tc>
          <w:tcPr>
            <w:tcW w:w="7320" w:type="dxa"/>
            <w:vAlign w:val="bottom"/>
            <w:tcBorders>
              <w:bottom w:val="single" w:sz="8" w:color="A6A6A6"/>
            </w:tcBorders>
          </w:tcPr>
          <w:p>
            <w:pPr>
              <w:spacing w:after="0"/>
              <w:rPr>
                <w:sz w:val="20"/>
                <w:szCs w:val="20"/>
                <w:color w:val="auto"/>
              </w:rPr>
            </w:pPr>
            <w:r>
              <w:rPr>
                <w:rFonts w:ascii="Arial" w:cs="Arial" w:eastAsia="Arial" w:hAnsi="Arial"/>
                <w:sz w:val="16"/>
                <w:szCs w:val="16"/>
                <w:b w:val="1"/>
                <w:bCs w:val="1"/>
                <w:color w:val="004483"/>
              </w:rPr>
              <w:t>Net Cash Provided by (Used in) Investing Activities</w:t>
            </w:r>
          </w:p>
        </w:tc>
        <w:tc>
          <w:tcPr>
            <w:tcW w:w="440" w:type="dxa"/>
            <w:vAlign w:val="bottom"/>
            <w:tcBorders>
              <w:bottom w:val="single" w:sz="8" w:color="004483"/>
            </w:tcBorders>
          </w:tcPr>
          <w:p>
            <w:pPr>
              <w:spacing w:after="0"/>
              <w:rPr>
                <w:sz w:val="18"/>
                <w:szCs w:val="18"/>
                <w:color w:val="auto"/>
              </w:rPr>
            </w:pPr>
          </w:p>
        </w:tc>
        <w:tc>
          <w:tcPr>
            <w:tcW w:w="13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50,346</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80" w:type="dxa"/>
            <w:vAlign w:val="bottom"/>
            <w:tcBorders>
              <w:bottom w:val="single" w:sz="8" w:color="004483"/>
            </w:tcBorders>
          </w:tcPr>
          <w:p>
            <w:pPr>
              <w:spacing w:after="0"/>
              <w:rPr>
                <w:sz w:val="18"/>
                <w:szCs w:val="18"/>
                <w:color w:val="auto"/>
              </w:rPr>
            </w:pP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(90,879)</w:t>
            </w:r>
          </w:p>
        </w:tc>
        <w:tc>
          <w:tcPr>
            <w:tcW w:w="100" w:type="dxa"/>
            <w:vAlign w:val="bottom"/>
          </w:tcPr>
          <w:p>
            <w:pPr>
              <w:spacing w:after="0"/>
              <w:rPr>
                <w:sz w:val="18"/>
                <w:szCs w:val="18"/>
                <w:color w:val="auto"/>
              </w:rPr>
            </w:pPr>
          </w:p>
        </w:tc>
      </w:tr>
      <w:tr>
        <w:trPr>
          <w:trHeight w:val="210"/>
        </w:trPr>
        <w:tc>
          <w:tcPr>
            <w:tcW w:w="7320" w:type="dxa"/>
            <w:vAlign w:val="bottom"/>
            <w:tcBorders>
              <w:bottom w:val="single" w:sz="8" w:color="A6A6A6"/>
            </w:tcBorders>
          </w:tcPr>
          <w:p>
            <w:pPr>
              <w:spacing w:after="0"/>
              <w:rPr>
                <w:sz w:val="20"/>
                <w:szCs w:val="20"/>
                <w:color w:val="auto"/>
              </w:rPr>
            </w:pPr>
            <w:r>
              <w:rPr>
                <w:rFonts w:ascii="Arial" w:cs="Arial" w:eastAsia="Arial" w:hAnsi="Arial"/>
                <w:sz w:val="16"/>
                <w:szCs w:val="16"/>
                <w:b w:val="1"/>
                <w:bCs w:val="1"/>
                <w:color w:val="004483"/>
              </w:rPr>
              <w:t>Financing Activities:</w:t>
            </w:r>
          </w:p>
        </w:tc>
        <w:tc>
          <w:tcPr>
            <w:tcW w:w="440" w:type="dxa"/>
            <w:vAlign w:val="bottom"/>
            <w:tcBorders>
              <w:bottom w:val="single" w:sz="8" w:color="A6A6A6"/>
            </w:tcBorders>
          </w:tcPr>
          <w:p>
            <w:pPr>
              <w:spacing w:after="0"/>
              <w:rPr>
                <w:sz w:val="18"/>
                <w:szCs w:val="18"/>
                <w:color w:val="auto"/>
              </w:rPr>
            </w:pPr>
          </w:p>
        </w:tc>
        <w:tc>
          <w:tcPr>
            <w:tcW w:w="132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320" w:type="dxa"/>
            <w:vAlign w:val="bottom"/>
          </w:tcPr>
          <w:p>
            <w:pPr>
              <w:ind w:left="260"/>
              <w:spacing w:after="0"/>
              <w:rPr>
                <w:sz w:val="20"/>
                <w:szCs w:val="20"/>
                <w:color w:val="auto"/>
              </w:rPr>
            </w:pPr>
            <w:r>
              <w:rPr>
                <w:rFonts w:ascii="Arial" w:cs="Arial" w:eastAsia="Arial" w:hAnsi="Arial"/>
                <w:sz w:val="16"/>
                <w:szCs w:val="16"/>
                <w:color w:val="004483"/>
              </w:rPr>
              <w:t>Increase (Decrease) in Credit Facility</w:t>
            </w:r>
          </w:p>
        </w:tc>
        <w:tc>
          <w:tcPr>
            <w:tcW w:w="4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6"/>
                <w:szCs w:val="16"/>
                <w:color w:val="auto"/>
              </w:rPr>
              <w:t>(315,000)</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275,000</w:t>
            </w:r>
          </w:p>
        </w:tc>
        <w:tc>
          <w:tcPr>
            <w:tcW w:w="100" w:type="dxa"/>
            <w:vAlign w:val="bottom"/>
          </w:tcPr>
          <w:p>
            <w:pPr>
              <w:spacing w:after="0"/>
              <w:rPr>
                <w:sz w:val="18"/>
                <w:szCs w:val="18"/>
                <w:color w:val="auto"/>
              </w:rPr>
            </w:pPr>
          </w:p>
        </w:tc>
      </w:tr>
      <w:tr>
        <w:trPr>
          <w:trHeight w:val="20"/>
        </w:trPr>
        <w:tc>
          <w:tcPr>
            <w:tcW w:w="7320" w:type="dxa"/>
            <w:vAlign w:val="bottom"/>
            <w:shd w:val="clear" w:color="auto" w:fill="A6A6A6"/>
          </w:tcPr>
          <w:p>
            <w:pPr>
              <w:spacing w:after="0" w:line="20" w:lineRule="exact"/>
              <w:rPr>
                <w:sz w:val="1"/>
                <w:szCs w:val="1"/>
                <w:color w:val="auto"/>
              </w:rPr>
            </w:pPr>
          </w:p>
        </w:tc>
        <w:tc>
          <w:tcPr>
            <w:tcW w:w="440" w:type="dxa"/>
            <w:vAlign w:val="bottom"/>
            <w:shd w:val="clear" w:color="auto" w:fill="A6A6A6"/>
          </w:tcPr>
          <w:p>
            <w:pPr>
              <w:spacing w:after="0" w:line="20" w:lineRule="exact"/>
              <w:rPr>
                <w:sz w:val="1"/>
                <w:szCs w:val="1"/>
                <w:color w:val="auto"/>
              </w:rPr>
            </w:pPr>
          </w:p>
        </w:tc>
        <w:tc>
          <w:tcPr>
            <w:tcW w:w="13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108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20" w:type="dxa"/>
            <w:vAlign w:val="bottom"/>
          </w:tcPr>
          <w:p>
            <w:pPr>
              <w:ind w:left="260"/>
              <w:spacing w:after="0"/>
              <w:rPr>
                <w:sz w:val="20"/>
                <w:szCs w:val="20"/>
                <w:color w:val="auto"/>
              </w:rPr>
            </w:pPr>
            <w:r>
              <w:rPr>
                <w:rFonts w:ascii="Arial" w:cs="Arial" w:eastAsia="Arial" w:hAnsi="Arial"/>
                <w:sz w:val="16"/>
                <w:szCs w:val="16"/>
                <w:color w:val="004483"/>
              </w:rPr>
              <w:t>Dividends Paid to Stockholders</w:t>
            </w:r>
          </w:p>
        </w:tc>
        <w:tc>
          <w:tcPr>
            <w:tcW w:w="4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6"/>
                <w:szCs w:val="16"/>
                <w:color w:val="auto"/>
              </w:rPr>
              <w:t>(4,163)</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(8,815)</w:t>
            </w:r>
          </w:p>
        </w:tc>
      </w:tr>
      <w:tr>
        <w:trPr>
          <w:trHeight w:val="20"/>
        </w:trPr>
        <w:tc>
          <w:tcPr>
            <w:tcW w:w="7320" w:type="dxa"/>
            <w:vAlign w:val="bottom"/>
            <w:shd w:val="clear" w:color="auto" w:fill="A6A6A6"/>
          </w:tcPr>
          <w:p>
            <w:pPr>
              <w:spacing w:after="0" w:line="20" w:lineRule="exact"/>
              <w:rPr>
                <w:sz w:val="1"/>
                <w:szCs w:val="1"/>
                <w:color w:val="auto"/>
              </w:rPr>
            </w:pPr>
          </w:p>
        </w:tc>
        <w:tc>
          <w:tcPr>
            <w:tcW w:w="440" w:type="dxa"/>
            <w:vAlign w:val="bottom"/>
            <w:shd w:val="clear" w:color="auto" w:fill="A6A6A6"/>
          </w:tcPr>
          <w:p>
            <w:pPr>
              <w:spacing w:after="0" w:line="20" w:lineRule="exact"/>
              <w:rPr>
                <w:sz w:val="1"/>
                <w:szCs w:val="1"/>
                <w:color w:val="auto"/>
              </w:rPr>
            </w:pPr>
          </w:p>
        </w:tc>
        <w:tc>
          <w:tcPr>
            <w:tcW w:w="13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108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tcPr>
          <w:p>
            <w:pPr>
              <w:ind w:left="260"/>
              <w:spacing w:after="0"/>
              <w:rPr>
                <w:sz w:val="20"/>
                <w:szCs w:val="20"/>
                <w:color w:val="auto"/>
              </w:rPr>
            </w:pPr>
            <w:r>
              <w:rPr>
                <w:rFonts w:ascii="Arial" w:cs="Arial" w:eastAsia="Arial" w:hAnsi="Arial"/>
                <w:sz w:val="16"/>
                <w:szCs w:val="16"/>
                <w:color w:val="004483"/>
              </w:rPr>
              <w:t>Purchase and Retirement of Common Stock</w:t>
            </w:r>
          </w:p>
        </w:tc>
        <w:tc>
          <w:tcPr>
            <w:tcW w:w="4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(313,887)</w:t>
            </w:r>
          </w:p>
        </w:tc>
      </w:tr>
      <w:tr>
        <w:trPr>
          <w:trHeight w:val="209"/>
        </w:trPr>
        <w:tc>
          <w:tcPr>
            <w:tcW w:w="7320" w:type="dxa"/>
            <w:vAlign w:val="bottom"/>
            <w:tcBorders>
              <w:top w:val="single" w:sz="8" w:color="A6A6A6"/>
              <w:bottom w:val="single" w:sz="8" w:color="A6A6A6"/>
            </w:tcBorders>
          </w:tcPr>
          <w:p>
            <w:pPr>
              <w:ind w:left="260"/>
              <w:spacing w:after="0"/>
              <w:rPr>
                <w:sz w:val="20"/>
                <w:szCs w:val="20"/>
                <w:color w:val="auto"/>
              </w:rPr>
            </w:pPr>
            <w:r>
              <w:rPr>
                <w:rFonts w:ascii="Arial" w:cs="Arial" w:eastAsia="Arial" w:hAnsi="Arial"/>
                <w:sz w:val="16"/>
                <w:szCs w:val="16"/>
                <w:color w:val="004483"/>
              </w:rPr>
              <w:t>Proceeds from Stock Option Exercises</w:t>
            </w:r>
          </w:p>
        </w:tc>
        <w:tc>
          <w:tcPr>
            <w:tcW w:w="440" w:type="dxa"/>
            <w:vAlign w:val="bottom"/>
            <w:tcBorders>
              <w:top w:val="single" w:sz="8" w:color="A6A6A6"/>
              <w:bottom w:val="single" w:sz="8" w:color="A6A6A6"/>
            </w:tcBorders>
          </w:tcPr>
          <w:p>
            <w:pPr>
              <w:spacing w:after="0"/>
              <w:rPr>
                <w:sz w:val="18"/>
                <w:szCs w:val="18"/>
                <w:color w:val="auto"/>
              </w:rPr>
            </w:pPr>
          </w:p>
        </w:tc>
        <w:tc>
          <w:tcPr>
            <w:tcW w:w="13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498</w:t>
            </w:r>
          </w:p>
        </w:tc>
        <w:tc>
          <w:tcPr>
            <w:tcW w:w="100" w:type="dxa"/>
            <w:vAlign w:val="bottom"/>
          </w:tcPr>
          <w:p>
            <w:pPr>
              <w:spacing w:after="0"/>
              <w:rPr>
                <w:sz w:val="18"/>
                <w:szCs w:val="18"/>
                <w:color w:val="auto"/>
              </w:rPr>
            </w:pPr>
          </w:p>
        </w:tc>
        <w:tc>
          <w:tcPr>
            <w:tcW w:w="180" w:type="dxa"/>
            <w:vAlign w:val="bottom"/>
            <w:tcBorders>
              <w:top w:val="single" w:sz="8" w:color="A6A6A6"/>
              <w:bottom w:val="single" w:sz="8" w:color="A6A6A6"/>
            </w:tcBorders>
          </w:tcPr>
          <w:p>
            <w:pPr>
              <w:spacing w:after="0"/>
              <w:rPr>
                <w:sz w:val="18"/>
                <w:szCs w:val="18"/>
                <w:color w:val="auto"/>
              </w:rPr>
            </w:pPr>
          </w:p>
        </w:tc>
        <w:tc>
          <w:tcPr>
            <w:tcW w:w="1080" w:type="dxa"/>
            <w:vAlign w:val="bottom"/>
            <w:tcBorders>
              <w:top w:val="single" w:sz="8" w:color="A6A6A6"/>
              <w:bottom w:val="single" w:sz="8" w:color="A6A6A6"/>
            </w:tcBorders>
          </w:tcPr>
          <w:p>
            <w:pPr>
              <w:spacing w:after="0"/>
              <w:rPr>
                <w:sz w:val="18"/>
                <w:szCs w:val="18"/>
                <w:color w:val="auto"/>
              </w:rPr>
            </w:pPr>
          </w:p>
        </w:tc>
        <w:tc>
          <w:tcPr>
            <w:tcW w:w="7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1,767</w:t>
            </w:r>
          </w:p>
        </w:tc>
        <w:tc>
          <w:tcPr>
            <w:tcW w:w="100" w:type="dxa"/>
            <w:vAlign w:val="bottom"/>
          </w:tcPr>
          <w:p>
            <w:pPr>
              <w:spacing w:after="0"/>
              <w:rPr>
                <w:sz w:val="18"/>
                <w:szCs w:val="18"/>
                <w:color w:val="auto"/>
              </w:rPr>
            </w:pPr>
          </w:p>
        </w:tc>
      </w:tr>
      <w:tr>
        <w:trPr>
          <w:trHeight w:val="210"/>
        </w:trPr>
        <w:tc>
          <w:tcPr>
            <w:tcW w:w="7320" w:type="dxa"/>
            <w:vAlign w:val="bottom"/>
          </w:tcPr>
          <w:p>
            <w:pPr>
              <w:ind w:left="260"/>
              <w:spacing w:after="0"/>
              <w:rPr>
                <w:sz w:val="20"/>
                <w:szCs w:val="20"/>
                <w:color w:val="auto"/>
              </w:rPr>
            </w:pPr>
            <w:r>
              <w:rPr>
                <w:rFonts w:ascii="Arial" w:cs="Arial" w:eastAsia="Arial" w:hAnsi="Arial"/>
                <w:sz w:val="16"/>
                <w:szCs w:val="16"/>
                <w:color w:val="004483"/>
              </w:rPr>
              <w:t>Payment of Debt Issuance Costs</w:t>
            </w:r>
          </w:p>
        </w:tc>
        <w:tc>
          <w:tcPr>
            <w:tcW w:w="4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6"/>
                <w:szCs w:val="16"/>
                <w:color w:val="auto"/>
              </w:rPr>
              <w:t>(1,718)</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
        </w:trPr>
        <w:tc>
          <w:tcPr>
            <w:tcW w:w="7320" w:type="dxa"/>
            <w:vAlign w:val="bottom"/>
            <w:shd w:val="clear" w:color="auto" w:fill="A6A6A6"/>
          </w:tcPr>
          <w:p>
            <w:pPr>
              <w:spacing w:after="0" w:line="20" w:lineRule="exact"/>
              <w:rPr>
                <w:sz w:val="1"/>
                <w:szCs w:val="1"/>
                <w:color w:val="auto"/>
              </w:rPr>
            </w:pPr>
          </w:p>
        </w:tc>
        <w:tc>
          <w:tcPr>
            <w:tcW w:w="440" w:type="dxa"/>
            <w:vAlign w:val="bottom"/>
            <w:shd w:val="clear" w:color="auto" w:fill="A6A6A6"/>
          </w:tcPr>
          <w:p>
            <w:pPr>
              <w:spacing w:after="0" w:line="20" w:lineRule="exact"/>
              <w:rPr>
                <w:sz w:val="1"/>
                <w:szCs w:val="1"/>
                <w:color w:val="auto"/>
              </w:rPr>
            </w:pPr>
          </w:p>
        </w:tc>
        <w:tc>
          <w:tcPr>
            <w:tcW w:w="13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108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tcPr>
          <w:p>
            <w:pPr>
              <w:ind w:left="260"/>
              <w:spacing w:after="0"/>
              <w:rPr>
                <w:sz w:val="20"/>
                <w:szCs w:val="20"/>
                <w:color w:val="auto"/>
              </w:rPr>
            </w:pPr>
            <w:r>
              <w:rPr>
                <w:rFonts w:ascii="Arial" w:cs="Arial" w:eastAsia="Arial" w:hAnsi="Arial"/>
                <w:sz w:val="16"/>
                <w:szCs w:val="16"/>
                <w:color w:val="004483"/>
              </w:rPr>
              <w:t>Shares Redeemed to Settle Employee Taxes on Stock Compensation</w:t>
            </w:r>
          </w:p>
        </w:tc>
        <w:tc>
          <w:tcPr>
            <w:tcW w:w="4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6"/>
                <w:szCs w:val="16"/>
                <w:color w:val="auto"/>
              </w:rPr>
              <w:t>(1,130)</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(2,799)</w:t>
            </w:r>
          </w:p>
        </w:tc>
      </w:tr>
      <w:tr>
        <w:trPr>
          <w:trHeight w:val="210"/>
        </w:trPr>
        <w:tc>
          <w:tcPr>
            <w:tcW w:w="732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6"/>
                <w:szCs w:val="16"/>
                <w:b w:val="1"/>
                <w:bCs w:val="1"/>
                <w:color w:val="004483"/>
              </w:rPr>
              <w:t>Net Cash Provided by (Used in) Financing Activities</w:t>
            </w:r>
          </w:p>
        </w:tc>
        <w:tc>
          <w:tcPr>
            <w:tcW w:w="440" w:type="dxa"/>
            <w:vAlign w:val="bottom"/>
            <w:tcBorders>
              <w:top w:val="single" w:sz="8" w:color="004483"/>
              <w:bottom w:val="single" w:sz="8" w:color="004483"/>
            </w:tcBorders>
          </w:tcPr>
          <w:p>
            <w:pPr>
              <w:spacing w:after="0"/>
              <w:rPr>
                <w:sz w:val="18"/>
                <w:szCs w:val="18"/>
                <w:color w:val="auto"/>
              </w:rPr>
            </w:pPr>
          </w:p>
        </w:tc>
        <w:tc>
          <w:tcPr>
            <w:tcW w:w="13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(321,513)</w:t>
            </w:r>
          </w:p>
        </w:tc>
        <w:tc>
          <w:tcPr>
            <w:tcW w:w="100" w:type="dxa"/>
            <w:vAlign w:val="bottom"/>
          </w:tcPr>
          <w:p>
            <w:pPr>
              <w:spacing w:after="0"/>
              <w:rPr>
                <w:sz w:val="18"/>
                <w:szCs w:val="18"/>
                <w:color w:val="auto"/>
              </w:rPr>
            </w:pPr>
          </w:p>
        </w:tc>
        <w:tc>
          <w:tcPr>
            <w:tcW w:w="180" w:type="dxa"/>
            <w:vAlign w:val="bottom"/>
            <w:tcBorders>
              <w:top w:val="single" w:sz="8" w:color="A6A6A6"/>
              <w:bottom w:val="single" w:sz="8" w:color="A6A6A6"/>
            </w:tcBorders>
          </w:tcPr>
          <w:p>
            <w:pPr>
              <w:spacing w:after="0"/>
              <w:rPr>
                <w:sz w:val="18"/>
                <w:szCs w:val="18"/>
                <w:color w:val="auto"/>
              </w:rPr>
            </w:pPr>
          </w:p>
        </w:tc>
        <w:tc>
          <w:tcPr>
            <w:tcW w:w="1080" w:type="dxa"/>
            <w:vAlign w:val="bottom"/>
            <w:tcBorders>
              <w:top w:val="single" w:sz="8" w:color="004483"/>
              <w:bottom w:val="single" w:sz="8" w:color="004483"/>
            </w:tcBorders>
          </w:tcPr>
          <w:p>
            <w:pPr>
              <w:spacing w:after="0"/>
              <w:rPr>
                <w:sz w:val="18"/>
                <w:szCs w:val="18"/>
                <w:color w:val="auto"/>
              </w:rPr>
            </w:pPr>
          </w:p>
        </w:tc>
        <w:tc>
          <w:tcPr>
            <w:tcW w:w="7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(48,734)</w:t>
            </w:r>
          </w:p>
        </w:tc>
        <w:tc>
          <w:tcPr>
            <w:tcW w:w="100" w:type="dxa"/>
            <w:vAlign w:val="bottom"/>
          </w:tcPr>
          <w:p>
            <w:pPr>
              <w:spacing w:after="0"/>
              <w:rPr>
                <w:sz w:val="18"/>
                <w:szCs w:val="18"/>
                <w:color w:val="auto"/>
              </w:rPr>
            </w:pPr>
          </w:p>
        </w:tc>
      </w:tr>
      <w:tr>
        <w:trPr>
          <w:trHeight w:val="210"/>
        </w:trPr>
        <w:tc>
          <w:tcPr>
            <w:tcW w:w="7320" w:type="dxa"/>
            <w:vAlign w:val="bottom"/>
          </w:tcPr>
          <w:p>
            <w:pPr>
              <w:spacing w:after="0"/>
              <w:rPr>
                <w:sz w:val="20"/>
                <w:szCs w:val="20"/>
                <w:color w:val="auto"/>
              </w:rPr>
            </w:pPr>
            <w:r>
              <w:rPr>
                <w:rFonts w:ascii="Arial" w:cs="Arial" w:eastAsia="Arial" w:hAnsi="Arial"/>
                <w:sz w:val="16"/>
                <w:szCs w:val="16"/>
                <w:b w:val="1"/>
                <w:bCs w:val="1"/>
                <w:color w:val="004483"/>
              </w:rPr>
              <w:t>Net Increase in Cash, Cash Equivalents, and Restricted Cash</w:t>
            </w:r>
          </w:p>
        </w:tc>
        <w:tc>
          <w:tcPr>
            <w:tcW w:w="440" w:type="dxa"/>
            <w:vAlign w:val="bottom"/>
            <w:tcBorders>
              <w:bottom w:val="single" w:sz="8" w:color="004483"/>
            </w:tcBorders>
          </w:tcPr>
          <w:p>
            <w:pPr>
              <w:jc w:val="right"/>
              <w:ind w:right="284"/>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87,210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Borders>
              <w:bottom w:val="single" w:sz="8" w:color="004483"/>
            </w:tcBorders>
          </w:tcPr>
          <w:p>
            <w:pPr>
              <w:jc w:val="right"/>
              <w:ind w:right="924"/>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45,083</w:t>
            </w:r>
          </w:p>
        </w:tc>
        <w:tc>
          <w:tcPr>
            <w:tcW w:w="10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440" w:type="dxa"/>
            <w:vAlign w:val="bottom"/>
            <w:tcBorders>
              <w:bottom w:val="single" w:sz="8" w:color="004483"/>
            </w:tcBorders>
          </w:tcPr>
          <w:p>
            <w:pPr>
              <w:spacing w:after="0" w:line="20" w:lineRule="exact"/>
              <w:rPr>
                <w:sz w:val="1"/>
                <w:szCs w:val="1"/>
                <w:color w:val="auto"/>
              </w:rPr>
            </w:pPr>
          </w:p>
        </w:tc>
        <w:tc>
          <w:tcPr>
            <w:tcW w:w="13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004483"/>
            </w:tcBorders>
          </w:tcPr>
          <w:p>
            <w:pPr>
              <w:spacing w:after="0" w:line="20" w:lineRule="exact"/>
              <w:rPr>
                <w:sz w:val="1"/>
                <w:szCs w:val="1"/>
                <w:color w:val="auto"/>
              </w:rPr>
            </w:pPr>
          </w:p>
        </w:tc>
        <w:tc>
          <w:tcPr>
            <w:tcW w:w="7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37" w:name="page38"/>
    <w:bookmarkEnd w:id="37"/>
    <w:p>
      <w:pPr>
        <w:ind w:right="200"/>
        <w:spacing w:after="0" w:line="268" w:lineRule="auto"/>
        <w:rPr>
          <w:sz w:val="20"/>
          <w:szCs w:val="20"/>
          <w:color w:val="auto"/>
        </w:rPr>
      </w:pPr>
      <w:r>
        <w:rPr>
          <w:rFonts w:ascii="Arial" w:cs="Arial" w:eastAsia="Arial" w:hAnsi="Arial"/>
          <w:sz w:val="18"/>
          <w:szCs w:val="18"/>
          <w:color w:val="auto"/>
        </w:rPr>
        <w:t>Net Cash Provided by Operating Activities increased by $173.7 million to $358.4 million during the six months ended September 30, 2020. This increase was primarily attributable to higher Net Earnings, net of the Gain on Sale of Businesses, higher dividends from our Joint Venture, and a reduction in the change of working capital, which increased cash flows by approximately $18.0 million, $3.0 million, and $111.1 million, respectively. The change in working capital was primarily related to receiving an income tax refund of approximately $99.7 million that was included in receivables at March 31, 2020. Net Cash Provided by Operating Activities was also positively affected by $45.0 million from the reduction of deferred tax liabilities related to the sale of the Oil and Gas Proppants business.</w:t>
      </w:r>
    </w:p>
    <w:p>
      <w:pPr>
        <w:spacing w:after="0" w:line="9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Working capital declined by $23.2 million to $485.3 million at September 30, 2020, primarily due to lower Inventories and Income Tax Receivables of approximately $45.0 million and $99.7 million, respectively. This was partially offset by higher Accounts and Notes Receivable, Cash, and Restricted Cash of approximately $31.3 million, $82.3 million, and $5.0 million, respectively. The reduction in Inventory was due to increased Revenue and the seasonal nature of our business. The decrease in Income Tax Receivables and increase in Cash was due primarily to receiving our income tax refund during July 2020.</w:t>
      </w:r>
    </w:p>
    <w:p>
      <w:pPr>
        <w:spacing w:after="0" w:line="100"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color w:val="auto"/>
        </w:rPr>
        <w:t>The increase in Accounts and Notes Receivable at September 30, 2020, was primarily related to higher Revenue during the three months ended September 30, 2020, compared with the three months ended March 31, 2020. As a percentage of quarterly sales generated for the respective quarter, Accounts Receivable was approximately 40% at September 30, 2020 and 48% at March 31, 2020. Management measures the change in Accounts Receivable by monitoring the days sales outstanding on a monthly basis to determine if any deterioration has occurred in the collectability of the Accounts Receivable. No significant deterioration in the collectability of our Accounts Receivable was identified at September 30, 2020. Notes Receivable are monitored on an individual basis, and no significant deterioration in the collectability of our Notes Receivable was identified at September 30, 2020. We are closely monitoring the impact of COVID-19 on our customers’ ability to pay their outstanding balances.</w:t>
      </w:r>
    </w:p>
    <w:p>
      <w:pPr>
        <w:spacing w:after="0" w:line="102"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Our Inventory balance at September 30, 2020 declined by approximately $45.0 million from our balance at March 31, 2020. Within Inventory, raw materials and materials-in-progress, finished cement, and aggregates decreased approximately $26.1 million, $14.6 million, and $4.9 million, respectively. The decline in raw materials and materials-in-progress and cement is consistent with our business cycle: we generally build up clinker inventory over the winter months to meet the demand in the spring and summer. The reduction in aggregates inventory was primarily due to the sale of Western, which had approximately $5.1 million of aggregate inventory at the date of sale. The largest individual balance in our Inventory is our repair parts. These parts are necessary given the size and complexity of our manufacturing plants, as well as the age of certain of our plants, which creates the need to stock a high level of repair parts inventory. We believe all of these repair parts are necessary, and we perform semi-annual analyses to identify obsolete parts. We have less than one year’s sales of all product inventories, and our inventories have a low risk of obsolescence because our products are basic construction materials.</w:t>
      </w:r>
    </w:p>
    <w:p>
      <w:pPr>
        <w:spacing w:after="0" w:line="10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Net Cash Provided by Investing Activities during the three months ended September 30, 2020 was approximately $50.3 million, compared with Net Cash Used in Investing Activities of $90.9 million during the same period in 2019, an increase of approximately $141.2 million. The increase was primarily related to the $91.0 million of cash received for the sale of businesses, and reductions in capital spending and acquisition spending of $19.3 million and $30.9 million, respectively. The decrease in capital spending was due to our focus on limiting capital expenditures to critical maintenance and safety and regulatory projects as we manage our cash flow in response to COVID-19.</w:t>
      </w:r>
    </w:p>
    <w:p>
      <w:pPr>
        <w:spacing w:after="0" w:line="100"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color w:val="auto"/>
        </w:rPr>
        <w:t>Net Cash Used in Financing Activities was approximately $321.5 million during the six months ended September 30, 2020, compared with $48.7 million in the similar period in 2020. The $272.8 million increase was primarily due to the $315.0 million reduction in net borrowings compared with additional borrowings of $275.0 million in fiscal 2020, as well as a reduction of $313.9 million in repurchase and retirement of common stock.</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38" w:name="page39"/>
    <w:bookmarkEnd w:id="38"/>
    <w:p>
      <w:pPr>
        <w:ind w:right="280"/>
        <w:spacing w:after="0" w:line="277" w:lineRule="auto"/>
        <w:rPr>
          <w:sz w:val="20"/>
          <w:szCs w:val="20"/>
          <w:color w:val="auto"/>
        </w:rPr>
      </w:pPr>
      <w:r>
        <w:rPr>
          <w:rFonts w:ascii="Arial" w:cs="Arial" w:eastAsia="Arial" w:hAnsi="Arial"/>
          <w:sz w:val="18"/>
          <w:szCs w:val="18"/>
          <w:color w:val="auto"/>
        </w:rPr>
        <w:t>Our debt-to-capitalization ratio and net-debt-to-capitalization ratio were 51.9% and 47.6%, respectively, at September 30, 2020, compared with 61.7% and 60.0%, respectively, at March 31,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Financing Activities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Company’s debt facilities at September 30, 2020:</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260" w:type="dxa"/>
            <w:vAlign w:val="bottom"/>
            <w:tcBorders>
              <w:bottom w:val="single" w:sz="8" w:color="004483"/>
            </w:tcBorders>
          </w:tcPr>
          <w:p>
            <w:pPr>
              <w:spacing w:after="0"/>
              <w:rPr>
                <w:sz w:val="13"/>
                <w:szCs w:val="13"/>
                <w:color w:val="auto"/>
              </w:rPr>
            </w:pPr>
          </w:p>
        </w:tc>
        <w:tc>
          <w:tcPr>
            <w:tcW w:w="498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Maturity</w:t>
            </w:r>
          </w:p>
        </w:tc>
      </w:tr>
      <w:tr>
        <w:trPr>
          <w:trHeight w:val="207"/>
        </w:trPr>
        <w:tc>
          <w:tcPr>
            <w:tcW w:w="6260" w:type="dxa"/>
            <w:vAlign w:val="bottom"/>
            <w:tcBorders>
              <w:bottom w:val="single" w:sz="8" w:color="A6A6A6"/>
            </w:tcBorders>
          </w:tcPr>
          <w:p>
            <w:pPr>
              <w:spacing w:after="0"/>
              <w:rPr>
                <w:sz w:val="20"/>
                <w:szCs w:val="20"/>
                <w:color w:val="auto"/>
              </w:rPr>
            </w:pPr>
            <w:r>
              <w:rPr>
                <w:rFonts w:ascii="Arial" w:cs="Arial" w:eastAsia="Arial" w:hAnsi="Arial"/>
                <w:sz w:val="16"/>
                <w:szCs w:val="16"/>
                <w:color w:val="004483"/>
              </w:rPr>
              <w:t>Revolving Credit Facility</w:t>
            </w:r>
          </w:p>
        </w:tc>
        <w:tc>
          <w:tcPr>
            <w:tcW w:w="4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August 2022</w:t>
            </w:r>
          </w:p>
        </w:tc>
      </w:tr>
      <w:tr>
        <w:trPr>
          <w:trHeight w:val="210"/>
        </w:trPr>
        <w:tc>
          <w:tcPr>
            <w:tcW w:w="6260" w:type="dxa"/>
            <w:vAlign w:val="bottom"/>
            <w:tcBorders>
              <w:bottom w:val="single" w:sz="8" w:color="A6A6A6"/>
            </w:tcBorders>
          </w:tcPr>
          <w:p>
            <w:pPr>
              <w:spacing w:after="0"/>
              <w:rPr>
                <w:sz w:val="20"/>
                <w:szCs w:val="20"/>
                <w:color w:val="auto"/>
              </w:rPr>
            </w:pPr>
            <w:r>
              <w:rPr>
                <w:rFonts w:ascii="Arial" w:cs="Arial" w:eastAsia="Arial" w:hAnsi="Arial"/>
                <w:sz w:val="16"/>
                <w:szCs w:val="16"/>
                <w:color w:val="004483"/>
              </w:rPr>
              <w:t>4.500% Senior Unsecured Notes</w:t>
            </w:r>
          </w:p>
        </w:tc>
        <w:tc>
          <w:tcPr>
            <w:tcW w:w="4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August 2026</w:t>
            </w:r>
          </w:p>
        </w:tc>
      </w:tr>
      <w:tr>
        <w:trPr>
          <w:trHeight w:val="209"/>
        </w:trPr>
        <w:tc>
          <w:tcPr>
            <w:tcW w:w="6260" w:type="dxa"/>
            <w:vAlign w:val="bottom"/>
            <w:tcBorders>
              <w:bottom w:val="single" w:sz="8" w:color="A6A6A6"/>
            </w:tcBorders>
          </w:tcPr>
          <w:p>
            <w:pPr>
              <w:spacing w:after="0"/>
              <w:rPr>
                <w:sz w:val="20"/>
                <w:szCs w:val="20"/>
                <w:color w:val="auto"/>
              </w:rPr>
            </w:pPr>
            <w:r>
              <w:rPr>
                <w:rFonts w:ascii="Arial" w:cs="Arial" w:eastAsia="Arial" w:hAnsi="Arial"/>
                <w:sz w:val="16"/>
                <w:szCs w:val="16"/>
                <w:color w:val="004483"/>
              </w:rPr>
              <w:t>Term Loan</w:t>
            </w:r>
          </w:p>
        </w:tc>
        <w:tc>
          <w:tcPr>
            <w:tcW w:w="4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August 2022</w:t>
            </w:r>
          </w:p>
        </w:tc>
      </w:tr>
    </w:tbl>
    <w:p>
      <w:pPr>
        <w:spacing w:after="0" w:line="24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See Footnote (N) to the Unaudited Consolidated Financial Statements for further details on the Company’s debt facilities, including interest rate, and financial and other covenants and restrictions.</w:t>
      </w:r>
    </w:p>
    <w:p>
      <w:pPr>
        <w:spacing w:after="0" w:line="8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borrowing capacity or our Revolving Credit Facility is $750.0 million until August 2, 2021, after which the aggregate borrowing capacity will be reduced to $665.0 million. The Revolving Credit Facility also includes a swingline loan sublimit of $25.0 million, and a $40.0 million letter of credit facility. At September 30, 2020 we had $5.0 million of outstanding letters of credit. We previously provided an irrevocable stand-by letter of credit for any borrowings made by our Joint Venture under its credit facility; however, this credit facility was terminated and the letter of credit cancelled in July 2020. We are contingently liable for performance under $27.8 million in performance bonds relating primarily to our mining operations. We do not have any off-balance-sheet debt, or any outstanding debt guarantees.</w:t>
      </w:r>
    </w:p>
    <w:p>
      <w:pPr>
        <w:spacing w:after="0" w:line="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had $245.0 million of borrowing outstanding under the Revolving Credit Facility at September 30, 2020. We had $500.0 million of available borrowings under the Revolving Credit Facility, net of outstanding letters of credit, at September 30, 2020, all of which was available for future borrowings based on our current Leverage Ratio.</w:t>
      </w:r>
    </w:p>
    <w:p>
      <w:pPr>
        <w:spacing w:after="0" w:line="9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In addition to the Revolving Credit Facility, we have $200.9 million of cash on hand at September 30, 2020, giving us total liquidity of approximately $700.9 million (cash on hand plus Revolving Credit Facility availability).</w:t>
      </w:r>
    </w:p>
    <w:p>
      <w:pPr>
        <w:spacing w:after="0" w:line="89" w:lineRule="exact"/>
        <w:rPr>
          <w:sz w:val="20"/>
          <w:szCs w:val="20"/>
          <w:color w:val="auto"/>
        </w:rPr>
      </w:pPr>
    </w:p>
    <w:p>
      <w:pPr>
        <w:ind w:right="220"/>
        <w:spacing w:after="0" w:line="269" w:lineRule="auto"/>
        <w:rPr>
          <w:sz w:val="20"/>
          <w:szCs w:val="20"/>
          <w:color w:val="auto"/>
        </w:rPr>
      </w:pPr>
      <w:r>
        <w:rPr>
          <w:rFonts w:ascii="Arial" w:cs="Arial" w:eastAsia="Arial" w:hAnsi="Arial"/>
          <w:sz w:val="18"/>
          <w:szCs w:val="18"/>
          <w:color w:val="auto"/>
        </w:rPr>
        <w:t>Other than the Revolving Credit Facility, we have no other source of committed external financing in place. Should the Revolving Credit Facility be terminated, no assurance can be given as to our ability to secure a new source of financing. Consequently, if any balance were outstanding on the Revolving Credit Facility at the time of termination, and an alternative source of financing could not be secured, it would have a material adverse impact on our business. Our Revolving Credit Facility is not rated by the rating agencies.</w:t>
      </w:r>
    </w:p>
    <w:p>
      <w:pPr>
        <w:spacing w:after="0" w:line="9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believe that our cash flow from operations and available borrowings under our Revolving Credit Facility, as well as cash on hand, should be sufficient to meet our currently anticipated operating needs, capital expenditures, and debt service requirements for at least the next 12 months. However, our future liquidity and capital requirements may vary depending on a number of factors, including market conditions in the construction industry, our ability to maintain compliance with covenants in our Revolving Credit Facility, the level of competition, and general and economic factors beyond our control, such as the continuing impact COVID-19. These and other developments could reduce our cash flow or require that we seek additional sources of funding. We cannot predict what effect these factors will have on our future liquidity. See Market Conditions and Outlook on page 28 for further discussion of the possible effects of COVID-19 on our business.</w:t>
      </w:r>
    </w:p>
    <w:p>
      <w:pPr>
        <w:spacing w:after="0" w:line="9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As market conditions warrant, the Company may from time to time seek to purchase or repay its outstanding debt securities or loans, including the Term Loan, 4.500% Senior Unsecured Notes, and borrowings under the Revolving Credit Facility, in privately negotiated or open market transactions, by tender offer or otherwise. Subject to any applicable limitations contained in the agreements governing our indebtedness, any purchases made by us may be funded by the use of cash on our balance sheet or the incurrence of new debt. The amounts involved in any such purchase transactions, individually or in aggregate, may be material.</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9" w:name="page40"/>
    <w:bookmarkEnd w:id="39"/>
    <w:p>
      <w:pPr>
        <w:ind w:right="140"/>
        <w:spacing w:after="0" w:line="268" w:lineRule="auto"/>
        <w:rPr>
          <w:sz w:val="20"/>
          <w:szCs w:val="20"/>
          <w:color w:val="auto"/>
        </w:rPr>
      </w:pPr>
      <w:r>
        <w:rPr>
          <w:rFonts w:ascii="Arial" w:cs="Arial" w:eastAsia="Arial" w:hAnsi="Arial"/>
          <w:sz w:val="18"/>
          <w:szCs w:val="18"/>
          <w:color w:val="auto"/>
        </w:rPr>
        <w:t>We lease one of our cement plants from the city of Sugar Creek, Missouri. The city of Sugar Creek issued industrial revenue bonds to partly finance improvements to the cement plant. The lease payments due to the city of Sugar Creek under the cement plant lease, which was entered into upon the sale of the industrial revenue bonds, are equal in amount to the payments required to be made by the city of Sugar Creek to the holders of the industrial revenue bonds. Because we hold all outstanding industrial revenue bonds, no debt is reflected on our financial statements in connection with our lease of the cement plant. At the expiration of the lease in December 2020, we will exercise our option to purchase the cement plant for a nominal amount. We also have approximately $44.2 million of lease liabilities at September 30, 2020 that have an average remaining life of approximately 9.1 years.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Dividends</w:t>
      </w:r>
    </w:p>
    <w:p>
      <w:pPr>
        <w:spacing w:after="0" w:line="15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Dividends paid were $4.2 million and $8.8 million, respectively, for the six months ended September 30, 2020 and 2019. On April 13, 2020, we announced the suspension of future quarterly dividends.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 Repurchases</w:t>
      </w:r>
    </w:p>
    <w:p>
      <w:pPr>
        <w:spacing w:after="0" w:line="139" w:lineRule="exact"/>
        <w:rPr>
          <w:sz w:val="20"/>
          <w:szCs w:val="20"/>
          <w:color w:val="auto"/>
        </w:rPr>
      </w:pPr>
    </w:p>
    <w:p>
      <w:pPr>
        <w:jc w:val="both"/>
        <w:ind w:right="580"/>
        <w:spacing w:after="0" w:line="271" w:lineRule="auto"/>
        <w:rPr>
          <w:sz w:val="20"/>
          <w:szCs w:val="20"/>
          <w:color w:val="auto"/>
        </w:rPr>
      </w:pPr>
      <w:r>
        <w:rPr>
          <w:rFonts w:ascii="Arial" w:cs="Arial" w:eastAsia="Arial" w:hAnsi="Arial"/>
          <w:sz w:val="18"/>
          <w:szCs w:val="18"/>
          <w:color w:val="auto"/>
        </w:rPr>
        <w:t>On April 18, 2019, the Board of Directors authorized us to repurchase an additional 10.0 million shares. This authorization brought the cumulative total of Common Stock our Board has approved for repurchase in the open market to 48.4 million shares since we became publicly held in April 1994. Through September 30, 2020, we have repurchased approximately 41.1 million shares.</w:t>
      </w:r>
    </w:p>
    <w:p>
      <w:pPr>
        <w:spacing w:after="0" w:line="95" w:lineRule="exact"/>
        <w:rPr>
          <w:sz w:val="20"/>
          <w:szCs w:val="20"/>
          <w:color w:val="auto"/>
        </w:rPr>
      </w:pPr>
    </w:p>
    <w:p>
      <w:pPr>
        <w:ind w:right="140"/>
        <w:spacing w:after="0" w:line="269" w:lineRule="auto"/>
        <w:rPr>
          <w:sz w:val="20"/>
          <w:szCs w:val="20"/>
          <w:color w:val="auto"/>
        </w:rPr>
      </w:pPr>
      <w:r>
        <w:rPr>
          <w:rFonts w:ascii="Arial" w:cs="Arial" w:eastAsia="Arial" w:hAnsi="Arial"/>
          <w:sz w:val="18"/>
          <w:szCs w:val="18"/>
          <w:color w:val="auto"/>
        </w:rPr>
        <w:t>Share repurchases may be made from time to time in the open market or in privately negotiated transactions. The timing and amount of any share repurchases are determined by management, based on its evaluation of market and economic conditions and other factors. In some cases, repurchases may be made pursuant to plans, programs, or directions established from time to time by the Company’s management, including plans intended to comply with the safe-harbor provided by Rule 10b5-1.</w:t>
      </w:r>
    </w:p>
    <w:p>
      <w:pPr>
        <w:spacing w:after="0" w:line="98"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color w:val="auto"/>
        </w:rPr>
        <w:t>During the six months ended September 30, 2020, the Company withheld from employees 36,099 shares of stock upon the vesting of Restricted Shares that were granted under the Plan. We withheld these shares to satisfy the employees’ statutory tax withholding requirements, which is required once the Restricted Shares or Restricted Shares Units are vested.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Capital Expenditures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capital expenditures by category:</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19"/>
                <w:szCs w:val="19"/>
                <w:color w:val="auto"/>
              </w:rPr>
            </w:pPr>
          </w:p>
        </w:tc>
        <w:tc>
          <w:tcPr>
            <w:tcW w:w="440" w:type="dxa"/>
            <w:vAlign w:val="bottom"/>
            <w:shd w:val="clear" w:color="auto" w:fill="004483"/>
          </w:tcPr>
          <w:p>
            <w:pPr>
              <w:spacing w:after="0"/>
              <w:rPr>
                <w:sz w:val="19"/>
                <w:szCs w:val="19"/>
                <w:color w:val="auto"/>
              </w:rPr>
            </w:pPr>
          </w:p>
        </w:tc>
        <w:tc>
          <w:tcPr>
            <w:tcW w:w="2740" w:type="dxa"/>
            <w:vAlign w:val="bottom"/>
            <w:gridSpan w:val="4"/>
            <w:shd w:val="clear" w:color="auto" w:fill="004483"/>
          </w:tcPr>
          <w:p>
            <w:pPr>
              <w:jc w:val="right"/>
              <w:ind w:right="84"/>
              <w:spacing w:after="0"/>
              <w:rPr>
                <w:sz w:val="20"/>
                <w:szCs w:val="20"/>
                <w:color w:val="auto"/>
              </w:rPr>
            </w:pPr>
            <w:r>
              <w:rPr>
                <w:rFonts w:ascii="Arial" w:cs="Arial" w:eastAsia="Arial" w:hAnsi="Arial"/>
                <w:sz w:val="13"/>
                <w:szCs w:val="13"/>
                <w:b w:val="1"/>
                <w:bCs w:val="1"/>
                <w:color w:val="FFFFFF"/>
              </w:rPr>
              <w:t>For the Six Months Ended September 30,</w:t>
            </w:r>
          </w:p>
        </w:tc>
        <w:tc>
          <w:tcPr>
            <w:tcW w:w="640" w:type="dxa"/>
            <w:vAlign w:val="bottom"/>
            <w:shd w:val="clear" w:color="auto" w:fill="004483"/>
          </w:tcPr>
          <w:p>
            <w:pPr>
              <w:spacing w:after="0"/>
              <w:rPr>
                <w:sz w:val="19"/>
                <w:szCs w:val="19"/>
                <w:color w:val="auto"/>
              </w:rPr>
            </w:pPr>
          </w:p>
        </w:tc>
        <w:tc>
          <w:tcPr>
            <w:tcW w:w="100" w:type="dxa"/>
            <w:vAlign w:val="bottom"/>
            <w:shd w:val="clear" w:color="auto" w:fill="004483"/>
          </w:tcPr>
          <w:p>
            <w:pPr>
              <w:spacing w:after="0"/>
              <w:rPr>
                <w:sz w:val="19"/>
                <w:szCs w:val="19"/>
                <w:color w:val="auto"/>
              </w:rPr>
            </w:pPr>
          </w:p>
        </w:tc>
      </w:tr>
      <w:tr>
        <w:trPr>
          <w:trHeight w:val="148"/>
        </w:trPr>
        <w:tc>
          <w:tcPr>
            <w:tcW w:w="7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2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2"/>
                <w:szCs w:val="12"/>
                <w:color w:val="auto"/>
              </w:rPr>
            </w:pPr>
          </w:p>
        </w:tc>
      </w:tr>
      <w:tr>
        <w:trPr>
          <w:trHeight w:val="149"/>
        </w:trPr>
        <w:tc>
          <w:tcPr>
            <w:tcW w:w="7320" w:type="dxa"/>
            <w:vAlign w:val="bottom"/>
            <w:tcBorders>
              <w:bottom w:val="single" w:sz="8" w:color="004483"/>
            </w:tcBorders>
          </w:tcPr>
          <w:p>
            <w:pPr>
              <w:spacing w:after="0"/>
              <w:rPr>
                <w:sz w:val="12"/>
                <w:szCs w:val="12"/>
                <w:color w:val="auto"/>
              </w:rPr>
            </w:pPr>
          </w:p>
        </w:tc>
        <w:tc>
          <w:tcPr>
            <w:tcW w:w="440" w:type="dxa"/>
            <w:vAlign w:val="bottom"/>
            <w:tcBorders>
              <w:bottom w:val="single" w:sz="8" w:color="004483"/>
            </w:tcBorders>
          </w:tcPr>
          <w:p>
            <w:pPr>
              <w:spacing w:after="0"/>
              <w:rPr>
                <w:sz w:val="12"/>
                <w:szCs w:val="12"/>
                <w:color w:val="auto"/>
              </w:rPr>
            </w:pPr>
          </w:p>
        </w:tc>
        <w:tc>
          <w:tcPr>
            <w:tcW w:w="2740" w:type="dxa"/>
            <w:vAlign w:val="bottom"/>
            <w:tcBorders>
              <w:bottom w:val="single" w:sz="8" w:color="004483"/>
            </w:tcBorders>
            <w:gridSpan w:val="4"/>
          </w:tcPr>
          <w:p>
            <w:pPr>
              <w:jc w:val="right"/>
              <w:ind w:right="664"/>
              <w:spacing w:after="0"/>
              <w:rPr>
                <w:sz w:val="20"/>
                <w:szCs w:val="20"/>
                <w:color w:val="auto"/>
              </w:rPr>
            </w:pPr>
            <w:r>
              <w:rPr>
                <w:rFonts w:ascii="Arial" w:cs="Arial" w:eastAsia="Arial" w:hAnsi="Arial"/>
                <w:sz w:val="13"/>
                <w:szCs w:val="13"/>
                <w:color w:val="auto"/>
              </w:rPr>
              <w:t>(dollars in thousands)</w:t>
            </w:r>
          </w:p>
        </w:tc>
        <w:tc>
          <w:tcPr>
            <w:tcW w:w="640" w:type="dxa"/>
            <w:vAlign w:val="bottom"/>
            <w:tcBorders>
              <w:bottom w:val="single" w:sz="8" w:color="004483"/>
            </w:tcBorders>
          </w:tcPr>
          <w:p>
            <w:pPr>
              <w:spacing w:after="0"/>
              <w:rPr>
                <w:sz w:val="12"/>
                <w:szCs w:val="12"/>
                <w:color w:val="auto"/>
              </w:rPr>
            </w:pPr>
          </w:p>
        </w:tc>
        <w:tc>
          <w:tcPr>
            <w:tcW w:w="100" w:type="dxa"/>
            <w:vAlign w:val="bottom"/>
          </w:tcPr>
          <w:p>
            <w:pPr>
              <w:spacing w:after="0"/>
              <w:rPr>
                <w:sz w:val="12"/>
                <w:szCs w:val="12"/>
                <w:color w:val="auto"/>
              </w:rPr>
            </w:pPr>
          </w:p>
        </w:tc>
      </w:tr>
      <w:tr>
        <w:trPr>
          <w:trHeight w:val="206"/>
        </w:trPr>
        <w:tc>
          <w:tcPr>
            <w:tcW w:w="7320" w:type="dxa"/>
            <w:vAlign w:val="bottom"/>
            <w:tcBorders>
              <w:bottom w:val="single" w:sz="8" w:color="A6A6A6"/>
            </w:tcBorders>
          </w:tcPr>
          <w:p>
            <w:pPr>
              <w:spacing w:after="0"/>
              <w:rPr>
                <w:sz w:val="20"/>
                <w:szCs w:val="20"/>
                <w:color w:val="auto"/>
              </w:rPr>
            </w:pPr>
            <w:r>
              <w:rPr>
                <w:rFonts w:ascii="Arial" w:cs="Arial" w:eastAsia="Arial" w:hAnsi="Arial"/>
                <w:sz w:val="16"/>
                <w:szCs w:val="16"/>
                <w:color w:val="004483"/>
              </w:rPr>
              <w:t>Land and Quarries</w:t>
            </w:r>
          </w:p>
        </w:tc>
        <w:tc>
          <w:tcPr>
            <w:tcW w:w="440" w:type="dxa"/>
            <w:vAlign w:val="bottom"/>
            <w:tcBorders>
              <w:bottom w:val="single" w:sz="8" w:color="A6A6A6"/>
            </w:tcBorders>
          </w:tcPr>
          <w:p>
            <w:pPr>
              <w:jc w:val="right"/>
              <w:ind w:right="28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5,125</w:t>
            </w:r>
          </w:p>
        </w:tc>
        <w:tc>
          <w:tcPr>
            <w:tcW w:w="100" w:type="dxa"/>
            <w:vAlign w:val="bottom"/>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1140" w:type="dxa"/>
            <w:vAlign w:val="bottom"/>
            <w:tcBorders>
              <w:bottom w:val="single" w:sz="8" w:color="A6A6A6"/>
            </w:tcBorders>
          </w:tcPr>
          <w:p>
            <w:pPr>
              <w:jc w:val="right"/>
              <w:ind w:right="984"/>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17"/>
                <w:szCs w:val="17"/>
                <w:color w:val="auto"/>
              </w:rPr>
            </w:pPr>
          </w:p>
        </w:tc>
      </w:tr>
      <w:tr>
        <w:trPr>
          <w:trHeight w:val="210"/>
        </w:trPr>
        <w:tc>
          <w:tcPr>
            <w:tcW w:w="7320" w:type="dxa"/>
            <w:vAlign w:val="bottom"/>
            <w:tcBorders>
              <w:bottom w:val="single" w:sz="8" w:color="A6A6A6"/>
            </w:tcBorders>
          </w:tcPr>
          <w:p>
            <w:pPr>
              <w:spacing w:after="0"/>
              <w:rPr>
                <w:sz w:val="20"/>
                <w:szCs w:val="20"/>
                <w:color w:val="auto"/>
              </w:rPr>
            </w:pPr>
            <w:r>
              <w:rPr>
                <w:rFonts w:ascii="Arial" w:cs="Arial" w:eastAsia="Arial" w:hAnsi="Arial"/>
                <w:sz w:val="16"/>
                <w:szCs w:val="16"/>
                <w:color w:val="004483"/>
              </w:rPr>
              <w:t>Plants</w:t>
            </w:r>
          </w:p>
        </w:tc>
        <w:tc>
          <w:tcPr>
            <w:tcW w:w="440" w:type="dxa"/>
            <w:vAlign w:val="bottom"/>
            <w:tcBorders>
              <w:bottom w:val="single" w:sz="8" w:color="A6A6A6"/>
            </w:tcBorders>
          </w:tcPr>
          <w:p>
            <w:pPr>
              <w:spacing w:after="0"/>
              <w:rPr>
                <w:sz w:val="18"/>
                <w:szCs w:val="18"/>
                <w:color w:val="auto"/>
              </w:rPr>
            </w:pPr>
          </w:p>
        </w:tc>
        <w:tc>
          <w:tcPr>
            <w:tcW w:w="13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29,200</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140" w:type="dxa"/>
            <w:vAlign w:val="bottom"/>
            <w:tcBorders>
              <w:bottom w:val="single" w:sz="8" w:color="A6A6A6"/>
            </w:tcBorders>
          </w:tcPr>
          <w:p>
            <w:pPr>
              <w:spacing w:after="0"/>
              <w:rPr>
                <w:sz w:val="18"/>
                <w:szCs w:val="18"/>
                <w:color w:val="auto"/>
              </w:rPr>
            </w:pPr>
          </w:p>
        </w:tc>
        <w:tc>
          <w:tcPr>
            <w:tcW w:w="6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50,858</w:t>
            </w:r>
          </w:p>
        </w:tc>
        <w:tc>
          <w:tcPr>
            <w:tcW w:w="100" w:type="dxa"/>
            <w:vAlign w:val="bottom"/>
          </w:tcPr>
          <w:p>
            <w:pPr>
              <w:spacing w:after="0"/>
              <w:rPr>
                <w:sz w:val="18"/>
                <w:szCs w:val="18"/>
                <w:color w:val="auto"/>
              </w:rPr>
            </w:pPr>
          </w:p>
        </w:tc>
      </w:tr>
      <w:tr>
        <w:trPr>
          <w:trHeight w:val="210"/>
        </w:trPr>
        <w:tc>
          <w:tcPr>
            <w:tcW w:w="7320" w:type="dxa"/>
            <w:vAlign w:val="bottom"/>
            <w:tcBorders>
              <w:bottom w:val="single" w:sz="8" w:color="A6A6A6"/>
            </w:tcBorders>
          </w:tcPr>
          <w:p>
            <w:pPr>
              <w:spacing w:after="0"/>
              <w:rPr>
                <w:sz w:val="20"/>
                <w:szCs w:val="20"/>
                <w:color w:val="auto"/>
              </w:rPr>
            </w:pPr>
            <w:r>
              <w:rPr>
                <w:rFonts w:ascii="Arial" w:cs="Arial" w:eastAsia="Arial" w:hAnsi="Arial"/>
                <w:sz w:val="16"/>
                <w:szCs w:val="16"/>
                <w:color w:val="004483"/>
              </w:rPr>
              <w:t>Buildings, Machinery, and Equipment</w:t>
            </w:r>
          </w:p>
        </w:tc>
        <w:tc>
          <w:tcPr>
            <w:tcW w:w="440" w:type="dxa"/>
            <w:vAlign w:val="bottom"/>
            <w:tcBorders>
              <w:bottom w:val="single" w:sz="8" w:color="004483"/>
            </w:tcBorders>
          </w:tcPr>
          <w:p>
            <w:pPr>
              <w:spacing w:after="0"/>
              <w:rPr>
                <w:sz w:val="18"/>
                <w:szCs w:val="18"/>
                <w:color w:val="auto"/>
              </w:rPr>
            </w:pPr>
          </w:p>
        </w:tc>
        <w:tc>
          <w:tcPr>
            <w:tcW w:w="13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6,351</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140" w:type="dxa"/>
            <w:vAlign w:val="bottom"/>
            <w:tcBorders>
              <w:bottom w:val="single" w:sz="8" w:color="004483"/>
            </w:tcBorders>
          </w:tcPr>
          <w:p>
            <w:pPr>
              <w:spacing w:after="0"/>
              <w:rPr>
                <w:sz w:val="18"/>
                <w:szCs w:val="18"/>
                <w:color w:val="auto"/>
              </w:rPr>
            </w:pPr>
          </w:p>
        </w:tc>
        <w:tc>
          <w:tcPr>
            <w:tcW w:w="6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7,017</w:t>
            </w:r>
          </w:p>
        </w:tc>
        <w:tc>
          <w:tcPr>
            <w:tcW w:w="100" w:type="dxa"/>
            <w:vAlign w:val="bottom"/>
          </w:tcPr>
          <w:p>
            <w:pPr>
              <w:spacing w:after="0"/>
              <w:rPr>
                <w:sz w:val="18"/>
                <w:szCs w:val="18"/>
                <w:color w:val="auto"/>
              </w:rPr>
            </w:pPr>
          </w:p>
        </w:tc>
      </w:tr>
      <w:tr>
        <w:trPr>
          <w:trHeight w:val="210"/>
        </w:trPr>
        <w:tc>
          <w:tcPr>
            <w:tcW w:w="7320" w:type="dxa"/>
            <w:vAlign w:val="bottom"/>
          </w:tcPr>
          <w:p>
            <w:pPr>
              <w:ind w:left="140"/>
              <w:spacing w:after="0"/>
              <w:rPr>
                <w:sz w:val="20"/>
                <w:szCs w:val="20"/>
                <w:color w:val="auto"/>
              </w:rPr>
            </w:pPr>
            <w:r>
              <w:rPr>
                <w:rFonts w:ascii="Arial" w:cs="Arial" w:eastAsia="Arial" w:hAnsi="Arial"/>
                <w:sz w:val="16"/>
                <w:szCs w:val="16"/>
                <w:b w:val="1"/>
                <w:bCs w:val="1"/>
                <w:color w:val="004483"/>
              </w:rPr>
              <w:t>Total Capital Expenditures</w:t>
            </w:r>
          </w:p>
        </w:tc>
        <w:tc>
          <w:tcPr>
            <w:tcW w:w="440" w:type="dxa"/>
            <w:vAlign w:val="bottom"/>
            <w:tcBorders>
              <w:bottom w:val="single" w:sz="8" w:color="004483"/>
            </w:tcBorders>
          </w:tcPr>
          <w:p>
            <w:pPr>
              <w:jc w:val="right"/>
              <w:ind w:right="284"/>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40,676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Borders>
              <w:bottom w:val="single" w:sz="8" w:color="004483"/>
            </w:tcBorders>
          </w:tcPr>
          <w:p>
            <w:pPr>
              <w:jc w:val="right"/>
              <w:ind w:right="984"/>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62,875</w:t>
            </w:r>
          </w:p>
        </w:tc>
        <w:tc>
          <w:tcPr>
            <w:tcW w:w="10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440" w:type="dxa"/>
            <w:vAlign w:val="bottom"/>
            <w:tcBorders>
              <w:bottom w:val="single" w:sz="8" w:color="004483"/>
            </w:tcBorders>
          </w:tcPr>
          <w:p>
            <w:pPr>
              <w:spacing w:after="0" w:line="20" w:lineRule="exact"/>
              <w:rPr>
                <w:sz w:val="1"/>
                <w:szCs w:val="1"/>
                <w:color w:val="auto"/>
              </w:rPr>
            </w:pPr>
          </w:p>
        </w:tc>
        <w:tc>
          <w:tcPr>
            <w:tcW w:w="13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6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360"/>
        <w:spacing w:after="0" w:line="271" w:lineRule="auto"/>
        <w:rPr>
          <w:sz w:val="20"/>
          <w:szCs w:val="20"/>
          <w:color w:val="auto"/>
        </w:rPr>
      </w:pPr>
      <w:r>
        <w:rPr>
          <w:rFonts w:ascii="Arial" w:cs="Arial" w:eastAsia="Arial" w:hAnsi="Arial"/>
          <w:sz w:val="18"/>
          <w:szCs w:val="18"/>
          <w:color w:val="auto"/>
        </w:rPr>
        <w:t>Capital expenditures for fiscal 2021 are expected to range from $60.0 million to $70.0 million and will be allocated across the Heavy and Light Materials sectors. These estimated capital expenditures are limited to critical maintenance and safety and regulatory projects as we manage our cash flow in response to the COVID-19 pandemic.</w:t>
      </w:r>
    </w:p>
    <w:p>
      <w:pPr>
        <w:spacing w:after="0" w:line="95"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The capital expenditures for the six months ended September 30, 2019 disclosed above differs from the capital expenditures on the Unaudited Consolidated Statement of Cash Flows. It includes $2.9 million of capital expenditures that were accrued at September 30, 2019 and therefore not included in the Statement of Cash Flows.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0" w:name="page41"/>
    <w:bookmarkEnd w:id="40"/>
    <w:p>
      <w:pPr>
        <w:spacing w:after="0"/>
        <w:rPr>
          <w:sz w:val="20"/>
          <w:szCs w:val="20"/>
          <w:color w:val="auto"/>
        </w:rPr>
      </w:pPr>
      <w:r>
        <w:rPr>
          <w:rFonts w:ascii="Arial" w:cs="Arial" w:eastAsia="Arial" w:hAnsi="Arial"/>
          <w:sz w:val="23"/>
          <w:szCs w:val="23"/>
          <w:b w:val="1"/>
          <w:bCs w:val="1"/>
          <w:color w:val="auto"/>
        </w:rPr>
        <w:t>Item 3. Quantitative and Qualitative Disclosures About Market Risk</w:t>
      </w:r>
    </w:p>
    <w:p>
      <w:pPr>
        <w:spacing w:after="0" w:line="16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are exposed to market risks related to fluctuations in interest rates on our Revolving Credit Facility and Term Loan. We have occasionally utilized derivative instruments, including interest rate swaps, in conjunction with our overall strategy to manage the debt outstanding that is subject to changes in interest rates. We have a $750.0 million Revolving Credit Facility and an outstanding Term Loan at September 30, 2020, under which borrowings bear interest at a variable rate. A hypothetical 100 basis point increase in interest rates on the $910.0 million of borrowings under the Revolving Credit Facility and Term Loan at September 30, 2020 would increase interest expense by approximately $9.1 million on an annual basis. At present, we do not utilize derivative financial instruments.</w:t>
      </w:r>
    </w:p>
    <w:p>
      <w:pPr>
        <w:spacing w:after="0" w:line="9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are subject to commodity risk with respect to price changes principally in coal, coke, natural gas, and power. We attempt to limit our exposure to changes in commodity prices by entering into contracts or increasing our use of alternative fuels.</w:t>
      </w:r>
    </w:p>
    <w:p>
      <w:pPr>
        <w:spacing w:after="0" w:line="17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4. Controls and Procedures</w:t>
      </w:r>
    </w:p>
    <w:p>
      <w:pPr>
        <w:spacing w:after="0" w:line="163"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have established a system of disclosure controls and procedures that are designed to ensure that information relating to the Company, which is required to be disclosed by us in the reports that we file or submit under the Securities Exchange Act of 1934 (Exchange Act), is recorded, processed, summarized, and reported within the time periods specified by the SEC’s rules and forms, and that such information is accumulated and communicated to management, including our Chief Executive Officer and Chief Financial Officer, in a timely fashion. An evaluation of the effectiveness of the design and operation of our disclosure controls and procedures (as defined in Rule 13a-15(e) under the Exchange Act) was performed as of the end of the period covered by this quarterly report. This evaluation was performed under the supervision and with the participation of management, including our CEO and CFO. Based upon that evaluation, our CEO and CFO have concluded that these disclosure controls and procedures were effective.</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59" w:right="379" w:bottom="1440" w:gutter="0" w:footer="0" w:header="0"/>
        </w:sectPr>
      </w:pPr>
    </w:p>
    <w:bookmarkStart w:id="41" w:name="page42"/>
    <w:bookmarkEnd w:id="41"/>
    <w:p>
      <w:pPr>
        <w:spacing w:after="0"/>
        <w:rPr>
          <w:sz w:val="20"/>
          <w:szCs w:val="20"/>
          <w:color w:val="auto"/>
        </w:rPr>
      </w:pPr>
      <w:r>
        <w:rPr>
          <w:rFonts w:ascii="Arial" w:cs="Arial" w:eastAsia="Arial" w:hAnsi="Arial"/>
          <w:sz w:val="23"/>
          <w:szCs w:val="23"/>
          <w:b w:val="1"/>
          <w:bCs w:val="1"/>
          <w:color w:val="auto"/>
        </w:rPr>
        <w:t>PART II. OTHER INFORMATION</w:t>
      </w:r>
    </w:p>
    <w:p>
      <w:pPr>
        <w:spacing w:after="0" w:line="14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 Legal Proceedings</w:t>
      </w:r>
    </w:p>
    <w:p>
      <w:pPr>
        <w:spacing w:after="0" w:line="163" w:lineRule="exact"/>
        <w:rPr>
          <w:sz w:val="20"/>
          <w:szCs w:val="20"/>
          <w:color w:val="auto"/>
        </w:rPr>
      </w:pPr>
    </w:p>
    <w:p>
      <w:pPr>
        <w:ind w:right="100"/>
        <w:spacing w:after="0" w:line="288" w:lineRule="auto"/>
        <w:rPr>
          <w:sz w:val="20"/>
          <w:szCs w:val="20"/>
          <w:color w:val="auto"/>
        </w:rPr>
      </w:pPr>
      <w:r>
        <w:rPr>
          <w:rFonts w:ascii="Arial" w:cs="Arial" w:eastAsia="Arial" w:hAnsi="Arial"/>
          <w:sz w:val="17"/>
          <w:szCs w:val="17"/>
          <w:color w:val="auto"/>
        </w:rPr>
        <w:t>We are party to certain legal actions arising from the ordinary course of business. In addition, our operations and properties are subject to extensive and changing federal, state, and local laws; regulations and ordinances governing the protection of the environment; as well as laws relating to worker health and workplace safety. We carefully consider these potential liabilities and the requirements mandated by such laws and regulations and have procedures in place at all of our operating units to monitor compliance. Any matters which are identified as potential exposures under these laws and regulations are carefully reviewed by management to determine our potential liability.</w:t>
      </w:r>
    </w:p>
    <w:p>
      <w:pPr>
        <w:spacing w:after="0" w:line="16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1A. Risk Factors</w:t>
      </w:r>
    </w:p>
    <w:p>
      <w:pPr>
        <w:spacing w:after="0" w:line="150"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For additional information regarding factors that could impact our results of operations, financial condition, and liquidity, see Part 1. Item 1A. Risk Factors in our Form 10-K for the fiscal year ended March 31, 2020, filed with the Securities and Exchange Commission on May 22, 2020.</w:t>
      </w:r>
    </w:p>
    <w:p>
      <w:pPr>
        <w:spacing w:after="0" w:line="90"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i w:val="1"/>
          <w:iCs w:val="1"/>
          <w:color w:val="004483"/>
        </w:rPr>
        <w:t>The COVID-19 pandemic has caused severe disruptions in the U.S. and global economies. Although the extent of its impact continues to be highly uncertain, we believe the pandemic and the response to it are likely to negatively affect demand for our products and could have a material adverse effect on our business, operations, financial condition and results of operations.</w:t>
      </w:r>
    </w:p>
    <w:p>
      <w:pPr>
        <w:spacing w:after="0" w:line="85"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On March 11, 2020, the World Health Organization declared the outbreak of COVID-19, which began spreading globally in late 2019, a global pandemic and recommended containment and mitigation measures worldwide. On March 13, 2020, the United States declared a national emergency arising from the COVID-19 pandemic, and several states and municipalities declared public health emergencies. Since the time of these initial declarations, international, federal, state, and local public health and governmental authorities have taken extraordinary and wide-ranging measures to contain and combat the outbreak and spread of COVID-19, including quarantines, “shelter-in-place” orders, and mandates and recommendations for individuals to substantially restrict daily activities and for many businesses to curtail or cease normal operations. Some of these measures have now been lifted or modified, but others have been extended or remain in place. Moreover, despite these measures, COVID-19 has continued to spread in many areas within the United States, with a number of states currently experiencing the highest level of new cases since the start of the pandemic and other states beginning to experience a “second wave” of cases.</w:t>
      </w:r>
    </w:p>
    <w:p>
      <w:pPr>
        <w:spacing w:after="0" w:line="10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To date, we have not been materially affected by governmental orders requiring businesses to curtail or cease normal operations. We are continuing to operate as an essential business in virtually all of the markets we serve. There can be no assurance, however, that new restrictions will not be adopted that would limit or restrict the scope of our operations. In addition, the COVID-19 pandemic and responses thereto designed to contain its spread and mitigate its public health effects could have a negative impact on several areas affecting our business, including the following:</w:t>
      </w:r>
    </w:p>
    <w:p>
      <w:pPr>
        <w:spacing w:after="0" w:line="100" w:lineRule="exact"/>
        <w:rPr>
          <w:sz w:val="20"/>
          <w:szCs w:val="20"/>
          <w:color w:val="auto"/>
        </w:rPr>
      </w:pPr>
    </w:p>
    <w:p>
      <w:pPr>
        <w:ind w:left="1200" w:right="120" w:hanging="396"/>
        <w:spacing w:after="0" w:line="268" w:lineRule="auto"/>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COVID-19 pandemic has resulted in adverse macroeconomic conditions that have the potential to affect demand for our products in the principal markets in which we operate. For example, the pandemic and responses thereto have resulted in significant job losses and substantial decreases in consumer confidence in many of the markets in which we operate. Consequently, it is likely that the COVID-19 pandemic will negatively affect demand for our products in current or future periods.</w:t>
      </w:r>
    </w:p>
    <w:p>
      <w:pPr>
        <w:spacing w:after="0" w:line="99" w:lineRule="exact"/>
        <w:rPr>
          <w:rFonts w:ascii="Arial" w:cs="Arial" w:eastAsia="Arial" w:hAnsi="Arial"/>
          <w:sz w:val="18"/>
          <w:szCs w:val="18"/>
          <w:color w:val="auto"/>
        </w:rPr>
      </w:pPr>
    </w:p>
    <w:p>
      <w:pPr>
        <w:ind w:left="1200" w:hanging="396"/>
        <w:spacing w:after="0" w:line="277" w:lineRule="auto"/>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pandemic is likely to have a significant effect on state and local government revenues and construction budgets, and may result in delays, cancellations or curtailment of construction projects.</w:t>
      </w:r>
    </w:p>
    <w:p>
      <w:pPr>
        <w:spacing w:after="0" w:line="89" w:lineRule="exact"/>
        <w:rPr>
          <w:rFonts w:ascii="Arial" w:cs="Arial" w:eastAsia="Arial" w:hAnsi="Arial"/>
          <w:sz w:val="18"/>
          <w:szCs w:val="18"/>
          <w:color w:val="auto"/>
        </w:rPr>
      </w:pPr>
    </w:p>
    <w:p>
      <w:pPr>
        <w:ind w:left="1200" w:hanging="396"/>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pandemic could result in delays in collecting on certain of our accounts receivable from our customers.</w:t>
      </w: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59" w:right="379" w:bottom="1440" w:gutter="0" w:footer="0" w:header="0"/>
        </w:sectPr>
      </w:pPr>
    </w:p>
    <w:bookmarkStart w:id="42" w:name="page43"/>
    <w:bookmarkEnd w:id="42"/>
    <w:p>
      <w:pPr>
        <w:ind w:left="1200" w:right="20" w:hanging="396"/>
        <w:spacing w:after="0" w:line="271"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pandemic could result in increased costs associated with compliance with new government regulations or restrictions, such as quarantines or social distancing mandates or new workplace safety measures, which may affect our operations in one or more of the markets in which we operate.</w:t>
      </w:r>
    </w:p>
    <w:p>
      <w:pPr>
        <w:spacing w:after="0" w:line="95" w:lineRule="exact"/>
        <w:rPr>
          <w:rFonts w:ascii="Arial" w:cs="Arial" w:eastAsia="Arial" w:hAnsi="Arial"/>
          <w:sz w:val="18"/>
          <w:szCs w:val="18"/>
          <w:color w:val="auto"/>
        </w:rPr>
      </w:pPr>
    </w:p>
    <w:p>
      <w:pPr>
        <w:jc w:val="both"/>
        <w:ind w:left="1200" w:right="140" w:hanging="396"/>
        <w:spacing w:after="0" w:line="271"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pandemic has resulted, and may continue to result, in fluctuations in equity market prices (including that of our Common Stock), interest rates and credit spreads, which may limit our ability to raise or deploy capital and implement our future plans, including our planned separation of our Heavy Materials and Light Materials businesses.</w:t>
      </w:r>
    </w:p>
    <w:p>
      <w:pPr>
        <w:spacing w:after="0" w:line="95" w:lineRule="exact"/>
        <w:rPr>
          <w:rFonts w:ascii="Arial" w:cs="Arial" w:eastAsia="Arial" w:hAnsi="Arial"/>
          <w:sz w:val="18"/>
          <w:szCs w:val="18"/>
          <w:color w:val="auto"/>
        </w:rPr>
      </w:pPr>
    </w:p>
    <w:p>
      <w:pPr>
        <w:ind w:left="1200" w:right="800" w:hanging="396"/>
        <w:spacing w:after="0" w:line="277"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Finally, the pandemic may have other negative impacts on our operations, supply chain, transportation networks and customers, which we may not be able to anticipate or respond to effectively.</w:t>
      </w:r>
    </w:p>
    <w:p>
      <w:pPr>
        <w:spacing w:after="0" w:line="200" w:lineRule="exact"/>
        <w:rPr>
          <w:sz w:val="20"/>
          <w:szCs w:val="20"/>
          <w:color w:val="auto"/>
        </w:rPr>
      </w:pPr>
    </w:p>
    <w:p>
      <w:pPr>
        <w:spacing w:after="0" w:line="227"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We are continuing to monitor the COVID-19 pandemic and its likely effects. The timing of these effects is not expected to be uniform, with some effects having a short-term impact and others likely to be felt for a number of years. In general, the extent to which the COVID-19 pandemic will ultimately impact our business, operations, financial condition and results of operations will depend on numerous factors, which are highly uncertain, rapidly changing and cannot be predicted. These factors include:</w:t>
      </w:r>
    </w:p>
    <w:p>
      <w:pPr>
        <w:spacing w:after="0" w:line="98" w:lineRule="exact"/>
        <w:rPr>
          <w:sz w:val="20"/>
          <w:szCs w:val="20"/>
          <w:color w:val="auto"/>
        </w:rPr>
      </w:pPr>
    </w:p>
    <w:p>
      <w:pPr>
        <w:ind w:left="1200" w:hanging="396"/>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duration and scope of the outbreak;</w:t>
      </w:r>
    </w:p>
    <w:p>
      <w:pPr>
        <w:spacing w:after="0" w:line="130" w:lineRule="exact"/>
        <w:rPr>
          <w:rFonts w:ascii="Arial" w:cs="Arial" w:eastAsia="Arial" w:hAnsi="Arial"/>
          <w:sz w:val="18"/>
          <w:szCs w:val="18"/>
          <w:color w:val="auto"/>
        </w:rPr>
      </w:pPr>
    </w:p>
    <w:p>
      <w:pPr>
        <w:ind w:left="1200" w:hanging="396"/>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governmental, business and individual actions that have been and continue to be taken in response to the outbreak;</w:t>
      </w:r>
    </w:p>
    <w:p>
      <w:pPr>
        <w:spacing w:after="0" w:line="130" w:lineRule="exact"/>
        <w:rPr>
          <w:rFonts w:ascii="Arial" w:cs="Arial" w:eastAsia="Arial" w:hAnsi="Arial"/>
          <w:sz w:val="18"/>
          <w:szCs w:val="18"/>
          <w:color w:val="auto"/>
        </w:rPr>
      </w:pPr>
    </w:p>
    <w:p>
      <w:pPr>
        <w:ind w:left="1200" w:hanging="396"/>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 of the outbreak on our customers, suppliers, supply chain, and other business partners;</w:t>
      </w:r>
    </w:p>
    <w:p>
      <w:pPr>
        <w:spacing w:after="0" w:line="130" w:lineRule="exact"/>
        <w:rPr>
          <w:rFonts w:ascii="Arial" w:cs="Arial" w:eastAsia="Arial" w:hAnsi="Arial"/>
          <w:sz w:val="18"/>
          <w:szCs w:val="18"/>
          <w:color w:val="auto"/>
        </w:rPr>
      </w:pPr>
    </w:p>
    <w:p>
      <w:pPr>
        <w:ind w:left="1200" w:right="600" w:hanging="396"/>
        <w:spacing w:after="0" w:line="277" w:lineRule="auto"/>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during the outbreak to continue to carry out our manufacturing operations in an efficient manner, while taking measures to protect the health and well-being of our employees;</w:t>
      </w:r>
    </w:p>
    <w:p>
      <w:pPr>
        <w:spacing w:after="0" w:line="89" w:lineRule="exact"/>
        <w:rPr>
          <w:rFonts w:ascii="Arial" w:cs="Arial" w:eastAsia="Arial" w:hAnsi="Arial"/>
          <w:sz w:val="18"/>
          <w:szCs w:val="18"/>
          <w:color w:val="auto"/>
        </w:rPr>
      </w:pPr>
    </w:p>
    <w:p>
      <w:pPr>
        <w:ind w:left="1200" w:hanging="396"/>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willingness and ability of our customers to order and pay for our products during and following the outbreak; and</w:t>
      </w:r>
    </w:p>
    <w:p>
      <w:pPr>
        <w:spacing w:after="0" w:line="130" w:lineRule="exact"/>
        <w:rPr>
          <w:rFonts w:ascii="Arial" w:cs="Arial" w:eastAsia="Arial" w:hAnsi="Arial"/>
          <w:sz w:val="18"/>
          <w:szCs w:val="18"/>
          <w:color w:val="auto"/>
        </w:rPr>
      </w:pPr>
    </w:p>
    <w:p>
      <w:pPr>
        <w:ind w:left="1200" w:hanging="396"/>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the outbreak on the financial markets and economic activity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above uncertainties surrounding the COVID-19 pandemic also make it more challenging for our management to estimate the future performance of our business and develop strategies to generate growth or achieve our objectives for fiscal 2021 and future periods.</w:t>
      </w:r>
    </w:p>
    <w:p>
      <w:pPr>
        <w:spacing w:after="0" w:line="89" w:lineRule="exact"/>
        <w:rPr>
          <w:sz w:val="20"/>
          <w:szCs w:val="20"/>
          <w:color w:val="auto"/>
        </w:rPr>
      </w:pPr>
    </w:p>
    <w:p>
      <w:pPr>
        <w:ind w:right="240"/>
        <w:spacing w:after="0" w:line="269" w:lineRule="auto"/>
        <w:rPr>
          <w:sz w:val="20"/>
          <w:szCs w:val="20"/>
          <w:color w:val="auto"/>
        </w:rPr>
      </w:pPr>
      <w:r>
        <w:rPr>
          <w:rFonts w:ascii="Arial" w:cs="Arial" w:eastAsia="Arial" w:hAnsi="Arial"/>
          <w:sz w:val="18"/>
          <w:szCs w:val="18"/>
          <w:color w:val="auto"/>
        </w:rPr>
        <w:t>One key area we continue to closely monitor is the effect of the COVID-19 pandemic on our manufacturing operations. Although we are taking precautions to ensure the safety of our employees, in the event we suffer an outbreak at one of our manufacturing facilities, we may be forced to suspend operations at such facility until the health conditions improve. Any such reduction in our production capacity could render us unable to continue to produce our construction products or satisfy order placed by our customers.</w:t>
      </w:r>
    </w:p>
    <w:p>
      <w:pPr>
        <w:spacing w:after="0" w:line="15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2. Unregistered Sales of Equity Securities and Use of Proceeds</w:t>
      </w:r>
    </w:p>
    <w:p>
      <w:pPr>
        <w:spacing w:after="0" w:line="13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disclosure required under this Item is included in “Management’s Discussion and Analysis of Results of Operations and Financial Condition” of this Quarterly Report on Form 10-Q under the heading “Share Repurchases” and is incorporated herein by reference.</w:t>
      </w:r>
    </w:p>
    <w:p>
      <w:pPr>
        <w:spacing w:after="0" w:line="18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4. Mine Safety Disclosures</w:t>
      </w:r>
    </w:p>
    <w:p>
      <w:pPr>
        <w:spacing w:after="0" w:line="16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information concerning mine safety violations or other regulatory matters required by Section 1503 (a) of the Dodd-Frank Wall Street Reform and Consumer Protection Act and Item 104 of Regulation S-K is included in Exhibit 95 to this Form 10-Q.</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3" w:name="page44"/>
    <w:bookmarkEnd w:id="43"/>
    <w:p>
      <w:pPr>
        <w:spacing w:after="0"/>
        <w:rPr>
          <w:sz w:val="20"/>
          <w:szCs w:val="20"/>
          <w:color w:val="auto"/>
        </w:rPr>
      </w:pPr>
      <w:r>
        <w:rPr>
          <w:rFonts w:ascii="Arial" w:cs="Arial" w:eastAsia="Arial" w:hAnsi="Arial"/>
          <w:sz w:val="23"/>
          <w:szCs w:val="23"/>
          <w:b w:val="1"/>
          <w:bCs w:val="1"/>
          <w:color w:val="auto"/>
        </w:rPr>
        <w:t>Item 6. Exhibits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80" w:type="dxa"/>
            <w:vAlign w:val="bottom"/>
            <w:vMerge w:val="restart"/>
          </w:tcPr>
          <w:p>
            <w:pPr>
              <w:spacing w:after="0"/>
              <w:rPr>
                <w:sz w:val="20"/>
                <w:szCs w:val="20"/>
                <w:color w:val="auto"/>
              </w:rPr>
            </w:pPr>
            <w:r>
              <w:rPr>
                <w:rFonts w:ascii="Arial" w:cs="Arial" w:eastAsia="Arial" w:hAnsi="Arial"/>
                <w:sz w:val="18"/>
                <w:szCs w:val="18"/>
                <w:color w:val="auto"/>
              </w:rPr>
              <w:t>10.1*</w:t>
            </w:r>
          </w:p>
        </w:tc>
        <w:tc>
          <w:tcPr>
            <w:tcW w:w="4380" w:type="dxa"/>
            <w:vAlign w:val="bottom"/>
            <w:gridSpan w:val="5"/>
            <w:vMerge w:val="restart"/>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Eagle Materials Inc. Director Compensation Summary.</w:t>
              </w:r>
            </w:hyperlink>
          </w:p>
        </w:tc>
        <w:tc>
          <w:tcPr>
            <w:tcW w:w="180" w:type="dxa"/>
            <w:vAlign w:val="bottom"/>
            <w:tcBorders>
              <w:bottom w:val="single" w:sz="8" w:color="0000EE"/>
            </w:tcBorders>
          </w:tcPr>
          <w:p>
            <w:pPr>
              <w:jc w:val="right"/>
              <w:spacing w:after="0"/>
              <w:rPr>
                <w:rFonts w:ascii="Arial" w:cs="Arial" w:eastAsia="Arial" w:hAnsi="Arial"/>
                <w:sz w:val="15"/>
                <w:szCs w:val="15"/>
                <w:color w:val="0000EE"/>
                <w:w w:val="87"/>
              </w:rPr>
            </w:pPr>
            <w:hyperlink w:anchor="page46">
              <w:r>
                <w:rPr>
                  <w:rFonts w:ascii="Arial" w:cs="Arial" w:eastAsia="Arial" w:hAnsi="Arial"/>
                  <w:sz w:val="15"/>
                  <w:szCs w:val="15"/>
                  <w:color w:val="0000EE"/>
                  <w:w w:val="87"/>
                </w:rPr>
                <w:t>(1)</w:t>
              </w:r>
            </w:hyperlink>
          </w:p>
        </w:tc>
        <w:tc>
          <w:tcPr>
            <w:tcW w:w="514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14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180" w:type="dxa"/>
            <w:vAlign w:val="bottom"/>
            <w:vMerge w:val="continue"/>
          </w:tcPr>
          <w:p>
            <w:pPr>
              <w:spacing w:after="0"/>
              <w:rPr>
                <w:sz w:val="5"/>
                <w:szCs w:val="5"/>
                <w:color w:val="auto"/>
              </w:rPr>
            </w:pPr>
          </w:p>
        </w:tc>
        <w:tc>
          <w:tcPr>
            <w:tcW w:w="4380" w:type="dxa"/>
            <w:vAlign w:val="bottom"/>
            <w:gridSpan w:val="5"/>
            <w:vMerge w:val="continue"/>
          </w:tcPr>
          <w:p>
            <w:pPr>
              <w:spacing w:after="0"/>
              <w:rPr>
                <w:sz w:val="5"/>
                <w:szCs w:val="5"/>
                <w:color w:val="auto"/>
              </w:rPr>
            </w:pPr>
          </w:p>
        </w:tc>
        <w:tc>
          <w:tcPr>
            <w:tcW w:w="180" w:type="dxa"/>
            <w:vAlign w:val="bottom"/>
          </w:tcPr>
          <w:p>
            <w:pPr>
              <w:spacing w:after="0"/>
              <w:rPr>
                <w:sz w:val="5"/>
                <w:szCs w:val="5"/>
                <w:color w:val="auto"/>
              </w:rPr>
            </w:pPr>
          </w:p>
        </w:tc>
        <w:tc>
          <w:tcPr>
            <w:tcW w:w="514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1180" w:type="dxa"/>
            <w:vAlign w:val="bottom"/>
            <w:vMerge w:val="restart"/>
          </w:tcPr>
          <w:p>
            <w:pPr>
              <w:spacing w:after="0"/>
              <w:rPr>
                <w:sz w:val="20"/>
                <w:szCs w:val="20"/>
                <w:color w:val="auto"/>
              </w:rPr>
            </w:pPr>
            <w:r>
              <w:rPr>
                <w:rFonts w:ascii="Arial" w:cs="Arial" w:eastAsia="Arial" w:hAnsi="Arial"/>
                <w:sz w:val="18"/>
                <w:szCs w:val="18"/>
                <w:color w:val="auto"/>
              </w:rPr>
              <w:t>10.2*</w:t>
            </w:r>
          </w:p>
        </w:tc>
        <w:tc>
          <w:tcPr>
            <w:tcW w:w="3700" w:type="dxa"/>
            <w:vAlign w:val="bottom"/>
            <w:vMerge w:val="restart"/>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Form of Director Restricted Stock Agreement.</w:t>
              </w:r>
            </w:hyperlink>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87"/>
              </w:rPr>
            </w:pPr>
            <w:hyperlink w:anchor="page48">
              <w:r>
                <w:rPr>
                  <w:rFonts w:ascii="Arial" w:cs="Arial" w:eastAsia="Arial" w:hAnsi="Arial"/>
                  <w:sz w:val="15"/>
                  <w:szCs w:val="15"/>
                  <w:color w:val="0000EE"/>
                  <w:w w:val="87"/>
                </w:rPr>
                <w:t>(1)</w:t>
              </w:r>
            </w:hyperlink>
          </w:p>
        </w:tc>
        <w:tc>
          <w:tcPr>
            <w:tcW w:w="120" w:type="dxa"/>
            <w:vAlign w:val="bottom"/>
            <w:vMerge w:val="restart"/>
          </w:tcPr>
          <w:p>
            <w:pPr>
              <w:spacing w:after="0"/>
              <w:rPr>
                <w:sz w:val="22"/>
                <w:szCs w:val="22"/>
                <w:color w:val="auto"/>
              </w:rPr>
            </w:pPr>
          </w:p>
        </w:tc>
        <w:tc>
          <w:tcPr>
            <w:tcW w:w="5700" w:type="dxa"/>
            <w:vAlign w:val="bottom"/>
            <w:gridSpan w:val="3"/>
            <w:vMerge w:val="restart"/>
          </w:tcPr>
          <w:p>
            <w:pPr>
              <w:spacing w:after="0"/>
              <w:rPr>
                <w:sz w:val="22"/>
                <w:szCs w:val="22"/>
                <w:color w:val="auto"/>
              </w:rPr>
            </w:pPr>
          </w:p>
        </w:tc>
        <w:tc>
          <w:tcPr>
            <w:tcW w:w="60" w:type="dxa"/>
            <w:vAlign w:val="bottom"/>
            <w:vMerge w:val="restart"/>
          </w:tcPr>
          <w:p>
            <w:pPr>
              <w:spacing w:after="0"/>
              <w:rPr>
                <w:sz w:val="22"/>
                <w:szCs w:val="22"/>
                <w:color w:val="auto"/>
              </w:rPr>
            </w:pPr>
          </w:p>
        </w:tc>
        <w:tc>
          <w:tcPr>
            <w:tcW w:w="20" w:type="dxa"/>
            <w:vAlign w:val="bottom"/>
            <w:vMerge w:val="restart"/>
          </w:tcPr>
          <w:p>
            <w:pPr>
              <w:spacing w:after="0"/>
              <w:rPr>
                <w:sz w:val="22"/>
                <w:szCs w:val="22"/>
                <w:color w:val="auto"/>
              </w:rPr>
            </w:pPr>
          </w:p>
        </w:tc>
        <w:tc>
          <w:tcPr>
            <w:tcW w:w="14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180" w:type="dxa"/>
            <w:vAlign w:val="bottom"/>
            <w:vMerge w:val="continue"/>
          </w:tcPr>
          <w:p>
            <w:pPr>
              <w:spacing w:after="0"/>
              <w:rPr>
                <w:sz w:val="5"/>
                <w:szCs w:val="5"/>
                <w:color w:val="auto"/>
              </w:rPr>
            </w:pPr>
          </w:p>
        </w:tc>
        <w:tc>
          <w:tcPr>
            <w:tcW w:w="3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5700" w:type="dxa"/>
            <w:vAlign w:val="bottom"/>
            <w:gridSpan w:val="3"/>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1180" w:type="dxa"/>
            <w:vAlign w:val="bottom"/>
          </w:tcPr>
          <w:p>
            <w:pPr>
              <w:spacing w:after="0"/>
              <w:rPr>
                <w:sz w:val="20"/>
                <w:szCs w:val="20"/>
                <w:color w:val="auto"/>
              </w:rPr>
            </w:pPr>
            <w:r>
              <w:rPr>
                <w:rFonts w:ascii="Arial" w:cs="Arial" w:eastAsia="Arial" w:hAnsi="Arial"/>
                <w:sz w:val="18"/>
                <w:szCs w:val="18"/>
                <w:color w:val="auto"/>
              </w:rPr>
              <w:t>31.1*</w:t>
            </w:r>
          </w:p>
        </w:tc>
        <w:tc>
          <w:tcPr>
            <w:tcW w:w="9760" w:type="dxa"/>
            <w:vAlign w:val="bottom"/>
            <w:tcBorders>
              <w:bottom w:val="single" w:sz="8" w:color="0000EE"/>
            </w:tcBorders>
            <w:gridSpan w:val="8"/>
          </w:tcPr>
          <w:p>
            <w:pPr>
              <w:spacing w:after="0"/>
              <w:rPr>
                <w:rFonts w:ascii="Arial" w:cs="Arial" w:eastAsia="Arial" w:hAnsi="Arial"/>
                <w:sz w:val="18"/>
                <w:szCs w:val="18"/>
                <w:color w:val="0000EE"/>
                <w:w w:val="99"/>
              </w:rPr>
            </w:pPr>
            <w:hyperlink w:anchor="page54">
              <w:r>
                <w:rPr>
                  <w:rFonts w:ascii="Arial" w:cs="Arial" w:eastAsia="Arial" w:hAnsi="Arial"/>
                  <w:sz w:val="18"/>
                  <w:szCs w:val="18"/>
                  <w:color w:val="0000EE"/>
                  <w:w w:val="99"/>
                </w:rPr>
                <w:t>Certification of the Chief Executive Officer of Eagle Materials Inc. pursuant to Rules 13a-14 and 15d-14 promulgated under</w:t>
              </w:r>
            </w:hyperlink>
          </w:p>
        </w:tc>
        <w:tc>
          <w:tcPr>
            <w:tcW w:w="1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80" w:type="dxa"/>
            <w:vAlign w:val="bottom"/>
          </w:tcPr>
          <w:p>
            <w:pPr>
              <w:spacing w:after="0"/>
              <w:rPr>
                <w:sz w:val="18"/>
                <w:szCs w:val="18"/>
                <w:color w:val="auto"/>
              </w:rPr>
            </w:pPr>
          </w:p>
        </w:tc>
        <w:tc>
          <w:tcPr>
            <w:tcW w:w="9920" w:type="dxa"/>
            <w:vAlign w:val="bottom"/>
            <w:gridSpan w:val="10"/>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the Securities Exchange Act of 1934, as amended.</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700" w:type="dxa"/>
            <w:vAlign w:val="bottom"/>
            <w:tcBorders>
              <w:left w:val="single" w:sz="8" w:color="0000EE"/>
            </w:tcBorders>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80" w:type="dxa"/>
            <w:vAlign w:val="bottom"/>
          </w:tcPr>
          <w:p>
            <w:pPr>
              <w:spacing w:after="0"/>
              <w:rPr>
                <w:sz w:val="20"/>
                <w:szCs w:val="20"/>
                <w:color w:val="auto"/>
              </w:rPr>
            </w:pPr>
            <w:r>
              <w:rPr>
                <w:rFonts w:ascii="Arial" w:cs="Arial" w:eastAsia="Arial" w:hAnsi="Arial"/>
                <w:sz w:val="18"/>
                <w:szCs w:val="18"/>
                <w:color w:val="auto"/>
              </w:rPr>
              <w:t>31.2*</w:t>
            </w:r>
          </w:p>
        </w:tc>
        <w:tc>
          <w:tcPr>
            <w:tcW w:w="9700" w:type="dxa"/>
            <w:vAlign w:val="bottom"/>
            <w:tcBorders>
              <w:bottom w:val="single" w:sz="8" w:color="0000EE"/>
            </w:tcBorders>
            <w:gridSpan w:val="7"/>
          </w:tcPr>
          <w:p>
            <w:pPr>
              <w:spacing w:after="0"/>
              <w:rPr>
                <w:rFonts w:ascii="Arial" w:cs="Arial" w:eastAsia="Arial" w:hAnsi="Arial"/>
                <w:sz w:val="18"/>
                <w:szCs w:val="18"/>
                <w:color w:val="0000EE"/>
                <w:w w:val="99"/>
              </w:rPr>
            </w:pPr>
            <w:hyperlink w:anchor="page55">
              <w:r>
                <w:rPr>
                  <w:rFonts w:ascii="Arial" w:cs="Arial" w:eastAsia="Arial" w:hAnsi="Arial"/>
                  <w:sz w:val="18"/>
                  <w:szCs w:val="18"/>
                  <w:color w:val="0000EE"/>
                  <w:w w:val="99"/>
                </w:rPr>
                <w:t>Certification of the Chief Financial Officer of Eagle Materials Inc. pursuant to Rules 13a-14 and 15d-14 promulgated under</w:t>
              </w:r>
            </w:hyperlink>
          </w:p>
        </w:tc>
        <w:tc>
          <w:tcPr>
            <w:tcW w:w="2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80" w:type="dxa"/>
            <w:vAlign w:val="bottom"/>
          </w:tcPr>
          <w:p>
            <w:pPr>
              <w:spacing w:after="0"/>
              <w:rPr>
                <w:sz w:val="18"/>
                <w:szCs w:val="18"/>
                <w:color w:val="auto"/>
              </w:rPr>
            </w:pPr>
          </w:p>
        </w:tc>
        <w:tc>
          <w:tcPr>
            <w:tcW w:w="9920" w:type="dxa"/>
            <w:vAlign w:val="bottom"/>
            <w:gridSpan w:val="10"/>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the Securities Exchange Act of 1934, as amended.</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780" w:type="dxa"/>
            <w:vAlign w:val="bottom"/>
            <w:tcBorders>
              <w:left w:val="single" w:sz="8" w:color="0000EE"/>
            </w:tcBorders>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80" w:type="dxa"/>
            <w:vAlign w:val="bottom"/>
          </w:tcPr>
          <w:p>
            <w:pPr>
              <w:spacing w:after="0"/>
              <w:rPr>
                <w:sz w:val="20"/>
                <w:szCs w:val="20"/>
                <w:color w:val="auto"/>
              </w:rPr>
            </w:pPr>
            <w:r>
              <w:rPr>
                <w:rFonts w:ascii="Arial" w:cs="Arial" w:eastAsia="Arial" w:hAnsi="Arial"/>
                <w:sz w:val="18"/>
                <w:szCs w:val="18"/>
                <w:color w:val="auto"/>
              </w:rPr>
              <w:t>32.1*</w:t>
            </w:r>
          </w:p>
        </w:tc>
        <w:tc>
          <w:tcPr>
            <w:tcW w:w="9920" w:type="dxa"/>
            <w:vAlign w:val="bottom"/>
            <w:gridSpan w:val="10"/>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Certification of the Chief Executive Officer of Eagle Materials Inc. pursuant to 18 U.S.C. Section 1350, as adopted pursuant</w:t>
              </w:r>
            </w:hyperlink>
          </w:p>
        </w:tc>
        <w:tc>
          <w:tcPr>
            <w:tcW w:w="0" w:type="dxa"/>
            <w:vAlign w:val="bottom"/>
          </w:tcPr>
          <w:p>
            <w:pPr>
              <w:spacing w:after="0"/>
              <w:rPr>
                <w:sz w:val="1"/>
                <w:szCs w:val="1"/>
                <w:color w:val="auto"/>
              </w:rPr>
            </w:pPr>
          </w:p>
        </w:tc>
      </w:tr>
      <w:tr>
        <w:trPr>
          <w:trHeight w:val="210"/>
        </w:trPr>
        <w:tc>
          <w:tcPr>
            <w:tcW w:w="1180" w:type="dxa"/>
            <w:vAlign w:val="bottom"/>
          </w:tcPr>
          <w:p>
            <w:pPr>
              <w:spacing w:after="0"/>
              <w:rPr>
                <w:sz w:val="18"/>
                <w:szCs w:val="18"/>
                <w:color w:val="auto"/>
              </w:rPr>
            </w:pPr>
          </w:p>
        </w:tc>
        <w:tc>
          <w:tcPr>
            <w:tcW w:w="9780" w:type="dxa"/>
            <w:vAlign w:val="bottom"/>
            <w:tcBorders>
              <w:top w:val="single" w:sz="8" w:color="0000EE"/>
            </w:tcBorders>
            <w:gridSpan w:val="9"/>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to Section 906 of the Sarbanes-Oxley Act of 2002.</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9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80" w:type="dxa"/>
            <w:vAlign w:val="bottom"/>
          </w:tcPr>
          <w:p>
            <w:pPr>
              <w:spacing w:after="0"/>
              <w:rPr>
                <w:sz w:val="20"/>
                <w:szCs w:val="20"/>
                <w:color w:val="auto"/>
              </w:rPr>
            </w:pPr>
            <w:r>
              <w:rPr>
                <w:rFonts w:ascii="Arial" w:cs="Arial" w:eastAsia="Arial" w:hAnsi="Arial"/>
                <w:sz w:val="18"/>
                <w:szCs w:val="18"/>
                <w:color w:val="auto"/>
              </w:rPr>
              <w:t>32.2*</w:t>
            </w:r>
          </w:p>
        </w:tc>
        <w:tc>
          <w:tcPr>
            <w:tcW w:w="9920" w:type="dxa"/>
            <w:vAlign w:val="bottom"/>
            <w:tcBorders>
              <w:bottom w:val="single" w:sz="8" w:color="0000EE"/>
            </w:tcBorders>
            <w:gridSpan w:val="10"/>
          </w:tcPr>
          <w:p>
            <w:pPr>
              <w:spacing w:after="0"/>
              <w:rPr>
                <w:rFonts w:ascii="Arial" w:cs="Arial" w:eastAsia="Arial" w:hAnsi="Arial"/>
                <w:sz w:val="18"/>
                <w:szCs w:val="18"/>
                <w:color w:val="0000EE"/>
                <w:w w:val="99"/>
              </w:rPr>
            </w:pPr>
            <w:hyperlink w:anchor="page57">
              <w:r>
                <w:rPr>
                  <w:rFonts w:ascii="Arial" w:cs="Arial" w:eastAsia="Arial" w:hAnsi="Arial"/>
                  <w:sz w:val="18"/>
                  <w:szCs w:val="18"/>
                  <w:color w:val="0000EE"/>
                  <w:w w:val="99"/>
                </w:rPr>
                <w:t>Certification of the Chief Financial Officer of Eagle Materials Inc. pursuant to 18 U.S.C. Section 1350, as adopted pursuant to</w:t>
              </w:r>
            </w:hyperlink>
          </w:p>
        </w:tc>
        <w:tc>
          <w:tcPr>
            <w:tcW w:w="0" w:type="dxa"/>
            <w:vAlign w:val="bottom"/>
          </w:tcPr>
          <w:p>
            <w:pPr>
              <w:spacing w:after="0"/>
              <w:rPr>
                <w:sz w:val="1"/>
                <w:szCs w:val="1"/>
                <w:color w:val="auto"/>
              </w:rPr>
            </w:pPr>
          </w:p>
        </w:tc>
      </w:tr>
      <w:tr>
        <w:trPr>
          <w:trHeight w:val="209"/>
        </w:trPr>
        <w:tc>
          <w:tcPr>
            <w:tcW w:w="1180" w:type="dxa"/>
            <w:vAlign w:val="bottom"/>
          </w:tcPr>
          <w:p>
            <w:pPr>
              <w:spacing w:after="0"/>
              <w:rPr>
                <w:sz w:val="18"/>
                <w:szCs w:val="18"/>
                <w:color w:val="auto"/>
              </w:rPr>
            </w:pPr>
          </w:p>
        </w:tc>
        <w:tc>
          <w:tcPr>
            <w:tcW w:w="9920" w:type="dxa"/>
            <w:vAlign w:val="bottom"/>
            <w:gridSpan w:val="10"/>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Section 906 of the Sarbanes-Oxley Act of 2002.</w:t>
              </w:r>
            </w:hyperlink>
          </w:p>
        </w:tc>
        <w:tc>
          <w:tcPr>
            <w:tcW w:w="0" w:type="dxa"/>
            <w:vAlign w:val="bottom"/>
          </w:tcPr>
          <w:p>
            <w:pPr>
              <w:spacing w:after="0"/>
              <w:rPr>
                <w:sz w:val="1"/>
                <w:szCs w:val="1"/>
                <w:color w:val="auto"/>
              </w:rPr>
            </w:pPr>
          </w:p>
        </w:tc>
      </w:tr>
      <w:tr>
        <w:trPr>
          <w:trHeight w:val="358"/>
        </w:trPr>
        <w:tc>
          <w:tcPr>
            <w:tcW w:w="1180" w:type="dxa"/>
            <w:vAlign w:val="bottom"/>
          </w:tcPr>
          <w:p>
            <w:pPr>
              <w:spacing w:after="0"/>
              <w:rPr>
                <w:sz w:val="20"/>
                <w:szCs w:val="20"/>
                <w:color w:val="auto"/>
              </w:rPr>
            </w:pPr>
            <w:r>
              <w:rPr>
                <w:rFonts w:ascii="Arial" w:cs="Arial" w:eastAsia="Arial" w:hAnsi="Arial"/>
                <w:sz w:val="18"/>
                <w:szCs w:val="18"/>
                <w:color w:val="auto"/>
              </w:rPr>
              <w:t>95*</w:t>
            </w:r>
          </w:p>
        </w:tc>
        <w:tc>
          <w:tcPr>
            <w:tcW w:w="3800" w:type="dxa"/>
            <w:vAlign w:val="bottom"/>
            <w:tcBorders>
              <w:top w:val="single" w:sz="8" w:color="0000EE"/>
            </w:tcBorders>
            <w:gridSpan w:val="2"/>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Mine Safety Disclosure</w:t>
              </w:r>
            </w:hyperlink>
          </w:p>
        </w:tc>
        <w:tc>
          <w:tcPr>
            <w:tcW w:w="61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80" w:type="dxa"/>
            <w:vAlign w:val="bottom"/>
          </w:tcPr>
          <w:p>
            <w:pPr>
              <w:spacing w:after="0"/>
              <w:rPr>
                <w:sz w:val="20"/>
                <w:szCs w:val="20"/>
                <w:color w:val="auto"/>
              </w:rPr>
            </w:pPr>
            <w:r>
              <w:rPr>
                <w:rFonts w:ascii="Arial" w:cs="Arial" w:eastAsia="Arial" w:hAnsi="Arial"/>
                <w:sz w:val="18"/>
                <w:szCs w:val="18"/>
                <w:color w:val="auto"/>
              </w:rPr>
              <w:t>101.INS*</w:t>
            </w:r>
          </w:p>
        </w:tc>
        <w:tc>
          <w:tcPr>
            <w:tcW w:w="9920" w:type="dxa"/>
            <w:vAlign w:val="bottom"/>
            <w:gridSpan w:val="10"/>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w:t>
            </w: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9920" w:type="dxa"/>
            <w:vAlign w:val="bottom"/>
            <w:gridSpan w:val="10"/>
          </w:tcPr>
          <w:p>
            <w:pPr>
              <w:spacing w:after="0"/>
              <w:rPr>
                <w:sz w:val="20"/>
                <w:szCs w:val="20"/>
                <w:color w:val="auto"/>
              </w:rPr>
            </w:pPr>
            <w:r>
              <w:rPr>
                <w:rFonts w:ascii="Arial" w:cs="Arial" w:eastAsia="Arial" w:hAnsi="Arial"/>
                <w:sz w:val="18"/>
                <w:szCs w:val="18"/>
                <w:color w:val="auto"/>
              </w:rPr>
              <w:t>tags are embedded within the Inline XBRL document</w:t>
            </w:r>
          </w:p>
        </w:tc>
        <w:tc>
          <w:tcPr>
            <w:tcW w:w="0" w:type="dxa"/>
            <w:vAlign w:val="bottom"/>
          </w:tcPr>
          <w:p>
            <w:pPr>
              <w:spacing w:after="0"/>
              <w:rPr>
                <w:sz w:val="1"/>
                <w:szCs w:val="1"/>
                <w:color w:val="auto"/>
              </w:rPr>
            </w:pPr>
          </w:p>
        </w:tc>
      </w:tr>
      <w:tr>
        <w:trPr>
          <w:trHeight w:val="338"/>
        </w:trPr>
        <w:tc>
          <w:tcPr>
            <w:tcW w:w="1180" w:type="dxa"/>
            <w:vAlign w:val="bottom"/>
          </w:tcPr>
          <w:p>
            <w:pPr>
              <w:spacing w:after="0"/>
              <w:rPr>
                <w:sz w:val="20"/>
                <w:szCs w:val="20"/>
                <w:color w:val="auto"/>
              </w:rPr>
            </w:pPr>
            <w:r>
              <w:rPr>
                <w:rFonts w:ascii="Arial" w:cs="Arial" w:eastAsia="Arial" w:hAnsi="Arial"/>
                <w:sz w:val="18"/>
                <w:szCs w:val="18"/>
                <w:color w:val="auto"/>
              </w:rPr>
              <w:t>101.SCH*</w:t>
            </w:r>
          </w:p>
        </w:tc>
        <w:tc>
          <w:tcPr>
            <w:tcW w:w="992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38"/>
        </w:trPr>
        <w:tc>
          <w:tcPr>
            <w:tcW w:w="1180" w:type="dxa"/>
            <w:vAlign w:val="bottom"/>
          </w:tcPr>
          <w:p>
            <w:pPr>
              <w:spacing w:after="0"/>
              <w:rPr>
                <w:sz w:val="20"/>
                <w:szCs w:val="20"/>
                <w:color w:val="auto"/>
              </w:rPr>
            </w:pPr>
            <w:r>
              <w:rPr>
                <w:rFonts w:ascii="Arial" w:cs="Arial" w:eastAsia="Arial" w:hAnsi="Arial"/>
                <w:sz w:val="18"/>
                <w:szCs w:val="18"/>
                <w:color w:val="auto"/>
              </w:rPr>
              <w:t>101.CAL*</w:t>
            </w:r>
          </w:p>
        </w:tc>
        <w:tc>
          <w:tcPr>
            <w:tcW w:w="992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38"/>
        </w:trPr>
        <w:tc>
          <w:tcPr>
            <w:tcW w:w="1180" w:type="dxa"/>
            <w:vAlign w:val="bottom"/>
          </w:tcPr>
          <w:p>
            <w:pPr>
              <w:spacing w:after="0"/>
              <w:rPr>
                <w:sz w:val="20"/>
                <w:szCs w:val="20"/>
                <w:color w:val="auto"/>
              </w:rPr>
            </w:pPr>
            <w:r>
              <w:rPr>
                <w:rFonts w:ascii="Arial" w:cs="Arial" w:eastAsia="Arial" w:hAnsi="Arial"/>
                <w:sz w:val="18"/>
                <w:szCs w:val="18"/>
                <w:color w:val="auto"/>
              </w:rPr>
              <w:t>101.DEF*</w:t>
            </w:r>
          </w:p>
        </w:tc>
        <w:tc>
          <w:tcPr>
            <w:tcW w:w="992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38"/>
        </w:trPr>
        <w:tc>
          <w:tcPr>
            <w:tcW w:w="1180" w:type="dxa"/>
            <w:vAlign w:val="bottom"/>
          </w:tcPr>
          <w:p>
            <w:pPr>
              <w:spacing w:after="0"/>
              <w:rPr>
                <w:sz w:val="20"/>
                <w:szCs w:val="20"/>
                <w:color w:val="auto"/>
              </w:rPr>
            </w:pPr>
            <w:r>
              <w:rPr>
                <w:rFonts w:ascii="Arial" w:cs="Arial" w:eastAsia="Arial" w:hAnsi="Arial"/>
                <w:sz w:val="18"/>
                <w:szCs w:val="18"/>
                <w:color w:val="auto"/>
              </w:rPr>
              <w:t>101.LAB*</w:t>
            </w:r>
          </w:p>
        </w:tc>
        <w:tc>
          <w:tcPr>
            <w:tcW w:w="992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38"/>
        </w:trPr>
        <w:tc>
          <w:tcPr>
            <w:tcW w:w="1180" w:type="dxa"/>
            <w:vAlign w:val="bottom"/>
          </w:tcPr>
          <w:p>
            <w:pPr>
              <w:spacing w:after="0"/>
              <w:rPr>
                <w:sz w:val="20"/>
                <w:szCs w:val="20"/>
                <w:color w:val="auto"/>
              </w:rPr>
            </w:pPr>
            <w:r>
              <w:rPr>
                <w:rFonts w:ascii="Arial" w:cs="Arial" w:eastAsia="Arial" w:hAnsi="Arial"/>
                <w:sz w:val="18"/>
                <w:szCs w:val="18"/>
                <w:color w:val="auto"/>
              </w:rPr>
              <w:t>101.PRE*</w:t>
            </w:r>
          </w:p>
        </w:tc>
        <w:tc>
          <w:tcPr>
            <w:tcW w:w="992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38"/>
        </w:trPr>
        <w:tc>
          <w:tcPr>
            <w:tcW w:w="1180" w:type="dxa"/>
            <w:vAlign w:val="bottom"/>
          </w:tcPr>
          <w:p>
            <w:pPr>
              <w:spacing w:after="0"/>
              <w:rPr>
                <w:sz w:val="20"/>
                <w:szCs w:val="20"/>
                <w:color w:val="auto"/>
              </w:rPr>
            </w:pPr>
            <w:r>
              <w:rPr>
                <w:rFonts w:ascii="Arial" w:cs="Arial" w:eastAsia="Arial" w:hAnsi="Arial"/>
                <w:sz w:val="18"/>
                <w:szCs w:val="18"/>
                <w:color w:val="auto"/>
              </w:rPr>
              <w:t>104</w:t>
            </w:r>
          </w:p>
        </w:tc>
        <w:tc>
          <w:tcPr>
            <w:tcW w:w="9920" w:type="dxa"/>
            <w:vAlign w:val="bottom"/>
            <w:gridSpan w:val="10"/>
          </w:tcPr>
          <w:p>
            <w:pPr>
              <w:spacing w:after="0"/>
              <w:rPr>
                <w:sz w:val="20"/>
                <w:szCs w:val="20"/>
                <w:color w:val="auto"/>
              </w:rPr>
            </w:pPr>
            <w:r>
              <w:rPr>
                <w:rFonts w:ascii="Arial" w:cs="Arial" w:eastAsia="Arial" w:hAnsi="Arial"/>
                <w:sz w:val="18"/>
                <w:szCs w:val="18"/>
                <w:color w:val="auto"/>
              </w:rPr>
              <w:t>Cover Page Interactive Data File –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20402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168"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540" w:hanging="532"/>
        <w:spacing w:after="0"/>
        <w:tabs>
          <w:tab w:leader="none" w:pos="540" w:val="left"/>
        </w:tabs>
        <w:numPr>
          <w:ilvl w:val="0"/>
          <w:numId w:val="17"/>
        </w:numPr>
        <w:rPr>
          <w:rFonts w:ascii="Arial" w:cs="Arial" w:eastAsia="Arial" w:hAnsi="Arial"/>
          <w:sz w:val="15"/>
          <w:szCs w:val="15"/>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588" w:right="479" w:bottom="1440" w:gutter="0" w:footer="0" w:header="0"/>
        </w:sectPr>
      </w:pPr>
    </w:p>
    <w:bookmarkStart w:id="44" w:name="page45"/>
    <w:bookmarkEnd w:id="44"/>
    <w:p>
      <w:pPr>
        <w:jc w:val="center"/>
        <w:ind w:right="-119"/>
        <w:spacing w:after="0"/>
        <w:rPr>
          <w:sz w:val="20"/>
          <w:szCs w:val="20"/>
          <w:color w:val="auto"/>
        </w:rPr>
      </w:pPr>
      <w:r>
        <w:rPr>
          <w:rFonts w:ascii="Arial" w:cs="Arial" w:eastAsia="Arial" w:hAnsi="Arial"/>
          <w:sz w:val="23"/>
          <w:szCs w:val="23"/>
          <w:b w:val="1"/>
          <w:bCs w:val="1"/>
          <w:color w:val="auto"/>
        </w:rPr>
        <w:t>SIGNATURES</w:t>
      </w:r>
    </w:p>
    <w:p>
      <w:pPr>
        <w:spacing w:after="0" w:line="1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EAGLE MATERIALS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-1905</wp:posOffset>
            </wp:positionV>
            <wp:extent cx="28460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Registrant</w:t>
      </w:r>
    </w:p>
    <w:p>
      <w:pPr>
        <w:spacing w:after="0" w:line="252" w:lineRule="exact"/>
        <w:rPr>
          <w:sz w:val="20"/>
          <w:szCs w:val="20"/>
          <w:color w:val="auto"/>
        </w:rPr>
      </w:pPr>
    </w:p>
    <w:p>
      <w:pPr>
        <w:spacing w:after="0"/>
        <w:tabs>
          <w:tab w:leader="none" w:pos="8000" w:val="left"/>
        </w:tabs>
        <w:rPr>
          <w:sz w:val="20"/>
          <w:szCs w:val="20"/>
          <w:color w:val="auto"/>
        </w:rPr>
      </w:pPr>
      <w:r>
        <w:rPr>
          <w:rFonts w:ascii="Arial" w:cs="Arial" w:eastAsia="Arial" w:hAnsi="Arial"/>
          <w:sz w:val="18"/>
          <w:szCs w:val="18"/>
          <w:color w:val="auto"/>
        </w:rPr>
        <w:t>October 29, 2020</w:t>
      </w:r>
      <w:r>
        <w:rPr>
          <w:sz w:val="20"/>
          <w:szCs w:val="20"/>
          <w:color w:val="auto"/>
        </w:rPr>
        <w:tab/>
      </w:r>
      <w:r>
        <w:rPr>
          <w:rFonts w:ascii="Arial" w:cs="Arial" w:eastAsia="Arial" w:hAnsi="Arial"/>
          <w:sz w:val="17"/>
          <w:szCs w:val="17"/>
          <w:color w:val="auto"/>
        </w:rPr>
        <w:t>/s/ 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-1905</wp:posOffset>
            </wp:positionV>
            <wp:extent cx="28460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jc w:val="center"/>
        <w:ind w:left="6740"/>
        <w:spacing w:after="0"/>
        <w:rPr>
          <w:sz w:val="20"/>
          <w:szCs w:val="20"/>
          <w:color w:val="auto"/>
        </w:rPr>
      </w:pPr>
      <w:r>
        <w:rPr>
          <w:rFonts w:ascii="Arial" w:cs="Arial" w:eastAsia="Arial" w:hAnsi="Arial"/>
          <w:sz w:val="18"/>
          <w:szCs w:val="18"/>
          <w:color w:val="auto"/>
        </w:rPr>
        <w:t>Michael R. Haack</w:t>
      </w:r>
    </w:p>
    <w:p>
      <w:pPr>
        <w:jc w:val="center"/>
        <w:ind w:left="674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(principal executive officer)</w:t>
      </w:r>
    </w:p>
    <w:p>
      <w:pPr>
        <w:spacing w:after="0" w:line="266" w:lineRule="exact"/>
        <w:rPr>
          <w:sz w:val="20"/>
          <w:szCs w:val="20"/>
          <w:color w:val="auto"/>
        </w:rPr>
      </w:pPr>
    </w:p>
    <w:p>
      <w:pPr>
        <w:spacing w:after="0"/>
        <w:tabs>
          <w:tab w:leader="none" w:pos="8080" w:val="left"/>
        </w:tabs>
        <w:rPr>
          <w:sz w:val="20"/>
          <w:szCs w:val="20"/>
          <w:color w:val="auto"/>
        </w:rPr>
      </w:pPr>
      <w:r>
        <w:rPr>
          <w:rFonts w:ascii="Arial" w:cs="Arial" w:eastAsia="Arial" w:hAnsi="Arial"/>
          <w:sz w:val="18"/>
          <w:szCs w:val="18"/>
          <w:color w:val="auto"/>
        </w:rPr>
        <w:t>October 29, 2020</w:t>
      </w:r>
      <w:r>
        <w:rPr>
          <w:sz w:val="20"/>
          <w:szCs w:val="20"/>
          <w:color w:val="auto"/>
        </w:rPr>
        <w:tab/>
      </w:r>
      <w:r>
        <w:rPr>
          <w:rFonts w:ascii="Arial" w:cs="Arial" w:eastAsia="Arial" w:hAnsi="Arial"/>
          <w:sz w:val="17"/>
          <w:szCs w:val="17"/>
          <w:color w:val="auto"/>
        </w:rPr>
        <w:t>/s/ D. CRAIG KESLER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-1905</wp:posOffset>
            </wp:positionV>
            <wp:extent cx="28460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jc w:val="center"/>
        <w:ind w:left="6740"/>
        <w:spacing w:after="0"/>
        <w:rPr>
          <w:sz w:val="20"/>
          <w:szCs w:val="20"/>
          <w:color w:val="auto"/>
        </w:rPr>
      </w:pPr>
      <w:r>
        <w:rPr>
          <w:rFonts w:ascii="Arial" w:cs="Arial" w:eastAsia="Arial" w:hAnsi="Arial"/>
          <w:sz w:val="18"/>
          <w:szCs w:val="18"/>
          <w:color w:val="auto"/>
        </w:rPr>
        <w:t>D. Craig Kesler</w:t>
      </w:r>
    </w:p>
    <w:p>
      <w:pPr>
        <w:jc w:val="center"/>
        <w:ind w:left="6740"/>
        <w:spacing w:after="0" w:line="234" w:lineRule="auto"/>
        <w:rPr>
          <w:sz w:val="20"/>
          <w:szCs w:val="20"/>
          <w:color w:val="auto"/>
        </w:rPr>
      </w:pPr>
      <w:r>
        <w:rPr>
          <w:rFonts w:ascii="Arial" w:cs="Arial" w:eastAsia="Arial" w:hAnsi="Arial"/>
          <w:sz w:val="18"/>
          <w:szCs w:val="18"/>
          <w:color w:val="auto"/>
        </w:rPr>
        <w:t>Executive Vice President – Finance and</w:t>
      </w:r>
    </w:p>
    <w:p>
      <w:pPr>
        <w:jc w:val="center"/>
        <w:ind w:left="6740"/>
        <w:spacing w:after="0" w:line="235" w:lineRule="auto"/>
        <w:rPr>
          <w:sz w:val="20"/>
          <w:szCs w:val="20"/>
          <w:color w:val="auto"/>
        </w:rPr>
      </w:pPr>
      <w:r>
        <w:rPr>
          <w:rFonts w:ascii="Arial" w:cs="Arial" w:eastAsia="Arial" w:hAnsi="Arial"/>
          <w:sz w:val="18"/>
          <w:szCs w:val="18"/>
          <w:color w:val="auto"/>
        </w:rPr>
        <w:t>Administration and Chief Financial Officer</w:t>
      </w:r>
    </w:p>
    <w:p>
      <w:pPr>
        <w:spacing w:after="0" w:line="1"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(principal financial officer)</w:t>
      </w:r>
    </w:p>
    <w:p>
      <w:pPr>
        <w:spacing w:after="0" w:line="252" w:lineRule="exact"/>
        <w:rPr>
          <w:sz w:val="20"/>
          <w:szCs w:val="20"/>
          <w:color w:val="auto"/>
        </w:rPr>
      </w:pPr>
    </w:p>
    <w:p>
      <w:pPr>
        <w:spacing w:after="0"/>
        <w:tabs>
          <w:tab w:leader="none" w:pos="8020" w:val="left"/>
        </w:tabs>
        <w:rPr>
          <w:sz w:val="20"/>
          <w:szCs w:val="20"/>
          <w:color w:val="auto"/>
        </w:rPr>
      </w:pPr>
      <w:r>
        <w:rPr>
          <w:rFonts w:ascii="Arial" w:cs="Arial" w:eastAsia="Arial" w:hAnsi="Arial"/>
          <w:sz w:val="18"/>
          <w:szCs w:val="18"/>
          <w:color w:val="auto"/>
        </w:rPr>
        <w:t>October 29, 2020</w:t>
      </w:r>
      <w:r>
        <w:rPr>
          <w:sz w:val="20"/>
          <w:szCs w:val="20"/>
          <w:color w:val="auto"/>
        </w:rPr>
        <w:tab/>
      </w:r>
      <w:r>
        <w:rPr>
          <w:rFonts w:ascii="Arial" w:cs="Arial" w:eastAsia="Arial" w:hAnsi="Arial"/>
          <w:sz w:val="18"/>
          <w:szCs w:val="18"/>
          <w:color w:val="auto"/>
        </w:rPr>
        <w:t>/s/ WILLIAM R. DEVLIN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-1905</wp:posOffset>
            </wp:positionV>
            <wp:extent cx="28460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jc w:val="center"/>
        <w:ind w:left="6740"/>
        <w:spacing w:after="0"/>
        <w:rPr>
          <w:sz w:val="20"/>
          <w:szCs w:val="20"/>
          <w:color w:val="auto"/>
        </w:rPr>
      </w:pPr>
      <w:r>
        <w:rPr>
          <w:rFonts w:ascii="Arial" w:cs="Arial" w:eastAsia="Arial" w:hAnsi="Arial"/>
          <w:sz w:val="18"/>
          <w:szCs w:val="18"/>
          <w:color w:val="auto"/>
        </w:rPr>
        <w:t>William R. Devlin</w:t>
      </w:r>
    </w:p>
    <w:p>
      <w:pPr>
        <w:jc w:val="center"/>
        <w:ind w:left="6740"/>
        <w:spacing w:after="0" w:line="234" w:lineRule="auto"/>
        <w:rPr>
          <w:sz w:val="20"/>
          <w:szCs w:val="20"/>
          <w:color w:val="auto"/>
        </w:rPr>
      </w:pPr>
      <w:r>
        <w:rPr>
          <w:rFonts w:ascii="Arial" w:cs="Arial" w:eastAsia="Arial" w:hAnsi="Arial"/>
          <w:sz w:val="18"/>
          <w:szCs w:val="18"/>
          <w:color w:val="auto"/>
        </w:rPr>
        <w:t>Senior Vice President – Controller and</w:t>
      </w:r>
    </w:p>
    <w:p>
      <w:pPr>
        <w:jc w:val="center"/>
        <w:ind w:left="6740"/>
        <w:spacing w:after="0" w:line="235" w:lineRule="auto"/>
        <w:rPr>
          <w:sz w:val="20"/>
          <w:szCs w:val="20"/>
          <w:color w:val="auto"/>
        </w:rPr>
      </w:pPr>
      <w:r>
        <w:rPr>
          <w:rFonts w:ascii="Arial" w:cs="Arial" w:eastAsia="Arial" w:hAnsi="Arial"/>
          <w:sz w:val="18"/>
          <w:szCs w:val="18"/>
          <w:color w:val="auto"/>
        </w:rPr>
        <w:t>Chief Accounting Officer</w:t>
      </w:r>
    </w:p>
    <w:p>
      <w:pPr>
        <w:spacing w:after="0" w:line="1"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359" w:right="459" w:bottom="1440" w:gutter="0" w:footer="0" w:header="0"/>
        </w:sectPr>
      </w:pPr>
    </w:p>
    <w:bookmarkStart w:id="45" w:name="page46"/>
    <w:bookmarkEnd w:id="45"/>
    <w:p>
      <w:pPr>
        <w:jc w:val="right"/>
        <w:spacing w:after="0"/>
        <w:rPr>
          <w:sz w:val="20"/>
          <w:szCs w:val="20"/>
          <w:color w:val="auto"/>
        </w:rPr>
      </w:pPr>
      <w:r>
        <w:rPr>
          <w:rFonts w:ascii="Arial" w:cs="Arial" w:eastAsia="Arial" w:hAnsi="Arial"/>
          <w:sz w:val="22"/>
          <w:szCs w:val="22"/>
          <w:b w:val="1"/>
          <w:bCs w:val="1"/>
          <w:u w:val="single" w:color="auto"/>
          <w:color w:val="auto"/>
        </w:rPr>
        <w:t>Exhibit 10.1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EAGLE MATERIALS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Non-Employee Directors -- Compensation Summary</w:t>
      </w:r>
    </w:p>
    <w:p>
      <w:pPr>
        <w:jc w:val="center"/>
        <w:spacing w:after="0"/>
        <w:rPr>
          <w:sz w:val="20"/>
          <w:szCs w:val="20"/>
          <w:color w:val="auto"/>
        </w:rPr>
      </w:pPr>
      <w:r>
        <w:rPr>
          <w:rFonts w:ascii="Arial" w:cs="Arial" w:eastAsia="Arial" w:hAnsi="Arial"/>
          <w:sz w:val="22"/>
          <w:szCs w:val="22"/>
          <w:b w:val="1"/>
          <w:bCs w:val="1"/>
          <w:color w:val="auto"/>
        </w:rPr>
        <w:t>Effective August 2020 to July 2021</w:t>
      </w:r>
    </w:p>
    <w:p>
      <w:pPr>
        <w:spacing w:after="0" w:line="202" w:lineRule="exact"/>
        <w:rPr>
          <w:sz w:val="20"/>
          <w:szCs w:val="20"/>
          <w:color w:val="auto"/>
        </w:rPr>
      </w:pPr>
    </w:p>
    <w:p>
      <w:pPr>
        <w:ind w:right="660" w:firstLine="936"/>
        <w:spacing w:after="0" w:line="328" w:lineRule="auto"/>
        <w:rPr>
          <w:sz w:val="20"/>
          <w:szCs w:val="20"/>
          <w:color w:val="auto"/>
        </w:rPr>
      </w:pPr>
      <w:r>
        <w:rPr>
          <w:rFonts w:ascii="Arial" w:cs="Arial" w:eastAsia="Arial" w:hAnsi="Arial"/>
          <w:sz w:val="19"/>
          <w:szCs w:val="19"/>
          <w:color w:val="auto"/>
        </w:rPr>
        <w:t>On an annual basis, each non-employee director of Eagle Materials Inc. (the “Company”) may select one of the following compensation packages for his or her performance of director services during the next 12 months:</w:t>
      </w:r>
    </w:p>
    <w:p>
      <w:pPr>
        <w:spacing w:after="0" w:line="118" w:lineRule="exact"/>
        <w:rPr>
          <w:sz w:val="20"/>
          <w:szCs w:val="20"/>
          <w:color w:val="auto"/>
        </w:rPr>
      </w:pPr>
    </w:p>
    <w:p>
      <w:pPr>
        <w:ind w:left="1880" w:right="560" w:hanging="941"/>
        <w:spacing w:after="0" w:line="250" w:lineRule="auto"/>
        <w:tabs>
          <w:tab w:leader="none" w:pos="1880" w:val="left"/>
        </w:tabs>
        <w:numPr>
          <w:ilvl w:val="0"/>
          <w:numId w:val="18"/>
        </w:numPr>
        <w:rPr>
          <w:rFonts w:ascii="Arial" w:cs="Arial" w:eastAsia="Arial" w:hAnsi="Arial"/>
          <w:sz w:val="22"/>
          <w:szCs w:val="22"/>
          <w:color w:val="auto"/>
        </w:rPr>
      </w:pPr>
      <w:r>
        <w:rPr>
          <w:rFonts w:ascii="Arial" w:cs="Arial" w:eastAsia="Arial" w:hAnsi="Arial"/>
          <w:sz w:val="22"/>
          <w:szCs w:val="22"/>
          <w:color w:val="auto"/>
        </w:rPr>
        <w:t>total annual compensation valued at $230,000, of which $105,000 is paid in cash and the remainder is provided in the form of an equity grant valued at $125,000; or</w:t>
      </w:r>
    </w:p>
    <w:p>
      <w:pPr>
        <w:spacing w:after="0" w:line="174" w:lineRule="exact"/>
        <w:rPr>
          <w:rFonts w:ascii="Arial" w:cs="Arial" w:eastAsia="Arial" w:hAnsi="Arial"/>
          <w:sz w:val="22"/>
          <w:szCs w:val="22"/>
          <w:color w:val="auto"/>
        </w:rPr>
      </w:pPr>
    </w:p>
    <w:p>
      <w:pPr>
        <w:ind w:left="1880" w:hanging="941"/>
        <w:spacing w:after="0"/>
        <w:tabs>
          <w:tab w:leader="none" w:pos="1880" w:val="left"/>
        </w:tabs>
        <w:numPr>
          <w:ilvl w:val="0"/>
          <w:numId w:val="18"/>
        </w:numPr>
        <w:rPr>
          <w:rFonts w:ascii="Arial" w:cs="Arial" w:eastAsia="Arial" w:hAnsi="Arial"/>
          <w:sz w:val="22"/>
          <w:szCs w:val="22"/>
          <w:color w:val="auto"/>
        </w:rPr>
      </w:pPr>
      <w:r>
        <w:rPr>
          <w:rFonts w:ascii="Arial" w:cs="Arial" w:eastAsia="Arial" w:hAnsi="Arial"/>
          <w:sz w:val="22"/>
          <w:szCs w:val="22"/>
          <w:color w:val="auto"/>
        </w:rPr>
        <w:t>an equity grant valued at $261,500.</w:t>
      </w:r>
    </w:p>
    <w:p>
      <w:pPr>
        <w:spacing w:after="0" w:line="220" w:lineRule="exact"/>
        <w:rPr>
          <w:sz w:val="20"/>
          <w:szCs w:val="20"/>
          <w:color w:val="auto"/>
        </w:rPr>
      </w:pPr>
    </w:p>
    <w:p>
      <w:pPr>
        <w:ind w:right="380" w:firstLine="936"/>
        <w:spacing w:after="0"/>
        <w:rPr>
          <w:sz w:val="20"/>
          <w:szCs w:val="20"/>
          <w:color w:val="auto"/>
        </w:rPr>
      </w:pPr>
      <w:r>
        <w:rPr>
          <w:rFonts w:ascii="Arial" w:cs="Arial" w:eastAsia="Arial" w:hAnsi="Arial"/>
          <w:sz w:val="22"/>
          <w:szCs w:val="22"/>
          <w:color w:val="auto"/>
        </w:rPr>
        <w:t>The grant date value of the equity grant under either alternative is allocated between restricted stock and options to purchase common stock of the Company, par value $0.01 (“Common Stock”) (based upon the recommendation of the Compensation Committee) with respect to each non-employee director.</w:t>
      </w:r>
    </w:p>
    <w:p>
      <w:pPr>
        <w:spacing w:after="0" w:line="200" w:lineRule="exact"/>
        <w:rPr>
          <w:sz w:val="20"/>
          <w:szCs w:val="20"/>
          <w:color w:val="auto"/>
        </w:rPr>
      </w:pPr>
    </w:p>
    <w:p>
      <w:pPr>
        <w:ind w:right="240" w:firstLine="936"/>
        <w:spacing w:after="0" w:line="238" w:lineRule="auto"/>
        <w:rPr>
          <w:sz w:val="20"/>
          <w:szCs w:val="20"/>
          <w:color w:val="auto"/>
        </w:rPr>
      </w:pPr>
      <w:r>
        <w:rPr>
          <w:rFonts w:ascii="Arial" w:cs="Arial" w:eastAsia="Arial" w:hAnsi="Arial"/>
          <w:sz w:val="22"/>
          <w:szCs w:val="22"/>
          <w:color w:val="auto"/>
        </w:rPr>
        <w:t>In accordance with the terms of the Eagle Materials Inc. Amended and Restated Incentive Plan, the exercise price of the stock options is set at the closing price of the Common Stock on the New York Stock Exchange (“NYSE”) on the date of grant. The number of option shares granted is determined as of the date of the grant by using the Black-Scholes method. No stock options were granted as part of this year’s package.</w:t>
      </w:r>
    </w:p>
    <w:p>
      <w:pPr>
        <w:spacing w:after="0" w:line="198" w:lineRule="exact"/>
        <w:rPr>
          <w:sz w:val="20"/>
          <w:szCs w:val="20"/>
          <w:color w:val="auto"/>
        </w:rPr>
      </w:pPr>
    </w:p>
    <w:p>
      <w:pPr>
        <w:ind w:firstLine="936"/>
        <w:spacing w:after="0" w:line="246" w:lineRule="auto"/>
        <w:rPr>
          <w:sz w:val="20"/>
          <w:szCs w:val="20"/>
          <w:color w:val="auto"/>
        </w:rPr>
      </w:pPr>
      <w:r>
        <w:rPr>
          <w:rFonts w:ascii="Arial" w:cs="Arial" w:eastAsia="Arial" w:hAnsi="Arial"/>
          <w:sz w:val="21"/>
          <w:szCs w:val="21"/>
          <w:color w:val="auto"/>
        </w:rPr>
        <w:t>The number of shares of restricted stock is determined as of the date of grant using the closing price of the Common Stock on the NYSE on the date of grant. The restricted stock granted to directors in August 2020 was earned on the date of grant; however, the shares will not become fully vested (unrestricted) until the earliest to occur of (i) February 5, 2021; (ii) the recipient’s retirement from the Board in accordance with the Company’s director retirement policy, or under such circumstances as are approved by the Compensation Committee; or (iii) the recipient’s death. During the restriction period the director will have the right to vote the shares. In addition, the director will also be entitled to cash dividends as and when the Company issues a cash dividend on the Common Stock.</w:t>
      </w:r>
    </w:p>
    <w:p>
      <w:pPr>
        <w:spacing w:after="0" w:line="198" w:lineRule="exact"/>
        <w:rPr>
          <w:sz w:val="20"/>
          <w:szCs w:val="20"/>
          <w:color w:val="auto"/>
        </w:rPr>
      </w:pPr>
    </w:p>
    <w:p>
      <w:pPr>
        <w:ind w:right="40" w:firstLine="936"/>
        <w:spacing w:after="0" w:line="276" w:lineRule="auto"/>
        <w:rPr>
          <w:sz w:val="20"/>
          <w:szCs w:val="20"/>
          <w:color w:val="auto"/>
        </w:rPr>
      </w:pPr>
      <w:r>
        <w:rPr>
          <w:rFonts w:ascii="Arial" w:cs="Arial" w:eastAsia="Arial" w:hAnsi="Arial"/>
          <w:sz w:val="19"/>
          <w:szCs w:val="19"/>
          <w:color w:val="auto"/>
        </w:rPr>
        <w:t>Non-employee directors who chair committees of the Board of Directors receive additional annual compensation. The chairs of the Audit Committee, Compensation Committee and Governance Committee each receive a fee of $20,000 per</w:t>
      </w:r>
    </w:p>
    <w:p>
      <w:pPr>
        <w:spacing w:after="0" w:line="1" w:lineRule="exact"/>
        <w:rPr>
          <w:sz w:val="20"/>
          <w:szCs w:val="20"/>
          <w:color w:val="auto"/>
        </w:rPr>
      </w:pPr>
    </w:p>
    <w:p>
      <w:pPr>
        <w:ind w:right="240"/>
        <w:spacing w:after="0" w:line="280" w:lineRule="auto"/>
        <w:rPr>
          <w:sz w:val="20"/>
          <w:szCs w:val="20"/>
          <w:color w:val="auto"/>
        </w:rPr>
      </w:pPr>
      <w:r>
        <w:rPr>
          <w:rFonts w:ascii="Arial" w:cs="Arial" w:eastAsia="Arial" w:hAnsi="Arial"/>
          <w:sz w:val="19"/>
          <w:szCs w:val="19"/>
          <w:color w:val="auto"/>
        </w:rPr>
        <w:t>year. The Chairman of the Board of Directors receives a fee of $170,000 per year. Chairpersons who choose compensation package alternative one (part equity and part cash) receive this additional compensation in the form of cash. Chairpersons who choose compensation package alternative two (all equity) receive this additional compensation in the form of equity, in which case a 30% premium is added to such fees when valuing the equity to be received by such chairperson.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6" w:name="page47"/>
    <w:bookmarkEnd w:id="46"/>
    <w:p>
      <w:pPr>
        <w:ind w:firstLine="936"/>
        <w:spacing w:after="0"/>
        <w:rPr>
          <w:sz w:val="20"/>
          <w:szCs w:val="20"/>
          <w:color w:val="auto"/>
        </w:rPr>
      </w:pPr>
      <w:r>
        <w:rPr>
          <w:rFonts w:ascii="Arial" w:cs="Arial" w:eastAsia="Arial" w:hAnsi="Arial"/>
          <w:sz w:val="22"/>
          <w:szCs w:val="22"/>
          <w:color w:val="auto"/>
        </w:rPr>
        <w:t>Any non-employee director holding unvested restricted stock units (“RSUs”) granted as part of director compensation in prior fiscal years (which currently includes Mr. Nicolais) will receive dividend equivalent units as and when the Company issues a cash dividend on the Common Stock, in accordance with the terms of the RSUs.</w:t>
      </w:r>
    </w:p>
    <w:p>
      <w:pPr>
        <w:spacing w:after="0" w:line="200" w:lineRule="exact"/>
        <w:rPr>
          <w:sz w:val="20"/>
          <w:szCs w:val="20"/>
          <w:color w:val="auto"/>
        </w:rPr>
      </w:pPr>
    </w:p>
    <w:p>
      <w:pPr>
        <w:ind w:left="940"/>
        <w:spacing w:after="0"/>
        <w:rPr>
          <w:sz w:val="20"/>
          <w:szCs w:val="20"/>
          <w:color w:val="auto"/>
        </w:rPr>
      </w:pPr>
      <w:r>
        <w:rPr>
          <w:rFonts w:ascii="Arial" w:cs="Arial" w:eastAsia="Arial" w:hAnsi="Arial"/>
          <w:sz w:val="22"/>
          <w:szCs w:val="22"/>
          <w:color w:val="auto"/>
        </w:rPr>
        <w:t>All directors are reimbursed for reasonable expenses of attending meetings.</w:t>
      </w:r>
    </w:p>
    <w:p>
      <w:pPr>
        <w:sectPr>
          <w:pgSz w:w="11900" w:h="16838" w:orient="portrait"/>
          <w:cols w:equalWidth="0" w:num="1">
            <w:col w:w="11140"/>
          </w:cols>
          <w:pgMar w:left="320" w:top="348" w:right="439" w:bottom="1440" w:gutter="0" w:footer="0" w:header="0"/>
        </w:sectPr>
      </w:pPr>
    </w:p>
    <w:bookmarkStart w:id="47" w:name="page48"/>
    <w:bookmarkEnd w:id="47"/>
    <w:p>
      <w:pPr>
        <w:jc w:val="right"/>
        <w:spacing w:after="0"/>
        <w:rPr>
          <w:sz w:val="20"/>
          <w:szCs w:val="20"/>
          <w:color w:val="auto"/>
        </w:rPr>
      </w:pPr>
      <w:r>
        <w:rPr>
          <w:rFonts w:ascii="Arial" w:cs="Arial" w:eastAsia="Arial" w:hAnsi="Arial"/>
          <w:sz w:val="22"/>
          <w:szCs w:val="22"/>
          <w:b w:val="1"/>
          <w:bCs w:val="1"/>
          <w:color w:val="auto"/>
        </w:rPr>
        <w:t>EXHIBIT 10.2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EAGLE MATERIALS INC</w:t>
      </w:r>
      <w:r>
        <w:rPr>
          <w:rFonts w:ascii="Arial" w:cs="Arial" w:eastAsia="Arial" w:hAnsi="Arial"/>
          <w:sz w:val="22"/>
          <w:szCs w:val="22"/>
          <w:b w:val="1"/>
          <w:bCs w:val="1"/>
          <w:color w:val="auto"/>
        </w:rPr>
        <w: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INCENTIVE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AGREEMENT</w:t>
      </w:r>
    </w:p>
    <w:p>
      <w:pPr>
        <w:spacing w:after="0" w:line="212" w:lineRule="exact"/>
        <w:rPr>
          <w:sz w:val="20"/>
          <w:szCs w:val="20"/>
          <w:color w:val="auto"/>
        </w:rPr>
      </w:pPr>
    </w:p>
    <w:p>
      <w:pPr>
        <w:ind w:left="800"/>
        <w:spacing w:after="0"/>
        <w:rPr>
          <w:sz w:val="20"/>
          <w:szCs w:val="20"/>
          <w:color w:val="auto"/>
        </w:rPr>
      </w:pPr>
      <w:r>
        <w:rPr>
          <w:rFonts w:ascii="Arial" w:cs="Arial" w:eastAsia="Arial" w:hAnsi="Arial"/>
          <w:sz w:val="19"/>
          <w:szCs w:val="19"/>
          <w:color w:val="auto"/>
        </w:rPr>
        <w:t>Eagle Materials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___________ (the "</w:t>
      </w:r>
      <w:r>
        <w:rPr>
          <w:rFonts w:ascii="Arial" w:cs="Arial" w:eastAsia="Arial" w:hAnsi="Arial"/>
          <w:sz w:val="19"/>
          <w:szCs w:val="19"/>
          <w:u w:val="single" w:color="auto"/>
          <w:color w:val="auto"/>
        </w:rPr>
        <w:t>Grantee</w:t>
      </w:r>
      <w:r>
        <w:rPr>
          <w:rFonts w:ascii="Arial" w:cs="Arial" w:eastAsia="Arial" w:hAnsi="Arial"/>
          <w:sz w:val="19"/>
          <w:szCs w:val="19"/>
          <w:color w:val="auto"/>
        </w:rPr>
        <w:t>") hereby enter into this</w:t>
      </w:r>
    </w:p>
    <w:p>
      <w:pPr>
        <w:spacing w:after="0" w:line="4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Restricted Stock Award Agreement (the "</w:t>
      </w:r>
      <w:r>
        <w:rPr>
          <w:rFonts w:ascii="Arial" w:cs="Arial" w:eastAsia="Arial" w:hAnsi="Arial"/>
          <w:sz w:val="22"/>
          <w:szCs w:val="22"/>
          <w:u w:val="single" w:color="auto"/>
          <w:color w:val="auto"/>
        </w:rPr>
        <w:t>Agreement</w:t>
      </w:r>
      <w:r>
        <w:rPr>
          <w:rFonts w:ascii="Arial" w:cs="Arial" w:eastAsia="Arial" w:hAnsi="Arial"/>
          <w:sz w:val="22"/>
          <w:szCs w:val="22"/>
          <w:color w:val="auto"/>
        </w:rPr>
        <w:t>") in order to set forth the terms and conditions of the Company's award (the "</w:t>
      </w:r>
      <w:r>
        <w:rPr>
          <w:rFonts w:ascii="Arial" w:cs="Arial" w:eastAsia="Arial" w:hAnsi="Arial"/>
          <w:sz w:val="22"/>
          <w:szCs w:val="22"/>
          <w:u w:val="single" w:color="auto"/>
          <w:color w:val="auto"/>
        </w:rPr>
        <w:t>Award</w:t>
      </w:r>
      <w:r>
        <w:rPr>
          <w:rFonts w:ascii="Arial" w:cs="Arial" w:eastAsia="Arial" w:hAnsi="Arial"/>
          <w:sz w:val="22"/>
          <w:szCs w:val="22"/>
          <w:color w:val="auto"/>
        </w:rPr>
        <w:t>") to the Grantee of certain shares of Common Stock of the Company granted to the Grantee on August 5, 2020 (the "</w:t>
      </w:r>
      <w:r>
        <w:rPr>
          <w:rFonts w:ascii="Arial" w:cs="Arial" w:eastAsia="Arial" w:hAnsi="Arial"/>
          <w:sz w:val="22"/>
          <w:szCs w:val="22"/>
          <w:u w:val="single" w:color="auto"/>
          <w:color w:val="auto"/>
        </w:rPr>
        <w:t>Award Date</w:t>
      </w:r>
      <w:r>
        <w:rPr>
          <w:rFonts w:ascii="Arial" w:cs="Arial" w:eastAsia="Arial" w:hAnsi="Arial"/>
          <w:sz w:val="22"/>
          <w:szCs w:val="22"/>
          <w:color w:val="auto"/>
        </w:rPr>
        <w:t>").</w:t>
      </w:r>
    </w:p>
    <w:p>
      <w:pPr>
        <w:spacing w:after="0" w:line="187" w:lineRule="exact"/>
        <w:rPr>
          <w:sz w:val="20"/>
          <w:szCs w:val="20"/>
          <w:color w:val="auto"/>
        </w:rPr>
      </w:pPr>
    </w:p>
    <w:p>
      <w:pPr>
        <w:ind w:left="1620" w:hanging="810"/>
        <w:spacing w:after="0"/>
        <w:tabs>
          <w:tab w:leader="none" w:pos="1620"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Award</w:t>
      </w:r>
      <w:r>
        <w:rPr>
          <w:rFonts w:ascii="Arial" w:cs="Arial" w:eastAsia="Arial" w:hAnsi="Arial"/>
          <w:sz w:val="19"/>
          <w:szCs w:val="19"/>
          <w:color w:val="auto"/>
        </w:rPr>
        <w:t>. The Company hereby awards to the Grantee ________ shares of Common Stock of the Company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Shares</w:t>
      </w:r>
      <w:r>
        <w:rPr>
          <w:rFonts w:ascii="Arial" w:cs="Arial" w:eastAsia="Arial" w:hAnsi="Arial"/>
          <w:sz w:val="22"/>
          <w:szCs w:val="22"/>
          <w:color w:val="auto"/>
        </w:rPr>
        <w:t>").</w:t>
      </w:r>
    </w:p>
    <w:p>
      <w:pPr>
        <w:spacing w:after="0" w:line="188" w:lineRule="exact"/>
        <w:rPr>
          <w:rFonts w:ascii="Arial" w:cs="Arial" w:eastAsia="Arial" w:hAnsi="Arial"/>
          <w:sz w:val="19"/>
          <w:szCs w:val="19"/>
          <w:color w:val="auto"/>
        </w:rPr>
      </w:pPr>
    </w:p>
    <w:p>
      <w:pPr>
        <w:jc w:val="both"/>
        <w:ind w:firstLine="810"/>
        <w:spacing w:after="0" w:line="238" w:lineRule="auto"/>
        <w:tabs>
          <w:tab w:leader="none" w:pos="1612"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Relationship to the Plan</w:t>
      </w:r>
      <w:r>
        <w:rPr>
          <w:rFonts w:ascii="Arial" w:cs="Arial" w:eastAsia="Arial" w:hAnsi="Arial"/>
          <w:sz w:val="22"/>
          <w:szCs w:val="22"/>
          <w:color w:val="auto"/>
        </w:rPr>
        <w:t>. The Award shall be subject to the terms and conditions of the Eagle Materials Inc. Amended and Restated Incentive Plan (the “</w:t>
      </w:r>
      <w:r>
        <w:rPr>
          <w:rFonts w:ascii="Arial" w:cs="Arial" w:eastAsia="Arial" w:hAnsi="Arial"/>
          <w:sz w:val="22"/>
          <w:szCs w:val="22"/>
          <w:u w:val="single" w:color="auto"/>
          <w:color w:val="auto"/>
        </w:rPr>
        <w:t>Plan</w:t>
      </w:r>
      <w:r>
        <w:rPr>
          <w:rFonts w:ascii="Arial" w:cs="Arial" w:eastAsia="Arial" w:hAnsi="Arial"/>
          <w:sz w:val="22"/>
          <w:szCs w:val="22"/>
          <w:color w:val="auto"/>
        </w:rPr>
        <w:t>”), this Agreement and such administrative interpretations of the Plan, if any, as may be in effect on the date of this Agreement. Except as defined herein, capitalized terms shall have the meanings ascribed to them under the Plan. For purposes of this Agreement:</w:t>
      </w:r>
    </w:p>
    <w:p>
      <w:pPr>
        <w:spacing w:after="0" w:line="184" w:lineRule="exact"/>
        <w:rPr>
          <w:rFonts w:ascii="Arial" w:cs="Arial" w:eastAsia="Arial" w:hAnsi="Arial"/>
          <w:sz w:val="22"/>
          <w:szCs w:val="22"/>
          <w:color w:val="auto"/>
        </w:rPr>
      </w:pPr>
    </w:p>
    <w:p>
      <w:pPr>
        <w:ind w:left="2400" w:hanging="799"/>
        <w:spacing w:after="0" w:line="250" w:lineRule="auto"/>
        <w:tabs>
          <w:tab w:leader="none" w:pos="2400" w:val="left"/>
        </w:tabs>
        <w:numPr>
          <w:ilvl w:val="1"/>
          <w:numId w:val="1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Restriction Period</w:t>
      </w:r>
      <w:r>
        <w:rPr>
          <w:rFonts w:ascii="Arial" w:cs="Arial" w:eastAsia="Arial" w:hAnsi="Arial"/>
          <w:sz w:val="22"/>
          <w:szCs w:val="22"/>
          <w:color w:val="auto"/>
        </w:rPr>
        <w:t>" shall mean the period beginning on the Award Date and ending on the date immediately preceding the Vesting Date.</w:t>
      </w:r>
    </w:p>
    <w:p>
      <w:pPr>
        <w:spacing w:after="0" w:line="174" w:lineRule="exact"/>
        <w:rPr>
          <w:rFonts w:ascii="Arial" w:cs="Arial" w:eastAsia="Arial" w:hAnsi="Arial"/>
          <w:sz w:val="22"/>
          <w:szCs w:val="22"/>
          <w:color w:val="auto"/>
        </w:rPr>
      </w:pPr>
    </w:p>
    <w:p>
      <w:pPr>
        <w:jc w:val="both"/>
        <w:ind w:left="2400" w:hanging="799"/>
        <w:spacing w:after="0"/>
        <w:tabs>
          <w:tab w:leader="none" w:pos="2400" w:val="left"/>
        </w:tabs>
        <w:numPr>
          <w:ilvl w:val="1"/>
          <w:numId w:val="1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Retirement</w:t>
      </w:r>
      <w:r>
        <w:rPr>
          <w:rFonts w:ascii="Arial" w:cs="Arial" w:eastAsia="Arial" w:hAnsi="Arial"/>
          <w:sz w:val="22"/>
          <w:szCs w:val="22"/>
          <w:color w:val="auto"/>
        </w:rPr>
        <w:t>" shall mean termination of service on the Board at the Company's mandatory retirement age in accordance with the Company's director retirement policy or earlier on such terms and conditions as approved by the Committee.</w:t>
      </w:r>
    </w:p>
    <w:p>
      <w:pPr>
        <w:spacing w:after="0" w:line="186" w:lineRule="exact"/>
        <w:rPr>
          <w:rFonts w:ascii="Arial" w:cs="Arial" w:eastAsia="Arial" w:hAnsi="Arial"/>
          <w:sz w:val="22"/>
          <w:szCs w:val="22"/>
          <w:color w:val="auto"/>
        </w:rPr>
      </w:pPr>
    </w:p>
    <w:p>
      <w:pPr>
        <w:ind w:left="1620" w:hanging="810"/>
        <w:spacing w:after="0"/>
        <w:tabs>
          <w:tab w:leader="none" w:pos="162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2400" w:hanging="799"/>
        <w:spacing w:after="0"/>
        <w:tabs>
          <w:tab w:leader="none" w:pos="2400" w:val="left"/>
        </w:tabs>
        <w:numPr>
          <w:ilvl w:val="1"/>
          <w:numId w:val="19"/>
        </w:numPr>
        <w:rPr>
          <w:rFonts w:ascii="Arial" w:cs="Arial" w:eastAsia="Arial" w:hAnsi="Arial"/>
          <w:sz w:val="22"/>
          <w:szCs w:val="22"/>
          <w:color w:val="auto"/>
        </w:rPr>
      </w:pPr>
      <w:r>
        <w:rPr>
          <w:rFonts w:ascii="Arial" w:cs="Arial" w:eastAsia="Arial" w:hAnsi="Arial"/>
          <w:sz w:val="22"/>
          <w:szCs w:val="22"/>
          <w:u w:val="single" w:color="auto"/>
          <w:color w:val="auto"/>
        </w:rPr>
        <w:t>Vesting Criteria</w:t>
      </w:r>
      <w:r>
        <w:rPr>
          <w:rFonts w:ascii="Arial" w:cs="Arial" w:eastAsia="Arial" w:hAnsi="Arial"/>
          <w:sz w:val="22"/>
          <w:szCs w:val="22"/>
          <w:color w:val="auto"/>
        </w:rPr>
        <w:t>. The Grantee's interest in the Shares shall vest in full as of the earliest of (i) February 5, 2021; (ii) Grantee's Retirement; or (iii) Grantee's death (as applicable, the "</w:t>
      </w:r>
      <w:r>
        <w:rPr>
          <w:rFonts w:ascii="Arial" w:cs="Arial" w:eastAsia="Arial" w:hAnsi="Arial"/>
          <w:sz w:val="22"/>
          <w:szCs w:val="22"/>
          <w:u w:val="single" w:color="auto"/>
          <w:color w:val="auto"/>
        </w:rPr>
        <w:t>Vesting Date</w:t>
      </w:r>
      <w:r>
        <w:rPr>
          <w:rFonts w:ascii="Arial" w:cs="Arial" w:eastAsia="Arial" w:hAnsi="Arial"/>
          <w:sz w:val="22"/>
          <w:szCs w:val="22"/>
          <w:color w:val="auto"/>
        </w:rPr>
        <w:t>"). Prior to the Vesting Date, all Shares shall be unvested Shares.</w:t>
      </w:r>
    </w:p>
    <w:p>
      <w:pPr>
        <w:spacing w:after="0" w:line="186" w:lineRule="exact"/>
        <w:rPr>
          <w:rFonts w:ascii="Arial" w:cs="Arial" w:eastAsia="Arial" w:hAnsi="Arial"/>
          <w:sz w:val="22"/>
          <w:szCs w:val="22"/>
          <w:color w:val="auto"/>
        </w:rPr>
      </w:pPr>
    </w:p>
    <w:p>
      <w:pPr>
        <w:jc w:val="both"/>
        <w:ind w:left="2400" w:hanging="799"/>
        <w:spacing w:after="0" w:line="287" w:lineRule="auto"/>
        <w:tabs>
          <w:tab w:leader="none" w:pos="2400" w:val="left"/>
        </w:tabs>
        <w:numPr>
          <w:ilvl w:val="1"/>
          <w:numId w:val="19"/>
        </w:numPr>
        <w:rPr>
          <w:rFonts w:ascii="Arial" w:cs="Arial" w:eastAsia="Arial" w:hAnsi="Arial"/>
          <w:sz w:val="19"/>
          <w:szCs w:val="19"/>
          <w:color w:val="auto"/>
        </w:rPr>
      </w:pPr>
      <w:r>
        <w:rPr>
          <w:rFonts w:ascii="Arial" w:cs="Arial" w:eastAsia="Arial" w:hAnsi="Arial"/>
          <w:sz w:val="19"/>
          <w:szCs w:val="19"/>
          <w:u w:val="single" w:color="auto"/>
          <w:color w:val="auto"/>
        </w:rPr>
        <w:t>Restrictions</w:t>
      </w:r>
      <w:r>
        <w:rPr>
          <w:rFonts w:ascii="Arial" w:cs="Arial" w:eastAsia="Arial" w:hAnsi="Arial"/>
          <w:sz w:val="19"/>
          <w:szCs w:val="19"/>
          <w:color w:val="auto"/>
        </w:rPr>
        <w:t>. During the Restriction Period, the Grantee may not sell, transfer, pledge, exchange, hypothecate, or otherwise dispose of any unvested Shares or any right or interest related to such unvested Shares, other than as required by the Grantee's will or beneficiary designation, in accordance with the laws of descent and distribution or by a qualified domestic relations order.</w:t>
      </w:r>
    </w:p>
    <w:p>
      <w:pPr>
        <w:spacing w:after="0" w:line="142" w:lineRule="exact"/>
        <w:rPr>
          <w:rFonts w:ascii="Arial" w:cs="Arial" w:eastAsia="Arial" w:hAnsi="Arial"/>
          <w:sz w:val="19"/>
          <w:szCs w:val="19"/>
          <w:color w:val="auto"/>
        </w:rPr>
      </w:pPr>
    </w:p>
    <w:p>
      <w:pPr>
        <w:jc w:val="both"/>
        <w:ind w:left="2400" w:hanging="799"/>
        <w:spacing w:after="0" w:line="252" w:lineRule="auto"/>
        <w:tabs>
          <w:tab w:leader="none" w:pos="2400" w:val="left"/>
        </w:tabs>
        <w:numPr>
          <w:ilvl w:val="1"/>
          <w:numId w:val="19"/>
        </w:numPr>
        <w:rPr>
          <w:rFonts w:ascii="Arial" w:cs="Arial" w:eastAsia="Arial" w:hAnsi="Arial"/>
          <w:sz w:val="21"/>
          <w:szCs w:val="21"/>
          <w:color w:val="auto"/>
        </w:rPr>
      </w:pPr>
      <w:r>
        <w:rPr>
          <w:rFonts w:ascii="Arial" w:cs="Arial" w:eastAsia="Arial" w:hAnsi="Arial"/>
          <w:sz w:val="21"/>
          <w:szCs w:val="21"/>
          <w:u w:val="single" w:color="auto"/>
          <w:color w:val="auto"/>
        </w:rPr>
        <w:t>Cancellation Right</w:t>
      </w:r>
      <w:r>
        <w:rPr>
          <w:rFonts w:ascii="Arial" w:cs="Arial" w:eastAsia="Arial" w:hAnsi="Arial"/>
          <w:sz w:val="21"/>
          <w:szCs w:val="21"/>
          <w:color w:val="auto"/>
        </w:rPr>
        <w:t>. The Grantee must be in continuous service as a Director from the Award Date through the Vesting Date for an unvested Share to become vested. Subject to Section 4, Grantee's discontinuation of service as a Director prior to the Vesting Date shall cause the unvested Shares to be automatically forfeited as of such discontinuation of service date.</w:t>
      </w:r>
    </w:p>
    <w:p>
      <w:pPr>
        <w:spacing w:after="0" w:line="173" w:lineRule="exact"/>
        <w:rPr>
          <w:rFonts w:ascii="Arial" w:cs="Arial" w:eastAsia="Arial" w:hAnsi="Arial"/>
          <w:sz w:val="21"/>
          <w:szCs w:val="21"/>
          <w:color w:val="auto"/>
        </w:rPr>
      </w:pPr>
    </w:p>
    <w:p>
      <w:pPr>
        <w:ind w:right="20" w:firstLine="810"/>
        <w:spacing w:after="0" w:line="250" w:lineRule="auto"/>
        <w:tabs>
          <w:tab w:leader="none" w:pos="1612"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The restrictions set forth above in Section 3 shall lapse with respect to the unvested Shares not previously forfeited and such Shares shall become fully vested without regard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8" w:name="page49"/>
    <w:bookmarkEnd w:id="48"/>
    <w:p>
      <w:pPr>
        <w:jc w:val="both"/>
        <w:spacing w:after="0" w:line="277" w:lineRule="auto"/>
        <w:rPr>
          <w:sz w:val="20"/>
          <w:szCs w:val="20"/>
          <w:color w:val="auto"/>
        </w:rPr>
      </w:pPr>
      <w:r>
        <w:rPr>
          <w:rFonts w:ascii="Arial" w:cs="Arial" w:eastAsia="Arial" w:hAnsi="Arial"/>
          <w:sz w:val="19"/>
          <w:szCs w:val="19"/>
          <w:color w:val="auto"/>
        </w:rPr>
        <w:t xml:space="preserve">the limitations set forth in Section 3 above, provided that the Grantee has been in continuous service as a Director from the Award Date through the occurrence of a Change in Control (as defined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this Agreement), unless either: (i) the Committee determines that the terms of the transaction giving rise to the Change in Control provide that the Award is to be replaced within a reasonable time after the Change in Control with an award of equivalent value of shares of the surviving parent corporation, or (ii) the Award is to be settled in cash in accordance with the last sentence of this Section 4. Upon a Change in Control, pursuant to Section 15 of the Plan, the Company may, in its discretion, settle the Award by a cash payment that the Committee shall determine in its sole discretion is equal to the fair market value of the Award on the date of such event.</w:t>
      </w:r>
    </w:p>
    <w:p>
      <w:pPr>
        <w:spacing w:after="0" w:line="152" w:lineRule="exact"/>
        <w:rPr>
          <w:sz w:val="20"/>
          <w:szCs w:val="20"/>
          <w:color w:val="auto"/>
        </w:rPr>
      </w:pPr>
    </w:p>
    <w:p>
      <w:pPr>
        <w:jc w:val="both"/>
        <w:ind w:firstLine="810"/>
        <w:spacing w:after="0" w:line="297" w:lineRule="auto"/>
        <w:tabs>
          <w:tab w:leader="none" w:pos="1612"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Stockholder Rights</w:t>
      </w:r>
      <w:r>
        <w:rPr>
          <w:rFonts w:ascii="Arial" w:cs="Arial" w:eastAsia="Arial" w:hAnsi="Arial"/>
          <w:sz w:val="19"/>
          <w:szCs w:val="19"/>
          <w:color w:val="auto"/>
        </w:rPr>
        <w:t>. The Grantee shall have the right to vote the Shares. The Grantee shall also have the right to receive any cash dividends paid on the unvested Shares at the same time such amounts are paid with respect to all other shares of Common Stock; provided, the record date for such dividend payment is on or after the Award Date.</w:t>
      </w:r>
    </w:p>
    <w:p>
      <w:pPr>
        <w:spacing w:after="0" w:line="133" w:lineRule="exact"/>
        <w:rPr>
          <w:rFonts w:ascii="Arial" w:cs="Arial" w:eastAsia="Arial" w:hAnsi="Arial"/>
          <w:sz w:val="19"/>
          <w:szCs w:val="19"/>
          <w:color w:val="auto"/>
        </w:rPr>
      </w:pPr>
    </w:p>
    <w:p>
      <w:pPr>
        <w:jc w:val="both"/>
        <w:ind w:firstLine="810"/>
        <w:spacing w:after="0" w:line="245" w:lineRule="auto"/>
        <w:tabs>
          <w:tab w:leader="none" w:pos="1612" w:val="left"/>
        </w:tabs>
        <w:numPr>
          <w:ilvl w:val="0"/>
          <w:numId w:val="20"/>
        </w:numPr>
        <w:rPr>
          <w:rFonts w:ascii="Arial" w:cs="Arial" w:eastAsia="Arial" w:hAnsi="Arial"/>
          <w:sz w:val="21"/>
          <w:szCs w:val="21"/>
          <w:color w:val="auto"/>
        </w:rPr>
      </w:pPr>
      <w:r>
        <w:rPr>
          <w:rFonts w:ascii="Arial" w:cs="Arial" w:eastAsia="Arial" w:hAnsi="Arial"/>
          <w:sz w:val="21"/>
          <w:szCs w:val="21"/>
          <w:u w:val="single" w:color="auto"/>
          <w:color w:val="auto"/>
        </w:rPr>
        <w:t>Capital Adjustments and Corporate Events</w:t>
      </w:r>
      <w:r>
        <w:rPr>
          <w:rFonts w:ascii="Arial" w:cs="Arial" w:eastAsia="Arial" w:hAnsi="Arial"/>
          <w:sz w:val="21"/>
          <w:szCs w:val="21"/>
          <w:color w:val="auto"/>
        </w:rPr>
        <w:t>. If, from time to time during the term of the Restriction Period, there is any capital adjustment affecting the outstanding Common Stock as a class without the Company’s receipt of consideration, including as a result of a spin-off or business disposition, the Shares and other applicable terms of this Award shall be adjusted in accordance with the provisions of Section 15 of the Plan, which adjustment shall include (as may be applicable) without limitation, equitable adjustments to the type of property or securities to which the Award relates, in each case as determined by the Committee in its discretion. Any and all new, substituted or additional securities to which the Grantee may be entitled by reason of the Grantee’s ownership of the Shares hereunder because of a capital adjustment shall be immediately subject to the restrictions set forth herein (as may be modified pursuant to this Agreement) and included thereafter as Shares for purposes of this Agreement.</w:t>
      </w:r>
    </w:p>
    <w:p>
      <w:pPr>
        <w:spacing w:after="0" w:line="184" w:lineRule="exact"/>
        <w:rPr>
          <w:rFonts w:ascii="Arial" w:cs="Arial" w:eastAsia="Arial" w:hAnsi="Arial"/>
          <w:sz w:val="21"/>
          <w:szCs w:val="21"/>
          <w:color w:val="auto"/>
        </w:rPr>
      </w:pPr>
    </w:p>
    <w:p>
      <w:pPr>
        <w:ind w:left="1620" w:hanging="810"/>
        <w:spacing w:after="0"/>
        <w:tabs>
          <w:tab w:leader="none" w:pos="1620"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Refusal to Transfer</w:t>
      </w:r>
      <w:r>
        <w:rPr>
          <w:rFonts w:ascii="Arial" w:cs="Arial" w:eastAsia="Arial" w:hAnsi="Arial"/>
          <w:sz w:val="22"/>
          <w:szCs w:val="22"/>
          <w:color w:val="auto"/>
        </w:rPr>
        <w:t>. The Company shall not be required:</w:t>
      </w:r>
    </w:p>
    <w:p>
      <w:pPr>
        <w:spacing w:after="0" w:line="206" w:lineRule="exact"/>
        <w:rPr>
          <w:rFonts w:ascii="Arial" w:cs="Arial" w:eastAsia="Arial" w:hAnsi="Arial"/>
          <w:sz w:val="22"/>
          <w:szCs w:val="22"/>
          <w:color w:val="auto"/>
        </w:rPr>
      </w:pPr>
    </w:p>
    <w:p>
      <w:pPr>
        <w:ind w:left="2400" w:hanging="799"/>
        <w:spacing w:after="0" w:line="250" w:lineRule="auto"/>
        <w:tabs>
          <w:tab w:leader="none" w:pos="2400" w:val="left"/>
        </w:tabs>
        <w:numPr>
          <w:ilvl w:val="1"/>
          <w:numId w:val="20"/>
        </w:numPr>
        <w:rPr>
          <w:rFonts w:ascii="Arial" w:cs="Arial" w:eastAsia="Arial" w:hAnsi="Arial"/>
          <w:sz w:val="22"/>
          <w:szCs w:val="22"/>
          <w:color w:val="auto"/>
        </w:rPr>
      </w:pPr>
      <w:r>
        <w:rPr>
          <w:rFonts w:ascii="Arial" w:cs="Arial" w:eastAsia="Arial" w:hAnsi="Arial"/>
          <w:sz w:val="22"/>
          <w:szCs w:val="22"/>
          <w:color w:val="auto"/>
        </w:rPr>
        <w:t>to transfer on its books any Shares that have been sold or otherwise transferred in violation of any of the provisions of this Agreement or the Plan; or</w:t>
      </w:r>
    </w:p>
    <w:p>
      <w:pPr>
        <w:spacing w:after="0" w:line="174" w:lineRule="exact"/>
        <w:rPr>
          <w:rFonts w:ascii="Arial" w:cs="Arial" w:eastAsia="Arial" w:hAnsi="Arial"/>
          <w:sz w:val="22"/>
          <w:szCs w:val="22"/>
          <w:color w:val="auto"/>
        </w:rPr>
      </w:pPr>
    </w:p>
    <w:p>
      <w:pPr>
        <w:jc w:val="both"/>
        <w:ind w:left="2400" w:hanging="799"/>
        <w:spacing w:after="0"/>
        <w:tabs>
          <w:tab w:leader="none" w:pos="2400" w:val="left"/>
        </w:tabs>
        <w:numPr>
          <w:ilvl w:val="1"/>
          <w:numId w:val="20"/>
        </w:numPr>
        <w:rPr>
          <w:rFonts w:ascii="Arial" w:cs="Arial" w:eastAsia="Arial" w:hAnsi="Arial"/>
          <w:sz w:val="22"/>
          <w:szCs w:val="22"/>
          <w:color w:val="auto"/>
        </w:rPr>
      </w:pPr>
      <w:r>
        <w:rPr>
          <w:rFonts w:ascii="Arial" w:cs="Arial" w:eastAsia="Arial" w:hAnsi="Arial"/>
          <w:sz w:val="22"/>
          <w:szCs w:val="22"/>
          <w:color w:val="auto"/>
        </w:rPr>
        <w:t>to treat such purchaser or other transferee as owner of such Shares, accord such purchaser or other transferee the right to vote; or pay or deliver dividends or other distributions to such purchaser or other transferee with respect to such Shares.</w:t>
      </w:r>
    </w:p>
    <w:p>
      <w:pPr>
        <w:spacing w:after="0" w:line="186" w:lineRule="exact"/>
        <w:rPr>
          <w:rFonts w:ascii="Arial" w:cs="Arial" w:eastAsia="Arial" w:hAnsi="Arial"/>
          <w:sz w:val="22"/>
          <w:szCs w:val="22"/>
          <w:color w:val="auto"/>
        </w:rPr>
      </w:pPr>
    </w:p>
    <w:p>
      <w:pPr>
        <w:ind w:right="20" w:firstLine="810"/>
        <w:spacing w:after="0" w:line="250" w:lineRule="auto"/>
        <w:tabs>
          <w:tab w:leader="none" w:pos="1612"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Legends</w:t>
      </w:r>
      <w:r>
        <w:rPr>
          <w:rFonts w:ascii="Arial" w:cs="Arial" w:eastAsia="Arial" w:hAnsi="Arial"/>
          <w:sz w:val="22"/>
          <w:szCs w:val="22"/>
          <w:color w:val="auto"/>
        </w:rPr>
        <w:t>. If the Shares are certificated, the certificate or certificates evidencing the Shares, if any, issued hereunder shall be endorsed with the following legend:</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THE SHARES REPRESENTED BY THIS CERTIFICATE ARE SUBJECT TO CERTAIN</w:t>
      </w:r>
    </w:p>
    <w:p>
      <w:pPr>
        <w:ind w:left="1620"/>
        <w:spacing w:after="0"/>
        <w:tabs>
          <w:tab w:leader="none" w:pos="3320" w:val="left"/>
          <w:tab w:leader="none" w:pos="4060" w:val="left"/>
          <w:tab w:leader="none" w:pos="5840" w:val="left"/>
          <w:tab w:leader="none" w:pos="6520" w:val="left"/>
          <w:tab w:leader="none" w:pos="7180" w:val="left"/>
          <w:tab w:leader="none" w:pos="7660" w:val="left"/>
          <w:tab w:leader="none" w:pos="8480" w:val="left"/>
        </w:tabs>
        <w:rPr>
          <w:sz w:val="20"/>
          <w:szCs w:val="20"/>
          <w:color w:val="auto"/>
        </w:rPr>
      </w:pPr>
      <w:r>
        <w:rPr>
          <w:rFonts w:ascii="Arial" w:cs="Arial" w:eastAsia="Arial" w:hAnsi="Arial"/>
          <w:sz w:val="22"/>
          <w:szCs w:val="22"/>
          <w:color w:val="auto"/>
        </w:rPr>
        <w:t>RESTRICTIONS</w:t>
        <w:tab/>
        <w:t>AND,</w:t>
        <w:tab/>
        <w:t>ACCORDINGLY,</w:t>
        <w:tab/>
        <w:t>MAY</w:t>
        <w:tab/>
        <w:t>NOT</w:t>
        <w:tab/>
        <w:t>BE</w:t>
        <w:tab/>
        <w:t>SOLD,</w:t>
      </w:r>
      <w:r>
        <w:rPr>
          <w:sz w:val="20"/>
          <w:szCs w:val="20"/>
          <w:color w:val="auto"/>
        </w:rPr>
        <w:tab/>
      </w:r>
      <w:r>
        <w:rPr>
          <w:rFonts w:ascii="Arial" w:cs="Arial" w:eastAsia="Arial" w:hAnsi="Arial"/>
          <w:sz w:val="19"/>
          <w:szCs w:val="19"/>
          <w:color w:val="auto"/>
        </w:rPr>
        <w:t>ASSIGNED,</w:t>
      </w:r>
    </w:p>
    <w:p>
      <w:pPr>
        <w:ind w:left="1620"/>
        <w:spacing w:after="0" w:line="230" w:lineRule="auto"/>
        <w:rPr>
          <w:sz w:val="20"/>
          <w:szCs w:val="20"/>
          <w:color w:val="auto"/>
        </w:rPr>
      </w:pPr>
      <w:r>
        <w:rPr>
          <w:rFonts w:ascii="Arial" w:cs="Arial" w:eastAsia="Arial" w:hAnsi="Arial"/>
          <w:sz w:val="22"/>
          <w:szCs w:val="22"/>
          <w:color w:val="auto"/>
        </w:rPr>
        <w:t>TRANSFERRED, ENCUMBERED, OR IN ANY MANNER DISPOSED OF EXCEPT IN</w:t>
      </w:r>
    </w:p>
    <w:p>
      <w:pPr>
        <w:ind w:left="1620"/>
        <w:spacing w:after="0" w:line="231" w:lineRule="auto"/>
        <w:rPr>
          <w:sz w:val="20"/>
          <w:szCs w:val="20"/>
          <w:color w:val="auto"/>
        </w:rPr>
      </w:pPr>
      <w:r>
        <w:rPr>
          <w:rFonts w:ascii="Arial" w:cs="Arial" w:eastAsia="Arial" w:hAnsi="Arial"/>
          <w:sz w:val="22"/>
          <w:szCs w:val="22"/>
          <w:color w:val="auto"/>
        </w:rPr>
        <w:t>CONFORMITY  WITH  THE  TERMS  OF  THAT  CERTAIN  RESTRICTED  STOCK</w:t>
      </w:r>
    </w:p>
    <w:p>
      <w:pPr>
        <w:ind w:left="1620"/>
        <w:spacing w:after="0" w:line="230" w:lineRule="auto"/>
        <w:rPr>
          <w:sz w:val="20"/>
          <w:szCs w:val="20"/>
          <w:color w:val="auto"/>
        </w:rPr>
      </w:pPr>
      <w:r>
        <w:rPr>
          <w:rFonts w:ascii="Arial" w:cs="Arial" w:eastAsia="Arial" w:hAnsi="Arial"/>
          <w:sz w:val="22"/>
          <w:szCs w:val="22"/>
          <w:color w:val="auto"/>
        </w:rPr>
        <w:t>AGREEMENT BETWEEN THE ISSUER AND THE ORIGINAL HOLDER OF THESE</w:t>
      </w:r>
    </w:p>
    <w:p>
      <w:pPr>
        <w:ind w:left="1620"/>
        <w:spacing w:after="0"/>
        <w:tabs>
          <w:tab w:leader="none" w:pos="2660" w:val="left"/>
        </w:tabs>
        <w:rPr>
          <w:sz w:val="20"/>
          <w:szCs w:val="20"/>
          <w:color w:val="auto"/>
        </w:rPr>
      </w:pPr>
      <w:r>
        <w:rPr>
          <w:rFonts w:ascii="Arial" w:cs="Arial" w:eastAsia="Arial" w:hAnsi="Arial"/>
          <w:sz w:val="22"/>
          <w:szCs w:val="22"/>
          <w:color w:val="auto"/>
        </w:rPr>
        <w:t>SHARES.</w:t>
      </w:r>
      <w:r>
        <w:rPr>
          <w:sz w:val="20"/>
          <w:szCs w:val="20"/>
          <w:color w:val="auto"/>
        </w:rPr>
        <w:tab/>
      </w:r>
      <w:r>
        <w:rPr>
          <w:rFonts w:ascii="Arial" w:cs="Arial" w:eastAsia="Arial" w:hAnsi="Arial"/>
          <w:sz w:val="21"/>
          <w:szCs w:val="21"/>
          <w:color w:val="auto"/>
        </w:rPr>
        <w:t>A COPY OF SUCH AGREEMENT IS MAINTAINED AT THE ISSUER’S</w:t>
      </w:r>
    </w:p>
    <w:p>
      <w:pPr>
        <w:ind w:left="1620"/>
        <w:spacing w:after="0"/>
        <w:rPr>
          <w:sz w:val="20"/>
          <w:szCs w:val="20"/>
          <w:color w:val="auto"/>
        </w:rPr>
      </w:pPr>
      <w:r>
        <w:rPr>
          <w:rFonts w:ascii="Arial" w:cs="Arial" w:eastAsia="Arial" w:hAnsi="Arial"/>
          <w:sz w:val="22"/>
          <w:szCs w:val="22"/>
          <w:color w:val="auto"/>
        </w:rPr>
        <w:t>PRINCIPAL CORPORATE OFFICES.</w:t>
      </w:r>
    </w:p>
    <w:p>
      <w:pPr>
        <w:spacing w:after="0" w:line="188" w:lineRule="exact"/>
        <w:rPr>
          <w:sz w:val="20"/>
          <w:szCs w:val="20"/>
          <w:color w:val="auto"/>
        </w:rPr>
      </w:pPr>
    </w:p>
    <w:p>
      <w:pPr>
        <w:ind w:right="20" w:firstLine="810"/>
        <w:spacing w:after="0" w:line="250" w:lineRule="auto"/>
        <w:tabs>
          <w:tab w:leader="none" w:pos="1612"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Tax Consequences</w:t>
      </w:r>
      <w:r>
        <w:rPr>
          <w:rFonts w:ascii="Arial" w:cs="Arial" w:eastAsia="Arial" w:hAnsi="Arial"/>
          <w:sz w:val="22"/>
          <w:szCs w:val="22"/>
          <w:color w:val="auto"/>
        </w:rPr>
        <w:t>. The Grantee has reviewed with the Grantee’s own tax advisors the federal, state, and local tax consequences of this investment and the transactions contemplated by this</w:t>
      </w:r>
    </w:p>
    <w:p>
      <w:pPr>
        <w:spacing w:after="0" w:line="174" w:lineRule="exact"/>
        <w:rPr>
          <w:rFonts w:ascii="Arial" w:cs="Arial" w:eastAsia="Arial" w:hAnsi="Arial"/>
          <w:sz w:val="22"/>
          <w:szCs w:val="22"/>
          <w:color w:val="auto"/>
        </w:rPr>
      </w:pPr>
    </w:p>
    <w:p>
      <w:pPr>
        <w:ind w:left="5580" w:hanging="136"/>
        <w:spacing w:after="0"/>
        <w:tabs>
          <w:tab w:leader="none" w:pos="5580" w:val="left"/>
        </w:tabs>
        <w:numPr>
          <w:ilvl w:val="1"/>
          <w:numId w:val="21"/>
        </w:numPr>
        <w:rPr>
          <w:rFonts w:ascii="Arial" w:cs="Arial" w:eastAsia="Arial" w:hAnsi="Arial"/>
          <w:sz w:val="22"/>
          <w:szCs w:val="22"/>
          <w:color w:val="auto"/>
        </w:rPr>
      </w:pPr>
      <w:r>
        <w:rPr>
          <w:rFonts w:ascii="Arial" w:cs="Arial" w:eastAsia="Arial" w:hAnsi="Arial"/>
          <w:sz w:val="22"/>
          <w:szCs w:val="22"/>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49" w:name="page50"/>
    <w:bookmarkEnd w:id="49"/>
    <w:p>
      <w:pPr>
        <w:jc w:val="both"/>
        <w:spacing w:after="0" w:line="244" w:lineRule="auto"/>
        <w:rPr>
          <w:sz w:val="20"/>
          <w:szCs w:val="20"/>
          <w:color w:val="auto"/>
        </w:rPr>
      </w:pPr>
      <w:r>
        <w:rPr>
          <w:rFonts w:ascii="Arial" w:cs="Arial" w:eastAsia="Arial" w:hAnsi="Arial"/>
          <w:sz w:val="21"/>
          <w:szCs w:val="21"/>
          <w:color w:val="auto"/>
        </w:rPr>
        <w:t>Agreement. The Grantee is relying solely on such advisors and not on any statements or representations of the Company or any of its agents. The Grantee understands that the Grantee (and not the Company) shall be responsible for the Grantee’s own tax liability that may arise as a result of the transactions contemplated by this Agreement. The Grantee understands that Section 83 of the Code taxes as ordinary income the difference between the purchase price, if any, for the Shares and the Fair Market Value of the Shares as of the date any restrictions on the Shares lapse. In this context, “restriction” means the restrictions imposed during the Restriction Period. The Grantee understands that the Grantee may elect to be taxed at the time the Shares are awarded rather than when and as the restrictions lapse by filing an election under Section 83(b) of the Code with the Internal Revenue Service within 30 days from the Award Date. THE GRANTEE ACKNOWLEDGES THAT IT IS THE GRANTEE’S SOLE RESPONSIBILITY (AND NOT THE COMPANY’S) TO FILE TIMELY THE ELECTION UNDER SECTION 83(B), EVEN IF THE GRANTEE REQUESTS THE COMPANY OR ITS REPRESENTATIVES TO MAKE THIS FILING ON THE GRANTEE’S BEHALF.</w:t>
      </w:r>
    </w:p>
    <w:p>
      <w:pPr>
        <w:spacing w:after="0" w:line="188" w:lineRule="exact"/>
        <w:rPr>
          <w:sz w:val="20"/>
          <w:szCs w:val="20"/>
          <w:color w:val="auto"/>
        </w:rPr>
      </w:pPr>
    </w:p>
    <w:p>
      <w:pPr>
        <w:jc w:val="both"/>
        <w:ind w:firstLine="810"/>
        <w:spacing w:after="0" w:line="273" w:lineRule="auto"/>
        <w:tabs>
          <w:tab w:leader="none" w:pos="1720"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Entire Agreement; Governing Law</w:t>
      </w:r>
      <w:r>
        <w:rPr>
          <w:rFonts w:ascii="Arial" w:cs="Arial" w:eastAsia="Arial" w:hAnsi="Arial"/>
          <w:sz w:val="19"/>
          <w:szCs w:val="19"/>
          <w:color w:val="auto"/>
        </w:rPr>
        <w:t>. The Plan and this Agreement constitute the entire agreement of the Company and the Grantee (collectively, the “Parties”) with respect to the subject matter hereof and supersede in their entirety all prior undertakings and agreements of the Parties with respect to the subject matter hereof, and may not be modified adversely to the Grantee’s interest except by means of a writing signed by the Parties. Nothing in the Plan and this Agreement (except as expressly provided therein or herein) is intended to confer any rights or remedies on any person other than the Parties. The Plan and this Agreement are to be construed in accordance with and governed by the internal laws of the State of Texas, without giving effect to any choice-of-law rule that would cause the application of the laws of any jurisdiction other than the internal laws of the State of Texas to the rights and duties of the Parties. Should any provision of the Plan or this Agreement relating to the Shares be determined by a court of law to be illegal or unenforceable, such provision shall be enforced to the fullest extent allowed by law and the other provisions shall nevertheless remain effective and shall remain enforceable.</w:t>
      </w:r>
    </w:p>
    <w:p>
      <w:pPr>
        <w:spacing w:after="0" w:line="160" w:lineRule="exact"/>
        <w:rPr>
          <w:rFonts w:ascii="Arial" w:cs="Arial" w:eastAsia="Arial" w:hAnsi="Arial"/>
          <w:sz w:val="19"/>
          <w:szCs w:val="19"/>
          <w:color w:val="auto"/>
        </w:rPr>
      </w:pPr>
    </w:p>
    <w:p>
      <w:pPr>
        <w:jc w:val="both"/>
        <w:ind w:firstLine="810"/>
        <w:spacing w:after="0" w:line="282" w:lineRule="auto"/>
        <w:tabs>
          <w:tab w:leader="none" w:pos="1712"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Interpretive Matters</w:t>
      </w:r>
      <w:r>
        <w:rPr>
          <w:rFonts w:ascii="Arial" w:cs="Arial" w:eastAsia="Arial" w:hAnsi="Arial"/>
          <w:sz w:val="19"/>
          <w:szCs w:val="19"/>
          <w:color w:val="auto"/>
        </w:rPr>
        <w:t>. Whenever required by the context, pronouns and any variation thereof shall be deemed to refer to the masculine, feminine, or neuter, and the singular shall include the plural, and vice versa. The term “include” or “including” does not denote or imply any limitation. The term “business day” means any Monday through Friday other than such a day on which banks are authorized to be closed in the State of Texas. The captions and headings used in this Agreement are inserted for convenience and shall not be deemed a part of the Award or this Agreement for construction or interpretation.</w:t>
      </w:r>
    </w:p>
    <w:p>
      <w:pPr>
        <w:spacing w:after="0" w:line="147" w:lineRule="exact"/>
        <w:rPr>
          <w:rFonts w:ascii="Arial" w:cs="Arial" w:eastAsia="Arial" w:hAnsi="Arial"/>
          <w:sz w:val="19"/>
          <w:szCs w:val="19"/>
          <w:color w:val="auto"/>
        </w:rPr>
      </w:pPr>
    </w:p>
    <w:p>
      <w:pPr>
        <w:jc w:val="both"/>
        <w:ind w:firstLine="810"/>
        <w:spacing w:after="0" w:line="249" w:lineRule="auto"/>
        <w:tabs>
          <w:tab w:leader="none" w:pos="1720" w:val="left"/>
        </w:tabs>
        <w:numPr>
          <w:ilvl w:val="0"/>
          <w:numId w:val="22"/>
        </w:numPr>
        <w:rPr>
          <w:rFonts w:ascii="Arial" w:cs="Arial" w:eastAsia="Arial" w:hAnsi="Arial"/>
          <w:sz w:val="21"/>
          <w:szCs w:val="21"/>
          <w:color w:val="auto"/>
        </w:rPr>
      </w:pPr>
      <w:r>
        <w:rPr>
          <w:rFonts w:ascii="Arial" w:cs="Arial" w:eastAsia="Arial" w:hAnsi="Arial"/>
          <w:sz w:val="21"/>
          <w:szCs w:val="21"/>
          <w:u w:val="single" w:color="auto"/>
          <w:color w:val="auto"/>
        </w:rPr>
        <w:t>Notice</w:t>
      </w:r>
      <w:r>
        <w:rPr>
          <w:rFonts w:ascii="Arial" w:cs="Arial" w:eastAsia="Arial" w:hAnsi="Arial"/>
          <w:sz w:val="21"/>
          <w:szCs w:val="21"/>
          <w:color w:val="auto"/>
        </w:rPr>
        <w:t>. Any notice or other communication required or permitted hereunder shall be given in writing and shall be deemed given, effective, and received upon prepaid delivery in person or by courier or upon the earlier of delivery or the third business day after deposit in the United States mail if sent by certified mail, with postage and fees prepaid, addressed to the other Party at its address as shown beneath its signature in this Agreement, or to such other address as such Party may designate in writing from time to time by notice to the other Party.</w:t>
      </w:r>
    </w:p>
    <w:p>
      <w:pPr>
        <w:spacing w:after="0" w:line="178" w:lineRule="exact"/>
        <w:rPr>
          <w:rFonts w:ascii="Arial" w:cs="Arial" w:eastAsia="Arial" w:hAnsi="Arial"/>
          <w:sz w:val="21"/>
          <w:szCs w:val="21"/>
          <w:color w:val="auto"/>
        </w:rPr>
      </w:pPr>
    </w:p>
    <w:p>
      <w:pPr>
        <w:jc w:val="both"/>
        <w:ind w:firstLine="810"/>
        <w:spacing w:after="0" w:line="238" w:lineRule="auto"/>
        <w:tabs>
          <w:tab w:leader="none" w:pos="1720"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This Agreement shall bind and inure to the benefit of and be enforceable by the Grantee, the Company and their respective permitted successors and assigns (including personal representatives, heirs and legatees), except that the Grantee may not assign any rights or obligations under this Agreement except to the extent and in the manner expressly permitted herein.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0" w:name="page51"/>
    <w:bookmarkEnd w:id="50"/>
    <w:p>
      <w:pPr>
        <w:ind w:left="4820"/>
        <w:spacing w:after="0"/>
        <w:rPr>
          <w:sz w:val="20"/>
          <w:szCs w:val="20"/>
          <w:color w:val="auto"/>
        </w:rPr>
      </w:pPr>
      <w:r>
        <w:rPr>
          <w:rFonts w:ascii="Arial" w:cs="Arial" w:eastAsia="Arial" w:hAnsi="Arial"/>
          <w:sz w:val="22"/>
          <w:szCs w:val="22"/>
          <w:b w:val="1"/>
          <w:bCs w:val="1"/>
          <w:color w:val="auto"/>
        </w:rPr>
        <w:t>EAGLE MATERIALS INC</w:t>
      </w:r>
      <w:r>
        <w:rPr>
          <w:rFonts w:ascii="Arial" w:cs="Arial" w:eastAsia="Arial" w:hAnsi="Arial"/>
          <w:sz w:val="22"/>
          <w:szCs w:val="22"/>
          <w:color w:val="auto"/>
        </w:rPr>
        <w:t>.</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820" w:type="dxa"/>
            <w:vAlign w:val="bottom"/>
          </w:tcPr>
          <w:p>
            <w:pPr>
              <w:spacing w:after="0"/>
              <w:rPr>
                <w:sz w:val="20"/>
                <w:szCs w:val="20"/>
                <w:color w:val="auto"/>
              </w:rPr>
            </w:pPr>
            <w:r>
              <w:rPr>
                <w:rFonts w:ascii="Arial" w:cs="Arial" w:eastAsia="Arial" w:hAnsi="Arial"/>
                <w:sz w:val="22"/>
                <w:szCs w:val="22"/>
                <w:color w:val="auto"/>
              </w:rPr>
              <w:t>Dated: August ___, 2020</w:t>
            </w:r>
          </w:p>
        </w:tc>
        <w:tc>
          <w:tcPr>
            <w:tcW w:w="2700" w:type="dxa"/>
            <w:vAlign w:val="bottom"/>
          </w:tcPr>
          <w:p>
            <w:pPr>
              <w:ind w:left="1600"/>
              <w:spacing w:after="0"/>
              <w:rPr>
                <w:sz w:val="20"/>
                <w:szCs w:val="20"/>
                <w:color w:val="auto"/>
              </w:rPr>
            </w:pPr>
            <w:r>
              <w:rPr>
                <w:rFonts w:ascii="Arial" w:cs="Arial" w:eastAsia="Arial" w:hAnsi="Arial"/>
                <w:sz w:val="22"/>
                <w:szCs w:val="22"/>
                <w:color w:val="auto"/>
              </w:rPr>
              <w:t>By:</w:t>
            </w:r>
          </w:p>
        </w:tc>
        <w:tc>
          <w:tcPr>
            <w:tcW w:w="4720" w:type="dxa"/>
            <w:vAlign w:val="bottom"/>
            <w:tcBorders>
              <w:bottom w:val="single" w:sz="8" w:color="auto"/>
            </w:tcBorders>
          </w:tcPr>
          <w:p>
            <w:pPr>
              <w:spacing w:after="0"/>
              <w:rPr>
                <w:sz w:val="22"/>
                <w:szCs w:val="22"/>
                <w:color w:val="auto"/>
              </w:rPr>
            </w:pPr>
          </w:p>
        </w:tc>
      </w:tr>
      <w:tr>
        <w:trPr>
          <w:trHeight w:val="287"/>
        </w:trPr>
        <w:tc>
          <w:tcPr>
            <w:tcW w:w="3820" w:type="dxa"/>
            <w:vAlign w:val="bottom"/>
          </w:tcPr>
          <w:p>
            <w:pPr>
              <w:spacing w:after="0"/>
              <w:rPr>
                <w:sz w:val="24"/>
                <w:szCs w:val="24"/>
                <w:color w:val="auto"/>
              </w:rPr>
            </w:pPr>
          </w:p>
        </w:tc>
        <w:tc>
          <w:tcPr>
            <w:tcW w:w="2700" w:type="dxa"/>
            <w:vAlign w:val="bottom"/>
          </w:tcPr>
          <w:p>
            <w:pPr>
              <w:ind w:left="1600"/>
              <w:spacing w:after="0"/>
              <w:rPr>
                <w:sz w:val="20"/>
                <w:szCs w:val="20"/>
                <w:color w:val="auto"/>
              </w:rPr>
            </w:pPr>
            <w:r>
              <w:rPr>
                <w:rFonts w:ascii="Arial" w:cs="Arial" w:eastAsia="Arial" w:hAnsi="Arial"/>
                <w:sz w:val="22"/>
                <w:szCs w:val="22"/>
                <w:color w:val="auto"/>
              </w:rPr>
              <w:t>Name:</w:t>
            </w:r>
          </w:p>
        </w:tc>
        <w:tc>
          <w:tcPr>
            <w:tcW w:w="4720" w:type="dxa"/>
            <w:vAlign w:val="bottom"/>
          </w:tcPr>
          <w:p>
            <w:pPr>
              <w:spacing w:after="0"/>
              <w:rPr>
                <w:sz w:val="20"/>
                <w:szCs w:val="20"/>
                <w:color w:val="auto"/>
              </w:rPr>
            </w:pPr>
            <w:r>
              <w:rPr>
                <w:rFonts w:ascii="Arial" w:cs="Arial" w:eastAsia="Arial" w:hAnsi="Arial"/>
                <w:sz w:val="22"/>
                <w:szCs w:val="22"/>
                <w:color w:val="auto"/>
              </w:rPr>
              <w:t>Michael R. Haack</w:t>
            </w:r>
          </w:p>
        </w:tc>
      </w:tr>
      <w:tr>
        <w:trPr>
          <w:trHeight w:val="283"/>
        </w:trPr>
        <w:tc>
          <w:tcPr>
            <w:tcW w:w="3820" w:type="dxa"/>
            <w:vAlign w:val="bottom"/>
          </w:tcPr>
          <w:p>
            <w:pPr>
              <w:spacing w:after="0"/>
              <w:rPr>
                <w:sz w:val="24"/>
                <w:szCs w:val="24"/>
                <w:color w:val="auto"/>
              </w:rPr>
            </w:pPr>
          </w:p>
        </w:tc>
        <w:tc>
          <w:tcPr>
            <w:tcW w:w="2700" w:type="dxa"/>
            <w:vAlign w:val="bottom"/>
          </w:tcPr>
          <w:p>
            <w:pPr>
              <w:ind w:left="1600"/>
              <w:spacing w:after="0"/>
              <w:rPr>
                <w:sz w:val="20"/>
                <w:szCs w:val="20"/>
                <w:color w:val="auto"/>
              </w:rPr>
            </w:pPr>
            <w:r>
              <w:rPr>
                <w:rFonts w:ascii="Arial" w:cs="Arial" w:eastAsia="Arial" w:hAnsi="Arial"/>
                <w:sz w:val="22"/>
                <w:szCs w:val="22"/>
                <w:color w:val="auto"/>
              </w:rPr>
              <w:t>Its:</w:t>
            </w:r>
          </w:p>
        </w:tc>
        <w:tc>
          <w:tcPr>
            <w:tcW w:w="4720" w:type="dxa"/>
            <w:vAlign w:val="bottom"/>
          </w:tcPr>
          <w:p>
            <w:pPr>
              <w:spacing w:after="0"/>
              <w:rPr>
                <w:sz w:val="20"/>
                <w:szCs w:val="20"/>
                <w:color w:val="auto"/>
              </w:rPr>
            </w:pPr>
            <w:r>
              <w:rPr>
                <w:rFonts w:ascii="Arial" w:cs="Arial" w:eastAsia="Arial" w:hAnsi="Arial"/>
                <w:sz w:val="22"/>
                <w:szCs w:val="22"/>
                <w:color w:val="auto"/>
              </w:rPr>
              <w:t>President and CEO</w:t>
            </w:r>
          </w:p>
        </w:tc>
      </w:tr>
      <w:tr>
        <w:trPr>
          <w:trHeight w:val="279"/>
        </w:trPr>
        <w:tc>
          <w:tcPr>
            <w:tcW w:w="3820" w:type="dxa"/>
            <w:vAlign w:val="bottom"/>
          </w:tcPr>
          <w:p>
            <w:pPr>
              <w:spacing w:after="0"/>
              <w:rPr>
                <w:sz w:val="24"/>
                <w:szCs w:val="24"/>
                <w:color w:val="auto"/>
              </w:rPr>
            </w:pPr>
          </w:p>
        </w:tc>
        <w:tc>
          <w:tcPr>
            <w:tcW w:w="2700" w:type="dxa"/>
            <w:vAlign w:val="bottom"/>
          </w:tcPr>
          <w:p>
            <w:pPr>
              <w:ind w:left="1600"/>
              <w:spacing w:after="0"/>
              <w:rPr>
                <w:sz w:val="20"/>
                <w:szCs w:val="20"/>
                <w:color w:val="auto"/>
              </w:rPr>
            </w:pPr>
            <w:r>
              <w:rPr>
                <w:rFonts w:ascii="Arial" w:cs="Arial" w:eastAsia="Arial" w:hAnsi="Arial"/>
                <w:sz w:val="22"/>
                <w:szCs w:val="22"/>
                <w:color w:val="auto"/>
              </w:rPr>
              <w:t>Address:</w:t>
            </w:r>
          </w:p>
        </w:tc>
        <w:tc>
          <w:tcPr>
            <w:tcW w:w="4720" w:type="dxa"/>
            <w:vAlign w:val="bottom"/>
          </w:tcPr>
          <w:p>
            <w:pPr>
              <w:spacing w:after="0"/>
              <w:rPr>
                <w:sz w:val="20"/>
                <w:szCs w:val="20"/>
                <w:color w:val="auto"/>
              </w:rPr>
            </w:pPr>
            <w:r>
              <w:rPr>
                <w:rFonts w:ascii="Arial" w:cs="Arial" w:eastAsia="Arial" w:hAnsi="Arial"/>
                <w:sz w:val="22"/>
                <w:szCs w:val="22"/>
                <w:color w:val="auto"/>
              </w:rPr>
              <w:t>5960 Berkshire Ln., Suite 900</w:t>
            </w:r>
          </w:p>
        </w:tc>
      </w:tr>
      <w:tr>
        <w:trPr>
          <w:trHeight w:val="274"/>
        </w:trPr>
        <w:tc>
          <w:tcPr>
            <w:tcW w:w="382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4720" w:type="dxa"/>
            <w:vAlign w:val="bottom"/>
          </w:tcPr>
          <w:p>
            <w:pPr>
              <w:spacing w:after="0"/>
              <w:rPr>
                <w:sz w:val="20"/>
                <w:szCs w:val="20"/>
                <w:color w:val="auto"/>
              </w:rPr>
            </w:pPr>
            <w:r>
              <w:rPr>
                <w:rFonts w:ascii="Arial" w:cs="Arial" w:eastAsia="Arial" w:hAnsi="Arial"/>
                <w:sz w:val="22"/>
                <w:szCs w:val="22"/>
                <w:color w:val="auto"/>
              </w:rPr>
              <w:t>Dallas, Texas 75225</w:t>
            </w:r>
          </w:p>
        </w:tc>
      </w:tr>
    </w:tbl>
    <w:p>
      <w:pPr>
        <w:spacing w:after="0" w:line="185" w:lineRule="exact"/>
        <w:rPr>
          <w:sz w:val="20"/>
          <w:szCs w:val="20"/>
          <w:color w:val="auto"/>
        </w:rPr>
      </w:pPr>
    </w:p>
    <w:p>
      <w:pPr>
        <w:jc w:val="both"/>
        <w:ind w:firstLine="802"/>
        <w:spacing w:after="0" w:line="249" w:lineRule="auto"/>
        <w:rPr>
          <w:sz w:val="20"/>
          <w:szCs w:val="20"/>
          <w:color w:val="auto"/>
        </w:rPr>
      </w:pPr>
      <w:r>
        <w:rPr>
          <w:rFonts w:ascii="Arial" w:cs="Arial" w:eastAsia="Arial" w:hAnsi="Arial"/>
          <w:sz w:val="21"/>
          <w:szCs w:val="21"/>
          <w:color w:val="auto"/>
        </w:rPr>
        <w:t>The Grantee acknowledges receipt of a copy of the Plan, represents that he or she is familiar with the terms and provisions thereof, and hereby accepts the Award subject to all of the terms and provisions hereof and thereof. The Grantee has reviewed this Agreement and the Plan in their entirety, has had an opportunity to obtain the advice of counsel prior to executing this Agreement, and fully understands all provisions of this Agreement and the Plan. The Grantee further agrees to notify the Company upon any change in the address for notice indicated in this Agreement.</w:t>
      </w:r>
    </w:p>
    <w:p>
      <w:pPr>
        <w:spacing w:after="0" w:line="172"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GRANTEE</w:t>
      </w:r>
    </w:p>
    <w:p>
      <w:pPr>
        <w:sectPr>
          <w:pgSz w:w="11900" w:h="16838" w:orient="portrait"/>
          <w:cols w:equalWidth="0" w:num="1">
            <w:col w:w="11240"/>
          </w:cols>
          <w:pgMar w:left="320" w:top="328" w:right="33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Dated: _____________, 2020</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wp:posOffset>
            </wp:positionH>
            <wp:positionV relativeFrom="paragraph">
              <wp:posOffset>29210</wp:posOffset>
            </wp:positionV>
            <wp:extent cx="300037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wp:posOffset>
            </wp:positionH>
            <wp:positionV relativeFrom="paragraph">
              <wp:posOffset>6985</wp:posOffset>
            </wp:positionV>
            <wp:extent cx="300037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00" w:space="720"/>
            <w:col w:w="5820"/>
          </w:cols>
          <w:pgMar w:left="320" w:top="328" w:right="339" w:bottom="1440" w:gutter="0" w:footer="0" w:header="0"/>
          <w:type w:val="continuous"/>
        </w:sectPr>
      </w:pPr>
    </w:p>
    <w:p>
      <w:pPr>
        <w:spacing w:after="0" w:line="20" w:lineRule="exact"/>
        <w:rPr>
          <w:sz w:val="20"/>
          <w:szCs w:val="20"/>
          <w:color w:val="auto"/>
        </w:rPr>
      </w:pPr>
    </w:p>
    <w:p>
      <w:pPr>
        <w:jc w:val="center"/>
        <w:ind w:left="340"/>
        <w:spacing w:after="0"/>
        <w:rPr>
          <w:sz w:val="20"/>
          <w:szCs w:val="20"/>
          <w:color w:val="auto"/>
        </w:rPr>
      </w:pPr>
      <w:r>
        <w:rPr>
          <w:rFonts w:ascii="Arial" w:cs="Arial" w:eastAsia="Arial" w:hAnsi="Arial"/>
          <w:sz w:val="19"/>
          <w:szCs w:val="19"/>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174625</wp:posOffset>
            </wp:positionV>
            <wp:extent cx="300037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29210</wp:posOffset>
            </wp:positionV>
            <wp:extent cx="300037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type w:val="continuous"/>
        </w:sectPr>
      </w:pPr>
    </w:p>
    <w:bookmarkStart w:id="51" w:name="page52"/>
    <w:bookmarkEnd w:id="51"/>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 IN CONTROL</w:t>
      </w:r>
    </w:p>
    <w:p>
      <w:pPr>
        <w:spacing w:after="0" w:line="145" w:lineRule="exact"/>
        <w:rPr>
          <w:sz w:val="20"/>
          <w:szCs w:val="20"/>
          <w:color w:val="auto"/>
        </w:rPr>
      </w:pPr>
    </w:p>
    <w:p>
      <w:pPr>
        <w:jc w:val="center"/>
        <w:ind w:left="380"/>
        <w:spacing w:after="0"/>
        <w:rPr>
          <w:sz w:val="20"/>
          <w:szCs w:val="20"/>
          <w:color w:val="auto"/>
        </w:rPr>
      </w:pPr>
      <w:r>
        <w:rPr>
          <w:rFonts w:ascii="Arial" w:cs="Arial" w:eastAsia="Arial" w:hAnsi="Arial"/>
          <w:sz w:val="21"/>
          <w:szCs w:val="21"/>
          <w:color w:val="auto"/>
        </w:rPr>
        <w:t>For the purpose of this Agreement, a "Change in Control" shall mean the occurrence of any of the following events:</w:t>
      </w:r>
    </w:p>
    <w:p>
      <w:pPr>
        <w:spacing w:after="0" w:line="110" w:lineRule="exact"/>
        <w:rPr>
          <w:sz w:val="20"/>
          <w:szCs w:val="20"/>
          <w:color w:val="auto"/>
        </w:rPr>
      </w:pPr>
    </w:p>
    <w:p>
      <w:pPr>
        <w:jc w:val="both"/>
        <w:ind w:firstLine="810"/>
        <w:spacing w:after="0" w:line="234" w:lineRule="auto"/>
        <w:tabs>
          <w:tab w:leader="none" w:pos="1689" w:val="left"/>
        </w:tabs>
        <w:numPr>
          <w:ilvl w:val="1"/>
          <w:numId w:val="23"/>
        </w:numPr>
        <w:rPr>
          <w:rFonts w:ascii="Arial" w:cs="Arial" w:eastAsia="Arial" w:hAnsi="Arial"/>
          <w:sz w:val="22"/>
          <w:szCs w:val="22"/>
          <w:color w:val="auto"/>
        </w:rPr>
      </w:pPr>
      <w:r>
        <w:rPr>
          <w:rFonts w:ascii="Arial" w:cs="Arial" w:eastAsia="Arial" w:hAnsi="Arial"/>
          <w:sz w:val="22"/>
          <w:szCs w:val="22"/>
          <w:color w:val="auto"/>
        </w:rPr>
        <w:t>The acquisition by any Person of beneficial ownership of securities of the Company (including any such acquisition of beneficial ownership deemed to have occurred pursuant to Rule 13d-5 under the Exchange Act) if, immediately thereafter, such Person is the beneficial owner of (i) 50% or more of the total number of outstanding shares of any single class of Company Common Stock or (ii) 40% or more of the total number of outstanding shares of all classes of Company Common Stock, unless such acquisition is made (a) directly from the Company in a transaction approved by a majority of the members of the Incumbent Board or (b) by any employee benefit plan (or related trust) sponsored or maintained by the Company or any corporation controlled by the Company;</w:t>
      </w:r>
    </w:p>
    <w:p>
      <w:pPr>
        <w:spacing w:after="0" w:line="82" w:lineRule="exact"/>
        <w:rPr>
          <w:rFonts w:ascii="Arial" w:cs="Arial" w:eastAsia="Arial" w:hAnsi="Arial"/>
          <w:sz w:val="22"/>
          <w:szCs w:val="22"/>
          <w:color w:val="auto"/>
        </w:rPr>
      </w:pPr>
    </w:p>
    <w:p>
      <w:pPr>
        <w:jc w:val="both"/>
        <w:ind w:firstLine="810"/>
        <w:spacing w:after="0" w:line="275" w:lineRule="auto"/>
        <w:tabs>
          <w:tab w:leader="none" w:pos="1702" w:val="left"/>
        </w:tabs>
        <w:numPr>
          <w:ilvl w:val="1"/>
          <w:numId w:val="23"/>
        </w:numPr>
        <w:rPr>
          <w:rFonts w:ascii="Arial" w:cs="Arial" w:eastAsia="Arial" w:hAnsi="Arial"/>
          <w:sz w:val="19"/>
          <w:szCs w:val="19"/>
          <w:color w:val="auto"/>
        </w:rPr>
      </w:pPr>
      <w:r>
        <w:rPr>
          <w:rFonts w:ascii="Arial" w:cs="Arial" w:eastAsia="Arial" w:hAnsi="Arial"/>
          <w:sz w:val="19"/>
          <w:szCs w:val="19"/>
          <w:color w:val="auto"/>
        </w:rPr>
        <w:t>Individuals who, as of the date hereof, constitute the Board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(or who is otherwise designated as a member of the Incumbent Board by such a vote) shall be considered as though such individual were a member of the Incumbent Board, except that any such individual shall not be considered a member of the Incumbent Board if his or her initial assumption of office occurs as a result of either an actual or threatened election contest (as such term is used in Rule 14a-11 of Regulation 14A promulgated under the Exchange Act) or other actual or threatened solicitation of proxies or consents by or on behalf of a Person other than the Board;</w:t>
      </w:r>
    </w:p>
    <w:p>
      <w:pPr>
        <w:spacing w:after="0" w:line="49" w:lineRule="exact"/>
        <w:rPr>
          <w:rFonts w:ascii="Arial" w:cs="Arial" w:eastAsia="Arial" w:hAnsi="Arial"/>
          <w:sz w:val="19"/>
          <w:szCs w:val="19"/>
          <w:color w:val="auto"/>
        </w:rPr>
      </w:pPr>
    </w:p>
    <w:p>
      <w:pPr>
        <w:ind w:left="1700" w:hanging="890"/>
        <w:spacing w:after="0"/>
        <w:tabs>
          <w:tab w:leader="none" w:pos="1700" w:val="left"/>
        </w:tabs>
        <w:numPr>
          <w:ilvl w:val="1"/>
          <w:numId w:val="23"/>
        </w:numPr>
        <w:rPr>
          <w:rFonts w:ascii="Arial" w:cs="Arial" w:eastAsia="Arial" w:hAnsi="Arial"/>
          <w:sz w:val="19"/>
          <w:szCs w:val="19"/>
          <w:color w:val="auto"/>
        </w:rPr>
      </w:pPr>
      <w:r>
        <w:rPr>
          <w:rFonts w:ascii="Arial" w:cs="Arial" w:eastAsia="Arial" w:hAnsi="Arial"/>
          <w:sz w:val="19"/>
          <w:szCs w:val="19"/>
          <w:color w:val="auto"/>
        </w:rPr>
        <w:t>The consummation of a Business Combination, unless, immediately following such Business Combination,</w:t>
      </w:r>
    </w:p>
    <w:p>
      <w:pPr>
        <w:spacing w:after="0" w:line="42" w:lineRule="exact"/>
        <w:rPr>
          <w:rFonts w:ascii="Arial" w:cs="Arial" w:eastAsia="Arial" w:hAnsi="Arial"/>
          <w:sz w:val="19"/>
          <w:szCs w:val="19"/>
          <w:color w:val="auto"/>
        </w:rPr>
      </w:pPr>
    </w:p>
    <w:p>
      <w:pPr>
        <w:jc w:val="both"/>
        <w:ind w:firstLine="8"/>
        <w:spacing w:after="0" w:line="270" w:lineRule="auto"/>
        <w:tabs>
          <w:tab w:leader="none" w:pos="266" w:val="left"/>
        </w:tabs>
        <w:numPr>
          <w:ilvl w:val="0"/>
          <w:numId w:val="24"/>
        </w:numPr>
        <w:rPr>
          <w:rFonts w:ascii="Arial" w:cs="Arial" w:eastAsia="Arial" w:hAnsi="Arial"/>
          <w:sz w:val="19"/>
          <w:szCs w:val="19"/>
          <w:color w:val="auto"/>
        </w:rPr>
      </w:pPr>
      <w:r>
        <w:rPr>
          <w:rFonts w:ascii="Arial" w:cs="Arial" w:eastAsia="Arial" w:hAnsi="Arial"/>
          <w:sz w:val="19"/>
          <w:szCs w:val="19"/>
          <w:color w:val="auto"/>
        </w:rPr>
        <w:t>more than 50% of both the total number of then outstanding shares of common stock of the parent corporation resulting from such Business Combination and the combined voting power of the then outstanding voting securities of such parent corporation entitled to vote generally in the election of directors will be (or is) then beneficially owned, directly or indirectly, by all or substantially all of the Persons who were the beneficial owners, respectively, of the outstanding shares of Company Common Stock immediately prior to such Business Combination in substantially the same proportions as their ownership immediately prior to such Business Combination of the outstanding shares of Company Common Stock, (ii) no Person (other than any employee benefit plan (or related trust) of the Company or any corporation resulting from such Business Combination) beneficially owns, directly or indirectly, 40% or more of the total number of then outstanding shares of common stock of the corporation resulting from such Business Combination or the combined voting power of the then outstanding voting securities of such corporation entitled to vote generally in the election of directors and (iii) at least a majority of the members of the board of directors of the parent corporation resulting from such Business Combination were members of the Incumbent Board immediately prior to the consummation of such Business Combination; or</w:t>
      </w:r>
    </w:p>
    <w:p>
      <w:pPr>
        <w:spacing w:after="0" w:line="302" w:lineRule="exact"/>
        <w:rPr>
          <w:rFonts w:ascii="Arial" w:cs="Arial" w:eastAsia="Arial" w:hAnsi="Arial"/>
          <w:sz w:val="19"/>
          <w:szCs w:val="19"/>
          <w:color w:val="auto"/>
        </w:rPr>
      </w:pPr>
    </w:p>
    <w:p>
      <w:pPr>
        <w:jc w:val="both"/>
        <w:ind w:firstLine="810"/>
        <w:spacing w:after="0" w:line="279" w:lineRule="auto"/>
        <w:tabs>
          <w:tab w:leader="none" w:pos="1702" w:val="left"/>
        </w:tabs>
        <w:numPr>
          <w:ilvl w:val="1"/>
          <w:numId w:val="24"/>
        </w:numPr>
        <w:rPr>
          <w:rFonts w:ascii="Arial" w:cs="Arial" w:eastAsia="Arial" w:hAnsi="Arial"/>
          <w:sz w:val="19"/>
          <w:szCs w:val="19"/>
          <w:color w:val="auto"/>
        </w:rPr>
      </w:pPr>
      <w:r>
        <w:rPr>
          <w:rFonts w:ascii="Arial" w:cs="Arial" w:eastAsia="Arial" w:hAnsi="Arial"/>
          <w:sz w:val="19"/>
          <w:szCs w:val="19"/>
          <w:color w:val="auto"/>
        </w:rPr>
        <w:t>Approval by the Board and the shareholders of the Company of (i) a complete liquidation or dissolution of the Company or (ii) a Major Asset Disposition (or, if there is no such approval by shareholders, consummation of such Major Asset Disposition) unless, immediately following such Major Asset Disposition, (A) Persons that were beneficial owners of the outstanding shares of Company Common Stock immediately prior to such Major Asset Disposition beneficially own, directly or indirectly, more than 50% of the total number of then outstanding shares of common stock and the combined voting power of the then outstanding shares of voting stock of the Company (if it continues to exist) and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2" w:name="page53"/>
    <w:bookmarkEnd w:id="52"/>
    <w:p>
      <w:pPr>
        <w:jc w:val="both"/>
        <w:spacing w:after="0" w:line="277" w:lineRule="auto"/>
        <w:rPr>
          <w:sz w:val="20"/>
          <w:szCs w:val="20"/>
          <w:color w:val="auto"/>
        </w:rPr>
      </w:pPr>
      <w:r>
        <w:rPr>
          <w:rFonts w:ascii="Arial" w:cs="Arial" w:eastAsia="Arial" w:hAnsi="Arial"/>
          <w:sz w:val="19"/>
          <w:szCs w:val="19"/>
          <w:color w:val="auto"/>
        </w:rPr>
        <w:t>Acquiring Entity in substantially the same proportions as their ownership immediately prior to such Major Asset Disposition of the outstanding shares of Company Common Stock; (B) no Person (other than any employee benefit plan (or related trust) of the Company or such entity) beneficially owns, directly or indirectly, 40% or more of the then outstanding shares of common stock or the combined voting power of the then outstanding voting securities of the Company (if it continues to exist) and of the Acquiring Entity entitled to vote generally in the election of directors and (C) at least a majority of the members of the Board of the Company (if it continues to exist) and of the Acquiring Entity were members of the Incumbent Board at the time of the execution of the initial agreement or action of the Board providing for such Major Asset Disposition.</w:t>
      </w:r>
    </w:p>
    <w:p>
      <w:pPr>
        <w:spacing w:after="0" w:line="44" w:lineRule="exact"/>
        <w:rPr>
          <w:sz w:val="20"/>
          <w:szCs w:val="20"/>
          <w:color w:val="auto"/>
        </w:rPr>
      </w:pPr>
    </w:p>
    <w:p>
      <w:pPr>
        <w:ind w:left="800"/>
        <w:spacing w:after="0"/>
        <w:rPr>
          <w:sz w:val="20"/>
          <w:szCs w:val="20"/>
          <w:color w:val="auto"/>
        </w:rPr>
      </w:pPr>
      <w:r>
        <w:rPr>
          <w:rFonts w:ascii="Arial" w:cs="Arial" w:eastAsia="Arial" w:hAnsi="Arial"/>
          <w:sz w:val="22"/>
          <w:szCs w:val="22"/>
          <w:color w:val="auto"/>
        </w:rPr>
        <w:t>For purposes of the foregoing,</w:t>
      </w:r>
    </w:p>
    <w:p>
      <w:pPr>
        <w:spacing w:after="0" w:line="98" w:lineRule="exact"/>
        <w:rPr>
          <w:sz w:val="20"/>
          <w:szCs w:val="20"/>
          <w:color w:val="auto"/>
        </w:rPr>
      </w:pPr>
    </w:p>
    <w:p>
      <w:pPr>
        <w:ind w:left="1600" w:hanging="796"/>
        <w:spacing w:after="0"/>
        <w:tabs>
          <w:tab w:leader="none" w:pos="16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Person</w:t>
      </w:r>
      <w:r>
        <w:rPr>
          <w:rFonts w:ascii="Arial" w:cs="Arial" w:eastAsia="Arial" w:hAnsi="Arial"/>
          <w:sz w:val="22"/>
          <w:szCs w:val="22"/>
          <w:color w:val="auto"/>
        </w:rPr>
        <w:t>" means an individual, entity or group;</w:t>
      </w:r>
    </w:p>
    <w:p>
      <w:pPr>
        <w:spacing w:after="0" w:line="98" w:lineRule="exact"/>
        <w:rPr>
          <w:rFonts w:ascii="Arial" w:cs="Arial" w:eastAsia="Arial" w:hAnsi="Arial"/>
          <w:sz w:val="22"/>
          <w:szCs w:val="22"/>
          <w:color w:val="auto"/>
        </w:rPr>
      </w:pPr>
    </w:p>
    <w:p>
      <w:pPr>
        <w:ind w:left="1600" w:hanging="796"/>
        <w:spacing w:after="0"/>
        <w:tabs>
          <w:tab w:leader="none" w:pos="16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group</w:t>
      </w:r>
      <w:r>
        <w:rPr>
          <w:rFonts w:ascii="Arial" w:cs="Arial" w:eastAsia="Arial" w:hAnsi="Arial"/>
          <w:sz w:val="22"/>
          <w:szCs w:val="22"/>
          <w:color w:val="auto"/>
        </w:rPr>
        <w:t>" is used as it is defined for purposes of Section 13(d)(3) of the Exchange Act;</w:t>
      </w:r>
    </w:p>
    <w:p>
      <w:pPr>
        <w:spacing w:after="0" w:line="98" w:lineRule="exact"/>
        <w:rPr>
          <w:rFonts w:ascii="Arial" w:cs="Arial" w:eastAsia="Arial" w:hAnsi="Arial"/>
          <w:sz w:val="22"/>
          <w:szCs w:val="22"/>
          <w:color w:val="auto"/>
        </w:rPr>
      </w:pPr>
    </w:p>
    <w:p>
      <w:pPr>
        <w:ind w:left="1600" w:right="20" w:hanging="796"/>
        <w:spacing w:after="0" w:line="250" w:lineRule="auto"/>
        <w:tabs>
          <w:tab w:leader="none" w:pos="16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terms "</w:t>
      </w:r>
      <w:r>
        <w:rPr>
          <w:rFonts w:ascii="Arial" w:cs="Arial" w:eastAsia="Arial" w:hAnsi="Arial"/>
          <w:sz w:val="22"/>
          <w:szCs w:val="22"/>
          <w:i w:val="1"/>
          <w:iCs w:val="1"/>
          <w:color w:val="auto"/>
        </w:rPr>
        <w:t>beneficial owner</w:t>
      </w:r>
      <w:r>
        <w:rPr>
          <w:rFonts w:ascii="Arial" w:cs="Arial" w:eastAsia="Arial" w:hAnsi="Arial"/>
          <w:sz w:val="22"/>
          <w:szCs w:val="22"/>
          <w:color w:val="auto"/>
        </w:rPr>
        <w:t>", "</w:t>
      </w:r>
      <w:r>
        <w:rPr>
          <w:rFonts w:ascii="Arial" w:cs="Arial" w:eastAsia="Arial" w:hAnsi="Arial"/>
          <w:sz w:val="22"/>
          <w:szCs w:val="22"/>
          <w:i w:val="1"/>
          <w:iCs w:val="1"/>
          <w:color w:val="auto"/>
        </w:rPr>
        <w:t>beneficial ownership</w:t>
      </w:r>
      <w:r>
        <w:rPr>
          <w:rFonts w:ascii="Arial" w:cs="Arial" w:eastAsia="Arial" w:hAnsi="Arial"/>
          <w:sz w:val="22"/>
          <w:szCs w:val="22"/>
          <w:color w:val="auto"/>
        </w:rPr>
        <w:t>" and "</w:t>
      </w:r>
      <w:r>
        <w:rPr>
          <w:rFonts w:ascii="Arial" w:cs="Arial" w:eastAsia="Arial" w:hAnsi="Arial"/>
          <w:sz w:val="22"/>
          <w:szCs w:val="22"/>
          <w:i w:val="1"/>
          <w:iCs w:val="1"/>
          <w:color w:val="auto"/>
        </w:rPr>
        <w:t>beneficially own</w:t>
      </w:r>
      <w:r>
        <w:rPr>
          <w:rFonts w:ascii="Arial" w:cs="Arial" w:eastAsia="Arial" w:hAnsi="Arial"/>
          <w:sz w:val="22"/>
          <w:szCs w:val="22"/>
          <w:color w:val="auto"/>
        </w:rPr>
        <w:t>" are used as defined for purposes of Rule 13d-3 under the Exchange Act;</w:t>
      </w:r>
    </w:p>
    <w:p>
      <w:pPr>
        <w:spacing w:after="0" w:line="66" w:lineRule="exact"/>
        <w:rPr>
          <w:rFonts w:ascii="Arial" w:cs="Arial" w:eastAsia="Arial" w:hAnsi="Arial"/>
          <w:sz w:val="22"/>
          <w:szCs w:val="22"/>
          <w:color w:val="auto"/>
        </w:rPr>
      </w:pPr>
    </w:p>
    <w:p>
      <w:pPr>
        <w:jc w:val="both"/>
        <w:ind w:left="1600" w:hanging="796"/>
        <w:spacing w:after="0"/>
        <w:tabs>
          <w:tab w:leader="none" w:pos="16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Business Combination</w:t>
      </w:r>
      <w:r>
        <w:rPr>
          <w:rFonts w:ascii="Arial" w:cs="Arial" w:eastAsia="Arial" w:hAnsi="Arial"/>
          <w:sz w:val="22"/>
          <w:szCs w:val="22"/>
          <w:color w:val="auto"/>
        </w:rPr>
        <w:t>" means (x) a merger, consolidation or share exchange involving the Company or its stock or (y) an acquisition by the Company, directly or through one or more subsidiaries, of another entity or its stock or assets;</w:t>
      </w:r>
    </w:p>
    <w:p>
      <w:pPr>
        <w:spacing w:after="0" w:line="78" w:lineRule="exact"/>
        <w:rPr>
          <w:rFonts w:ascii="Arial" w:cs="Arial" w:eastAsia="Arial" w:hAnsi="Arial"/>
          <w:sz w:val="22"/>
          <w:szCs w:val="22"/>
          <w:color w:val="auto"/>
        </w:rPr>
      </w:pPr>
    </w:p>
    <w:p>
      <w:pPr>
        <w:ind w:left="1600" w:hanging="796"/>
        <w:spacing w:after="0"/>
        <w:tabs>
          <w:tab w:leader="none" w:pos="160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i w:val="1"/>
          <w:iCs w:val="1"/>
          <w:color w:val="auto"/>
        </w:rPr>
        <w:t>Company Common Stock</w:t>
      </w:r>
      <w:r>
        <w:rPr>
          <w:rFonts w:ascii="Arial" w:cs="Arial" w:eastAsia="Arial" w:hAnsi="Arial"/>
          <w:sz w:val="19"/>
          <w:szCs w:val="19"/>
          <w:color w:val="auto"/>
        </w:rPr>
        <w:t>" shall mean the Common Stock, par value $.01 per share, of the Company;</w:t>
      </w:r>
    </w:p>
    <w:p>
      <w:pPr>
        <w:spacing w:after="0" w:line="132" w:lineRule="exact"/>
        <w:rPr>
          <w:rFonts w:ascii="Arial" w:cs="Arial" w:eastAsia="Arial" w:hAnsi="Arial"/>
          <w:sz w:val="19"/>
          <w:szCs w:val="19"/>
          <w:color w:val="auto"/>
        </w:rPr>
      </w:pPr>
    </w:p>
    <w:p>
      <w:pPr>
        <w:ind w:left="1600" w:hanging="796"/>
        <w:spacing w:after="0"/>
        <w:tabs>
          <w:tab w:leader="none" w:pos="16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Exchange Act</w:t>
      </w:r>
      <w:r>
        <w:rPr>
          <w:rFonts w:ascii="Arial" w:cs="Arial" w:eastAsia="Arial" w:hAnsi="Arial"/>
          <w:sz w:val="22"/>
          <w:szCs w:val="22"/>
          <w:color w:val="auto"/>
        </w:rPr>
        <w:t>" means the Securities Exchange Act of 1934, as amended;</w:t>
      </w:r>
    </w:p>
    <w:p>
      <w:pPr>
        <w:spacing w:after="0" w:line="98" w:lineRule="exact"/>
        <w:rPr>
          <w:rFonts w:ascii="Arial" w:cs="Arial" w:eastAsia="Arial" w:hAnsi="Arial"/>
          <w:sz w:val="22"/>
          <w:szCs w:val="22"/>
          <w:color w:val="auto"/>
        </w:rPr>
      </w:pPr>
    </w:p>
    <w:p>
      <w:pPr>
        <w:jc w:val="both"/>
        <w:ind w:left="1600" w:hanging="796"/>
        <w:spacing w:after="0" w:line="238" w:lineRule="auto"/>
        <w:tabs>
          <w:tab w:leader="none" w:pos="16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phrase "</w:t>
      </w:r>
      <w:r>
        <w:rPr>
          <w:rFonts w:ascii="Arial" w:cs="Arial" w:eastAsia="Arial" w:hAnsi="Arial"/>
          <w:sz w:val="22"/>
          <w:szCs w:val="22"/>
          <w:i w:val="1"/>
          <w:iCs w:val="1"/>
          <w:color w:val="auto"/>
        </w:rPr>
        <w:t>parent corporation resulting from a Business Combination</w:t>
      </w:r>
      <w:r>
        <w:rPr>
          <w:rFonts w:ascii="Arial" w:cs="Arial" w:eastAsia="Arial" w:hAnsi="Arial"/>
          <w:sz w:val="22"/>
          <w:szCs w:val="22"/>
          <w:color w:val="auto"/>
        </w:rPr>
        <w:t>" means the Company if its stock is not acquired or converted in the Business Combination and otherwise means the entity which as a result of such Business Combination owns the Company or all or substantially all of the Company's assets either directly or through one or more subsidiaries;</w:t>
      </w:r>
    </w:p>
    <w:p>
      <w:pPr>
        <w:spacing w:after="0" w:line="76" w:lineRule="exact"/>
        <w:rPr>
          <w:rFonts w:ascii="Arial" w:cs="Arial" w:eastAsia="Arial" w:hAnsi="Arial"/>
          <w:sz w:val="22"/>
          <w:szCs w:val="22"/>
          <w:color w:val="auto"/>
        </w:rPr>
      </w:pPr>
    </w:p>
    <w:p>
      <w:pPr>
        <w:jc w:val="both"/>
        <w:ind w:left="1600" w:hanging="796"/>
        <w:spacing w:after="0" w:line="252" w:lineRule="auto"/>
        <w:tabs>
          <w:tab w:leader="none" w:pos="1600" w:val="left"/>
        </w:tabs>
        <w:numPr>
          <w:ilvl w:val="0"/>
          <w:numId w:val="25"/>
        </w:numPr>
        <w:rPr>
          <w:rFonts w:ascii="Arial" w:cs="Arial" w:eastAsia="Arial" w:hAnsi="Arial"/>
          <w:sz w:val="21"/>
          <w:szCs w:val="21"/>
          <w:color w:val="auto"/>
        </w:rPr>
      </w:pPr>
      <w:r>
        <w:rPr>
          <w:rFonts w:ascii="Arial" w:cs="Arial" w:eastAsia="Arial" w:hAnsi="Arial"/>
          <w:sz w:val="21"/>
          <w:szCs w:val="21"/>
          <w:color w:val="auto"/>
        </w:rPr>
        <w:t>the term "</w:t>
      </w:r>
      <w:r>
        <w:rPr>
          <w:rFonts w:ascii="Arial" w:cs="Arial" w:eastAsia="Arial" w:hAnsi="Arial"/>
          <w:sz w:val="21"/>
          <w:szCs w:val="21"/>
          <w:i w:val="1"/>
          <w:iCs w:val="1"/>
          <w:color w:val="auto"/>
        </w:rPr>
        <w:t>Major Asset Disposition</w:t>
      </w:r>
      <w:r>
        <w:rPr>
          <w:rFonts w:ascii="Arial" w:cs="Arial" w:eastAsia="Arial" w:hAnsi="Arial"/>
          <w:sz w:val="21"/>
          <w:szCs w:val="21"/>
          <w:color w:val="auto"/>
        </w:rPr>
        <w:t>" means the sale or other disposition in one transaction or a series of related transactions of 50% or more of the assets of the Company and its subsidiaries on a consolidated basis; and any specified percentage or portion of the assets of the Company shall be based on fair market value, as determined by a majority of the members of the Incumbent Board;</w:t>
      </w:r>
    </w:p>
    <w:p>
      <w:pPr>
        <w:spacing w:after="0" w:line="65" w:lineRule="exact"/>
        <w:rPr>
          <w:rFonts w:ascii="Arial" w:cs="Arial" w:eastAsia="Arial" w:hAnsi="Arial"/>
          <w:sz w:val="21"/>
          <w:szCs w:val="21"/>
          <w:color w:val="auto"/>
        </w:rPr>
      </w:pPr>
    </w:p>
    <w:p>
      <w:pPr>
        <w:jc w:val="both"/>
        <w:ind w:left="1600" w:hanging="796"/>
        <w:spacing w:after="0" w:line="238" w:lineRule="auto"/>
        <w:tabs>
          <w:tab w:leader="none" w:pos="16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Acquiring Entity</w:t>
      </w:r>
      <w:r>
        <w:rPr>
          <w:rFonts w:ascii="Arial" w:cs="Arial" w:eastAsia="Arial" w:hAnsi="Arial"/>
          <w:sz w:val="22"/>
          <w:szCs w:val="22"/>
          <w:color w:val="auto"/>
        </w:rPr>
        <w:t>" means the entity that acquires the largest portion of the assets sold or otherwise disposed of in a Major Asset Disposition (or the entity, if any, that owns a majority of the outstanding voting stock of such acquiring entity entitled to vote generally in the election of directors or members of a comparable governing body); and</w:t>
      </w:r>
    </w:p>
    <w:p>
      <w:pPr>
        <w:spacing w:after="0" w:line="76" w:lineRule="exact"/>
        <w:rPr>
          <w:rFonts w:ascii="Arial" w:cs="Arial" w:eastAsia="Arial" w:hAnsi="Arial"/>
          <w:sz w:val="22"/>
          <w:szCs w:val="22"/>
          <w:color w:val="auto"/>
        </w:rPr>
      </w:pPr>
    </w:p>
    <w:p>
      <w:pPr>
        <w:jc w:val="both"/>
        <w:ind w:left="1600" w:hanging="796"/>
        <w:spacing w:after="0" w:line="279" w:lineRule="auto"/>
        <w:tabs>
          <w:tab w:leader="none" w:pos="160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phrase "</w:t>
      </w:r>
      <w:r>
        <w:rPr>
          <w:rFonts w:ascii="Arial" w:cs="Arial" w:eastAsia="Arial" w:hAnsi="Arial"/>
          <w:sz w:val="19"/>
          <w:szCs w:val="19"/>
          <w:i w:val="1"/>
          <w:iCs w:val="1"/>
          <w:color w:val="auto"/>
        </w:rPr>
        <w:t>substantially the same proportions</w:t>
      </w:r>
      <w:r>
        <w:rPr>
          <w:rFonts w:ascii="Arial" w:cs="Arial" w:eastAsia="Arial" w:hAnsi="Arial"/>
          <w:sz w:val="19"/>
          <w:szCs w:val="19"/>
          <w:color w:val="auto"/>
        </w:rPr>
        <w:t>," when used with reference to ownership interests in the parent corporation resulting from a Business Combination or in an Acquiring Entity, means substantially in proportion to the number of shares of Company Common Stock beneficially owned by the applicable Persons immediately prior to the Business Combination or Major Asset Disposition, but is not to be construed in such a manner as to require that the same ratio or number of shares of such parent corporation or Acquiring Entity be issued, paid or delivered in exchange for or in respect of the shares of each class of Company Common Stock.</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 - 2</w:t>
      </w:r>
    </w:p>
    <w:p>
      <w:pPr>
        <w:sectPr>
          <w:pgSz w:w="11900" w:h="16838" w:orient="portrait"/>
          <w:cols w:equalWidth="0" w:num="1">
            <w:col w:w="11240"/>
          </w:cols>
          <w:pgMar w:left="320" w:top="334" w:right="339" w:bottom="1440" w:gutter="0" w:footer="0" w:header="0"/>
        </w:sectPr>
      </w:pPr>
    </w:p>
    <w:bookmarkStart w:id="53" w:name="page54"/>
    <w:bookmarkEnd w:id="53"/>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Certification of Periodic Report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R. Haack, certify that:</w:t>
      </w:r>
    </w:p>
    <w:p>
      <w:pPr>
        <w:spacing w:after="0" w:line="117" w:lineRule="exact"/>
        <w:rPr>
          <w:sz w:val="20"/>
          <w:szCs w:val="20"/>
          <w:color w:val="auto"/>
        </w:rPr>
      </w:pPr>
    </w:p>
    <w:p>
      <w:pPr>
        <w:ind w:left="180" w:hanging="172"/>
        <w:spacing w:after="0"/>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report on Form 10-Q of Eagle Materials Inc.;</w:t>
      </w:r>
    </w:p>
    <w:p>
      <w:pPr>
        <w:spacing w:after="0" w:line="117" w:lineRule="exact"/>
        <w:rPr>
          <w:rFonts w:ascii="Arial" w:cs="Arial" w:eastAsia="Arial" w:hAnsi="Arial"/>
          <w:sz w:val="18"/>
          <w:szCs w:val="18"/>
          <w:color w:val="auto"/>
        </w:rPr>
      </w:pPr>
    </w:p>
    <w:p>
      <w:pPr>
        <w:ind w:firstLine="8"/>
        <w:spacing w:after="0" w:line="342" w:lineRule="auto"/>
        <w:tabs>
          <w:tab w:leader="none" w:pos="201"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8"/>
        <w:spacing w:after="0" w:line="277" w:lineRule="auto"/>
        <w:tabs>
          <w:tab w:leader="none" w:pos="204"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8"/>
        <w:spacing w:after="0" w:line="263" w:lineRule="auto"/>
        <w:tabs>
          <w:tab w:leader="none" w:pos="18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jc w:val="both"/>
        <w:ind w:firstLine="8"/>
        <w:spacing w:after="0" w:line="263" w:lineRule="auto"/>
        <w:tabs>
          <w:tab w:leader="none" w:pos="185"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firstLine="8"/>
        <w:spacing w:after="0" w:line="263" w:lineRule="auto"/>
        <w:tabs>
          <w:tab w:leader="none" w:pos="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firstLine="8"/>
        <w:spacing w:after="0" w:line="277" w:lineRule="auto"/>
        <w:tabs>
          <w:tab w:leader="none" w:pos="192"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firstLine="8"/>
        <w:spacing w:after="0" w:line="263" w:lineRule="auto"/>
        <w:tabs>
          <w:tab w:leader="none" w:pos="212"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sz w:val="20"/>
          <w:szCs w:val="20"/>
          <w:color w:val="auto"/>
        </w:rPr>
      </w:pPr>
    </w:p>
    <w:p>
      <w:pPr>
        <w:ind w:firstLine="8"/>
        <w:spacing w:after="0" w:line="308" w:lineRule="auto"/>
        <w:tabs>
          <w:tab w:leader="none" w:pos="192"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sz w:val="20"/>
          <w:szCs w:val="20"/>
          <w:color w:val="auto"/>
        </w:rPr>
      </w:pPr>
    </w:p>
    <w:p>
      <w:pPr>
        <w:ind w:firstLine="8"/>
        <w:spacing w:after="0" w:line="277" w:lineRule="auto"/>
        <w:tabs>
          <w:tab w:leader="none" w:pos="189"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firstLine="8"/>
        <w:spacing w:after="0" w:line="277" w:lineRule="auto"/>
        <w:tabs>
          <w:tab w:leader="none" w:pos="209"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29, 2020</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253746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Michael R. Haack</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21" w:right="339" w:bottom="1440" w:gutter="0" w:footer="0" w:header="0"/>
        </w:sectPr>
      </w:pPr>
    </w:p>
    <w:bookmarkStart w:id="54" w:name="page55"/>
    <w:bookmarkEnd w:id="54"/>
    <w:p>
      <w:pPr>
        <w:ind w:left="1032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Certification of Periodic Report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 Craig Kesler, certify that:</w:t>
      </w:r>
    </w:p>
    <w:p>
      <w:pPr>
        <w:spacing w:after="0" w:line="117"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report on Form 10-Q of Eagle Materials Inc.;</w:t>
      </w:r>
    </w:p>
    <w:p>
      <w:pPr>
        <w:spacing w:after="0" w:line="117" w:lineRule="exact"/>
        <w:rPr>
          <w:rFonts w:ascii="Arial" w:cs="Arial" w:eastAsia="Arial" w:hAnsi="Arial"/>
          <w:sz w:val="18"/>
          <w:szCs w:val="18"/>
          <w:color w:val="auto"/>
        </w:rPr>
      </w:pPr>
    </w:p>
    <w:p>
      <w:pPr>
        <w:ind w:firstLine="8"/>
        <w:spacing w:after="0" w:line="342" w:lineRule="auto"/>
        <w:tabs>
          <w:tab w:leader="none" w:pos="201"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8"/>
        <w:spacing w:after="0" w:line="277" w:lineRule="auto"/>
        <w:tabs>
          <w:tab w:leader="none" w:pos="204"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8"/>
        <w:spacing w:after="0" w:line="263" w:lineRule="auto"/>
        <w:tabs>
          <w:tab w:leader="none" w:pos="18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jc w:val="both"/>
        <w:ind w:firstLine="8"/>
        <w:spacing w:after="0" w:line="263" w:lineRule="auto"/>
        <w:tabs>
          <w:tab w:leader="none" w:pos="18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firstLine="8"/>
        <w:spacing w:after="0" w:line="263" w:lineRule="auto"/>
        <w:tabs>
          <w:tab w:leader="none" w:pos="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firstLine="8"/>
        <w:spacing w:after="0" w:line="277" w:lineRule="auto"/>
        <w:tabs>
          <w:tab w:leader="none" w:pos="192" w:val="left"/>
        </w:tabs>
        <w:numPr>
          <w:ilvl w:val="0"/>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firstLine="8"/>
        <w:spacing w:after="0" w:line="263" w:lineRule="auto"/>
        <w:tabs>
          <w:tab w:leader="none" w:pos="212"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sz w:val="20"/>
          <w:szCs w:val="20"/>
          <w:color w:val="auto"/>
        </w:rPr>
      </w:pPr>
    </w:p>
    <w:p>
      <w:pPr>
        <w:ind w:firstLine="8"/>
        <w:spacing w:after="0" w:line="308" w:lineRule="auto"/>
        <w:tabs>
          <w:tab w:leader="none" w:pos="192"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sz w:val="20"/>
          <w:szCs w:val="20"/>
          <w:color w:val="auto"/>
        </w:rPr>
      </w:pPr>
    </w:p>
    <w:p>
      <w:pPr>
        <w:ind w:firstLine="8"/>
        <w:spacing w:after="0" w:line="277" w:lineRule="auto"/>
        <w:tabs>
          <w:tab w:leader="none" w:pos="189"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firstLine="8"/>
        <w:spacing w:after="0" w:line="277" w:lineRule="auto"/>
        <w:tabs>
          <w:tab w:leader="none" w:pos="209"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29, 2020</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D. Craig Kesler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25374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 Craig Kesler</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21"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Pursuant to Section 906 of the Sarbanes-Oxley Act of 2002</w:t>
      </w:r>
    </w:p>
    <w:p>
      <w:pPr>
        <w:spacing w:after="0" w:line="229"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8"/>
          <w:szCs w:val="18"/>
          <w:color w:val="auto"/>
        </w:rPr>
        <w:t>In connection with the Quarterly Report of Eagle Materials Inc. and subsidiaries (the “Company”) on Form 10-Q for the period ended September 30, 2020 as filed with the Securities and Exchange Commission on the date hereof (the “Report”), I, Michael R. Haack, President and Chief Executive Officer of the Company, certify, pursuant to 18 U.S.C. section 1350, as adopted pursuant to section 906 of the Sarbanes-Oxley Act of 2002, that, to the best of my knowledge:</w:t>
      </w:r>
    </w:p>
    <w:p>
      <w:pPr>
        <w:spacing w:after="0" w:line="79" w:lineRule="exact"/>
        <w:rPr>
          <w:sz w:val="20"/>
          <w:szCs w:val="20"/>
          <w:color w:val="auto"/>
        </w:rPr>
      </w:pPr>
    </w:p>
    <w:p>
      <w:pPr>
        <w:ind w:left="620" w:hanging="369"/>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20" w:hanging="369"/>
        <w:spacing w:after="0"/>
        <w:tabs>
          <w:tab w:leader="none" w:pos="6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29, 2020</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253746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Michael R. Haack</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21"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Pursuant to Section 906 of the Sarbanes-Oxley Act of 2002</w:t>
      </w:r>
    </w:p>
    <w:p>
      <w:pPr>
        <w:spacing w:after="0" w:line="229" w:lineRule="exact"/>
        <w:rPr>
          <w:sz w:val="20"/>
          <w:szCs w:val="20"/>
          <w:color w:val="auto"/>
        </w:rPr>
      </w:pPr>
    </w:p>
    <w:p>
      <w:pPr>
        <w:jc w:val="both"/>
        <w:ind w:firstLine="255"/>
        <w:spacing w:after="0" w:line="311" w:lineRule="auto"/>
        <w:rPr>
          <w:sz w:val="20"/>
          <w:szCs w:val="20"/>
          <w:color w:val="auto"/>
        </w:rPr>
      </w:pPr>
      <w:r>
        <w:rPr>
          <w:rFonts w:ascii="Arial" w:cs="Arial" w:eastAsia="Arial" w:hAnsi="Arial"/>
          <w:sz w:val="16"/>
          <w:szCs w:val="16"/>
          <w:color w:val="auto"/>
        </w:rPr>
        <w:t>In connection with the Quarterly Report of Eagle Materials Inc. and subsidiaries (the “Company”) on Form 10-Q for the period ended September 30, 2020 as filed with the Securities and Exchange Commission on the date hereof (the “Report”), I, D. Craig Kesler, Chief Financial Officer of the Company, certify, pursuant to 18 U.S.C. section 1350, as adopted pursuant to section 906 of the Sarbanes-Oxley Act of 2002, that, to the best of my knowledge:</w:t>
      </w:r>
    </w:p>
    <w:p>
      <w:pPr>
        <w:spacing w:after="0" w:line="41" w:lineRule="exact"/>
        <w:rPr>
          <w:sz w:val="20"/>
          <w:szCs w:val="20"/>
          <w:color w:val="auto"/>
        </w:rPr>
      </w:pPr>
    </w:p>
    <w:p>
      <w:pPr>
        <w:ind w:left="620" w:hanging="369"/>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20" w:hanging="369"/>
        <w:spacing w:after="0"/>
        <w:tabs>
          <w:tab w:leader="none" w:pos="6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29, 2020</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D. Craig Kesler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25374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 Craig Kesler</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21"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95</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MINE SAFETY DISCLOSURE</w:t>
      </w:r>
    </w:p>
    <w:p>
      <w:pPr>
        <w:spacing w:after="0" w:line="162" w:lineRule="exact"/>
        <w:rPr>
          <w:sz w:val="20"/>
          <w:szCs w:val="20"/>
          <w:color w:val="auto"/>
        </w:rPr>
      </w:pPr>
    </w:p>
    <w:p>
      <w:pPr>
        <w:ind w:right="140"/>
        <w:spacing w:after="0" w:line="264" w:lineRule="auto"/>
        <w:rPr>
          <w:sz w:val="20"/>
          <w:szCs w:val="20"/>
          <w:color w:val="auto"/>
        </w:rPr>
      </w:pPr>
      <w:r>
        <w:rPr>
          <w:rFonts w:ascii="Arial" w:cs="Arial" w:eastAsia="Arial" w:hAnsi="Arial"/>
          <w:sz w:val="16"/>
          <w:szCs w:val="16"/>
          <w:color w:val="auto"/>
        </w:rPr>
        <w:t>Section 1503 of the Dodd-Frank Wall Street Reform and Consumer Protection Act contains reporting requirements regarding mine safety. The operation of our quarries is subject to regulation by the federal Mine Safety and Health Administration, or MSHA, under the Federal Mine Safety and Health Act of 1977, or the Mine Act. Set forth below is the required information regarding certain mining safety and health matters for the three-month period ended September 30, 2020 for our facilities. In evaluating this information, consideration should be given to factors such as: (i) the number of citations and orders will vary depending on the size of the quarry, (ii) the number of citations issued will vary from inspector-to-inspector and mine-to-mine, and (iii) citations and orders can be contested and appealed, and in that process, may be reduced in severity and amount, and are sometimes dismissed.</w:t>
      </w:r>
    </w:p>
    <w:tbl>
      <w:tblPr>
        <w:tblLayout w:type="fixed"/>
        <w:tblInd w:w="0" w:type="dxa"/>
        <w:tblCellMar>
          <w:top w:w="0" w:type="dxa"/>
          <w:left w:w="0" w:type="dxa"/>
          <w:bottom w:w="0" w:type="dxa"/>
          <w:right w:w="0" w:type="dxa"/>
        </w:tblCellMar>
      </w:tblPr>
      <w:tr>
        <w:trPr>
          <w:trHeight w:val="140"/>
        </w:trPr>
        <w:tc>
          <w:tcPr>
            <w:tcW w:w="1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40" w:type="dxa"/>
            <w:vAlign w:val="bottom"/>
          </w:tcPr>
          <w:p>
            <w:pPr>
              <w:jc w:val="center"/>
              <w:spacing w:after="0" w:line="141" w:lineRule="exact"/>
              <w:rPr>
                <w:sz w:val="20"/>
                <w:szCs w:val="20"/>
                <w:color w:val="auto"/>
              </w:rPr>
            </w:pPr>
            <w:r>
              <w:rPr>
                <w:rFonts w:ascii="Arial" w:cs="Arial" w:eastAsia="Arial" w:hAnsi="Arial"/>
                <w:sz w:val="14"/>
                <w:szCs w:val="14"/>
                <w:color w:val="auto"/>
                <w:w w:val="92"/>
              </w:rPr>
              <w:t>Received</w:t>
            </w:r>
          </w:p>
        </w:tc>
        <w:tc>
          <w:tcPr>
            <w:tcW w:w="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8"/>
        </w:trPr>
        <w:tc>
          <w:tcPr>
            <w:tcW w:w="1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2"/>
              </w:rPr>
              <w:t>Received</w:t>
            </w: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8"/>
        </w:trPr>
        <w:tc>
          <w:tcPr>
            <w:tcW w:w="1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4"/>
              </w:rPr>
              <w:t>Potential to</w:t>
            </w:r>
          </w:p>
        </w:tc>
        <w:tc>
          <w:tcPr>
            <w:tcW w:w="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8"/>
        </w:trPr>
        <w:tc>
          <w:tcPr>
            <w:tcW w:w="1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7"/>
              </w:rPr>
              <w:t>Total Dollar</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9"/>
              </w:rPr>
              <w:t>Total</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5"/>
              </w:rPr>
              <w:t>Pattern of</w:t>
            </w: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1"/>
              </w:rPr>
              <w:t>Have</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5"/>
              </w:rPr>
              <w:t>Legal Actions</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9"/>
              </w:rPr>
              <w:t>Legal</w:t>
            </w:r>
          </w:p>
        </w:tc>
        <w:tc>
          <w:tcPr>
            <w:tcW w:w="1100" w:type="dxa"/>
            <w:vAlign w:val="bottom"/>
          </w:tcPr>
          <w:p>
            <w:pPr>
              <w:spacing w:after="0"/>
              <w:rPr>
                <w:sz w:val="12"/>
                <w:szCs w:val="12"/>
                <w:color w:val="auto"/>
              </w:rPr>
            </w:pPr>
          </w:p>
        </w:tc>
      </w:tr>
      <w:tr>
        <w:trPr>
          <w:trHeight w:val="149"/>
        </w:trPr>
        <w:tc>
          <w:tcPr>
            <w:tcW w:w="1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3"/>
              </w:rPr>
              <w:t>104(d)</w:t>
            </w: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3"/>
              </w:rPr>
              <w:t>Value of</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7"/>
              </w:rPr>
              <w:t>Number of</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5"/>
              </w:rPr>
              <w:t>Violations</w:t>
            </w: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1"/>
              </w:rPr>
              <w:t>Pattern Under</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3"/>
              </w:rPr>
              <w:t>Pending</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rPr>
              <w:t>Actions</w:t>
            </w:r>
          </w:p>
        </w:tc>
        <w:tc>
          <w:tcPr>
            <w:tcW w:w="1100" w:type="dxa"/>
            <w:vAlign w:val="bottom"/>
          </w:tcPr>
          <w:p>
            <w:pPr>
              <w:spacing w:after="0"/>
              <w:rPr>
                <w:sz w:val="12"/>
                <w:szCs w:val="12"/>
                <w:color w:val="auto"/>
              </w:rPr>
            </w:pPr>
          </w:p>
        </w:tc>
      </w:tr>
      <w:tr>
        <w:trPr>
          <w:trHeight w:val="148"/>
        </w:trPr>
        <w:tc>
          <w:tcPr>
            <w:tcW w:w="1500" w:type="dxa"/>
            <w:vAlign w:val="bottom"/>
          </w:tcPr>
          <w:p>
            <w:pPr>
              <w:spacing w:after="0" w:line="149" w:lineRule="exact"/>
              <w:rPr>
                <w:sz w:val="20"/>
                <w:szCs w:val="20"/>
                <w:color w:val="auto"/>
              </w:rPr>
            </w:pPr>
            <w:r>
              <w:rPr>
                <w:rFonts w:ascii="Arial" w:cs="Arial" w:eastAsia="Arial" w:hAnsi="Arial"/>
                <w:sz w:val="14"/>
                <w:szCs w:val="14"/>
                <w:color w:val="auto"/>
              </w:rPr>
              <w:t>Mine or Operating</w:t>
            </w:r>
          </w:p>
        </w:tc>
        <w:tc>
          <w:tcPr>
            <w:tcW w:w="920" w:type="dxa"/>
            <w:vAlign w:val="bottom"/>
          </w:tcPr>
          <w:p>
            <w:pPr>
              <w:jc w:val="center"/>
              <w:ind w:left="88"/>
              <w:spacing w:after="0" w:line="149" w:lineRule="exact"/>
              <w:rPr>
                <w:sz w:val="20"/>
                <w:szCs w:val="20"/>
                <w:color w:val="auto"/>
              </w:rPr>
            </w:pPr>
            <w:r>
              <w:rPr>
                <w:rFonts w:ascii="Arial" w:cs="Arial" w:eastAsia="Arial" w:hAnsi="Arial"/>
                <w:sz w:val="14"/>
                <w:szCs w:val="14"/>
                <w:color w:val="auto"/>
                <w:w w:val="91"/>
              </w:rPr>
              <w:t>Section 104</w:t>
            </w: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5"/>
              </w:rPr>
              <w:t>Citations</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rPr>
              <w:t>MSHA</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rPr>
              <w:t>Mining</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2"/>
              </w:rPr>
              <w:t>as of Last</w:t>
            </w:r>
          </w:p>
        </w:tc>
        <w:tc>
          <w:tcPr>
            <w:tcW w:w="680" w:type="dxa"/>
            <w:vAlign w:val="bottom"/>
          </w:tcPr>
          <w:p>
            <w:pPr>
              <w:jc w:val="center"/>
              <w:ind w:right="8"/>
              <w:spacing w:after="0" w:line="149" w:lineRule="exact"/>
              <w:rPr>
                <w:sz w:val="20"/>
                <w:szCs w:val="20"/>
                <w:color w:val="auto"/>
              </w:rPr>
            </w:pPr>
            <w:r>
              <w:rPr>
                <w:rFonts w:ascii="Arial" w:cs="Arial" w:eastAsia="Arial" w:hAnsi="Arial"/>
                <w:sz w:val="14"/>
                <w:szCs w:val="14"/>
                <w:color w:val="auto"/>
                <w:w w:val="97"/>
              </w:rPr>
              <w:t>Initiated</w:t>
            </w:r>
          </w:p>
        </w:tc>
        <w:tc>
          <w:tcPr>
            <w:tcW w:w="1100" w:type="dxa"/>
            <w:vAlign w:val="bottom"/>
          </w:tcPr>
          <w:p>
            <w:pPr>
              <w:jc w:val="center"/>
              <w:ind w:left="48"/>
              <w:spacing w:after="0" w:line="149" w:lineRule="exact"/>
              <w:rPr>
                <w:sz w:val="20"/>
                <w:szCs w:val="20"/>
                <w:color w:val="auto"/>
              </w:rPr>
            </w:pPr>
            <w:r>
              <w:rPr>
                <w:rFonts w:ascii="Arial" w:cs="Arial" w:eastAsia="Arial" w:hAnsi="Arial"/>
                <w:sz w:val="14"/>
                <w:szCs w:val="14"/>
                <w:color w:val="auto"/>
                <w:w w:val="97"/>
              </w:rPr>
              <w:t>Legal Actions</w:t>
            </w:r>
          </w:p>
        </w:tc>
      </w:tr>
      <w:tr>
        <w:trPr>
          <w:trHeight w:val="148"/>
        </w:trPr>
        <w:tc>
          <w:tcPr>
            <w:tcW w:w="1500" w:type="dxa"/>
            <w:vAlign w:val="bottom"/>
          </w:tcPr>
          <w:p>
            <w:pPr>
              <w:spacing w:after="0" w:line="149" w:lineRule="exact"/>
              <w:rPr>
                <w:sz w:val="20"/>
                <w:szCs w:val="20"/>
                <w:color w:val="auto"/>
              </w:rPr>
            </w:pPr>
            <w:r>
              <w:rPr>
                <w:rFonts w:ascii="Arial" w:cs="Arial" w:eastAsia="Arial" w:hAnsi="Arial"/>
                <w:sz w:val="14"/>
                <w:szCs w:val="14"/>
                <w:color w:val="auto"/>
              </w:rPr>
              <w:t>Name/MSHA</w:t>
            </w:r>
          </w:p>
        </w:tc>
        <w:tc>
          <w:tcPr>
            <w:tcW w:w="920" w:type="dxa"/>
            <w:vAlign w:val="bottom"/>
          </w:tcPr>
          <w:p>
            <w:pPr>
              <w:jc w:val="center"/>
              <w:ind w:left="88"/>
              <w:spacing w:after="0" w:line="149" w:lineRule="exact"/>
              <w:rPr>
                <w:sz w:val="20"/>
                <w:szCs w:val="20"/>
                <w:color w:val="auto"/>
              </w:rPr>
            </w:pPr>
            <w:r>
              <w:rPr>
                <w:rFonts w:ascii="Arial" w:cs="Arial" w:eastAsia="Arial" w:hAnsi="Arial"/>
                <w:sz w:val="14"/>
                <w:szCs w:val="14"/>
                <w:color w:val="auto"/>
                <w:w w:val="99"/>
              </w:rPr>
              <w:t>S&amp;S</w:t>
            </w: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3"/>
              </w:rPr>
              <w:t>104(b)</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5"/>
              </w:rPr>
              <w:t>and</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3"/>
              </w:rPr>
              <w:t>110(b)(2)</w:t>
            </w: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88"/>
              </w:rPr>
              <w:t>107(a)</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86"/>
              </w:rPr>
              <w:t>Assessments</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1"/>
              </w:rPr>
              <w:t>Related</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8"/>
              </w:rPr>
              <w:t>Day of</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rPr>
              <w:t>During</w:t>
            </w:r>
          </w:p>
        </w:tc>
        <w:tc>
          <w:tcPr>
            <w:tcW w:w="1100" w:type="dxa"/>
            <w:vAlign w:val="bottom"/>
          </w:tcPr>
          <w:p>
            <w:pPr>
              <w:jc w:val="center"/>
              <w:ind w:left="48"/>
              <w:spacing w:after="0" w:line="149" w:lineRule="exact"/>
              <w:rPr>
                <w:sz w:val="20"/>
                <w:szCs w:val="20"/>
                <w:color w:val="auto"/>
              </w:rPr>
            </w:pPr>
            <w:r>
              <w:rPr>
                <w:rFonts w:ascii="Arial" w:cs="Arial" w:eastAsia="Arial" w:hAnsi="Arial"/>
                <w:sz w:val="14"/>
                <w:szCs w:val="14"/>
                <w:color w:val="auto"/>
                <w:w w:val="94"/>
              </w:rPr>
              <w:t>Resolved During</w:t>
            </w:r>
          </w:p>
        </w:tc>
      </w:tr>
      <w:tr>
        <w:trPr>
          <w:trHeight w:val="182"/>
        </w:trPr>
        <w:tc>
          <w:tcPr>
            <w:tcW w:w="1500" w:type="dxa"/>
            <w:vAlign w:val="bottom"/>
          </w:tcPr>
          <w:p>
            <w:pPr>
              <w:spacing w:after="0"/>
              <w:rPr>
                <w:sz w:val="20"/>
                <w:szCs w:val="20"/>
                <w:color w:val="auto"/>
              </w:rPr>
            </w:pPr>
            <w:r>
              <w:rPr>
                <w:rFonts w:ascii="Arial" w:cs="Arial" w:eastAsia="Arial" w:hAnsi="Arial"/>
                <w:sz w:val="14"/>
                <w:szCs w:val="14"/>
                <w:color w:val="auto"/>
              </w:rPr>
              <w:t>Identification Number</w:t>
            </w:r>
          </w:p>
        </w:tc>
        <w:tc>
          <w:tcPr>
            <w:tcW w:w="920" w:type="dxa"/>
            <w:vAlign w:val="bottom"/>
          </w:tcPr>
          <w:p>
            <w:pPr>
              <w:jc w:val="center"/>
              <w:ind w:left="88"/>
              <w:spacing w:after="0"/>
              <w:rPr>
                <w:sz w:val="20"/>
                <w:szCs w:val="20"/>
                <w:color w:val="auto"/>
              </w:rPr>
            </w:pPr>
            <w:r>
              <w:rPr>
                <w:rFonts w:ascii="Arial" w:cs="Arial" w:eastAsia="Arial" w:hAnsi="Arial"/>
                <w:sz w:val="14"/>
                <w:szCs w:val="14"/>
                <w:color w:val="auto"/>
                <w:w w:val="95"/>
              </w:rPr>
              <w:t>Citations</w:t>
            </w:r>
          </w:p>
        </w:tc>
        <w:tc>
          <w:tcPr>
            <w:tcW w:w="560" w:type="dxa"/>
            <w:vAlign w:val="bottom"/>
          </w:tcPr>
          <w:p>
            <w:pPr>
              <w:jc w:val="center"/>
              <w:spacing w:after="0"/>
              <w:rPr>
                <w:sz w:val="20"/>
                <w:szCs w:val="20"/>
                <w:color w:val="auto"/>
              </w:rPr>
            </w:pPr>
            <w:r>
              <w:rPr>
                <w:rFonts w:ascii="Arial" w:cs="Arial" w:eastAsia="Arial" w:hAnsi="Arial"/>
                <w:sz w:val="14"/>
                <w:szCs w:val="14"/>
                <w:color w:val="auto"/>
                <w:w w:val="88"/>
              </w:rPr>
              <w:t>Orders</w:t>
            </w:r>
          </w:p>
        </w:tc>
        <w:tc>
          <w:tcPr>
            <w:tcW w:w="680" w:type="dxa"/>
            <w:vAlign w:val="bottom"/>
          </w:tcPr>
          <w:p>
            <w:pPr>
              <w:jc w:val="center"/>
              <w:spacing w:after="0"/>
              <w:rPr>
                <w:sz w:val="20"/>
                <w:szCs w:val="20"/>
                <w:color w:val="auto"/>
              </w:rPr>
            </w:pPr>
            <w:r>
              <w:rPr>
                <w:rFonts w:ascii="Arial" w:cs="Arial" w:eastAsia="Arial" w:hAnsi="Arial"/>
                <w:sz w:val="14"/>
                <w:szCs w:val="14"/>
                <w:color w:val="auto"/>
                <w:w w:val="93"/>
              </w:rPr>
              <w:t>Orders</w:t>
            </w:r>
          </w:p>
        </w:tc>
        <w:tc>
          <w:tcPr>
            <w:tcW w:w="740" w:type="dxa"/>
            <w:vAlign w:val="bottom"/>
          </w:tcPr>
          <w:p>
            <w:pPr>
              <w:jc w:val="center"/>
              <w:spacing w:after="0"/>
              <w:rPr>
                <w:sz w:val="20"/>
                <w:szCs w:val="20"/>
                <w:color w:val="auto"/>
              </w:rPr>
            </w:pPr>
            <w:r>
              <w:rPr>
                <w:rFonts w:ascii="Arial" w:cs="Arial" w:eastAsia="Arial" w:hAnsi="Arial"/>
                <w:sz w:val="14"/>
                <w:szCs w:val="14"/>
                <w:color w:val="auto"/>
                <w:w w:val="98"/>
              </w:rPr>
              <w:t>Violations</w:t>
            </w:r>
          </w:p>
        </w:tc>
        <w:tc>
          <w:tcPr>
            <w:tcW w:w="600" w:type="dxa"/>
            <w:vAlign w:val="bottom"/>
          </w:tcPr>
          <w:p>
            <w:pPr>
              <w:jc w:val="center"/>
              <w:spacing w:after="0"/>
              <w:rPr>
                <w:sz w:val="20"/>
                <w:szCs w:val="20"/>
                <w:color w:val="auto"/>
              </w:rPr>
            </w:pPr>
            <w:r>
              <w:rPr>
                <w:rFonts w:ascii="Arial" w:cs="Arial" w:eastAsia="Arial" w:hAnsi="Arial"/>
                <w:sz w:val="14"/>
                <w:szCs w:val="14"/>
                <w:color w:val="auto"/>
                <w:w w:val="93"/>
              </w:rPr>
              <w:t>Orders</w:t>
            </w:r>
          </w:p>
        </w:tc>
        <w:tc>
          <w:tcPr>
            <w:tcW w:w="920" w:type="dxa"/>
            <w:vAlign w:val="bottom"/>
          </w:tcPr>
          <w:p>
            <w:pPr>
              <w:jc w:val="center"/>
              <w:spacing w:after="0"/>
              <w:rPr>
                <w:sz w:val="20"/>
                <w:szCs w:val="20"/>
                <w:color w:val="auto"/>
              </w:rPr>
            </w:pPr>
            <w:r>
              <w:rPr>
                <w:rFonts w:ascii="Arial" w:cs="Arial" w:eastAsia="Arial" w:hAnsi="Arial"/>
                <w:sz w:val="14"/>
                <w:szCs w:val="14"/>
                <w:color w:val="auto"/>
                <w:w w:val="86"/>
              </w:rPr>
              <w:t>Proposed</w:t>
            </w:r>
          </w:p>
        </w:tc>
        <w:tc>
          <w:tcPr>
            <w:tcW w:w="780" w:type="dxa"/>
            <w:vAlign w:val="bottom"/>
          </w:tcPr>
          <w:p>
            <w:pPr>
              <w:jc w:val="center"/>
              <w:spacing w:after="0"/>
              <w:rPr>
                <w:sz w:val="20"/>
                <w:szCs w:val="20"/>
                <w:color w:val="auto"/>
              </w:rPr>
            </w:pPr>
            <w:r>
              <w:rPr>
                <w:rFonts w:ascii="Arial" w:cs="Arial" w:eastAsia="Arial" w:hAnsi="Arial"/>
                <w:sz w:val="14"/>
                <w:szCs w:val="14"/>
                <w:color w:val="auto"/>
                <w:w w:val="92"/>
              </w:rPr>
              <w:t>Fatalities</w:t>
            </w:r>
          </w:p>
        </w:tc>
        <w:tc>
          <w:tcPr>
            <w:tcW w:w="900" w:type="dxa"/>
            <w:vAlign w:val="bottom"/>
          </w:tcPr>
          <w:p>
            <w:pPr>
              <w:jc w:val="center"/>
              <w:spacing w:after="0"/>
              <w:rPr>
                <w:sz w:val="20"/>
                <w:szCs w:val="20"/>
                <w:color w:val="auto"/>
              </w:rPr>
            </w:pPr>
            <w:r>
              <w:rPr>
                <w:rFonts w:ascii="Arial" w:cs="Arial" w:eastAsia="Arial" w:hAnsi="Arial"/>
                <w:sz w:val="14"/>
                <w:szCs w:val="14"/>
                <w:color w:val="auto"/>
                <w:w w:val="90"/>
              </w:rPr>
              <w:t>(yes/no)</w:t>
            </w:r>
          </w:p>
        </w:tc>
        <w:tc>
          <w:tcPr>
            <w:tcW w:w="840" w:type="dxa"/>
            <w:vAlign w:val="bottom"/>
          </w:tcPr>
          <w:p>
            <w:pPr>
              <w:jc w:val="center"/>
              <w:spacing w:after="0"/>
              <w:rPr>
                <w:sz w:val="20"/>
                <w:szCs w:val="20"/>
                <w:color w:val="auto"/>
              </w:rPr>
            </w:pPr>
            <w:r>
              <w:rPr>
                <w:rFonts w:ascii="Arial" w:cs="Arial" w:eastAsia="Arial" w:hAnsi="Arial"/>
                <w:sz w:val="14"/>
                <w:szCs w:val="14"/>
                <w:color w:val="auto"/>
                <w:w w:val="90"/>
              </w:rPr>
              <w:t>(yes/no)</w:t>
            </w:r>
          </w:p>
        </w:tc>
        <w:tc>
          <w:tcPr>
            <w:tcW w:w="900" w:type="dxa"/>
            <w:vAlign w:val="bottom"/>
          </w:tcPr>
          <w:p>
            <w:pPr>
              <w:jc w:val="center"/>
              <w:ind w:right="8"/>
              <w:spacing w:after="0"/>
              <w:rPr>
                <w:sz w:val="20"/>
                <w:szCs w:val="20"/>
                <w:color w:val="auto"/>
              </w:rPr>
            </w:pPr>
            <w:r>
              <w:rPr>
                <w:rFonts w:ascii="Arial" w:cs="Arial" w:eastAsia="Arial" w:hAnsi="Arial"/>
                <w:sz w:val="14"/>
                <w:szCs w:val="14"/>
                <w:color w:val="auto"/>
                <w:w w:val="93"/>
              </w:rPr>
              <w:t>Period</w:t>
            </w:r>
          </w:p>
        </w:tc>
        <w:tc>
          <w:tcPr>
            <w:tcW w:w="680" w:type="dxa"/>
            <w:vAlign w:val="bottom"/>
          </w:tcPr>
          <w:p>
            <w:pPr>
              <w:jc w:val="center"/>
              <w:spacing w:after="0"/>
              <w:rPr>
                <w:sz w:val="20"/>
                <w:szCs w:val="20"/>
                <w:color w:val="auto"/>
              </w:rPr>
            </w:pPr>
            <w:r>
              <w:rPr>
                <w:rFonts w:ascii="Arial" w:cs="Arial" w:eastAsia="Arial" w:hAnsi="Arial"/>
                <w:sz w:val="14"/>
                <w:szCs w:val="14"/>
                <w:color w:val="auto"/>
                <w:w w:val="93"/>
              </w:rPr>
              <w:t>Period</w:t>
            </w:r>
          </w:p>
        </w:tc>
        <w:tc>
          <w:tcPr>
            <w:tcW w:w="1100" w:type="dxa"/>
            <w:vAlign w:val="bottom"/>
          </w:tcPr>
          <w:p>
            <w:pPr>
              <w:jc w:val="center"/>
              <w:ind w:left="48"/>
              <w:spacing w:after="0"/>
              <w:rPr>
                <w:sz w:val="20"/>
                <w:szCs w:val="20"/>
                <w:color w:val="auto"/>
              </w:rPr>
            </w:pPr>
            <w:r>
              <w:rPr>
                <w:rFonts w:ascii="Arial" w:cs="Arial" w:eastAsia="Arial" w:hAnsi="Arial"/>
                <w:sz w:val="14"/>
                <w:szCs w:val="14"/>
                <w:color w:val="auto"/>
                <w:w w:val="93"/>
              </w:rPr>
              <w:t>Period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2489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p>
      <w:pPr>
        <w:spacing w:after="0" w:line="7" w:lineRule="exact"/>
        <w:rPr>
          <w:sz w:val="20"/>
          <w:szCs w:val="20"/>
          <w:color w:val="auto"/>
        </w:rPr>
      </w:pPr>
    </w:p>
    <w:p>
      <w:pPr>
        <w:ind w:right="380"/>
        <w:spacing w:after="0" w:line="290" w:lineRule="auto"/>
        <w:rPr>
          <w:sz w:val="20"/>
          <w:szCs w:val="20"/>
          <w:color w:val="auto"/>
        </w:rPr>
      </w:pPr>
      <w:r>
        <w:rPr>
          <w:rFonts w:ascii="Arial" w:cs="Arial" w:eastAsia="Arial" w:hAnsi="Arial"/>
          <w:sz w:val="13"/>
          <w:szCs w:val="13"/>
          <w:color w:val="auto"/>
        </w:rPr>
        <w:t>3D Concrete LLC Lander, NV (2602434)</w:t>
      </w:r>
    </w:p>
    <w:p>
      <w:pPr>
        <w:spacing w:after="0" w:line="30" w:lineRule="exact"/>
        <w:rPr>
          <w:sz w:val="20"/>
          <w:szCs w:val="20"/>
          <w:color w:val="auto"/>
        </w:rPr>
      </w:pPr>
    </w:p>
    <w:p>
      <w:pPr>
        <w:ind w:right="240"/>
        <w:spacing w:after="0" w:line="281" w:lineRule="auto"/>
        <w:rPr>
          <w:sz w:val="20"/>
          <w:szCs w:val="20"/>
          <w:color w:val="auto"/>
        </w:rPr>
      </w:pPr>
      <w:r>
        <w:rPr>
          <w:rFonts w:ascii="Arial" w:cs="Arial" w:eastAsia="Arial" w:hAnsi="Arial"/>
          <w:sz w:val="13"/>
          <w:szCs w:val="13"/>
          <w:color w:val="auto"/>
        </w:rPr>
        <w:t>3D Concrete LLC Lyon, Nevada (2602412)</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American Gypsum Company</w:t>
      </w:r>
    </w:p>
    <w:p>
      <w:pPr>
        <w:spacing w:after="0" w:line="237" w:lineRule="auto"/>
        <w:rPr>
          <w:sz w:val="20"/>
          <w:szCs w:val="20"/>
          <w:color w:val="auto"/>
        </w:rPr>
      </w:pPr>
      <w:r>
        <w:rPr>
          <w:rFonts w:ascii="Arial" w:cs="Arial" w:eastAsia="Arial" w:hAnsi="Arial"/>
          <w:sz w:val="14"/>
          <w:szCs w:val="14"/>
          <w:color w:val="auto"/>
        </w:rPr>
        <w:t>LLC</w:t>
      </w:r>
    </w:p>
    <w:p>
      <w:pPr>
        <w:spacing w:after="0" w:line="222" w:lineRule="auto"/>
        <w:rPr>
          <w:sz w:val="20"/>
          <w:szCs w:val="20"/>
          <w:color w:val="auto"/>
        </w:rPr>
      </w:pPr>
      <w:r>
        <w:rPr>
          <w:rFonts w:ascii="Arial" w:cs="Arial" w:eastAsia="Arial" w:hAnsi="Arial"/>
          <w:sz w:val="14"/>
          <w:szCs w:val="14"/>
          <w:color w:val="auto"/>
        </w:rPr>
        <w:t>Albuquerque, NM</w:t>
      </w:r>
    </w:p>
    <w:p>
      <w:pPr>
        <w:spacing w:after="0" w:line="221" w:lineRule="auto"/>
        <w:rPr>
          <w:sz w:val="20"/>
          <w:szCs w:val="20"/>
          <w:color w:val="auto"/>
        </w:rPr>
      </w:pPr>
      <w:r>
        <w:rPr>
          <w:rFonts w:ascii="Arial" w:cs="Arial" w:eastAsia="Arial" w:hAnsi="Arial"/>
          <w:sz w:val="14"/>
          <w:szCs w:val="14"/>
          <w:color w:val="auto"/>
        </w:rPr>
        <w:t>(2900181)</w:t>
      </w:r>
    </w:p>
    <w:p>
      <w:pPr>
        <w:spacing w:after="0" w:line="221" w:lineRule="auto"/>
        <w:rPr>
          <w:sz w:val="20"/>
          <w:szCs w:val="20"/>
          <w:color w:val="auto"/>
        </w:rPr>
      </w:pPr>
      <w:r>
        <w:rPr>
          <w:rFonts w:ascii="Arial" w:cs="Arial" w:eastAsia="Arial" w:hAnsi="Arial"/>
          <w:sz w:val="14"/>
          <w:szCs w:val="14"/>
          <w:color w:val="auto"/>
        </w:rPr>
        <w:t>American Gypsum Company LLC</w:t>
      </w:r>
    </w:p>
    <w:p>
      <w:pPr>
        <w:spacing w:after="0" w:line="1" w:lineRule="exact"/>
        <w:rPr>
          <w:sz w:val="20"/>
          <w:szCs w:val="20"/>
          <w:color w:val="auto"/>
        </w:rPr>
      </w:pPr>
    </w:p>
    <w:p>
      <w:pPr>
        <w:spacing w:after="0" w:line="221" w:lineRule="auto"/>
        <w:rPr>
          <w:sz w:val="20"/>
          <w:szCs w:val="20"/>
          <w:color w:val="auto"/>
        </w:rPr>
      </w:pPr>
      <w:r>
        <w:rPr>
          <w:rFonts w:ascii="Arial" w:cs="Arial" w:eastAsia="Arial" w:hAnsi="Arial"/>
          <w:sz w:val="14"/>
          <w:szCs w:val="14"/>
          <w:color w:val="auto"/>
        </w:rPr>
        <w:t>Duke, OK (3400256) American Gypsum Company LLC</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Eagle, CO (0503997)</w:t>
      </w:r>
    </w:p>
    <w:p>
      <w:pPr>
        <w:spacing w:after="0" w:line="16" w:lineRule="exact"/>
        <w:rPr>
          <w:sz w:val="20"/>
          <w:szCs w:val="20"/>
          <w:color w:val="auto"/>
        </w:rPr>
      </w:pPr>
    </w:p>
    <w:p>
      <w:pPr>
        <w:ind w:right="400"/>
        <w:spacing w:after="0" w:line="281" w:lineRule="auto"/>
        <w:rPr>
          <w:sz w:val="20"/>
          <w:szCs w:val="20"/>
          <w:color w:val="auto"/>
        </w:rPr>
      </w:pPr>
      <w:r>
        <w:rPr>
          <w:rFonts w:ascii="Arial" w:cs="Arial" w:eastAsia="Arial" w:hAnsi="Arial"/>
          <w:sz w:val="13"/>
          <w:szCs w:val="13"/>
          <w:color w:val="auto"/>
        </w:rPr>
        <w:t>Centex Materials LLC Buda, TX (4102241)</w:t>
      </w:r>
    </w:p>
    <w:p>
      <w:pPr>
        <w:spacing w:after="0" w:line="1" w:lineRule="exact"/>
        <w:rPr>
          <w:sz w:val="20"/>
          <w:szCs w:val="20"/>
          <w:color w:val="auto"/>
        </w:rPr>
      </w:pPr>
    </w:p>
    <w:p>
      <w:pPr>
        <w:ind w:right="400"/>
        <w:spacing w:after="0" w:line="230" w:lineRule="auto"/>
        <w:rPr>
          <w:sz w:val="20"/>
          <w:szCs w:val="20"/>
          <w:color w:val="auto"/>
        </w:rPr>
      </w:pPr>
      <w:r>
        <w:rPr>
          <w:rFonts w:ascii="Arial" w:cs="Arial" w:eastAsia="Arial" w:hAnsi="Arial"/>
          <w:sz w:val="14"/>
          <w:szCs w:val="14"/>
          <w:color w:val="auto"/>
        </w:rPr>
        <w:t>Central Plains Cement Company</w:t>
      </w:r>
    </w:p>
    <w:p>
      <w:pPr>
        <w:ind w:right="40"/>
        <w:spacing w:after="0" w:line="221" w:lineRule="auto"/>
        <w:rPr>
          <w:sz w:val="20"/>
          <w:szCs w:val="20"/>
          <w:color w:val="auto"/>
        </w:rPr>
      </w:pPr>
      <w:r>
        <w:rPr>
          <w:rFonts w:ascii="Arial" w:cs="Arial" w:eastAsia="Arial" w:hAnsi="Arial"/>
          <w:sz w:val="14"/>
          <w:szCs w:val="14"/>
          <w:color w:val="auto"/>
        </w:rPr>
        <w:t>Sugar Creek, MO (2302171) Central Plains Cement Company</w:t>
      </w:r>
    </w:p>
    <w:p>
      <w:pPr>
        <w:spacing w:after="0" w:line="1" w:lineRule="exact"/>
        <w:rPr>
          <w:sz w:val="20"/>
          <w:szCs w:val="20"/>
          <w:color w:val="auto"/>
        </w:rPr>
      </w:pPr>
    </w:p>
    <w:p>
      <w:pPr>
        <w:ind w:right="120"/>
        <w:spacing w:after="0" w:line="221" w:lineRule="auto"/>
        <w:rPr>
          <w:sz w:val="20"/>
          <w:szCs w:val="20"/>
          <w:color w:val="auto"/>
        </w:rPr>
      </w:pPr>
      <w:r>
        <w:rPr>
          <w:rFonts w:ascii="Arial" w:cs="Arial" w:eastAsia="Arial" w:hAnsi="Arial"/>
          <w:sz w:val="14"/>
          <w:szCs w:val="14"/>
          <w:color w:val="auto"/>
        </w:rPr>
        <w:t>Tulsa, OK (3400026) Fairborn Cement Company LLC</w:t>
      </w:r>
    </w:p>
    <w:p>
      <w:pPr>
        <w:spacing w:after="0" w:line="1" w:lineRule="exact"/>
        <w:rPr>
          <w:sz w:val="20"/>
          <w:szCs w:val="20"/>
          <w:color w:val="auto"/>
        </w:rPr>
      </w:pPr>
    </w:p>
    <w:p>
      <w:pPr>
        <w:ind w:right="540"/>
        <w:spacing w:after="0" w:line="221" w:lineRule="auto"/>
        <w:rPr>
          <w:sz w:val="20"/>
          <w:szCs w:val="20"/>
          <w:color w:val="auto"/>
        </w:rPr>
      </w:pPr>
      <w:r>
        <w:rPr>
          <w:rFonts w:ascii="Arial" w:cs="Arial" w:eastAsia="Arial" w:hAnsi="Arial"/>
          <w:sz w:val="14"/>
          <w:szCs w:val="14"/>
          <w:color w:val="auto"/>
        </w:rPr>
        <w:t>Greene County, OH (3300161)</w:t>
      </w:r>
    </w:p>
    <w:p>
      <w:pPr>
        <w:spacing w:after="0" w:line="1" w:lineRule="exact"/>
        <w:rPr>
          <w:sz w:val="20"/>
          <w:szCs w:val="20"/>
          <w:color w:val="auto"/>
        </w:rPr>
      </w:pPr>
    </w:p>
    <w:p>
      <w:pPr>
        <w:ind w:right="180"/>
        <w:spacing w:after="0" w:line="221" w:lineRule="auto"/>
        <w:rPr>
          <w:sz w:val="20"/>
          <w:szCs w:val="20"/>
          <w:color w:val="auto"/>
        </w:rPr>
      </w:pPr>
      <w:r>
        <w:rPr>
          <w:rFonts w:ascii="Arial" w:cs="Arial" w:eastAsia="Arial" w:hAnsi="Arial"/>
          <w:sz w:val="14"/>
          <w:szCs w:val="14"/>
          <w:color w:val="auto"/>
        </w:rPr>
        <w:t>Great Northern Sand LLC (2)</w:t>
      </w:r>
    </w:p>
    <w:p>
      <w:pPr>
        <w:spacing w:after="0" w:line="222" w:lineRule="auto"/>
        <w:rPr>
          <w:sz w:val="20"/>
          <w:szCs w:val="20"/>
          <w:color w:val="auto"/>
        </w:rPr>
      </w:pPr>
      <w:r>
        <w:rPr>
          <w:rFonts w:ascii="Arial" w:cs="Arial" w:eastAsia="Arial" w:hAnsi="Arial"/>
          <w:sz w:val="14"/>
          <w:szCs w:val="14"/>
          <w:color w:val="auto"/>
        </w:rPr>
        <w:t>Barron Co., WI (4703646)</w:t>
      </w:r>
    </w:p>
    <w:p>
      <w:pPr>
        <w:spacing w:after="0" w:line="221" w:lineRule="auto"/>
        <w:rPr>
          <w:sz w:val="20"/>
          <w:szCs w:val="20"/>
          <w:color w:val="auto"/>
        </w:rPr>
      </w:pPr>
      <w:r>
        <w:rPr>
          <w:rFonts w:ascii="Arial" w:cs="Arial" w:eastAsia="Arial" w:hAnsi="Arial"/>
          <w:sz w:val="14"/>
          <w:szCs w:val="14"/>
          <w:color w:val="auto"/>
        </w:rPr>
        <w:t>Great Northern Sand LLC</w:t>
      </w:r>
    </w:p>
    <w:p>
      <w:pPr>
        <w:spacing w:after="0" w:line="221" w:lineRule="auto"/>
        <w:rPr>
          <w:sz w:val="20"/>
          <w:szCs w:val="20"/>
          <w:color w:val="auto"/>
        </w:rPr>
      </w:pPr>
      <w:r>
        <w:rPr>
          <w:rFonts w:ascii="Arial" w:cs="Arial" w:eastAsia="Arial" w:hAnsi="Arial"/>
          <w:sz w:val="14"/>
          <w:szCs w:val="14"/>
          <w:color w:val="auto"/>
        </w:rPr>
        <w:t>(2)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Barron Co., WI (4703740)</w:t>
      </w:r>
    </w:p>
    <w:p>
      <w:pPr>
        <w:spacing w:after="0" w:line="16" w:lineRule="exact"/>
        <w:rPr>
          <w:sz w:val="20"/>
          <w:szCs w:val="20"/>
          <w:color w:val="auto"/>
        </w:rPr>
      </w:pPr>
    </w:p>
    <w:p>
      <w:pPr>
        <w:ind w:right="200"/>
        <w:spacing w:after="0" w:line="281" w:lineRule="auto"/>
        <w:rPr>
          <w:sz w:val="20"/>
          <w:szCs w:val="20"/>
          <w:color w:val="auto"/>
        </w:rPr>
      </w:pPr>
      <w:r>
        <w:rPr>
          <w:rFonts w:ascii="Arial" w:cs="Arial" w:eastAsia="Arial" w:hAnsi="Arial"/>
          <w:sz w:val="13"/>
          <w:szCs w:val="13"/>
          <w:color w:val="auto"/>
        </w:rPr>
        <w:t>Illinois Cement Company LaSalle, IL (1100003)</w:t>
      </w:r>
    </w:p>
    <w:p>
      <w:pPr>
        <w:spacing w:after="0" w:line="1" w:lineRule="exact"/>
        <w:rPr>
          <w:sz w:val="20"/>
          <w:szCs w:val="20"/>
          <w:color w:val="auto"/>
        </w:rPr>
      </w:pPr>
    </w:p>
    <w:p>
      <w:pPr>
        <w:ind w:right="140"/>
        <w:spacing w:after="0" w:line="230" w:lineRule="auto"/>
        <w:rPr>
          <w:sz w:val="20"/>
          <w:szCs w:val="20"/>
          <w:color w:val="auto"/>
        </w:rPr>
      </w:pPr>
      <w:r>
        <w:rPr>
          <w:rFonts w:ascii="Arial" w:cs="Arial" w:eastAsia="Arial" w:hAnsi="Arial"/>
          <w:sz w:val="14"/>
          <w:szCs w:val="14"/>
          <w:color w:val="auto"/>
        </w:rPr>
        <w:t>Kosmos Cement Company LLC</w:t>
      </w:r>
    </w:p>
    <w:p>
      <w:pPr>
        <w:ind w:right="60"/>
        <w:spacing w:after="0" w:line="221" w:lineRule="auto"/>
        <w:rPr>
          <w:sz w:val="20"/>
          <w:szCs w:val="20"/>
          <w:color w:val="auto"/>
        </w:rPr>
      </w:pPr>
      <w:r>
        <w:rPr>
          <w:rFonts w:ascii="Arial" w:cs="Arial" w:eastAsia="Arial" w:hAnsi="Arial"/>
          <w:sz w:val="14"/>
          <w:szCs w:val="14"/>
          <w:color w:val="auto"/>
        </w:rPr>
        <w:t>Jefferson, KY (1504469) Mountain Cement Company LLC</w:t>
      </w:r>
    </w:p>
    <w:p>
      <w:pPr>
        <w:spacing w:after="0" w:line="1" w:lineRule="exact"/>
        <w:rPr>
          <w:sz w:val="20"/>
          <w:szCs w:val="20"/>
          <w:color w:val="auto"/>
        </w:rPr>
      </w:pPr>
    </w:p>
    <w:p>
      <w:pPr>
        <w:ind w:right="180"/>
        <w:spacing w:after="0" w:line="221" w:lineRule="auto"/>
        <w:rPr>
          <w:sz w:val="20"/>
          <w:szCs w:val="20"/>
          <w:color w:val="auto"/>
        </w:rPr>
      </w:pPr>
      <w:r>
        <w:rPr>
          <w:rFonts w:ascii="Arial" w:cs="Arial" w:eastAsia="Arial" w:hAnsi="Arial"/>
          <w:sz w:val="14"/>
          <w:szCs w:val="14"/>
          <w:color w:val="auto"/>
        </w:rPr>
        <w:t>Laramie, WY (4800007) Nevada Cement Company LLC</w:t>
      </w:r>
    </w:p>
    <w:p>
      <w:pPr>
        <w:spacing w:after="0" w:line="1" w:lineRule="exact"/>
        <w:rPr>
          <w:sz w:val="20"/>
          <w:szCs w:val="20"/>
          <w:color w:val="auto"/>
        </w:rPr>
      </w:pPr>
    </w:p>
    <w:p>
      <w:pPr>
        <w:ind w:right="160"/>
        <w:spacing w:after="0" w:line="221" w:lineRule="auto"/>
        <w:rPr>
          <w:sz w:val="20"/>
          <w:szCs w:val="20"/>
          <w:color w:val="auto"/>
        </w:rPr>
      </w:pPr>
      <w:r>
        <w:rPr>
          <w:rFonts w:ascii="Arial" w:cs="Arial" w:eastAsia="Arial" w:hAnsi="Arial"/>
          <w:sz w:val="14"/>
          <w:szCs w:val="14"/>
          <w:color w:val="auto"/>
        </w:rPr>
        <w:t>Fernley, NV (2600015) Northern White Sand LLC (2)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Utica, IL (1103253)</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20" w:type="dxa"/>
            <w:vAlign w:val="bottom"/>
          </w:tcPr>
          <w:p>
            <w:pPr>
              <w:jc w:val="center"/>
              <w:ind w:right="188"/>
              <w:spacing w:after="0"/>
              <w:rPr>
                <w:sz w:val="20"/>
                <w:szCs w:val="20"/>
                <w:color w:val="auto"/>
              </w:rPr>
            </w:pPr>
            <w:r>
              <w:rPr>
                <w:rFonts w:ascii="Arial" w:cs="Arial" w:eastAsia="Arial" w:hAnsi="Arial"/>
                <w:sz w:val="14"/>
                <w:szCs w:val="14"/>
                <w:color w:val="auto"/>
              </w:rPr>
              <w:t>0</w:t>
            </w:r>
          </w:p>
        </w:tc>
        <w:tc>
          <w:tcPr>
            <w:tcW w:w="62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68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68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0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0</w:t>
            </w:r>
          </w:p>
        </w:tc>
        <w:tc>
          <w:tcPr>
            <w:tcW w:w="62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880" w:type="dxa"/>
            <w:vAlign w:val="bottom"/>
          </w:tcPr>
          <w:p>
            <w:pPr>
              <w:ind w:left="380"/>
              <w:spacing w:after="0"/>
              <w:rPr>
                <w:sz w:val="20"/>
                <w:szCs w:val="20"/>
                <w:color w:val="auto"/>
              </w:rPr>
            </w:pPr>
            <w:r>
              <w:rPr>
                <w:rFonts w:ascii="Arial" w:cs="Arial" w:eastAsia="Arial" w:hAnsi="Arial"/>
                <w:sz w:val="14"/>
                <w:szCs w:val="14"/>
                <w:color w:val="auto"/>
              </w:rPr>
              <w:t>no</w:t>
            </w:r>
          </w:p>
        </w:tc>
        <w:tc>
          <w:tcPr>
            <w:tcW w:w="820" w:type="dxa"/>
            <w:vAlign w:val="bottom"/>
          </w:tcPr>
          <w:p>
            <w:pPr>
              <w:ind w:left="360"/>
              <w:spacing w:after="0"/>
              <w:rPr>
                <w:sz w:val="20"/>
                <w:szCs w:val="20"/>
                <w:color w:val="auto"/>
              </w:rPr>
            </w:pPr>
            <w:r>
              <w:rPr>
                <w:rFonts w:ascii="Arial" w:cs="Arial" w:eastAsia="Arial" w:hAnsi="Arial"/>
                <w:sz w:val="14"/>
                <w:szCs w:val="14"/>
                <w:color w:val="auto"/>
              </w:rPr>
              <w:t>no</w:t>
            </w:r>
          </w:p>
        </w:tc>
        <w:tc>
          <w:tcPr>
            <w:tcW w:w="840" w:type="dxa"/>
            <w:vAlign w:val="bottom"/>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ind w:right="28"/>
              <w:spacing w:after="0"/>
              <w:rPr>
                <w:sz w:val="20"/>
                <w:szCs w:val="20"/>
                <w:color w:val="auto"/>
              </w:rPr>
            </w:pPr>
            <w:r>
              <w:rPr>
                <w:rFonts w:ascii="Arial" w:cs="Arial" w:eastAsia="Arial" w:hAnsi="Arial"/>
                <w:sz w:val="14"/>
                <w:szCs w:val="14"/>
                <w:color w:val="auto"/>
                <w:w w:val="76"/>
              </w:rPr>
              <w:t>0</w:t>
            </w:r>
          </w:p>
        </w:tc>
        <w:tc>
          <w:tcPr>
            <w:tcW w:w="620" w:type="dxa"/>
            <w:vAlign w:val="bottom"/>
          </w:tcPr>
          <w:p>
            <w:pPr>
              <w:jc w:val="center"/>
              <w:ind w:left="288"/>
              <w:spacing w:after="0"/>
              <w:rPr>
                <w:sz w:val="20"/>
                <w:szCs w:val="20"/>
                <w:color w:val="auto"/>
              </w:rPr>
            </w:pPr>
            <w:r>
              <w:rPr>
                <w:rFonts w:ascii="Arial" w:cs="Arial" w:eastAsia="Arial" w:hAnsi="Arial"/>
                <w:sz w:val="14"/>
                <w:szCs w:val="14"/>
                <w:color w:val="auto"/>
                <w:w w:val="76"/>
              </w:rPr>
              <w:t>0</w:t>
            </w:r>
          </w:p>
        </w:tc>
      </w:tr>
      <w:tr>
        <w:trPr>
          <w:trHeight w:val="392"/>
        </w:trPr>
        <w:tc>
          <w:tcPr>
            <w:tcW w:w="420" w:type="dxa"/>
            <w:vAlign w:val="bottom"/>
          </w:tcPr>
          <w:p>
            <w:pPr>
              <w:jc w:val="center"/>
              <w:ind w:right="188"/>
              <w:spacing w:after="0"/>
              <w:rPr>
                <w:sz w:val="20"/>
                <w:szCs w:val="20"/>
                <w:color w:val="auto"/>
              </w:rPr>
            </w:pPr>
            <w:r>
              <w:rPr>
                <w:rFonts w:ascii="Arial" w:cs="Arial" w:eastAsia="Arial" w:hAnsi="Arial"/>
                <w:sz w:val="14"/>
                <w:szCs w:val="14"/>
                <w:color w:val="auto"/>
              </w:rPr>
              <w:t>0</w:t>
            </w:r>
          </w:p>
        </w:tc>
        <w:tc>
          <w:tcPr>
            <w:tcW w:w="62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68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68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0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0</w:t>
            </w:r>
          </w:p>
        </w:tc>
        <w:tc>
          <w:tcPr>
            <w:tcW w:w="62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880" w:type="dxa"/>
            <w:vAlign w:val="bottom"/>
          </w:tcPr>
          <w:p>
            <w:pPr>
              <w:ind w:left="380"/>
              <w:spacing w:after="0"/>
              <w:rPr>
                <w:sz w:val="20"/>
                <w:szCs w:val="20"/>
                <w:color w:val="auto"/>
              </w:rPr>
            </w:pPr>
            <w:r>
              <w:rPr>
                <w:rFonts w:ascii="Arial" w:cs="Arial" w:eastAsia="Arial" w:hAnsi="Arial"/>
                <w:sz w:val="14"/>
                <w:szCs w:val="14"/>
                <w:color w:val="auto"/>
              </w:rPr>
              <w:t>no</w:t>
            </w:r>
          </w:p>
        </w:tc>
        <w:tc>
          <w:tcPr>
            <w:tcW w:w="820" w:type="dxa"/>
            <w:vAlign w:val="bottom"/>
          </w:tcPr>
          <w:p>
            <w:pPr>
              <w:ind w:left="360"/>
              <w:spacing w:after="0"/>
              <w:rPr>
                <w:sz w:val="20"/>
                <w:szCs w:val="20"/>
                <w:color w:val="auto"/>
              </w:rPr>
            </w:pPr>
            <w:r>
              <w:rPr>
                <w:rFonts w:ascii="Arial" w:cs="Arial" w:eastAsia="Arial" w:hAnsi="Arial"/>
                <w:sz w:val="14"/>
                <w:szCs w:val="14"/>
                <w:color w:val="auto"/>
              </w:rPr>
              <w:t>no</w:t>
            </w:r>
          </w:p>
        </w:tc>
        <w:tc>
          <w:tcPr>
            <w:tcW w:w="840" w:type="dxa"/>
            <w:vAlign w:val="bottom"/>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ind w:right="28"/>
              <w:spacing w:after="0"/>
              <w:rPr>
                <w:sz w:val="20"/>
                <w:szCs w:val="20"/>
                <w:color w:val="auto"/>
              </w:rPr>
            </w:pPr>
            <w:r>
              <w:rPr>
                <w:rFonts w:ascii="Arial" w:cs="Arial" w:eastAsia="Arial" w:hAnsi="Arial"/>
                <w:sz w:val="14"/>
                <w:szCs w:val="14"/>
                <w:color w:val="auto"/>
                <w:w w:val="76"/>
              </w:rPr>
              <w:t>0</w:t>
            </w:r>
          </w:p>
        </w:tc>
        <w:tc>
          <w:tcPr>
            <w:tcW w:w="620" w:type="dxa"/>
            <w:vAlign w:val="bottom"/>
          </w:tcPr>
          <w:p>
            <w:pPr>
              <w:jc w:val="center"/>
              <w:ind w:left="288"/>
              <w:spacing w:after="0"/>
              <w:rPr>
                <w:sz w:val="20"/>
                <w:szCs w:val="20"/>
                <w:color w:val="auto"/>
              </w:rPr>
            </w:pPr>
            <w:r>
              <w:rPr>
                <w:rFonts w:ascii="Arial" w:cs="Arial" w:eastAsia="Arial" w:hAnsi="Arial"/>
                <w:sz w:val="14"/>
                <w:szCs w:val="14"/>
                <w:color w:val="auto"/>
                <w:w w:val="76"/>
              </w:rPr>
              <w:t>0</w:t>
            </w:r>
          </w:p>
        </w:tc>
      </w:tr>
      <w:tr>
        <w:trPr>
          <w:trHeight w:val="486"/>
        </w:trPr>
        <w:tc>
          <w:tcPr>
            <w:tcW w:w="420" w:type="dxa"/>
            <w:vAlign w:val="bottom"/>
          </w:tcPr>
          <w:p>
            <w:pPr>
              <w:jc w:val="center"/>
              <w:ind w:right="188"/>
              <w:spacing w:after="0"/>
              <w:rPr>
                <w:sz w:val="20"/>
                <w:szCs w:val="20"/>
                <w:color w:val="auto"/>
              </w:rPr>
            </w:pPr>
            <w:r>
              <w:rPr>
                <w:rFonts w:ascii="Arial" w:cs="Arial" w:eastAsia="Arial" w:hAnsi="Arial"/>
                <w:sz w:val="14"/>
                <w:szCs w:val="14"/>
                <w:color w:val="auto"/>
              </w:rPr>
              <w:t>0</w:t>
            </w:r>
          </w:p>
        </w:tc>
        <w:tc>
          <w:tcPr>
            <w:tcW w:w="62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68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68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0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0</w:t>
            </w:r>
          </w:p>
        </w:tc>
        <w:tc>
          <w:tcPr>
            <w:tcW w:w="62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880" w:type="dxa"/>
            <w:vAlign w:val="bottom"/>
          </w:tcPr>
          <w:p>
            <w:pPr>
              <w:ind w:left="380"/>
              <w:spacing w:after="0"/>
              <w:rPr>
                <w:sz w:val="20"/>
                <w:szCs w:val="20"/>
                <w:color w:val="auto"/>
              </w:rPr>
            </w:pPr>
            <w:r>
              <w:rPr>
                <w:rFonts w:ascii="Arial" w:cs="Arial" w:eastAsia="Arial" w:hAnsi="Arial"/>
                <w:sz w:val="14"/>
                <w:szCs w:val="14"/>
                <w:color w:val="auto"/>
              </w:rPr>
              <w:t>no</w:t>
            </w:r>
          </w:p>
        </w:tc>
        <w:tc>
          <w:tcPr>
            <w:tcW w:w="820" w:type="dxa"/>
            <w:vAlign w:val="bottom"/>
          </w:tcPr>
          <w:p>
            <w:pPr>
              <w:ind w:left="360"/>
              <w:spacing w:after="0"/>
              <w:rPr>
                <w:sz w:val="20"/>
                <w:szCs w:val="20"/>
                <w:color w:val="auto"/>
              </w:rPr>
            </w:pPr>
            <w:r>
              <w:rPr>
                <w:rFonts w:ascii="Arial" w:cs="Arial" w:eastAsia="Arial" w:hAnsi="Arial"/>
                <w:sz w:val="14"/>
                <w:szCs w:val="14"/>
                <w:color w:val="auto"/>
              </w:rPr>
              <w:t>no</w:t>
            </w:r>
          </w:p>
        </w:tc>
        <w:tc>
          <w:tcPr>
            <w:tcW w:w="840" w:type="dxa"/>
            <w:vAlign w:val="bottom"/>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ind w:right="28"/>
              <w:spacing w:after="0"/>
              <w:rPr>
                <w:sz w:val="20"/>
                <w:szCs w:val="20"/>
                <w:color w:val="auto"/>
              </w:rPr>
            </w:pPr>
            <w:r>
              <w:rPr>
                <w:rFonts w:ascii="Arial" w:cs="Arial" w:eastAsia="Arial" w:hAnsi="Arial"/>
                <w:sz w:val="14"/>
                <w:szCs w:val="14"/>
                <w:color w:val="auto"/>
                <w:w w:val="76"/>
              </w:rPr>
              <w:t>0</w:t>
            </w:r>
          </w:p>
        </w:tc>
        <w:tc>
          <w:tcPr>
            <w:tcW w:w="620" w:type="dxa"/>
            <w:vAlign w:val="bottom"/>
          </w:tcPr>
          <w:p>
            <w:pPr>
              <w:jc w:val="center"/>
              <w:ind w:left="288"/>
              <w:spacing w:after="0"/>
              <w:rPr>
                <w:sz w:val="20"/>
                <w:szCs w:val="20"/>
                <w:color w:val="auto"/>
              </w:rPr>
            </w:pPr>
            <w:r>
              <w:rPr>
                <w:rFonts w:ascii="Arial" w:cs="Arial" w:eastAsia="Arial" w:hAnsi="Arial"/>
                <w:sz w:val="14"/>
                <w:szCs w:val="14"/>
                <w:color w:val="auto"/>
                <w:w w:val="76"/>
              </w:rPr>
              <w:t>0</w:t>
            </w:r>
          </w:p>
        </w:tc>
      </w:tr>
      <w:tr>
        <w:trPr>
          <w:trHeight w:val="527"/>
        </w:trPr>
        <w:tc>
          <w:tcPr>
            <w:tcW w:w="420" w:type="dxa"/>
            <w:vAlign w:val="bottom"/>
          </w:tcPr>
          <w:p>
            <w:pPr>
              <w:jc w:val="center"/>
              <w:ind w:right="188"/>
              <w:spacing w:after="0"/>
              <w:rPr>
                <w:sz w:val="20"/>
                <w:szCs w:val="20"/>
                <w:color w:val="auto"/>
              </w:rPr>
            </w:pPr>
            <w:r>
              <w:rPr>
                <w:rFonts w:ascii="Arial" w:cs="Arial" w:eastAsia="Arial" w:hAnsi="Arial"/>
                <w:sz w:val="14"/>
                <w:szCs w:val="14"/>
                <w:color w:val="auto"/>
              </w:rPr>
              <w:t>1</w:t>
            </w:r>
          </w:p>
        </w:tc>
        <w:tc>
          <w:tcPr>
            <w:tcW w:w="62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68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68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0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123</w:t>
            </w:r>
          </w:p>
        </w:tc>
        <w:tc>
          <w:tcPr>
            <w:tcW w:w="62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880" w:type="dxa"/>
            <w:vAlign w:val="bottom"/>
          </w:tcPr>
          <w:p>
            <w:pPr>
              <w:ind w:left="380"/>
              <w:spacing w:after="0"/>
              <w:rPr>
                <w:sz w:val="20"/>
                <w:szCs w:val="20"/>
                <w:color w:val="auto"/>
              </w:rPr>
            </w:pPr>
            <w:r>
              <w:rPr>
                <w:rFonts w:ascii="Arial" w:cs="Arial" w:eastAsia="Arial" w:hAnsi="Arial"/>
                <w:sz w:val="14"/>
                <w:szCs w:val="14"/>
                <w:color w:val="auto"/>
              </w:rPr>
              <w:t>no</w:t>
            </w:r>
          </w:p>
        </w:tc>
        <w:tc>
          <w:tcPr>
            <w:tcW w:w="820" w:type="dxa"/>
            <w:vAlign w:val="bottom"/>
          </w:tcPr>
          <w:p>
            <w:pPr>
              <w:ind w:left="360"/>
              <w:spacing w:after="0"/>
              <w:rPr>
                <w:sz w:val="20"/>
                <w:szCs w:val="20"/>
                <w:color w:val="auto"/>
              </w:rPr>
            </w:pPr>
            <w:r>
              <w:rPr>
                <w:rFonts w:ascii="Arial" w:cs="Arial" w:eastAsia="Arial" w:hAnsi="Arial"/>
                <w:sz w:val="14"/>
                <w:szCs w:val="14"/>
                <w:color w:val="auto"/>
              </w:rPr>
              <w:t>no</w:t>
            </w:r>
          </w:p>
        </w:tc>
        <w:tc>
          <w:tcPr>
            <w:tcW w:w="840" w:type="dxa"/>
            <w:vAlign w:val="bottom"/>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ind w:right="28"/>
              <w:spacing w:after="0"/>
              <w:rPr>
                <w:sz w:val="20"/>
                <w:szCs w:val="20"/>
                <w:color w:val="auto"/>
              </w:rPr>
            </w:pPr>
            <w:r>
              <w:rPr>
                <w:rFonts w:ascii="Arial" w:cs="Arial" w:eastAsia="Arial" w:hAnsi="Arial"/>
                <w:sz w:val="14"/>
                <w:szCs w:val="14"/>
                <w:color w:val="auto"/>
                <w:w w:val="76"/>
              </w:rPr>
              <w:t>0</w:t>
            </w:r>
          </w:p>
        </w:tc>
        <w:tc>
          <w:tcPr>
            <w:tcW w:w="620" w:type="dxa"/>
            <w:vAlign w:val="bottom"/>
          </w:tcPr>
          <w:p>
            <w:pPr>
              <w:jc w:val="center"/>
              <w:ind w:left="288"/>
              <w:spacing w:after="0"/>
              <w:rPr>
                <w:sz w:val="20"/>
                <w:szCs w:val="20"/>
                <w:color w:val="auto"/>
              </w:rPr>
            </w:pPr>
            <w:r>
              <w:rPr>
                <w:rFonts w:ascii="Arial" w:cs="Arial" w:eastAsia="Arial" w:hAnsi="Arial"/>
                <w:sz w:val="14"/>
                <w:szCs w:val="14"/>
                <w:color w:val="auto"/>
                <w:w w:val="76"/>
              </w:rPr>
              <w:t>0</w:t>
            </w:r>
          </w:p>
        </w:tc>
      </w:tr>
      <w:tr>
        <w:trPr>
          <w:trHeight w:val="445"/>
        </w:trPr>
        <w:tc>
          <w:tcPr>
            <w:tcW w:w="420" w:type="dxa"/>
            <w:vAlign w:val="bottom"/>
          </w:tcPr>
          <w:p>
            <w:pPr>
              <w:jc w:val="center"/>
              <w:ind w:right="188"/>
              <w:spacing w:after="0"/>
              <w:rPr>
                <w:sz w:val="20"/>
                <w:szCs w:val="20"/>
                <w:color w:val="auto"/>
              </w:rPr>
            </w:pPr>
            <w:r>
              <w:rPr>
                <w:rFonts w:ascii="Arial" w:cs="Arial" w:eastAsia="Arial" w:hAnsi="Arial"/>
                <w:sz w:val="14"/>
                <w:szCs w:val="14"/>
                <w:color w:val="auto"/>
              </w:rPr>
              <w:t>0</w:t>
            </w:r>
          </w:p>
        </w:tc>
        <w:tc>
          <w:tcPr>
            <w:tcW w:w="62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68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68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0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0</w:t>
            </w:r>
          </w:p>
        </w:tc>
        <w:tc>
          <w:tcPr>
            <w:tcW w:w="62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880" w:type="dxa"/>
            <w:vAlign w:val="bottom"/>
          </w:tcPr>
          <w:p>
            <w:pPr>
              <w:ind w:left="380"/>
              <w:spacing w:after="0"/>
              <w:rPr>
                <w:sz w:val="20"/>
                <w:szCs w:val="20"/>
                <w:color w:val="auto"/>
              </w:rPr>
            </w:pPr>
            <w:r>
              <w:rPr>
                <w:rFonts w:ascii="Arial" w:cs="Arial" w:eastAsia="Arial" w:hAnsi="Arial"/>
                <w:sz w:val="14"/>
                <w:szCs w:val="14"/>
                <w:color w:val="auto"/>
              </w:rPr>
              <w:t>no</w:t>
            </w:r>
          </w:p>
        </w:tc>
        <w:tc>
          <w:tcPr>
            <w:tcW w:w="820" w:type="dxa"/>
            <w:vAlign w:val="bottom"/>
          </w:tcPr>
          <w:p>
            <w:pPr>
              <w:ind w:left="360"/>
              <w:spacing w:after="0"/>
              <w:rPr>
                <w:sz w:val="20"/>
                <w:szCs w:val="20"/>
                <w:color w:val="auto"/>
              </w:rPr>
            </w:pPr>
            <w:r>
              <w:rPr>
                <w:rFonts w:ascii="Arial" w:cs="Arial" w:eastAsia="Arial" w:hAnsi="Arial"/>
                <w:sz w:val="14"/>
                <w:szCs w:val="14"/>
                <w:color w:val="auto"/>
              </w:rPr>
              <w:t>no</w:t>
            </w:r>
          </w:p>
        </w:tc>
        <w:tc>
          <w:tcPr>
            <w:tcW w:w="840" w:type="dxa"/>
            <w:vAlign w:val="bottom"/>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ind w:right="28"/>
              <w:spacing w:after="0"/>
              <w:rPr>
                <w:sz w:val="20"/>
                <w:szCs w:val="20"/>
                <w:color w:val="auto"/>
              </w:rPr>
            </w:pPr>
            <w:r>
              <w:rPr>
                <w:rFonts w:ascii="Arial" w:cs="Arial" w:eastAsia="Arial" w:hAnsi="Arial"/>
                <w:sz w:val="14"/>
                <w:szCs w:val="14"/>
                <w:color w:val="auto"/>
                <w:w w:val="76"/>
              </w:rPr>
              <w:t>0</w:t>
            </w:r>
          </w:p>
        </w:tc>
        <w:tc>
          <w:tcPr>
            <w:tcW w:w="620" w:type="dxa"/>
            <w:vAlign w:val="bottom"/>
          </w:tcPr>
          <w:p>
            <w:pPr>
              <w:jc w:val="center"/>
              <w:ind w:left="288"/>
              <w:spacing w:after="0"/>
              <w:rPr>
                <w:sz w:val="20"/>
                <w:szCs w:val="20"/>
                <w:color w:val="auto"/>
              </w:rPr>
            </w:pPr>
            <w:r>
              <w:rPr>
                <w:rFonts w:ascii="Arial" w:cs="Arial" w:eastAsia="Arial" w:hAnsi="Arial"/>
                <w:sz w:val="14"/>
                <w:szCs w:val="14"/>
                <w:color w:val="auto"/>
                <w:w w:val="76"/>
              </w:rPr>
              <w:t>0</w:t>
            </w:r>
          </w:p>
        </w:tc>
      </w:tr>
      <w:tr>
        <w:trPr>
          <w:trHeight w:val="418"/>
        </w:trPr>
        <w:tc>
          <w:tcPr>
            <w:tcW w:w="420" w:type="dxa"/>
            <w:vAlign w:val="bottom"/>
          </w:tcPr>
          <w:p>
            <w:pPr>
              <w:jc w:val="center"/>
              <w:ind w:right="188"/>
              <w:spacing w:after="0"/>
              <w:rPr>
                <w:sz w:val="20"/>
                <w:szCs w:val="20"/>
                <w:color w:val="auto"/>
              </w:rPr>
            </w:pPr>
            <w:r>
              <w:rPr>
                <w:rFonts w:ascii="Arial" w:cs="Arial" w:eastAsia="Arial" w:hAnsi="Arial"/>
                <w:sz w:val="14"/>
                <w:szCs w:val="14"/>
                <w:color w:val="auto"/>
              </w:rPr>
              <w:t>5</w:t>
            </w:r>
          </w:p>
        </w:tc>
        <w:tc>
          <w:tcPr>
            <w:tcW w:w="62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68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68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0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615</w:t>
            </w:r>
          </w:p>
        </w:tc>
        <w:tc>
          <w:tcPr>
            <w:tcW w:w="62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880" w:type="dxa"/>
            <w:vAlign w:val="bottom"/>
          </w:tcPr>
          <w:p>
            <w:pPr>
              <w:ind w:left="380"/>
              <w:spacing w:after="0"/>
              <w:rPr>
                <w:sz w:val="20"/>
                <w:szCs w:val="20"/>
                <w:color w:val="auto"/>
              </w:rPr>
            </w:pPr>
            <w:r>
              <w:rPr>
                <w:rFonts w:ascii="Arial" w:cs="Arial" w:eastAsia="Arial" w:hAnsi="Arial"/>
                <w:sz w:val="14"/>
                <w:szCs w:val="14"/>
                <w:color w:val="auto"/>
              </w:rPr>
              <w:t>no</w:t>
            </w:r>
          </w:p>
        </w:tc>
        <w:tc>
          <w:tcPr>
            <w:tcW w:w="820" w:type="dxa"/>
            <w:vAlign w:val="bottom"/>
          </w:tcPr>
          <w:p>
            <w:pPr>
              <w:ind w:left="360"/>
              <w:spacing w:after="0"/>
              <w:rPr>
                <w:sz w:val="20"/>
                <w:szCs w:val="20"/>
                <w:color w:val="auto"/>
              </w:rPr>
            </w:pPr>
            <w:r>
              <w:rPr>
                <w:rFonts w:ascii="Arial" w:cs="Arial" w:eastAsia="Arial" w:hAnsi="Arial"/>
                <w:sz w:val="14"/>
                <w:szCs w:val="14"/>
                <w:color w:val="auto"/>
              </w:rPr>
              <w:t>no</w:t>
            </w:r>
          </w:p>
        </w:tc>
        <w:tc>
          <w:tcPr>
            <w:tcW w:w="840" w:type="dxa"/>
            <w:vAlign w:val="bottom"/>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ind w:right="28"/>
              <w:spacing w:after="0"/>
              <w:rPr>
                <w:sz w:val="20"/>
                <w:szCs w:val="20"/>
                <w:color w:val="auto"/>
              </w:rPr>
            </w:pPr>
            <w:r>
              <w:rPr>
                <w:rFonts w:ascii="Arial" w:cs="Arial" w:eastAsia="Arial" w:hAnsi="Arial"/>
                <w:sz w:val="14"/>
                <w:szCs w:val="14"/>
                <w:color w:val="auto"/>
                <w:w w:val="76"/>
              </w:rPr>
              <w:t>0</w:t>
            </w:r>
          </w:p>
        </w:tc>
        <w:tc>
          <w:tcPr>
            <w:tcW w:w="620" w:type="dxa"/>
            <w:vAlign w:val="bottom"/>
          </w:tcPr>
          <w:p>
            <w:pPr>
              <w:jc w:val="center"/>
              <w:ind w:left="288"/>
              <w:spacing w:after="0"/>
              <w:rPr>
                <w:sz w:val="20"/>
                <w:szCs w:val="20"/>
                <w:color w:val="auto"/>
              </w:rPr>
            </w:pPr>
            <w:r>
              <w:rPr>
                <w:rFonts w:ascii="Arial" w:cs="Arial" w:eastAsia="Arial" w:hAnsi="Arial"/>
                <w:sz w:val="14"/>
                <w:szCs w:val="14"/>
                <w:color w:val="auto"/>
                <w:w w:val="76"/>
              </w:rPr>
              <w:t>0</w:t>
            </w:r>
          </w:p>
        </w:tc>
      </w:tr>
      <w:tr>
        <w:trPr>
          <w:trHeight w:val="418"/>
        </w:trPr>
        <w:tc>
          <w:tcPr>
            <w:tcW w:w="420" w:type="dxa"/>
            <w:vAlign w:val="bottom"/>
          </w:tcPr>
          <w:p>
            <w:pPr>
              <w:jc w:val="center"/>
              <w:ind w:right="188"/>
              <w:spacing w:after="0"/>
              <w:rPr>
                <w:sz w:val="20"/>
                <w:szCs w:val="20"/>
                <w:color w:val="auto"/>
              </w:rPr>
            </w:pPr>
            <w:r>
              <w:rPr>
                <w:rFonts w:ascii="Arial" w:cs="Arial" w:eastAsia="Arial" w:hAnsi="Arial"/>
                <w:sz w:val="14"/>
                <w:szCs w:val="14"/>
                <w:color w:val="auto"/>
              </w:rPr>
              <w:t>14</w:t>
            </w:r>
          </w:p>
        </w:tc>
        <w:tc>
          <w:tcPr>
            <w:tcW w:w="62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68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68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0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1,884</w:t>
            </w:r>
          </w:p>
        </w:tc>
        <w:tc>
          <w:tcPr>
            <w:tcW w:w="62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880" w:type="dxa"/>
            <w:vAlign w:val="bottom"/>
          </w:tcPr>
          <w:p>
            <w:pPr>
              <w:ind w:left="380"/>
              <w:spacing w:after="0"/>
              <w:rPr>
                <w:sz w:val="20"/>
                <w:szCs w:val="20"/>
                <w:color w:val="auto"/>
              </w:rPr>
            </w:pPr>
            <w:r>
              <w:rPr>
                <w:rFonts w:ascii="Arial" w:cs="Arial" w:eastAsia="Arial" w:hAnsi="Arial"/>
                <w:sz w:val="14"/>
                <w:szCs w:val="14"/>
                <w:color w:val="auto"/>
              </w:rPr>
              <w:t>no</w:t>
            </w:r>
          </w:p>
        </w:tc>
        <w:tc>
          <w:tcPr>
            <w:tcW w:w="820" w:type="dxa"/>
            <w:vAlign w:val="bottom"/>
          </w:tcPr>
          <w:p>
            <w:pPr>
              <w:ind w:left="360"/>
              <w:spacing w:after="0"/>
              <w:rPr>
                <w:sz w:val="20"/>
                <w:szCs w:val="20"/>
                <w:color w:val="auto"/>
              </w:rPr>
            </w:pPr>
            <w:r>
              <w:rPr>
                <w:rFonts w:ascii="Arial" w:cs="Arial" w:eastAsia="Arial" w:hAnsi="Arial"/>
                <w:sz w:val="14"/>
                <w:szCs w:val="14"/>
                <w:color w:val="auto"/>
              </w:rPr>
              <w:t>no</w:t>
            </w:r>
          </w:p>
        </w:tc>
        <w:tc>
          <w:tcPr>
            <w:tcW w:w="840" w:type="dxa"/>
            <w:vAlign w:val="bottom"/>
          </w:tcPr>
          <w:p>
            <w:pPr>
              <w:jc w:val="center"/>
              <w:spacing w:after="0"/>
              <w:rPr>
                <w:sz w:val="20"/>
                <w:szCs w:val="20"/>
                <w:color w:val="auto"/>
              </w:rPr>
            </w:pPr>
            <w:r>
              <w:rPr>
                <w:rFonts w:ascii="Arial" w:cs="Arial" w:eastAsia="Arial" w:hAnsi="Arial"/>
                <w:sz w:val="14"/>
                <w:szCs w:val="14"/>
                <w:color w:val="auto"/>
                <w:w w:val="96"/>
              </w:rPr>
              <w:t>1(1)</w:t>
            </w:r>
          </w:p>
        </w:tc>
        <w:tc>
          <w:tcPr>
            <w:tcW w:w="880" w:type="dxa"/>
            <w:vAlign w:val="bottom"/>
          </w:tcPr>
          <w:p>
            <w:pPr>
              <w:jc w:val="center"/>
              <w:ind w:right="48"/>
              <w:spacing w:after="0"/>
              <w:rPr>
                <w:sz w:val="20"/>
                <w:szCs w:val="20"/>
                <w:color w:val="auto"/>
              </w:rPr>
            </w:pPr>
            <w:r>
              <w:rPr>
                <w:rFonts w:ascii="Arial" w:cs="Arial" w:eastAsia="Arial" w:hAnsi="Arial"/>
                <w:sz w:val="14"/>
                <w:szCs w:val="14"/>
                <w:color w:val="auto"/>
                <w:w w:val="96"/>
              </w:rPr>
              <w:t>1(1)</w:t>
            </w:r>
          </w:p>
        </w:tc>
        <w:tc>
          <w:tcPr>
            <w:tcW w:w="620" w:type="dxa"/>
            <w:vAlign w:val="bottom"/>
          </w:tcPr>
          <w:p>
            <w:pPr>
              <w:jc w:val="center"/>
              <w:ind w:left="288"/>
              <w:spacing w:after="0"/>
              <w:rPr>
                <w:sz w:val="20"/>
                <w:szCs w:val="20"/>
                <w:color w:val="auto"/>
              </w:rPr>
            </w:pPr>
            <w:r>
              <w:rPr>
                <w:rFonts w:ascii="Arial" w:cs="Arial" w:eastAsia="Arial" w:hAnsi="Arial"/>
                <w:sz w:val="14"/>
                <w:szCs w:val="14"/>
                <w:color w:val="auto"/>
                <w:w w:val="76"/>
              </w:rPr>
              <w:t>0</w:t>
            </w:r>
          </w:p>
        </w:tc>
      </w:tr>
      <w:tr>
        <w:trPr>
          <w:trHeight w:val="446"/>
        </w:trPr>
        <w:tc>
          <w:tcPr>
            <w:tcW w:w="420" w:type="dxa"/>
            <w:vAlign w:val="bottom"/>
          </w:tcPr>
          <w:p>
            <w:pPr>
              <w:jc w:val="center"/>
              <w:ind w:right="188"/>
              <w:spacing w:after="0"/>
              <w:rPr>
                <w:sz w:val="20"/>
                <w:szCs w:val="20"/>
                <w:color w:val="auto"/>
              </w:rPr>
            </w:pPr>
            <w:r>
              <w:rPr>
                <w:rFonts w:ascii="Arial" w:cs="Arial" w:eastAsia="Arial" w:hAnsi="Arial"/>
                <w:sz w:val="14"/>
                <w:szCs w:val="14"/>
                <w:color w:val="auto"/>
              </w:rPr>
              <w:t>0</w:t>
            </w:r>
          </w:p>
        </w:tc>
        <w:tc>
          <w:tcPr>
            <w:tcW w:w="62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68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68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0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0</w:t>
            </w:r>
          </w:p>
        </w:tc>
        <w:tc>
          <w:tcPr>
            <w:tcW w:w="62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880" w:type="dxa"/>
            <w:vAlign w:val="bottom"/>
          </w:tcPr>
          <w:p>
            <w:pPr>
              <w:ind w:left="380"/>
              <w:spacing w:after="0"/>
              <w:rPr>
                <w:sz w:val="20"/>
                <w:szCs w:val="20"/>
                <w:color w:val="auto"/>
              </w:rPr>
            </w:pPr>
            <w:r>
              <w:rPr>
                <w:rFonts w:ascii="Arial" w:cs="Arial" w:eastAsia="Arial" w:hAnsi="Arial"/>
                <w:sz w:val="14"/>
                <w:szCs w:val="14"/>
                <w:color w:val="auto"/>
              </w:rPr>
              <w:t>no</w:t>
            </w:r>
          </w:p>
        </w:tc>
        <w:tc>
          <w:tcPr>
            <w:tcW w:w="820" w:type="dxa"/>
            <w:vAlign w:val="bottom"/>
          </w:tcPr>
          <w:p>
            <w:pPr>
              <w:ind w:left="360"/>
              <w:spacing w:after="0"/>
              <w:rPr>
                <w:sz w:val="20"/>
                <w:szCs w:val="20"/>
                <w:color w:val="auto"/>
              </w:rPr>
            </w:pPr>
            <w:r>
              <w:rPr>
                <w:rFonts w:ascii="Arial" w:cs="Arial" w:eastAsia="Arial" w:hAnsi="Arial"/>
                <w:sz w:val="14"/>
                <w:szCs w:val="14"/>
                <w:color w:val="auto"/>
              </w:rPr>
              <w:t>no</w:t>
            </w:r>
          </w:p>
        </w:tc>
        <w:tc>
          <w:tcPr>
            <w:tcW w:w="840" w:type="dxa"/>
            <w:vAlign w:val="bottom"/>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ind w:right="28"/>
              <w:spacing w:after="0"/>
              <w:rPr>
                <w:sz w:val="20"/>
                <w:szCs w:val="20"/>
                <w:color w:val="auto"/>
              </w:rPr>
            </w:pPr>
            <w:r>
              <w:rPr>
                <w:rFonts w:ascii="Arial" w:cs="Arial" w:eastAsia="Arial" w:hAnsi="Arial"/>
                <w:sz w:val="14"/>
                <w:szCs w:val="14"/>
                <w:color w:val="auto"/>
                <w:w w:val="76"/>
              </w:rPr>
              <w:t>0</w:t>
            </w:r>
          </w:p>
        </w:tc>
        <w:tc>
          <w:tcPr>
            <w:tcW w:w="620" w:type="dxa"/>
            <w:vAlign w:val="bottom"/>
          </w:tcPr>
          <w:p>
            <w:pPr>
              <w:jc w:val="center"/>
              <w:ind w:left="288"/>
              <w:spacing w:after="0"/>
              <w:rPr>
                <w:sz w:val="20"/>
                <w:szCs w:val="20"/>
                <w:color w:val="auto"/>
              </w:rPr>
            </w:pPr>
            <w:r>
              <w:rPr>
                <w:rFonts w:ascii="Arial" w:cs="Arial" w:eastAsia="Arial" w:hAnsi="Arial"/>
                <w:sz w:val="14"/>
                <w:szCs w:val="14"/>
                <w:color w:val="auto"/>
                <w:w w:val="76"/>
              </w:rPr>
              <w:t>0</w:t>
            </w:r>
          </w:p>
        </w:tc>
      </w:tr>
      <w:tr>
        <w:trPr>
          <w:trHeight w:val="513"/>
        </w:trPr>
        <w:tc>
          <w:tcPr>
            <w:tcW w:w="420" w:type="dxa"/>
            <w:vAlign w:val="bottom"/>
          </w:tcPr>
          <w:p>
            <w:pPr>
              <w:jc w:val="center"/>
              <w:ind w:right="188"/>
              <w:spacing w:after="0"/>
              <w:rPr>
                <w:sz w:val="20"/>
                <w:szCs w:val="20"/>
                <w:color w:val="auto"/>
              </w:rPr>
            </w:pPr>
            <w:r>
              <w:rPr>
                <w:rFonts w:ascii="Arial" w:cs="Arial" w:eastAsia="Arial" w:hAnsi="Arial"/>
                <w:sz w:val="14"/>
                <w:szCs w:val="14"/>
                <w:color w:val="auto"/>
              </w:rPr>
              <w:t>15</w:t>
            </w:r>
          </w:p>
        </w:tc>
        <w:tc>
          <w:tcPr>
            <w:tcW w:w="62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68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68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0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3,346</w:t>
            </w:r>
          </w:p>
        </w:tc>
        <w:tc>
          <w:tcPr>
            <w:tcW w:w="62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880" w:type="dxa"/>
            <w:vAlign w:val="bottom"/>
          </w:tcPr>
          <w:p>
            <w:pPr>
              <w:ind w:left="380"/>
              <w:spacing w:after="0"/>
              <w:rPr>
                <w:sz w:val="20"/>
                <w:szCs w:val="20"/>
                <w:color w:val="auto"/>
              </w:rPr>
            </w:pPr>
            <w:r>
              <w:rPr>
                <w:rFonts w:ascii="Arial" w:cs="Arial" w:eastAsia="Arial" w:hAnsi="Arial"/>
                <w:sz w:val="14"/>
                <w:szCs w:val="14"/>
                <w:color w:val="auto"/>
              </w:rPr>
              <w:t>no</w:t>
            </w:r>
          </w:p>
        </w:tc>
        <w:tc>
          <w:tcPr>
            <w:tcW w:w="820" w:type="dxa"/>
            <w:vAlign w:val="bottom"/>
          </w:tcPr>
          <w:p>
            <w:pPr>
              <w:ind w:left="360"/>
              <w:spacing w:after="0"/>
              <w:rPr>
                <w:sz w:val="20"/>
                <w:szCs w:val="20"/>
                <w:color w:val="auto"/>
              </w:rPr>
            </w:pPr>
            <w:r>
              <w:rPr>
                <w:rFonts w:ascii="Arial" w:cs="Arial" w:eastAsia="Arial" w:hAnsi="Arial"/>
                <w:sz w:val="14"/>
                <w:szCs w:val="14"/>
                <w:color w:val="auto"/>
              </w:rPr>
              <w:t>no</w:t>
            </w:r>
          </w:p>
        </w:tc>
        <w:tc>
          <w:tcPr>
            <w:tcW w:w="840" w:type="dxa"/>
            <w:vAlign w:val="bottom"/>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ind w:right="28"/>
              <w:spacing w:after="0"/>
              <w:rPr>
                <w:sz w:val="20"/>
                <w:szCs w:val="20"/>
                <w:color w:val="auto"/>
              </w:rPr>
            </w:pPr>
            <w:r>
              <w:rPr>
                <w:rFonts w:ascii="Arial" w:cs="Arial" w:eastAsia="Arial" w:hAnsi="Arial"/>
                <w:sz w:val="14"/>
                <w:szCs w:val="14"/>
                <w:color w:val="auto"/>
                <w:w w:val="76"/>
              </w:rPr>
              <w:t>0</w:t>
            </w:r>
          </w:p>
        </w:tc>
        <w:tc>
          <w:tcPr>
            <w:tcW w:w="620" w:type="dxa"/>
            <w:vAlign w:val="bottom"/>
          </w:tcPr>
          <w:p>
            <w:pPr>
              <w:jc w:val="center"/>
              <w:ind w:left="288"/>
              <w:spacing w:after="0"/>
              <w:rPr>
                <w:sz w:val="20"/>
                <w:szCs w:val="20"/>
                <w:color w:val="auto"/>
              </w:rPr>
            </w:pPr>
            <w:r>
              <w:rPr>
                <w:rFonts w:ascii="Arial" w:cs="Arial" w:eastAsia="Arial" w:hAnsi="Arial"/>
                <w:sz w:val="14"/>
                <w:szCs w:val="14"/>
                <w:color w:val="auto"/>
                <w:w w:val="76"/>
              </w:rPr>
              <w:t>0</w:t>
            </w:r>
          </w:p>
        </w:tc>
      </w:tr>
      <w:tr>
        <w:trPr>
          <w:trHeight w:val="527"/>
        </w:trPr>
        <w:tc>
          <w:tcPr>
            <w:tcW w:w="420" w:type="dxa"/>
            <w:vAlign w:val="bottom"/>
          </w:tcPr>
          <w:p>
            <w:pPr>
              <w:jc w:val="center"/>
              <w:ind w:right="188"/>
              <w:spacing w:after="0"/>
              <w:rPr>
                <w:sz w:val="20"/>
                <w:szCs w:val="20"/>
                <w:color w:val="auto"/>
              </w:rPr>
            </w:pPr>
            <w:r>
              <w:rPr>
                <w:rFonts w:ascii="Arial" w:cs="Arial" w:eastAsia="Arial" w:hAnsi="Arial"/>
                <w:sz w:val="14"/>
                <w:szCs w:val="14"/>
                <w:color w:val="auto"/>
              </w:rPr>
              <w:t>0</w:t>
            </w:r>
          </w:p>
        </w:tc>
        <w:tc>
          <w:tcPr>
            <w:tcW w:w="62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68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68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0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0</w:t>
            </w:r>
          </w:p>
        </w:tc>
        <w:tc>
          <w:tcPr>
            <w:tcW w:w="62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880" w:type="dxa"/>
            <w:vAlign w:val="bottom"/>
          </w:tcPr>
          <w:p>
            <w:pPr>
              <w:ind w:left="380"/>
              <w:spacing w:after="0"/>
              <w:rPr>
                <w:sz w:val="20"/>
                <w:szCs w:val="20"/>
                <w:color w:val="auto"/>
              </w:rPr>
            </w:pPr>
            <w:r>
              <w:rPr>
                <w:rFonts w:ascii="Arial" w:cs="Arial" w:eastAsia="Arial" w:hAnsi="Arial"/>
                <w:sz w:val="14"/>
                <w:szCs w:val="14"/>
                <w:color w:val="auto"/>
              </w:rPr>
              <w:t>no</w:t>
            </w:r>
          </w:p>
        </w:tc>
        <w:tc>
          <w:tcPr>
            <w:tcW w:w="820" w:type="dxa"/>
            <w:vAlign w:val="bottom"/>
          </w:tcPr>
          <w:p>
            <w:pPr>
              <w:ind w:left="360"/>
              <w:spacing w:after="0"/>
              <w:rPr>
                <w:sz w:val="20"/>
                <w:szCs w:val="20"/>
                <w:color w:val="auto"/>
              </w:rPr>
            </w:pPr>
            <w:r>
              <w:rPr>
                <w:rFonts w:ascii="Arial" w:cs="Arial" w:eastAsia="Arial" w:hAnsi="Arial"/>
                <w:sz w:val="14"/>
                <w:szCs w:val="14"/>
                <w:color w:val="auto"/>
              </w:rPr>
              <w:t>no</w:t>
            </w:r>
          </w:p>
        </w:tc>
        <w:tc>
          <w:tcPr>
            <w:tcW w:w="840" w:type="dxa"/>
            <w:vAlign w:val="bottom"/>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ind w:right="28"/>
              <w:spacing w:after="0"/>
              <w:rPr>
                <w:sz w:val="20"/>
                <w:szCs w:val="20"/>
                <w:color w:val="auto"/>
              </w:rPr>
            </w:pPr>
            <w:r>
              <w:rPr>
                <w:rFonts w:ascii="Arial" w:cs="Arial" w:eastAsia="Arial" w:hAnsi="Arial"/>
                <w:sz w:val="14"/>
                <w:szCs w:val="14"/>
                <w:color w:val="auto"/>
                <w:w w:val="76"/>
              </w:rPr>
              <w:t>0</w:t>
            </w:r>
          </w:p>
        </w:tc>
        <w:tc>
          <w:tcPr>
            <w:tcW w:w="620" w:type="dxa"/>
            <w:vAlign w:val="bottom"/>
          </w:tcPr>
          <w:p>
            <w:pPr>
              <w:jc w:val="center"/>
              <w:ind w:left="288"/>
              <w:spacing w:after="0"/>
              <w:rPr>
                <w:sz w:val="20"/>
                <w:szCs w:val="20"/>
                <w:color w:val="auto"/>
              </w:rPr>
            </w:pPr>
            <w:r>
              <w:rPr>
                <w:rFonts w:ascii="Arial" w:cs="Arial" w:eastAsia="Arial" w:hAnsi="Arial"/>
                <w:sz w:val="14"/>
                <w:szCs w:val="14"/>
                <w:color w:val="auto"/>
                <w:w w:val="76"/>
              </w:rPr>
              <w:t>0</w:t>
            </w:r>
          </w:p>
        </w:tc>
      </w:tr>
      <w:tr>
        <w:trPr>
          <w:trHeight w:val="445"/>
        </w:trPr>
        <w:tc>
          <w:tcPr>
            <w:tcW w:w="420" w:type="dxa"/>
            <w:vAlign w:val="bottom"/>
          </w:tcPr>
          <w:p>
            <w:pPr>
              <w:jc w:val="center"/>
              <w:ind w:right="188"/>
              <w:spacing w:after="0"/>
              <w:rPr>
                <w:sz w:val="20"/>
                <w:szCs w:val="20"/>
                <w:color w:val="auto"/>
              </w:rPr>
            </w:pPr>
            <w:r>
              <w:rPr>
                <w:rFonts w:ascii="Arial" w:cs="Arial" w:eastAsia="Arial" w:hAnsi="Arial"/>
                <w:sz w:val="14"/>
                <w:szCs w:val="14"/>
                <w:color w:val="auto"/>
              </w:rPr>
              <w:t>0</w:t>
            </w:r>
          </w:p>
        </w:tc>
        <w:tc>
          <w:tcPr>
            <w:tcW w:w="62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68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68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0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0</w:t>
            </w:r>
          </w:p>
        </w:tc>
        <w:tc>
          <w:tcPr>
            <w:tcW w:w="62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880" w:type="dxa"/>
            <w:vAlign w:val="bottom"/>
          </w:tcPr>
          <w:p>
            <w:pPr>
              <w:ind w:left="380"/>
              <w:spacing w:after="0"/>
              <w:rPr>
                <w:sz w:val="20"/>
                <w:szCs w:val="20"/>
                <w:color w:val="auto"/>
              </w:rPr>
            </w:pPr>
            <w:r>
              <w:rPr>
                <w:rFonts w:ascii="Arial" w:cs="Arial" w:eastAsia="Arial" w:hAnsi="Arial"/>
                <w:sz w:val="14"/>
                <w:szCs w:val="14"/>
                <w:color w:val="auto"/>
              </w:rPr>
              <w:t>no</w:t>
            </w:r>
          </w:p>
        </w:tc>
        <w:tc>
          <w:tcPr>
            <w:tcW w:w="820" w:type="dxa"/>
            <w:vAlign w:val="bottom"/>
          </w:tcPr>
          <w:p>
            <w:pPr>
              <w:ind w:left="360"/>
              <w:spacing w:after="0"/>
              <w:rPr>
                <w:sz w:val="20"/>
                <w:szCs w:val="20"/>
                <w:color w:val="auto"/>
              </w:rPr>
            </w:pPr>
            <w:r>
              <w:rPr>
                <w:rFonts w:ascii="Arial" w:cs="Arial" w:eastAsia="Arial" w:hAnsi="Arial"/>
                <w:sz w:val="14"/>
                <w:szCs w:val="14"/>
                <w:color w:val="auto"/>
              </w:rPr>
              <w:t>no</w:t>
            </w:r>
          </w:p>
        </w:tc>
        <w:tc>
          <w:tcPr>
            <w:tcW w:w="840" w:type="dxa"/>
            <w:vAlign w:val="bottom"/>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ind w:right="28"/>
              <w:spacing w:after="0"/>
              <w:rPr>
                <w:sz w:val="20"/>
                <w:szCs w:val="20"/>
                <w:color w:val="auto"/>
              </w:rPr>
            </w:pPr>
            <w:r>
              <w:rPr>
                <w:rFonts w:ascii="Arial" w:cs="Arial" w:eastAsia="Arial" w:hAnsi="Arial"/>
                <w:sz w:val="14"/>
                <w:szCs w:val="14"/>
                <w:color w:val="auto"/>
                <w:w w:val="76"/>
              </w:rPr>
              <w:t>0</w:t>
            </w:r>
          </w:p>
        </w:tc>
        <w:tc>
          <w:tcPr>
            <w:tcW w:w="620" w:type="dxa"/>
            <w:vAlign w:val="bottom"/>
          </w:tcPr>
          <w:p>
            <w:pPr>
              <w:jc w:val="center"/>
              <w:ind w:left="288"/>
              <w:spacing w:after="0"/>
              <w:rPr>
                <w:sz w:val="20"/>
                <w:szCs w:val="20"/>
                <w:color w:val="auto"/>
              </w:rPr>
            </w:pPr>
            <w:r>
              <w:rPr>
                <w:rFonts w:ascii="Arial" w:cs="Arial" w:eastAsia="Arial" w:hAnsi="Arial"/>
                <w:sz w:val="14"/>
                <w:szCs w:val="14"/>
                <w:color w:val="auto"/>
                <w:w w:val="76"/>
              </w:rPr>
              <w:t>0</w:t>
            </w:r>
          </w:p>
        </w:tc>
      </w:tr>
      <w:tr>
        <w:trPr>
          <w:trHeight w:val="418"/>
        </w:trPr>
        <w:tc>
          <w:tcPr>
            <w:tcW w:w="420" w:type="dxa"/>
            <w:vAlign w:val="bottom"/>
          </w:tcPr>
          <w:p>
            <w:pPr>
              <w:jc w:val="center"/>
              <w:ind w:right="188"/>
              <w:spacing w:after="0"/>
              <w:rPr>
                <w:sz w:val="20"/>
                <w:szCs w:val="20"/>
                <w:color w:val="auto"/>
              </w:rPr>
            </w:pPr>
            <w:r>
              <w:rPr>
                <w:rFonts w:ascii="Arial" w:cs="Arial" w:eastAsia="Arial" w:hAnsi="Arial"/>
                <w:sz w:val="14"/>
                <w:szCs w:val="14"/>
                <w:color w:val="auto"/>
              </w:rPr>
              <w:t>14</w:t>
            </w:r>
          </w:p>
        </w:tc>
        <w:tc>
          <w:tcPr>
            <w:tcW w:w="62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68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68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0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4,446</w:t>
            </w:r>
          </w:p>
        </w:tc>
        <w:tc>
          <w:tcPr>
            <w:tcW w:w="62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880" w:type="dxa"/>
            <w:vAlign w:val="bottom"/>
          </w:tcPr>
          <w:p>
            <w:pPr>
              <w:ind w:left="380"/>
              <w:spacing w:after="0"/>
              <w:rPr>
                <w:sz w:val="20"/>
                <w:szCs w:val="20"/>
                <w:color w:val="auto"/>
              </w:rPr>
            </w:pPr>
            <w:r>
              <w:rPr>
                <w:rFonts w:ascii="Arial" w:cs="Arial" w:eastAsia="Arial" w:hAnsi="Arial"/>
                <w:sz w:val="14"/>
                <w:szCs w:val="14"/>
                <w:color w:val="auto"/>
              </w:rPr>
              <w:t>no</w:t>
            </w:r>
          </w:p>
        </w:tc>
        <w:tc>
          <w:tcPr>
            <w:tcW w:w="820" w:type="dxa"/>
            <w:vAlign w:val="bottom"/>
          </w:tcPr>
          <w:p>
            <w:pPr>
              <w:ind w:left="360"/>
              <w:spacing w:after="0"/>
              <w:rPr>
                <w:sz w:val="20"/>
                <w:szCs w:val="20"/>
                <w:color w:val="auto"/>
              </w:rPr>
            </w:pPr>
            <w:r>
              <w:rPr>
                <w:rFonts w:ascii="Arial" w:cs="Arial" w:eastAsia="Arial" w:hAnsi="Arial"/>
                <w:sz w:val="14"/>
                <w:szCs w:val="14"/>
                <w:color w:val="auto"/>
              </w:rPr>
              <w:t>no</w:t>
            </w:r>
          </w:p>
        </w:tc>
        <w:tc>
          <w:tcPr>
            <w:tcW w:w="840" w:type="dxa"/>
            <w:vAlign w:val="bottom"/>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ind w:right="28"/>
              <w:spacing w:after="0"/>
              <w:rPr>
                <w:sz w:val="20"/>
                <w:szCs w:val="20"/>
                <w:color w:val="auto"/>
              </w:rPr>
            </w:pPr>
            <w:r>
              <w:rPr>
                <w:rFonts w:ascii="Arial" w:cs="Arial" w:eastAsia="Arial" w:hAnsi="Arial"/>
                <w:sz w:val="14"/>
                <w:szCs w:val="14"/>
                <w:color w:val="auto"/>
                <w:w w:val="76"/>
              </w:rPr>
              <w:t>0</w:t>
            </w:r>
          </w:p>
        </w:tc>
        <w:tc>
          <w:tcPr>
            <w:tcW w:w="620" w:type="dxa"/>
            <w:vAlign w:val="bottom"/>
          </w:tcPr>
          <w:p>
            <w:pPr>
              <w:jc w:val="center"/>
              <w:ind w:left="288"/>
              <w:spacing w:after="0"/>
              <w:rPr>
                <w:sz w:val="20"/>
                <w:szCs w:val="20"/>
                <w:color w:val="auto"/>
              </w:rPr>
            </w:pPr>
            <w:r>
              <w:rPr>
                <w:rFonts w:ascii="Arial" w:cs="Arial" w:eastAsia="Arial" w:hAnsi="Arial"/>
                <w:sz w:val="14"/>
                <w:szCs w:val="14"/>
                <w:color w:val="auto"/>
                <w:w w:val="76"/>
              </w:rPr>
              <w:t>0</w:t>
            </w:r>
          </w:p>
        </w:tc>
      </w:tr>
      <w:tr>
        <w:trPr>
          <w:trHeight w:val="418"/>
        </w:trPr>
        <w:tc>
          <w:tcPr>
            <w:tcW w:w="420" w:type="dxa"/>
            <w:vAlign w:val="bottom"/>
          </w:tcPr>
          <w:p>
            <w:pPr>
              <w:jc w:val="center"/>
              <w:ind w:right="188"/>
              <w:spacing w:after="0"/>
              <w:rPr>
                <w:sz w:val="20"/>
                <w:szCs w:val="20"/>
                <w:color w:val="auto"/>
              </w:rPr>
            </w:pPr>
            <w:r>
              <w:rPr>
                <w:rFonts w:ascii="Arial" w:cs="Arial" w:eastAsia="Arial" w:hAnsi="Arial"/>
                <w:sz w:val="14"/>
                <w:szCs w:val="14"/>
                <w:color w:val="auto"/>
              </w:rPr>
              <w:t>0</w:t>
            </w:r>
          </w:p>
        </w:tc>
        <w:tc>
          <w:tcPr>
            <w:tcW w:w="62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68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68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0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0</w:t>
            </w:r>
          </w:p>
        </w:tc>
        <w:tc>
          <w:tcPr>
            <w:tcW w:w="62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880" w:type="dxa"/>
            <w:vAlign w:val="bottom"/>
          </w:tcPr>
          <w:p>
            <w:pPr>
              <w:ind w:left="380"/>
              <w:spacing w:after="0"/>
              <w:rPr>
                <w:sz w:val="20"/>
                <w:szCs w:val="20"/>
                <w:color w:val="auto"/>
              </w:rPr>
            </w:pPr>
            <w:r>
              <w:rPr>
                <w:rFonts w:ascii="Arial" w:cs="Arial" w:eastAsia="Arial" w:hAnsi="Arial"/>
                <w:sz w:val="14"/>
                <w:szCs w:val="14"/>
                <w:color w:val="auto"/>
              </w:rPr>
              <w:t>no</w:t>
            </w:r>
          </w:p>
        </w:tc>
        <w:tc>
          <w:tcPr>
            <w:tcW w:w="820" w:type="dxa"/>
            <w:vAlign w:val="bottom"/>
          </w:tcPr>
          <w:p>
            <w:pPr>
              <w:ind w:left="360"/>
              <w:spacing w:after="0"/>
              <w:rPr>
                <w:sz w:val="20"/>
                <w:szCs w:val="20"/>
                <w:color w:val="auto"/>
              </w:rPr>
            </w:pPr>
            <w:r>
              <w:rPr>
                <w:rFonts w:ascii="Arial" w:cs="Arial" w:eastAsia="Arial" w:hAnsi="Arial"/>
                <w:sz w:val="14"/>
                <w:szCs w:val="14"/>
                <w:color w:val="auto"/>
              </w:rPr>
              <w:t>no</w:t>
            </w:r>
          </w:p>
        </w:tc>
        <w:tc>
          <w:tcPr>
            <w:tcW w:w="840" w:type="dxa"/>
            <w:vAlign w:val="bottom"/>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ind w:right="28"/>
              <w:spacing w:after="0"/>
              <w:rPr>
                <w:sz w:val="20"/>
                <w:szCs w:val="20"/>
                <w:color w:val="auto"/>
              </w:rPr>
            </w:pPr>
            <w:r>
              <w:rPr>
                <w:rFonts w:ascii="Arial" w:cs="Arial" w:eastAsia="Arial" w:hAnsi="Arial"/>
                <w:sz w:val="14"/>
                <w:szCs w:val="14"/>
                <w:color w:val="auto"/>
                <w:w w:val="76"/>
              </w:rPr>
              <w:t>0</w:t>
            </w:r>
          </w:p>
        </w:tc>
        <w:tc>
          <w:tcPr>
            <w:tcW w:w="620" w:type="dxa"/>
            <w:vAlign w:val="bottom"/>
          </w:tcPr>
          <w:p>
            <w:pPr>
              <w:jc w:val="center"/>
              <w:ind w:left="288"/>
              <w:spacing w:after="0"/>
              <w:rPr>
                <w:sz w:val="20"/>
                <w:szCs w:val="20"/>
                <w:color w:val="auto"/>
              </w:rPr>
            </w:pPr>
            <w:r>
              <w:rPr>
                <w:rFonts w:ascii="Arial" w:cs="Arial" w:eastAsia="Arial" w:hAnsi="Arial"/>
                <w:sz w:val="14"/>
                <w:szCs w:val="14"/>
                <w:color w:val="auto"/>
                <w:w w:val="76"/>
              </w:rPr>
              <w:t>0</w:t>
            </w:r>
          </w:p>
        </w:tc>
      </w:tr>
      <w:tr>
        <w:trPr>
          <w:trHeight w:val="445"/>
        </w:trPr>
        <w:tc>
          <w:tcPr>
            <w:tcW w:w="420" w:type="dxa"/>
            <w:vAlign w:val="bottom"/>
          </w:tcPr>
          <w:p>
            <w:pPr>
              <w:jc w:val="center"/>
              <w:ind w:right="188"/>
              <w:spacing w:after="0"/>
              <w:rPr>
                <w:sz w:val="20"/>
                <w:szCs w:val="20"/>
                <w:color w:val="auto"/>
              </w:rPr>
            </w:pPr>
            <w:r>
              <w:rPr>
                <w:rFonts w:ascii="Arial" w:cs="Arial" w:eastAsia="Arial" w:hAnsi="Arial"/>
                <w:sz w:val="14"/>
                <w:szCs w:val="14"/>
                <w:color w:val="auto"/>
              </w:rPr>
              <w:t>0</w:t>
            </w:r>
          </w:p>
        </w:tc>
        <w:tc>
          <w:tcPr>
            <w:tcW w:w="62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68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68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0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0</w:t>
            </w:r>
          </w:p>
        </w:tc>
        <w:tc>
          <w:tcPr>
            <w:tcW w:w="62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880" w:type="dxa"/>
            <w:vAlign w:val="bottom"/>
          </w:tcPr>
          <w:p>
            <w:pPr>
              <w:ind w:left="380"/>
              <w:spacing w:after="0"/>
              <w:rPr>
                <w:sz w:val="20"/>
                <w:szCs w:val="20"/>
                <w:color w:val="auto"/>
              </w:rPr>
            </w:pPr>
            <w:r>
              <w:rPr>
                <w:rFonts w:ascii="Arial" w:cs="Arial" w:eastAsia="Arial" w:hAnsi="Arial"/>
                <w:sz w:val="14"/>
                <w:szCs w:val="14"/>
                <w:color w:val="auto"/>
              </w:rPr>
              <w:t>no</w:t>
            </w:r>
          </w:p>
        </w:tc>
        <w:tc>
          <w:tcPr>
            <w:tcW w:w="820" w:type="dxa"/>
            <w:vAlign w:val="bottom"/>
          </w:tcPr>
          <w:p>
            <w:pPr>
              <w:ind w:left="360"/>
              <w:spacing w:after="0"/>
              <w:rPr>
                <w:sz w:val="20"/>
                <w:szCs w:val="20"/>
                <w:color w:val="auto"/>
              </w:rPr>
            </w:pPr>
            <w:r>
              <w:rPr>
                <w:rFonts w:ascii="Arial" w:cs="Arial" w:eastAsia="Arial" w:hAnsi="Arial"/>
                <w:sz w:val="14"/>
                <w:szCs w:val="14"/>
                <w:color w:val="auto"/>
              </w:rPr>
              <w:t>no</w:t>
            </w:r>
          </w:p>
        </w:tc>
        <w:tc>
          <w:tcPr>
            <w:tcW w:w="840" w:type="dxa"/>
            <w:vAlign w:val="bottom"/>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ind w:right="28"/>
              <w:spacing w:after="0"/>
              <w:rPr>
                <w:sz w:val="20"/>
                <w:szCs w:val="20"/>
                <w:color w:val="auto"/>
              </w:rPr>
            </w:pPr>
            <w:r>
              <w:rPr>
                <w:rFonts w:ascii="Arial" w:cs="Arial" w:eastAsia="Arial" w:hAnsi="Arial"/>
                <w:sz w:val="14"/>
                <w:szCs w:val="14"/>
                <w:color w:val="auto"/>
                <w:w w:val="76"/>
              </w:rPr>
              <w:t>0</w:t>
            </w:r>
          </w:p>
        </w:tc>
        <w:tc>
          <w:tcPr>
            <w:tcW w:w="620" w:type="dxa"/>
            <w:vAlign w:val="bottom"/>
          </w:tcPr>
          <w:p>
            <w:pPr>
              <w:jc w:val="center"/>
              <w:ind w:left="308"/>
              <w:spacing w:after="0"/>
              <w:rPr>
                <w:sz w:val="20"/>
                <w:szCs w:val="20"/>
                <w:color w:val="auto"/>
              </w:rPr>
            </w:pPr>
            <w:r>
              <w:rPr>
                <w:rFonts w:ascii="Arial" w:cs="Arial" w:eastAsia="Arial" w:hAnsi="Arial"/>
                <w:sz w:val="14"/>
                <w:szCs w:val="14"/>
                <w:color w:val="auto"/>
                <w:w w:val="96"/>
              </w:rPr>
              <w:t>1(1)</w:t>
            </w:r>
          </w:p>
        </w:tc>
      </w:tr>
      <w:tr>
        <w:trPr>
          <w:trHeight w:val="446"/>
        </w:trPr>
        <w:tc>
          <w:tcPr>
            <w:tcW w:w="420" w:type="dxa"/>
            <w:vAlign w:val="bottom"/>
          </w:tcPr>
          <w:p>
            <w:pPr>
              <w:jc w:val="center"/>
              <w:ind w:right="188"/>
              <w:spacing w:after="0"/>
              <w:rPr>
                <w:sz w:val="20"/>
                <w:szCs w:val="20"/>
                <w:color w:val="auto"/>
              </w:rPr>
            </w:pPr>
            <w:r>
              <w:rPr>
                <w:rFonts w:ascii="Arial" w:cs="Arial" w:eastAsia="Arial" w:hAnsi="Arial"/>
                <w:sz w:val="14"/>
                <w:szCs w:val="14"/>
                <w:color w:val="auto"/>
              </w:rPr>
              <w:t>0</w:t>
            </w:r>
          </w:p>
        </w:tc>
        <w:tc>
          <w:tcPr>
            <w:tcW w:w="62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68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68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0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0</w:t>
            </w:r>
          </w:p>
        </w:tc>
        <w:tc>
          <w:tcPr>
            <w:tcW w:w="62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880" w:type="dxa"/>
            <w:vAlign w:val="bottom"/>
          </w:tcPr>
          <w:p>
            <w:pPr>
              <w:ind w:left="380"/>
              <w:spacing w:after="0"/>
              <w:rPr>
                <w:sz w:val="20"/>
                <w:szCs w:val="20"/>
                <w:color w:val="auto"/>
              </w:rPr>
            </w:pPr>
            <w:r>
              <w:rPr>
                <w:rFonts w:ascii="Arial" w:cs="Arial" w:eastAsia="Arial" w:hAnsi="Arial"/>
                <w:sz w:val="14"/>
                <w:szCs w:val="14"/>
                <w:color w:val="auto"/>
              </w:rPr>
              <w:t>no</w:t>
            </w:r>
          </w:p>
        </w:tc>
        <w:tc>
          <w:tcPr>
            <w:tcW w:w="820" w:type="dxa"/>
            <w:vAlign w:val="bottom"/>
          </w:tcPr>
          <w:p>
            <w:pPr>
              <w:ind w:left="360"/>
              <w:spacing w:after="0"/>
              <w:rPr>
                <w:sz w:val="20"/>
                <w:szCs w:val="20"/>
                <w:color w:val="auto"/>
              </w:rPr>
            </w:pPr>
            <w:r>
              <w:rPr>
                <w:rFonts w:ascii="Arial" w:cs="Arial" w:eastAsia="Arial" w:hAnsi="Arial"/>
                <w:sz w:val="14"/>
                <w:szCs w:val="14"/>
                <w:color w:val="auto"/>
              </w:rPr>
              <w:t>no</w:t>
            </w:r>
          </w:p>
        </w:tc>
        <w:tc>
          <w:tcPr>
            <w:tcW w:w="840" w:type="dxa"/>
            <w:vAlign w:val="bottom"/>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ind w:right="28"/>
              <w:spacing w:after="0"/>
              <w:rPr>
                <w:sz w:val="20"/>
                <w:szCs w:val="20"/>
                <w:color w:val="auto"/>
              </w:rPr>
            </w:pPr>
            <w:r>
              <w:rPr>
                <w:rFonts w:ascii="Arial" w:cs="Arial" w:eastAsia="Arial" w:hAnsi="Arial"/>
                <w:sz w:val="14"/>
                <w:szCs w:val="14"/>
                <w:color w:val="auto"/>
                <w:w w:val="76"/>
              </w:rPr>
              <w:t>0</w:t>
            </w:r>
          </w:p>
        </w:tc>
        <w:tc>
          <w:tcPr>
            <w:tcW w:w="620" w:type="dxa"/>
            <w:vAlign w:val="bottom"/>
          </w:tcPr>
          <w:p>
            <w:pPr>
              <w:jc w:val="center"/>
              <w:ind w:left="288"/>
              <w:spacing w:after="0"/>
              <w:rPr>
                <w:sz w:val="20"/>
                <w:szCs w:val="20"/>
                <w:color w:val="auto"/>
              </w:rPr>
            </w:pPr>
            <w:r>
              <w:rPr>
                <w:rFonts w:ascii="Arial" w:cs="Arial" w:eastAsia="Arial" w:hAnsi="Arial"/>
                <w:sz w:val="14"/>
                <w:szCs w:val="14"/>
                <w:color w:val="auto"/>
                <w:w w:val="76"/>
              </w:rPr>
              <w:t>0</w:t>
            </w:r>
          </w:p>
        </w:tc>
      </w:tr>
      <w:tr>
        <w:trPr>
          <w:trHeight w:val="445"/>
        </w:trPr>
        <w:tc>
          <w:tcPr>
            <w:tcW w:w="420" w:type="dxa"/>
            <w:vAlign w:val="bottom"/>
          </w:tcPr>
          <w:p>
            <w:pPr>
              <w:jc w:val="center"/>
              <w:ind w:right="188"/>
              <w:spacing w:after="0"/>
              <w:rPr>
                <w:sz w:val="20"/>
                <w:szCs w:val="20"/>
                <w:color w:val="auto"/>
              </w:rPr>
            </w:pPr>
            <w:r>
              <w:rPr>
                <w:rFonts w:ascii="Arial" w:cs="Arial" w:eastAsia="Arial" w:hAnsi="Arial"/>
                <w:sz w:val="14"/>
                <w:szCs w:val="14"/>
                <w:color w:val="auto"/>
              </w:rPr>
              <w:t>0</w:t>
            </w:r>
          </w:p>
        </w:tc>
        <w:tc>
          <w:tcPr>
            <w:tcW w:w="62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68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68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0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0</w:t>
            </w:r>
          </w:p>
        </w:tc>
        <w:tc>
          <w:tcPr>
            <w:tcW w:w="62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880" w:type="dxa"/>
            <w:vAlign w:val="bottom"/>
          </w:tcPr>
          <w:p>
            <w:pPr>
              <w:ind w:left="380"/>
              <w:spacing w:after="0"/>
              <w:rPr>
                <w:sz w:val="20"/>
                <w:szCs w:val="20"/>
                <w:color w:val="auto"/>
              </w:rPr>
            </w:pPr>
            <w:r>
              <w:rPr>
                <w:rFonts w:ascii="Arial" w:cs="Arial" w:eastAsia="Arial" w:hAnsi="Arial"/>
                <w:sz w:val="14"/>
                <w:szCs w:val="14"/>
                <w:color w:val="auto"/>
              </w:rPr>
              <w:t>no</w:t>
            </w:r>
          </w:p>
        </w:tc>
        <w:tc>
          <w:tcPr>
            <w:tcW w:w="820" w:type="dxa"/>
            <w:vAlign w:val="bottom"/>
          </w:tcPr>
          <w:p>
            <w:pPr>
              <w:ind w:left="360"/>
              <w:spacing w:after="0"/>
              <w:rPr>
                <w:sz w:val="20"/>
                <w:szCs w:val="20"/>
                <w:color w:val="auto"/>
              </w:rPr>
            </w:pPr>
            <w:r>
              <w:rPr>
                <w:rFonts w:ascii="Arial" w:cs="Arial" w:eastAsia="Arial" w:hAnsi="Arial"/>
                <w:sz w:val="14"/>
                <w:szCs w:val="14"/>
                <w:color w:val="auto"/>
              </w:rPr>
              <w:t>no</w:t>
            </w:r>
          </w:p>
        </w:tc>
        <w:tc>
          <w:tcPr>
            <w:tcW w:w="840" w:type="dxa"/>
            <w:vAlign w:val="bottom"/>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ind w:right="28"/>
              <w:spacing w:after="0"/>
              <w:rPr>
                <w:sz w:val="20"/>
                <w:szCs w:val="20"/>
                <w:color w:val="auto"/>
              </w:rPr>
            </w:pPr>
            <w:r>
              <w:rPr>
                <w:rFonts w:ascii="Arial" w:cs="Arial" w:eastAsia="Arial" w:hAnsi="Arial"/>
                <w:sz w:val="14"/>
                <w:szCs w:val="14"/>
                <w:color w:val="auto"/>
                <w:w w:val="76"/>
              </w:rPr>
              <w:t>0</w:t>
            </w:r>
          </w:p>
        </w:tc>
        <w:tc>
          <w:tcPr>
            <w:tcW w:w="620" w:type="dxa"/>
            <w:vAlign w:val="bottom"/>
          </w:tcPr>
          <w:p>
            <w:pPr>
              <w:jc w:val="center"/>
              <w:ind w:left="288"/>
              <w:spacing w:after="0"/>
              <w:rPr>
                <w:sz w:val="20"/>
                <w:szCs w:val="20"/>
                <w:color w:val="auto"/>
              </w:rPr>
            </w:pPr>
            <w:r>
              <w:rPr>
                <w:rFonts w:ascii="Arial" w:cs="Arial" w:eastAsia="Arial" w:hAnsi="Arial"/>
                <w:sz w:val="14"/>
                <w:szCs w:val="14"/>
                <w:color w:val="auto"/>
                <w:w w:val="76"/>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-1238885</wp:posOffset>
            </wp:positionH>
            <wp:positionV relativeFrom="paragraph">
              <wp:posOffset>-3994785</wp:posOffset>
            </wp:positionV>
            <wp:extent cx="7132320" cy="3771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-3335020</wp:posOffset>
            </wp:positionV>
            <wp:extent cx="7132320" cy="2832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-2803525</wp:posOffset>
            </wp:positionV>
            <wp:extent cx="7132320" cy="2832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-2237740</wp:posOffset>
            </wp:positionV>
            <wp:extent cx="7132320" cy="3771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-1577340</wp:posOffset>
            </wp:positionV>
            <wp:extent cx="7132320" cy="2825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-1046480</wp:posOffset>
            </wp:positionV>
            <wp:extent cx="7132320" cy="2825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-480695</wp:posOffset>
            </wp:positionV>
            <wp:extent cx="7132320" cy="2825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339" w:lineRule="exact"/>
        <w:rPr>
          <w:sz w:val="20"/>
          <w:szCs w:val="20"/>
          <w:color w:val="auto"/>
        </w:rPr>
      </w:pPr>
    </w:p>
    <w:p>
      <w:pPr>
        <w:sectPr>
          <w:pgSz w:w="11900" w:h="16838" w:orient="portrait"/>
          <w:cols w:equalWidth="0" w:num="2">
            <w:col w:w="1700" w:space="260"/>
            <w:col w:w="9280"/>
          </w:cols>
          <w:pgMar w:left="320" w:top="135" w:right="339" w:bottom="1440" w:gutter="0" w:footer="0" w:header="0"/>
          <w:type w:val="continuous"/>
        </w:sectPr>
      </w:pPr>
    </w:p>
    <w:p>
      <w:pPr>
        <w:spacing w:after="0" w:line="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(1)All legal actions were penalty contests.</w:t>
      </w:r>
    </w:p>
    <w:p>
      <w:pPr>
        <w:ind w:left="180"/>
        <w:spacing w:after="0"/>
        <w:rPr>
          <w:sz w:val="20"/>
          <w:szCs w:val="20"/>
          <w:color w:val="auto"/>
        </w:rPr>
      </w:pPr>
      <w:r>
        <w:rPr>
          <w:rFonts w:ascii="Arial" w:cs="Arial" w:eastAsia="Arial" w:hAnsi="Arial"/>
          <w:sz w:val="13"/>
          <w:szCs w:val="13"/>
          <w:color w:val="auto"/>
        </w:rPr>
        <w:t>(2)On September 18, 2020, Eagle Materials Inc. divested its frac sand business, including the mines operated by Northern White Sand LLC and Great Northern Sand LLC.</w:t>
      </w:r>
    </w:p>
    <w:sectPr>
      <w:pgSz w:w="11900" w:h="16838" w:orient="portrait"/>
      <w:cols w:equalWidth="0" w:num="1">
        <w:col w:w="11240"/>
      </w:cols>
      <w:pgMar w:left="320" w:top="13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decimal"/>
      <w:start w:val="214"/>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upperLetter"/>
      <w:start w:val="2"/>
    </w:lvl>
  </w:abstractNum>
  <w:abstractNum w:abstractNumId="4">
    <w:nsid w:val="62BBD95A"/>
    <w:multiLevelType w:val="hybridMultilevel"/>
    <w:lvl w:ilvl="0">
      <w:lvlJc w:val="left"/>
      <w:lvlText w:val="(%1)"/>
      <w:numFmt w:val="upperLetter"/>
      <w:start w:val="3"/>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decimal"/>
      <w:start w:val="1"/>
    </w:lvl>
    <w:lvl w:ilvl="1">
      <w:lvlJc w:val="left"/>
      <w:lvlText w:val="(%2)"/>
      <w:numFmt w:val="lowerLetter"/>
      <w:start w:val="1"/>
    </w:lvl>
  </w:abstractNum>
  <w:abstractNum w:abstractNumId="19">
    <w:nsid w:val="71F32454"/>
    <w:multiLevelType w:val="hybridMultilevel"/>
    <w:lvl w:ilvl="0">
      <w:lvlJc w:val="left"/>
      <w:lvlText w:val="%1."/>
      <w:numFmt w:val="decimal"/>
      <w:start w:val="5"/>
    </w:lvl>
    <w:lvl w:ilvl="1">
      <w:lvlJc w:val="left"/>
      <w:lvlText w:val="(%2)"/>
      <w:numFmt w:val="lowerLetter"/>
      <w:start w:val="1"/>
    </w:lvl>
  </w:abstractNum>
  <w:abstractNum w:abstractNumId="20">
    <w:nsid w:val="2CA88611"/>
    <w:multiLevelType w:val="hybridMultilevel"/>
    <w:lvl w:ilvl="0">
      <w:lvlJc w:val="left"/>
      <w:lvlText w:val="%1."/>
      <w:numFmt w:val="decimal"/>
      <w:start w:val="9"/>
    </w:lvl>
    <w:lvl w:ilvl="1">
      <w:lvlJc w:val="left"/>
      <w:lvlText w:val="-"/>
      <w:numFmt w:val="bullet"/>
      <w:start w:val="1"/>
    </w:lvl>
  </w:abstractNum>
  <w:abstractNum w:abstractNumId="21">
    <w:nsid w:val="836C40E"/>
    <w:multiLevelType w:val="hybridMultilevel"/>
    <w:lvl w:ilvl="0">
      <w:lvlJc w:val="left"/>
      <w:lvlText w:val="%1."/>
      <w:numFmt w:val="decimal"/>
      <w:start w:val="10"/>
    </w:lvl>
  </w:abstractNum>
  <w:abstractNum w:abstractNumId="22">
    <w:nsid w:val="2901D82"/>
    <w:multiLevelType w:val="hybridMultilevel"/>
    <w:lvl w:ilvl="0">
      <w:lvlJc w:val="left"/>
      <w:lvlText w:val="%1"/>
      <w:numFmt w:val="lowerLetter"/>
      <w:start w:val="1"/>
    </w:lvl>
    <w:lvl w:ilvl="1">
      <w:lvlJc w:val="left"/>
      <w:lvlText w:val="(%2)"/>
      <w:numFmt w:val="lowerLetter"/>
      <w:start w:val="1"/>
    </w:lvl>
  </w:abstractNum>
  <w:abstractNum w:abstractNumId="23">
    <w:nsid w:val="3A95F874"/>
    <w:multiLevelType w:val="hybridMultilevel"/>
    <w:lvl w:ilvl="0">
      <w:lvlJc w:val="left"/>
      <w:lvlText w:val="(%1)"/>
      <w:numFmt w:val="lowerLetter"/>
      <w:start w:val="9"/>
    </w:lvl>
    <w:lvl w:ilvl="1">
      <w:lvlJc w:val="left"/>
      <w:lvlText w:val="(%2)"/>
      <w:numFmt w:val="lowerLetter"/>
      <w:start w:val="4"/>
    </w:lvl>
  </w:abstractNum>
  <w:abstractNum w:abstractNumId="24">
    <w:nsid w:val="8138641"/>
    <w:multiLevelType w:val="hybridMultilevel"/>
    <w:lvl w:ilvl="0">
      <w:lvlJc w:val="left"/>
      <w:lvlText w:val="(%1)"/>
      <w:numFmt w:val="lowerRoman"/>
      <w:start w:val="1"/>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1)"/>
      <w:numFmt w:val="lowerLetter"/>
      <w:start w:val="1"/>
    </w:lvl>
  </w:abstractNum>
  <w:abstractNum w:abstractNumId="27">
    <w:nsid w:val="737B8DDC"/>
    <w:multiLevelType w:val="hybridMultilevel"/>
    <w:lvl w:ilvl="0">
      <w:lvlJc w:val="left"/>
      <w:lvlText w:val="%1."/>
      <w:numFmt w:val="decimal"/>
      <w:start w:val="5"/>
    </w:lvl>
  </w:abstractNum>
  <w:abstractNum w:abstractNumId="28">
    <w:nsid w:val="6CEAF087"/>
    <w:multiLevelType w:val="hybridMultilevel"/>
    <w:lvl w:ilvl="0">
      <w:lvlJc w:val="left"/>
      <w:lvlText w:val="%1)"/>
      <w:numFmt w:val="lowerLetter"/>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lowerLetter"/>
      <w:start w:val="1"/>
    </w:lvl>
  </w:abstractNum>
  <w:abstractNum w:abstractNumId="31">
    <w:nsid w:val="3006C83E"/>
    <w:multiLevelType w:val="hybridMultilevel"/>
    <w:lvl w:ilvl="0">
      <w:lvlJc w:val="left"/>
      <w:lvlText w:val="%1."/>
      <w:numFmt w:val="decimal"/>
      <w:start w:val="5"/>
    </w:lvl>
  </w:abstractNum>
  <w:abstractNum w:abstractNumId="32">
    <w:nsid w:val="614FD4A1"/>
    <w:multiLevelType w:val="hybridMultilevel"/>
    <w:lvl w:ilvl="0">
      <w:lvlJc w:val="left"/>
      <w:lvlText w:val="%1)"/>
      <w:numFmt w:val="lowerLetter"/>
      <w:start w:val="1"/>
    </w:lvl>
  </w:abstractNum>
  <w:abstractNum w:abstractNumId="33">
    <w:nsid w:val="419AC241"/>
    <w:multiLevelType w:val="hybridMultilevel"/>
    <w:lvl w:ilvl="0">
      <w:lvlJc w:val="left"/>
      <w:lvlText w:val="(%1)"/>
      <w:numFmt w:val="lowerRoman"/>
      <w:start w:val="1"/>
    </w:lvl>
  </w:abstractNum>
  <w:abstractNum w:abstractNumId="34">
    <w:nsid w:val="5577F8E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2020-10-30T05:27:57Z</dcterms:created>
  <dcterms:modified xsi:type="dcterms:W3CDTF">2020-10-30T05:27:57Z</dcterms:modified>
</cp:coreProperties>
</file>