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exp-20231231.htm"/>
      <w:bookmarkStart w:id="1" w:name="ksexp20231231"/>
      <w:bookmarkEnd w:id="0"/>
      <w:bookmarkEnd w:id="1"/>
      <w:r>
        <w:rPr/>
        <w:t> </w:t>
      </w:r>
    </w:p>
    <w:p>
      <w:pPr>
        <w:pStyle w:val="TextBody"/>
        <w:bidi w:val="0"/>
        <w:spacing w:before="60" w:after="283"/>
        <w:jc w:val="center"/>
        <w:rPr>
          <w:rFonts w:ascii="Times New Roman" w:hAnsi="Times New Roman"/>
          <w:sz w:val="20"/>
        </w:rPr>
      </w:pPr>
      <w:r>
        <w:rPr>
          <w:rFonts w:ascii="Arial" w:hAnsi="Arial"/>
          <w:b/>
          <w:color w:val="000000"/>
          <w:sz w:val="28"/>
        </w:rPr>
        <w:t>UNITED STATES 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rFonts w:ascii="Arial" w:hAnsi="Arial"/>
          <w:b/>
          <w:color w:val="000000"/>
          <w:sz w:val="28"/>
        </w:rPr>
      </w:pPr>
      <w:r>
        <w:rPr>
          <w:rFonts w:ascii="Arial" w:hAnsi="Arial"/>
          <w:b/>
          <w:color w:val="000000"/>
          <w:sz w:val="28"/>
        </w:rPr>
        <w:t>FORM 10-Q</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Arial" w:hAnsi="Arial"/>
          <w:b/>
          <w:color w:val="000000"/>
          <w:sz w:val="20"/>
        </w:rPr>
        <w:t>QUARTERLY REPORT</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For the Quarterly Period Ended</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December 31, 2023</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Commission File Number 1-12984</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pPr>
      <w:r>
        <w:rPr/>
        <w:drawing>
          <wp:inline distT="0" distB="0" distL="0" distR="0">
            <wp:extent cx="12096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9675" cy="552450"/>
                    </a:xfrm>
                    <a:prstGeom prst="rect">
                      <a:avLst/>
                    </a:prstGeom>
                  </pic:spPr>
                </pic:pic>
              </a:graphicData>
            </a:graphic>
          </wp:inline>
        </w:drawing>
      </w:r>
      <w:r>
        <w:rPr/>
        <w:t> </w:t>
      </w:r>
    </w:p>
    <w:p>
      <w:pPr>
        <w:pStyle w:val="TextBody"/>
        <w:bidi w:val="0"/>
        <w:spacing w:before="60" w:after="283"/>
        <w:jc w:val="center"/>
        <w:rPr>
          <w:rFonts w:ascii="Times New Roman" w:hAnsi="Times New Roman"/>
          <w:sz w:val="20"/>
        </w:rPr>
      </w:pPr>
      <w:r>
        <w:rPr>
          <w:rFonts w:ascii="Arial" w:hAnsi="Arial"/>
          <w:b/>
          <w:color w:val="000000"/>
          <w:sz w:val="40"/>
        </w:rPr>
        <w:t>EAGLE MATERIALS INC.</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(Exact name of registrant as specified in its charter)</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Arial" w:hAnsi="Arial"/>
          <w:b/>
          <w:color w:val="000000"/>
          <w:sz w:val="20"/>
        </w:rPr>
        <w:t>Delaware</w:t>
      </w:r>
      <w:r>
        <w:rPr>
          <w:rFonts w:ascii="Times New Roman" w:hAnsi="Times New Roman"/>
          <w:color w:val="000000"/>
          <w:sz w:val="20"/>
        </w:rPr>
        <w:t xml:space="preserve"> </w:t>
      </w:r>
      <w:r>
        <w:rPr>
          <w:rFonts w:ascii="Arial" w:hAnsi="Arial"/>
          <w:color w:val="000000"/>
          <w:sz w:val="18"/>
        </w:rPr>
        <w:t>(State of Incorporation)</w:t>
      </w:r>
    </w:p>
    <w:p>
      <w:pPr>
        <w:pStyle w:val="TextBody"/>
        <w:bidi w:val="0"/>
        <w:spacing w:before="60" w:after="283"/>
        <w:jc w:val="center"/>
        <w:rPr>
          <w:rFonts w:ascii="Times New Roman" w:hAnsi="Times New Roman"/>
          <w:sz w:val="20"/>
        </w:rPr>
      </w:pPr>
      <w:r>
        <w:rPr>
          <w:rFonts w:ascii="Arial" w:hAnsi="Arial"/>
          <w:b/>
          <w:color w:val="000000"/>
          <w:sz w:val="20"/>
        </w:rPr>
        <w:t>75-2520779</w:t>
      </w:r>
      <w:r>
        <w:rPr>
          <w:rFonts w:ascii="Times New Roman" w:hAnsi="Times New Roman"/>
          <w:color w:val="000000"/>
          <w:sz w:val="20"/>
        </w:rPr>
        <w:t xml:space="preserve"> </w:t>
      </w:r>
      <w:r>
        <w:rPr>
          <w:rFonts w:ascii="Arial" w:hAnsi="Arial"/>
          <w:color w:val="000000"/>
          <w:sz w:val="18"/>
        </w:rPr>
        <w:t>(I.R.S. Employer Identification No.)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5960 Berkshire Lane, Suite 900, Dallas, Texas</w:t>
      </w:r>
      <w:r>
        <w:rPr>
          <w:rFonts w:ascii="Times New Roman" w:hAnsi="Times New Roman"/>
          <w:color w:val="000000"/>
          <w:sz w:val="20"/>
        </w:rPr>
        <w:t xml:space="preserve"> </w:t>
      </w:r>
      <w:r>
        <w:rPr>
          <w:rFonts w:ascii="Arial" w:hAnsi="Arial"/>
          <w:b/>
          <w:color w:val="000000"/>
          <w:sz w:val="20"/>
        </w:rPr>
        <w:t>75225</w:t>
      </w:r>
      <w:r>
        <w:rPr>
          <w:rFonts w:ascii="Times New Roman" w:hAnsi="Times New Roman"/>
          <w:color w:val="000000"/>
          <w:sz w:val="20"/>
        </w:rPr>
        <w:t xml:space="preserve"> </w:t>
      </w:r>
      <w:r>
        <w:rPr>
          <w:rFonts w:ascii="Arial" w:hAnsi="Arial"/>
          <w:color w:val="000000"/>
          <w:sz w:val="18"/>
        </w:rPr>
        <w:t>(Address of principal executive offices)</w:t>
      </w:r>
      <w:r>
        <w:rPr>
          <w:rFonts w:ascii="Times New Roman" w:hAnsi="Times New Roman"/>
          <w:color w:val="000000"/>
          <w:sz w:val="20"/>
        </w:rPr>
        <w:t xml:space="preserve"> </w:t>
      </w:r>
    </w:p>
    <w:p>
      <w:pPr>
        <w:pStyle w:val="TextBody"/>
        <w:bidi w:val="0"/>
        <w:spacing w:before="60" w:after="60"/>
        <w:jc w:val="center"/>
        <w:rPr>
          <w:rFonts w:ascii="Times New Roman" w:hAnsi="Times New Roman"/>
          <w:sz w:val="20"/>
        </w:rPr>
      </w:pPr>
      <w:r>
        <w:rPr>
          <w:rFonts w:ascii="Arial" w:hAnsi="Arial"/>
          <w:b/>
          <w:color w:val="000000"/>
          <w:sz w:val="20"/>
        </w:rPr>
        <w:t>(214) 432-2000</w:t>
      </w:r>
      <w:r>
        <w:rPr>
          <w:rFonts w:ascii="Times New Roman" w:hAnsi="Times New Roman"/>
          <w:color w:val="000000"/>
          <w:sz w:val="20"/>
        </w:rPr>
        <w:t xml:space="preserve"> </w:t>
      </w:r>
      <w:r>
        <w:rPr>
          <w:rFonts w:ascii="Arial" w:hAnsi="Arial"/>
          <w:color w:val="000000"/>
          <w:sz w:val="18"/>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spacing w:before="60" w:after="283"/>
        <w:jc w:val="both"/>
        <w:rPr>
          <w:rFonts w:ascii="Arial" w:hAnsi="Arial"/>
          <w:color w:val="000000"/>
          <w:sz w:val="20"/>
        </w:rPr>
      </w:pPr>
      <w:r>
        <w:rPr>
          <w:rFonts w:ascii="Arial" w:hAnsi="Arial"/>
          <w:color w:val="000000"/>
          <w:sz w:val="20"/>
        </w:rPr>
        <w:t>Securities registered pursuant to Section 12(b) of the Act:</w:t>
      </w:r>
    </w:p>
    <w:p>
      <w:pPr>
        <w:pStyle w:val="TextBody"/>
        <w:bidi w:val="0"/>
        <w:jc w:val="both"/>
        <w:rPr/>
      </w:pPr>
      <w:r>
        <w:rPr/>
        <w:t> </w:t>
      </w:r>
    </w:p>
    <w:tbl>
      <w:tblPr>
        <w:tblW w:w="8395" w:type="dxa"/>
        <w:jc w:val="left"/>
        <w:tblInd w:w="0" w:type="dxa"/>
        <w:tblLayout w:type="fixed"/>
        <w:tblCellMar>
          <w:top w:w="28" w:type="dxa"/>
          <w:left w:w="28" w:type="dxa"/>
          <w:bottom w:w="28" w:type="dxa"/>
          <w:right w:w="28" w:type="dxa"/>
        </w:tblCellMar>
      </w:tblPr>
      <w:tblGrid>
        <w:gridCol w:w="3526"/>
        <w:gridCol w:w="146"/>
        <w:gridCol w:w="916"/>
        <w:gridCol w:w="146"/>
        <w:gridCol w:w="366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52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$.01 per share)</w:t>
            </w:r>
          </w:p>
        </w:tc>
        <w:tc>
          <w:tcPr>
            <w:tcW w:w="146" w:type="dxa"/>
            <w:tcBorders/>
            <w:vAlign w:val="center"/>
          </w:tcPr>
          <w:p>
            <w:pPr>
              <w:pStyle w:val="TableContents"/>
              <w:bidi w:val="0"/>
              <w:spacing w:before="0" w:after="283"/>
              <w:jc w:val="center"/>
              <w:rPr/>
            </w:pPr>
            <w:r>
              <w:rPr/>
              <w:t> </w:t>
            </w:r>
          </w:p>
        </w:tc>
        <w:tc>
          <w:tcPr>
            <w:tcW w:w="91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EXP</w:t>
            </w:r>
          </w:p>
        </w:tc>
        <w:tc>
          <w:tcPr>
            <w:tcW w:w="146" w:type="dxa"/>
            <w:tcBorders/>
            <w:vAlign w:val="center"/>
          </w:tcPr>
          <w:p>
            <w:pPr>
              <w:pStyle w:val="TableContents"/>
              <w:bidi w:val="0"/>
              <w:spacing w:before="0" w:after="283"/>
              <w:jc w:val="center"/>
              <w:rPr/>
            </w:pPr>
            <w:r>
              <w:rPr/>
              <w:t> </w:t>
            </w:r>
          </w:p>
        </w:tc>
        <w:tc>
          <w:tcPr>
            <w:tcW w:w="366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New York Stock Exchange</w:t>
            </w:r>
          </w:p>
        </w:tc>
      </w:tr>
    </w:tbl>
    <w:p>
      <w:pPr>
        <w:pStyle w:val="TextBody"/>
        <w:bidi w:val="0"/>
        <w:jc w:val="both"/>
        <w:rPr/>
      </w:pPr>
      <w:r>
        <w:rPr/>
        <w:t> </w:t>
      </w:r>
    </w:p>
    <w:p>
      <w:pPr>
        <w:pStyle w:val="TextBody"/>
        <w:bidi w:val="0"/>
        <w:spacing w:before="60" w:after="283"/>
        <w:jc w:val="both"/>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Arial" w:hAnsi="Arial"/>
          <w:caps/>
          <w:color w:val="000000"/>
          <w:sz w:val="20"/>
        </w:rPr>
        <w:t>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Arial" w:hAnsi="Arial"/>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hAnsi="Arial"/>
          <w:caps/>
          <w:color w:val="000000"/>
          <w:sz w:val="20"/>
        </w:rPr>
        <w:t>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60" w:after="60"/>
        <w:jc w:val="both"/>
        <w:rPr>
          <w:rFonts w:ascii="Arial" w:hAnsi="Arial"/>
          <w:color w:val="000000"/>
          <w:sz w:val="20"/>
        </w:rPr>
      </w:pPr>
      <w:r>
        <w:rPr>
          <w:rFonts w:ascii="Arial" w:hAnsi="Arial"/>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2431"/>
        <w:gridCol w:w="146"/>
        <w:gridCol w:w="316"/>
        <w:gridCol w:w="146"/>
        <w:gridCol w:w="2431"/>
        <w:gridCol w:w="146"/>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243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243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Arial" w:hAnsi="Arial"/>
          <w:color w:val="000000"/>
          <w:sz w:val="20"/>
        </w:rPr>
        <w:t>Indicate by check mark whether the registrant is a shell company (as defined in Rule 12b-2 of the Exchange Act.)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 xml:space="preserve">Yes </w:t>
      </w:r>
      <w:r>
        <w:rPr>
          <w:rFonts w:ascii="Times New Roman" w:hAnsi="Times New Roman"/>
          <w:color w:val="000000"/>
          <w:sz w:val="20"/>
        </w:rPr>
        <w:t xml:space="preserve">☐ </w:t>
      </w:r>
      <w:r>
        <w:rPr>
          <w:rFonts w:ascii="Arial" w:hAnsi="Arial"/>
          <w:color w:val="000000"/>
          <w:sz w:val="20"/>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Arial" w:hAnsi="Arial"/>
          <w:color w:val="000000"/>
          <w:sz w:val="20"/>
        </w:rPr>
        <w:t>As of January 23, 2024, the number of outstanding shares of common stock was:</w:t>
      </w:r>
      <w:r>
        <w:rPr>
          <w:rFonts w:ascii="Times New Roman" w:hAnsi="Times New Roman"/>
          <w:color w:val="000000"/>
          <w:sz w:val="20"/>
        </w:rPr>
        <w:t xml:space="preserve"> </w:t>
      </w:r>
    </w:p>
    <w:p>
      <w:pPr>
        <w:pStyle w:val="TextBody"/>
        <w:bidi w:val="0"/>
        <w:jc w:val="left"/>
        <w:rPr/>
      </w:pPr>
      <w:r>
        <w:rPr/>
        <w:t> </w:t>
      </w:r>
    </w:p>
    <w:tbl>
      <w:tblPr>
        <w:tblW w:w="4986" w:type="dxa"/>
        <w:jc w:val="left"/>
        <w:tblInd w:w="0" w:type="dxa"/>
        <w:tblLayout w:type="fixed"/>
        <w:tblCellMar>
          <w:top w:w="28" w:type="dxa"/>
          <w:left w:w="28" w:type="dxa"/>
          <w:bottom w:w="28" w:type="dxa"/>
          <w:right w:w="28" w:type="dxa"/>
        </w:tblCellMar>
      </w:tblPr>
      <w:tblGrid>
        <w:gridCol w:w="2881"/>
        <w:gridCol w:w="109"/>
        <w:gridCol w:w="1996"/>
      </w:tblGrid>
      <w:tr>
        <w:trPr/>
        <w:tc>
          <w:tcPr>
            <w:tcW w:w="2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Outstanding Shares</w:t>
            </w:r>
          </w:p>
        </w:tc>
      </w:tr>
      <w:tr>
        <w:trPr/>
        <w:tc>
          <w:tcPr>
            <w:tcW w:w="2881"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$.01 Par Value</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34,450,244</w:t>
            </w:r>
          </w:p>
        </w:tc>
      </w:tr>
    </w:tbl>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b/>
          <w:color w:val="000000"/>
          <w:sz w:val="22"/>
          <w:u w:val="single"/>
        </w:rPr>
      </w:pPr>
      <w:r>
        <w:rPr>
          <w:rFonts w:ascii="Arial" w:hAnsi="Arial"/>
          <w:b/>
          <w:color w:val="000000"/>
          <w:sz w:val="22"/>
          <w:u w:val="single"/>
        </w:rPr>
        <w:t>TABLE OF CONTENTS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Arial" w:hAnsi="Arial"/>
          <w:b/>
          <w:color w:val="000000"/>
          <w:sz w:val="22"/>
          <w:u w:val="single"/>
        </w:rPr>
        <w:t>PART I. FINANCIAL INFORMATION (unaudited)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71"/>
        <w:gridCol w:w="391"/>
        <w:gridCol w:w="8295"/>
        <w:gridCol w:w="146"/>
        <w:gridCol w:w="602"/>
      </w:tblGrid>
      <w:tr>
        <w:trPr/>
        <w:tc>
          <w:tcPr>
            <w:tcW w:w="7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77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1.</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Consolidated Financial Statements</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ind w:left="0" w:right="0" w:firstLine="245"/>
              <w:jc w:val="left"/>
              <w:rPr/>
            </w:pPr>
            <w:r>
              <w:rPr/>
              <w:t> </w:t>
            </w:r>
          </w:p>
        </w:tc>
        <w:tc>
          <w:tcPr>
            <w:tcW w:w="8295" w:type="dxa"/>
            <w:tcBorders/>
            <w:vAlign w:val="center"/>
          </w:tcPr>
          <w:p>
            <w:pPr>
              <w:pStyle w:val="TableContents"/>
              <w:pBdr/>
              <w:bidi w:val="0"/>
              <w:spacing w:before="0" w:after="283"/>
              <w:ind w:left="0" w:right="0" w:hanging="245"/>
              <w:jc w:val="left"/>
              <w:rPr/>
            </w:pPr>
            <w:hyperlink w:anchor="consolidated_statement_of_earnings">
              <w:r>
                <w:rPr>
                  <w:rStyle w:val="InternetLink"/>
                  <w:rFonts w:ascii="Arial" w:hAnsi="Arial"/>
                  <w:color w:val="000000"/>
                  <w:sz w:val="20"/>
                </w:rPr>
                <w:t>Consolidated Statements of Earnings for the Three and Nine Months Ended December 31, 2023</w:t>
              </w:r>
            </w:hyperlink>
            <w:r>
              <w:rPr>
                <w:rFonts w:ascii="Times New Roman" w:hAnsi="Times New Roman"/>
                <w:color w:val="000000"/>
                <w:sz w:val="20"/>
              </w:rPr>
              <w:t> </w:t>
            </w:r>
            <w:r>
              <w:rPr>
                <w:rFonts w:ascii="Arial" w:hAnsi="Arial"/>
                <w:color w:val="000000"/>
                <w:sz w:val="20"/>
              </w:rPr>
              <w:t>and 2022</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ind w:left="0" w:right="0" w:firstLine="245"/>
              <w:jc w:val="left"/>
              <w:rPr/>
            </w:pPr>
            <w:r>
              <w:rPr/>
              <w:t> </w:t>
            </w:r>
          </w:p>
        </w:tc>
        <w:tc>
          <w:tcPr>
            <w:tcW w:w="8295" w:type="dxa"/>
            <w:tcBorders/>
            <w:vAlign w:val="center"/>
          </w:tcPr>
          <w:p>
            <w:pPr>
              <w:pStyle w:val="TableContents"/>
              <w:pBdr/>
              <w:bidi w:val="0"/>
              <w:spacing w:before="0" w:after="283"/>
              <w:ind w:left="0" w:right="0" w:hanging="245"/>
              <w:jc w:val="left"/>
              <w:rPr/>
            </w:pPr>
            <w:hyperlink w:anchor="cons_stmt_comprehensive_income">
              <w:r>
                <w:rPr>
                  <w:rStyle w:val="InternetLink"/>
                  <w:rFonts w:ascii="Arial" w:hAnsi="Arial"/>
                  <w:color w:val="000000"/>
                  <w:sz w:val="20"/>
                </w:rPr>
                <w:t>Consolidated Statements of Comprehensive Earnings for the</w:t>
              </w:r>
            </w:hyperlink>
            <w:hyperlink w:anchor="cons_stmt_comprehensive_income">
              <w:r>
                <w:rPr>
                  <w:rStyle w:val="InternetLink"/>
                  <w:rFonts w:ascii="Times New Roman" w:hAnsi="Times New Roman"/>
                  <w:color w:val="000000"/>
                  <w:sz w:val="24"/>
                </w:rPr>
                <w:t xml:space="preserve"> </w:t>
              </w:r>
            </w:hyperlink>
            <w:hyperlink w:anchor="consolidated_statement_of_earnings">
              <w:r>
                <w:rPr>
                  <w:rStyle w:val="InternetLink"/>
                  <w:rFonts w:ascii="Arial" w:hAnsi="Arial"/>
                  <w:color w:val="000000"/>
                  <w:sz w:val="20"/>
                </w:rPr>
                <w:t>Three and Nine Months Ended December 31, 2023</w:t>
              </w:r>
            </w:hyperlink>
            <w:r>
              <w:rPr>
                <w:rFonts w:ascii="Times New Roman" w:hAnsi="Times New Roman"/>
                <w:color w:val="000000"/>
                <w:sz w:val="24"/>
              </w:rPr>
              <w:t xml:space="preserve"> </w:t>
            </w:r>
            <w:r>
              <w:rPr>
                <w:rFonts w:ascii="Arial" w:hAnsi="Arial"/>
                <w:color w:val="000000"/>
                <w:sz w:val="20"/>
              </w:rPr>
              <w:t>and 2022</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hyperlink w:anchor="cons_balance_sheet">
              <w:r>
                <w:rPr>
                  <w:rStyle w:val="InternetLink"/>
                  <w:rFonts w:ascii="Arial" w:hAnsi="Arial"/>
                  <w:color w:val="000080"/>
                  <w:sz w:val="20"/>
                </w:rPr>
                <w:t>Consolidated Balance Sheets as of December 31, 2023, and March 31, 202</w:t>
              </w:r>
            </w:hyperlink>
            <w:r>
              <w:rPr>
                <w:rFonts w:ascii="Arial" w:hAnsi="Arial"/>
                <w:color w:val="000000"/>
                <w:sz w:val="20"/>
              </w:rPr>
              <w:t>3</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ind w:left="0" w:right="0" w:firstLine="245"/>
              <w:jc w:val="left"/>
              <w:rPr/>
            </w:pPr>
            <w:r>
              <w:rPr/>
              <w:t> </w:t>
            </w:r>
          </w:p>
        </w:tc>
        <w:tc>
          <w:tcPr>
            <w:tcW w:w="8295" w:type="dxa"/>
            <w:tcBorders/>
            <w:vAlign w:val="center"/>
          </w:tcPr>
          <w:p>
            <w:pPr>
              <w:pStyle w:val="TableContents"/>
              <w:pBdr/>
              <w:bidi w:val="0"/>
              <w:spacing w:before="0" w:after="283"/>
              <w:ind w:left="0" w:right="0" w:hanging="245"/>
              <w:jc w:val="left"/>
              <w:rPr/>
            </w:pPr>
            <w:hyperlink w:anchor="cons_stmt_cash_flows">
              <w:r>
                <w:rPr>
                  <w:rStyle w:val="InternetLink"/>
                  <w:rFonts w:ascii="Arial" w:hAnsi="Arial"/>
                  <w:color w:val="000000"/>
                  <w:sz w:val="20"/>
                </w:rPr>
                <w:t>Consolidated Statements of Cash Flows for the</w:t>
              </w:r>
            </w:hyperlink>
            <w:hyperlink w:anchor="cons_stmt_cash_flows">
              <w:r>
                <w:rPr>
                  <w:rStyle w:val="InternetLink"/>
                  <w:rFonts w:ascii="Times New Roman" w:hAnsi="Times New Roman"/>
                  <w:color w:val="000000"/>
                  <w:sz w:val="20"/>
                </w:rPr>
                <w:t xml:space="preserve"> </w:t>
              </w:r>
            </w:hyperlink>
            <w:hyperlink w:anchor="consolidated_statement_of_earnings">
              <w:r>
                <w:rPr>
                  <w:rStyle w:val="InternetLink"/>
                  <w:rFonts w:ascii="Arial" w:hAnsi="Arial"/>
                  <w:color w:val="000000"/>
                  <w:sz w:val="20"/>
                </w:rPr>
                <w:t>Three and Nine Months Ended December 31, 2023</w:t>
              </w:r>
            </w:hyperlink>
            <w:r>
              <w:rPr>
                <w:rFonts w:ascii="Times New Roman" w:hAnsi="Times New Roman"/>
                <w:color w:val="000000"/>
                <w:sz w:val="20"/>
              </w:rPr>
              <w:t> </w:t>
            </w:r>
            <w:r>
              <w:rPr>
                <w:rFonts w:ascii="Arial" w:hAnsi="Arial"/>
                <w:color w:val="000000"/>
                <w:sz w:val="20"/>
              </w:rPr>
              <w:t>and 2022</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ind w:left="0" w:right="0" w:firstLine="245"/>
              <w:jc w:val="left"/>
              <w:rPr/>
            </w:pPr>
            <w:r>
              <w:rPr/>
              <w:t> </w:t>
            </w:r>
          </w:p>
        </w:tc>
        <w:tc>
          <w:tcPr>
            <w:tcW w:w="8295" w:type="dxa"/>
            <w:tcBorders/>
            <w:vAlign w:val="center"/>
          </w:tcPr>
          <w:p>
            <w:pPr>
              <w:pStyle w:val="TableContents"/>
              <w:pBdr/>
              <w:bidi w:val="0"/>
              <w:spacing w:before="0" w:after="283"/>
              <w:ind w:left="0" w:right="0" w:hanging="245"/>
              <w:jc w:val="left"/>
              <w:rPr/>
            </w:pPr>
            <w:hyperlink w:anchor="cons_stmt_stockholders_equity">
              <w:r>
                <w:rPr>
                  <w:rStyle w:val="InternetLink"/>
                  <w:rFonts w:ascii="Arial" w:hAnsi="Arial"/>
                  <w:color w:val="000080"/>
                  <w:sz w:val="20"/>
                </w:rPr>
                <w:t>Consolidated Statements of Stockholders' Equity for the Three and Nine Months Ended December 31, 2023 and 20</w:t>
              </w:r>
            </w:hyperlink>
            <w:r>
              <w:rPr>
                <w:rFonts w:ascii="Arial" w:hAnsi="Arial"/>
                <w:color w:val="000000"/>
                <w:sz w:val="20"/>
              </w:rPr>
              <w:t>22</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hyperlink w:anchor="notes_to_consolidated_financial_statemen">
              <w:r>
                <w:rPr>
                  <w:rStyle w:val="InternetLink"/>
                  <w:rFonts w:ascii="Arial" w:hAnsi="Arial"/>
                  <w:color w:val="000000"/>
                  <w:sz w:val="20"/>
                </w:rPr>
                <w:t>Notes to Unaudited Consolidated Financial Statements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2.</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hyperlink w:anchor="item_7_managements_discussion_and">
              <w:r>
                <w:rPr>
                  <w:rStyle w:val="InternetLink"/>
                  <w:rFonts w:ascii="Arial" w:hAnsi="Arial"/>
                  <w:color w:val="000000"/>
                  <w:sz w:val="20"/>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3.</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hyperlink w:anchor="item_3">
              <w:r>
                <w:rPr>
                  <w:rStyle w:val="InternetLink"/>
                  <w:rFonts w:ascii="Arial" w:hAnsi="Arial"/>
                  <w:color w:val="000000"/>
                  <w:sz w:val="20"/>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4.</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hyperlink w:anchor="item_4">
              <w:r>
                <w:rPr>
                  <w:rStyle w:val="InternetLink"/>
                  <w:rFonts w:ascii="Arial" w:hAnsi="Arial"/>
                  <w:color w:val="000000"/>
                  <w:sz w:val="20"/>
                </w:rPr>
                <w:t>Controls and Procedures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r>
      <w:tr>
        <w:trPr/>
        <w:tc>
          <w:tcPr>
            <w:tcW w:w="10205" w:type="dxa"/>
            <w:gridSpan w:val="5"/>
            <w:tcBorders/>
            <w:vAlign w:val="center"/>
          </w:tcPr>
          <w:p>
            <w:pPr>
              <w:pStyle w:val="TableContents"/>
              <w:bidi w:val="0"/>
              <w:spacing w:before="120" w:after="120"/>
              <w:jc w:val="left"/>
              <w:rPr/>
            </w:pPr>
            <w:hyperlink w:anchor="part_ii">
              <w:r>
                <w:rPr>
                  <w:rStyle w:val="InternetLink"/>
                  <w:rFonts w:ascii="Arial" w:hAnsi="Arial"/>
                  <w:b/>
                  <w:color w:val="000000"/>
                  <w:sz w:val="22"/>
                  <w:u w:val="single"/>
                </w:rPr>
                <w:t>PART II. OTHER INFORMATION</w:t>
              </w:r>
            </w:hyperlink>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1.</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hyperlink w:anchor="item_1_legal_proceedings">
              <w:r>
                <w:rPr>
                  <w:rStyle w:val="InternetLink"/>
                  <w:rFonts w:ascii="Arial" w:hAnsi="Arial"/>
                  <w:color w:val="000000"/>
                  <w:sz w:val="20"/>
                </w:rPr>
                <w:t>Legal Proceedings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1a.</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hyperlink w:anchor="item_1a">
              <w:r>
                <w:rPr>
                  <w:rStyle w:val="InternetLink"/>
                  <w:rFonts w:ascii="Arial" w:hAnsi="Arial"/>
                  <w:color w:val="000000"/>
                  <w:sz w:val="20"/>
                </w:rPr>
                <w:t>Risk Factors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2.</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hyperlink w:anchor="item_2_unregistered_sales">
              <w:r>
                <w:rPr>
                  <w:rStyle w:val="InternetLink"/>
                  <w:rFonts w:ascii="Arial" w:hAnsi="Arial"/>
                  <w:color w:val="000000"/>
                  <w:sz w:val="20"/>
                </w:rPr>
                <w:t>Unregistered Sales of Equity Securities and Use of Proceeds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4.</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hyperlink w:anchor="item_4_mine_safety">
              <w:r>
                <w:rPr>
                  <w:rStyle w:val="InternetLink"/>
                  <w:rFonts w:ascii="Arial" w:hAnsi="Arial"/>
                  <w:color w:val="000000"/>
                  <w:sz w:val="20"/>
                </w:rPr>
                <w:t>Mine Safety Information</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5.</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hyperlink w:anchor="item_5_other_information">
              <w:r>
                <w:rPr>
                  <w:rStyle w:val="InternetLink"/>
                  <w:rFonts w:ascii="Arial" w:hAnsi="Arial"/>
                  <w:color w:val="000000"/>
                  <w:sz w:val="20"/>
                </w:rPr>
                <w:t>Other Information</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77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6.</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hyperlink w:anchor="item_6_exhibits">
              <w:r>
                <w:rPr>
                  <w:rStyle w:val="InternetLink"/>
                  <w:rFonts w:ascii="Arial" w:hAnsi="Arial"/>
                  <w:color w:val="000000"/>
                  <w:sz w:val="20"/>
                </w:rPr>
                <w:t>Exhibits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771"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82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9457" w:type="dxa"/>
            <w:gridSpan w:val="3"/>
            <w:tcBorders/>
            <w:vAlign w:val="center"/>
          </w:tcPr>
          <w:p>
            <w:pPr>
              <w:pStyle w:val="TableContents"/>
              <w:bidi w:val="0"/>
              <w:spacing w:before="0" w:after="283"/>
              <w:jc w:val="left"/>
              <w:rPr/>
            </w:pPr>
            <w:hyperlink w:anchor="signatures">
              <w:r>
                <w:rPr>
                  <w:rStyle w:val="InternetLink"/>
                  <w:rFonts w:ascii="Arial" w:hAnsi="Arial"/>
                  <w:b/>
                  <w:color w:val="000000"/>
                  <w:sz w:val="20"/>
                  <w:u w:val="single"/>
                </w:rPr>
                <w:t>SIGNATURES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 w:name="consolidated_statement_of_earnings"/>
      <w:bookmarkEnd w:id="2"/>
      <w:r>
        <w:rPr>
          <w:rFonts w:ascii="Arial" w:hAnsi="Arial"/>
          <w:b/>
          <w:color w:val="000000"/>
          <w:sz w:val="20"/>
        </w:rPr>
        <w:t>EAGLE MATERIALS INC. AND SUBSIDIARIES CONSOLIDATED STATEMENTS OF EARNINGS (unaudited)</w:t>
      </w:r>
    </w:p>
    <w:p>
      <w:pPr>
        <w:pStyle w:val="TextBody"/>
        <w:bidi w:val="0"/>
        <w:jc w:val="left"/>
        <w:rPr/>
      </w:pPr>
      <w:r>
        <w:rPr/>
        <w:t> </w:t>
      </w:r>
    </w:p>
    <w:tbl>
      <w:tblPr>
        <w:tblW w:w="9322" w:type="dxa"/>
        <w:jc w:val="left"/>
        <w:tblInd w:w="0" w:type="dxa"/>
        <w:tblLayout w:type="fixed"/>
        <w:tblCellMar>
          <w:top w:w="28" w:type="dxa"/>
          <w:left w:w="28" w:type="dxa"/>
          <w:bottom w:w="28" w:type="dxa"/>
          <w:right w:w="28" w:type="dxa"/>
        </w:tblCellMar>
      </w:tblPr>
      <w:tblGrid>
        <w:gridCol w:w="3531"/>
        <w:gridCol w:w="146"/>
        <w:gridCol w:w="194"/>
        <w:gridCol w:w="854"/>
        <w:gridCol w:w="162"/>
        <w:gridCol w:w="156"/>
        <w:gridCol w:w="194"/>
        <w:gridCol w:w="854"/>
        <w:gridCol w:w="151"/>
        <w:gridCol w:w="146"/>
        <w:gridCol w:w="188"/>
        <w:gridCol w:w="827"/>
        <w:gridCol w:w="157"/>
        <w:gridCol w:w="151"/>
        <w:gridCol w:w="188"/>
        <w:gridCol w:w="827"/>
        <w:gridCol w:w="596"/>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4"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 December 31,</w:t>
            </w:r>
          </w:p>
        </w:tc>
        <w:tc>
          <w:tcPr>
            <w:tcW w:w="151" w:type="dxa"/>
            <w:tcBorders/>
            <w:shd w:fill="004483"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38"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596" w:type="dxa"/>
            <w:tcBorders/>
            <w:shd w:fill="004483" w:val="clear"/>
            <w:vAlign w:val="center"/>
          </w:tcPr>
          <w:p>
            <w:pPr>
              <w:pStyle w:val="TableContents"/>
              <w:bidi w:val="0"/>
              <w:spacing w:before="0" w:after="283"/>
              <w:jc w:val="center"/>
              <w:rPr/>
            </w:pPr>
            <w:r>
              <w:rPr/>
              <w:t> </w:t>
            </w:r>
          </w:p>
        </w:tc>
      </w:tr>
      <w:tr>
        <w:trPr/>
        <w:tc>
          <w:tcPr>
            <w:tcW w:w="3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8"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6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right"/>
              <w:rPr/>
            </w:pPr>
            <w:r>
              <w:rPr/>
              <w:t> </w:t>
            </w:r>
          </w:p>
        </w:tc>
        <w:tc>
          <w:tcPr>
            <w:tcW w:w="1048"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15"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57"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015"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596" w:type="dxa"/>
            <w:tcBorders/>
            <w:shd w:fill="FFFFFF" w:val="clear"/>
            <w:vAlign w:val="center"/>
          </w:tcPr>
          <w:p>
            <w:pPr>
              <w:pStyle w:val="TableContents"/>
              <w:bidi w:val="0"/>
              <w:spacing w:before="0" w:after="283"/>
              <w:jc w:val="right"/>
              <w:rPr/>
            </w:pPr>
            <w:r>
              <w:rPr/>
              <w:t> </w:t>
            </w:r>
          </w:p>
        </w:tc>
      </w:tr>
      <w:tr>
        <w:trPr/>
        <w:tc>
          <w:tcPr>
            <w:tcW w:w="353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5049" w:type="dxa"/>
            <w:gridSpan w:val="14"/>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 except share and per share data)</w:t>
            </w:r>
          </w:p>
        </w:tc>
        <w:tc>
          <w:tcPr>
            <w:tcW w:w="59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558,833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511,487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1,782,590</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1,677,942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Cost of Goods Sold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378,205</w:t>
            </w:r>
          </w:p>
        </w:tc>
        <w:tc>
          <w:tcPr>
            <w:tcW w:w="1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352,717</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1,216,949</w:t>
            </w:r>
          </w:p>
        </w:tc>
        <w:tc>
          <w:tcPr>
            <w:tcW w:w="15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1,174,067</w:t>
            </w:r>
          </w:p>
        </w:tc>
        <w:tc>
          <w:tcPr>
            <w:tcW w:w="59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rFonts w:ascii="Arial Narrow;sans-serif" w:hAnsi="Arial Narrow;sans-serif"/>
                <w:color w:val="004483"/>
                <w:sz w:val="18"/>
              </w:rPr>
            </w:pPr>
            <w:r>
              <w:rPr>
                <w:rFonts w:ascii="Arial Narrow;sans-serif" w:hAnsi="Arial Narrow;sans-serif"/>
                <w:color w:val="004483"/>
                <w:sz w:val="18"/>
              </w:rPr>
              <w:t>Gross Profit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180,628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158,770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565,641</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503,875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Equity in Earnings of Unconsolidated Joint Venture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9,285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11,377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22,790</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23,631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Corporate General and Administrative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(14,201</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(12,497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(42,456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(37,944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Other Non-Operating Income (Loss)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1,019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2,837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911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Interest Expense, net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(10,128</w:t>
            </w:r>
          </w:p>
        </w:tc>
        <w:tc>
          <w:tcPr>
            <w:tcW w:w="1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(8,932</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(32,571</w:t>
            </w:r>
          </w:p>
        </w:tc>
        <w:tc>
          <w:tcPr>
            <w:tcW w:w="15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(24,842</w:t>
            </w:r>
          </w:p>
        </w:tc>
        <w:tc>
          <w:tcPr>
            <w:tcW w:w="59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8"/>
              </w:rPr>
            </w:pPr>
            <w:r>
              <w:rPr>
                <w:rFonts w:ascii="Arial Narrow;sans-serif" w:hAnsi="Arial Narrow;sans-serif"/>
                <w:color w:val="000000"/>
                <w:sz w:val="18"/>
              </w:rPr>
              <w:t>)</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rFonts w:ascii="Arial Narrow;sans-serif" w:hAnsi="Arial Narrow;sans-serif"/>
                <w:color w:val="004483"/>
                <w:sz w:val="18"/>
              </w:rPr>
            </w:pPr>
            <w:r>
              <w:rPr>
                <w:rFonts w:ascii="Arial Narrow;sans-serif" w:hAnsi="Arial Narrow;sans-serif"/>
                <w:color w:val="004483"/>
                <w:sz w:val="18"/>
              </w:rPr>
              <w:t>Earnings before Income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166,603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150,928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516,241</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465,631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Income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(37,465</w:t>
            </w:r>
          </w:p>
        </w:tc>
        <w:tc>
          <w:tcPr>
            <w:tcW w:w="1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(33,744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(115,701</w:t>
            </w:r>
          </w:p>
        </w:tc>
        <w:tc>
          <w:tcPr>
            <w:tcW w:w="15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(104,447</w:t>
            </w:r>
          </w:p>
        </w:tc>
        <w:tc>
          <w:tcPr>
            <w:tcW w:w="59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8"/>
              </w:rPr>
            </w:pPr>
            <w:r>
              <w:rPr>
                <w:rFonts w:ascii="Arial Narrow;sans-serif" w:hAnsi="Arial Narrow;sans-serif"/>
                <w:color w:val="000000"/>
                <w:sz w:val="18"/>
              </w:rPr>
              <w:t>)</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rFonts w:ascii="Arial Narrow;sans-serif" w:hAnsi="Arial Narrow;sans-serif"/>
                <w:b/>
                <w:color w:val="000000"/>
                <w:sz w:val="18"/>
              </w:rPr>
            </w:pPr>
            <w:r>
              <w:rPr>
                <w:rFonts w:ascii="Arial Narrow;sans-serif" w:hAnsi="Arial Narrow;sans-serif"/>
                <w:b/>
                <w:color w:val="000000"/>
                <w:sz w:val="18"/>
              </w:rPr>
              <w:t>Net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129,138</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19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117,184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400,540</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361,184</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4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EARNINGS PER SHARE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4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Basic</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11.47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9.72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Diluted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3.72</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11.38</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9.66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AVERAGE SHARES OUTSTANDING</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4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Basic</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34,466,141</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36,336,056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34,931,378</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37,149,927</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Diluted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34,749,721</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36,605,982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35,201,658</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37,395,586</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CASH DIVIDENDS PER SHARE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5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0.25</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5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0.25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0.75</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0.75</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Arial" w:hAnsi="Arial"/>
          <w:i/>
          <w:color w:val="000000"/>
          <w:sz w:val="20"/>
        </w:rPr>
        <w:t>See Notes to Unaudited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3" w:name="cons_stmt_comprehensive_income"/>
      <w:bookmarkEnd w:id="3"/>
      <w:r>
        <w:rPr>
          <w:rFonts w:ascii="Arial" w:hAnsi="Arial"/>
          <w:b/>
          <w:color w:val="000000"/>
          <w:sz w:val="20"/>
        </w:rPr>
        <w:t>EAGLE MATERIALS INC. AND SUBSIDIARIES CONSOLIDATED STATEMENTS OF COMPREHENSIVE EARNINGS (unaudited)</w:t>
      </w:r>
    </w:p>
    <w:p>
      <w:pPr>
        <w:pStyle w:val="TextBody"/>
        <w:bidi w:val="0"/>
        <w:jc w:val="left"/>
        <w:rPr/>
      </w:pPr>
      <w:r>
        <w:rPr/>
        <w:t> </w:t>
      </w:r>
    </w:p>
    <w:tbl>
      <w:tblPr>
        <w:tblW w:w="8631" w:type="dxa"/>
        <w:jc w:val="left"/>
        <w:tblInd w:w="0" w:type="dxa"/>
        <w:tblLayout w:type="fixed"/>
        <w:tblCellMar>
          <w:top w:w="28" w:type="dxa"/>
          <w:left w:w="28" w:type="dxa"/>
          <w:bottom w:w="28" w:type="dxa"/>
          <w:right w:w="28" w:type="dxa"/>
        </w:tblCellMar>
      </w:tblPr>
      <w:tblGrid>
        <w:gridCol w:w="3046"/>
        <w:gridCol w:w="146"/>
        <w:gridCol w:w="234"/>
        <w:gridCol w:w="780"/>
        <w:gridCol w:w="196"/>
        <w:gridCol w:w="189"/>
        <w:gridCol w:w="234"/>
        <w:gridCol w:w="780"/>
        <w:gridCol w:w="151"/>
        <w:gridCol w:w="146"/>
        <w:gridCol w:w="227"/>
        <w:gridCol w:w="756"/>
        <w:gridCol w:w="189"/>
        <w:gridCol w:w="183"/>
        <w:gridCol w:w="227"/>
        <w:gridCol w:w="756"/>
        <w:gridCol w:w="3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13"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 December 31,</w:t>
            </w:r>
          </w:p>
        </w:tc>
        <w:tc>
          <w:tcPr>
            <w:tcW w:w="151" w:type="dxa"/>
            <w:tcBorders/>
            <w:shd w:fill="004483"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38"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391" w:type="dxa"/>
            <w:tcBorders/>
            <w:shd w:fill="004483"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1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9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right"/>
              <w:rPr/>
            </w:pPr>
            <w:r>
              <w:rPr/>
              <w:t> </w:t>
            </w:r>
          </w:p>
        </w:tc>
        <w:tc>
          <w:tcPr>
            <w:tcW w:w="101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89"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983"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391" w:type="dxa"/>
            <w:tcBorders/>
            <w:shd w:fill="FFFFFF" w:val="clear"/>
            <w:vAlign w:val="center"/>
          </w:tcPr>
          <w:p>
            <w:pPr>
              <w:pStyle w:val="TableContents"/>
              <w:bidi w:val="0"/>
              <w:spacing w:before="0" w:after="283"/>
              <w:jc w:val="right"/>
              <w:rPr/>
            </w:pPr>
            <w:r>
              <w:rPr/>
              <w:t> </w:t>
            </w:r>
          </w:p>
        </w:tc>
      </w:tr>
      <w:tr>
        <w:trPr/>
        <w:tc>
          <w:tcPr>
            <w:tcW w:w="30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5048" w:type="dxa"/>
            <w:gridSpan w:val="14"/>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Net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129,138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117,184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400,540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361,184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Net Actuarial Change in Defined Benefit Plans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0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Amortization of Net Actuarial Loss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189</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Tax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046" w:type="dxa"/>
            <w:tcBorders/>
            <w:shd w:fill="FFFFFF" w:val="cle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Comprehensive Earnings</w:t>
            </w:r>
          </w:p>
        </w:tc>
        <w:tc>
          <w:tcPr>
            <w:tcW w:w="146" w:type="dxa"/>
            <w:tcBorders/>
            <w:shd w:fill="FFFFFF" w:val="clear"/>
            <w:vAlign w:val="center"/>
          </w:tcPr>
          <w:p>
            <w:pPr>
              <w:pStyle w:val="TableContents"/>
              <w:bidi w:val="0"/>
              <w:spacing w:before="0" w:after="283"/>
              <w:jc w:val="center"/>
              <w:rPr/>
            </w:pPr>
            <w:r>
              <w:rPr/>
              <w:t> </w:t>
            </w:r>
          </w:p>
        </w:tc>
        <w:tc>
          <w:tcPr>
            <w:tcW w:w="2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129,186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center"/>
              <w:rPr/>
            </w:pPr>
            <w:r>
              <w:rPr/>
              <w:t> </w:t>
            </w:r>
          </w:p>
        </w:tc>
        <w:tc>
          <w:tcPr>
            <w:tcW w:w="2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117,207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400,684</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center"/>
              <w:rPr/>
            </w:pPr>
            <w:r>
              <w:rPr/>
              <w:t> </w:t>
            </w:r>
          </w:p>
        </w:tc>
        <w:tc>
          <w:tcPr>
            <w:tcW w:w="2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361,254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i/>
          <w:color w:val="000000"/>
          <w:sz w:val="20"/>
        </w:rPr>
      </w:pPr>
      <w:r>
        <w:rPr>
          <w:rFonts w:ascii="Arial" w:hAnsi="Arial"/>
          <w:i/>
          <w:color w:val="000000"/>
          <w:sz w:val="20"/>
        </w:rPr>
        <w:t>See Notes to Unaudited Consolidated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4" w:name="cons_balance_sheet"/>
      <w:bookmarkEnd w:id="4"/>
      <w:r>
        <w:rPr>
          <w:rFonts w:ascii="Arial" w:hAnsi="Arial"/>
          <w:b/>
          <w:color w:val="000000"/>
          <w:sz w:val="20"/>
        </w:rPr>
        <w:t>EAGLE MATERIALS INC. AND SUBSIDIARIES CONSOLIDATED BALANCE SHEETS (unaudited)</w:t>
      </w:r>
    </w:p>
    <w:p>
      <w:pPr>
        <w:pStyle w:val="TextBody"/>
        <w:bidi w:val="0"/>
        <w:jc w:val="left"/>
        <w:rPr/>
      </w:pPr>
      <w:r>
        <w:rPr/>
        <w:t> </w:t>
      </w:r>
    </w:p>
    <w:tbl>
      <w:tblPr>
        <w:tblW w:w="8079" w:type="dxa"/>
        <w:jc w:val="left"/>
        <w:tblInd w:w="0" w:type="dxa"/>
        <w:tblLayout w:type="fixed"/>
        <w:tblCellMar>
          <w:top w:w="28" w:type="dxa"/>
          <w:left w:w="28" w:type="dxa"/>
          <w:bottom w:w="28" w:type="dxa"/>
          <w:right w:w="28" w:type="dxa"/>
        </w:tblCellMar>
      </w:tblPr>
      <w:tblGrid>
        <w:gridCol w:w="5241"/>
        <w:gridCol w:w="146"/>
        <w:gridCol w:w="181"/>
        <w:gridCol w:w="721"/>
        <w:gridCol w:w="151"/>
        <w:gridCol w:w="146"/>
        <w:gridCol w:w="181"/>
        <w:gridCol w:w="721"/>
        <w:gridCol w:w="591"/>
      </w:tblGrid>
      <w:tr>
        <w:trPr/>
        <w:tc>
          <w:tcPr>
            <w:tcW w:w="5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December 31,</w:t>
            </w:r>
          </w:p>
        </w:tc>
        <w:tc>
          <w:tcPr>
            <w:tcW w:w="151" w:type="dxa"/>
            <w:tcBorders/>
            <w:shd w:fill="004483" w:val="clear"/>
            <w:vAlign w:val="center"/>
          </w:tcPr>
          <w:p>
            <w:pPr>
              <w:pStyle w:val="TableContents"/>
              <w:bidi w:val="0"/>
              <w:spacing w:before="0" w:after="283"/>
              <w:jc w:val="right"/>
              <w:rPr/>
            </w:pPr>
            <w:r>
              <w:rPr/>
              <w:t> </w:t>
            </w:r>
          </w:p>
        </w:tc>
        <w:tc>
          <w:tcPr>
            <w:tcW w:w="146" w:type="dxa"/>
            <w:tcBorders/>
            <w:shd w:fill="004483" w:val="clear"/>
            <w:vAlign w:val="center"/>
          </w:tcPr>
          <w:p>
            <w:pPr>
              <w:pStyle w:val="TableContents"/>
              <w:bidi w:val="0"/>
              <w:spacing w:before="0" w:after="283"/>
              <w:jc w:val="left"/>
              <w:rPr/>
            </w:pPr>
            <w:r>
              <w:rPr/>
              <w:t> </w:t>
            </w:r>
          </w:p>
        </w:tc>
        <w:tc>
          <w:tcPr>
            <w:tcW w:w="902"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March 31,</w:t>
            </w:r>
          </w:p>
        </w:tc>
        <w:tc>
          <w:tcPr>
            <w:tcW w:w="591" w:type="dxa"/>
            <w:tcBorders/>
            <w:shd w:fill="004483" w:val="clear"/>
            <w:vAlign w:val="center"/>
          </w:tcPr>
          <w:p>
            <w:pPr>
              <w:pStyle w:val="TableContents"/>
              <w:bidi w:val="0"/>
              <w:spacing w:before="0" w:after="283"/>
              <w:jc w:val="right"/>
              <w:rPr/>
            </w:pPr>
            <w:r>
              <w:rPr/>
              <w:t> </w:t>
            </w:r>
          </w:p>
        </w:tc>
      </w:tr>
      <w:tr>
        <w:trPr/>
        <w:tc>
          <w:tcPr>
            <w:tcW w:w="5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591" w:type="dxa"/>
            <w:tcBorders/>
            <w:shd w:fill="FFFFFF" w:val="clear"/>
            <w:vAlign w:val="center"/>
          </w:tcPr>
          <w:p>
            <w:pPr>
              <w:pStyle w:val="TableContents"/>
              <w:bidi w:val="0"/>
              <w:spacing w:before="0" w:after="283"/>
              <w:jc w:val="right"/>
              <w:rPr/>
            </w:pPr>
            <w:r>
              <w:rPr/>
              <w:t> </w:t>
            </w:r>
          </w:p>
        </w:tc>
      </w:tr>
      <w:tr>
        <w:trPr/>
        <w:tc>
          <w:tcPr>
            <w:tcW w:w="524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2101"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Current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Cash and Cash Equivalents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48,912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15,242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Accounts and Notes Receivable, net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192,982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195,052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Inventories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333,828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291,882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Income Tax Receivable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2,917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16,267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Prepaid and Other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9,092</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3,060</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rFonts w:ascii="Arial Narrow;sans-serif" w:hAnsi="Arial Narrow;sans-serif"/>
                <w:color w:val="004483"/>
                <w:sz w:val="18"/>
              </w:rPr>
            </w:pPr>
            <w:r>
              <w:rPr>
                <w:rFonts w:ascii="Arial Narrow;sans-serif" w:hAnsi="Arial Narrow;sans-serif"/>
                <w:color w:val="004483"/>
                <w:sz w:val="18"/>
              </w:rPr>
              <w:t>Total Current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587,731</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521,503</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Property, Plant, and Equipment, net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1,667,915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1,662,061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Notes Receivable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7,382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Investment in Joint Venture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104,822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89,111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Operating Lease Right-of-Use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20,670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20,759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Goodwill and Intangible Assets, net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488,088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466,043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Other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21,114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14,143</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rFonts w:ascii="Arial Narrow;sans-serif" w:hAnsi="Arial Narrow;sans-serif"/>
                <w:color w:val="004483"/>
                <w:sz w:val="18"/>
              </w:rPr>
            </w:pPr>
            <w:r>
              <w:rPr>
                <w:rFonts w:ascii="Arial Narrow;sans-serif" w:hAnsi="Arial Narrow;sans-serif"/>
                <w:color w:val="004483"/>
                <w:sz w:val="18"/>
              </w:rPr>
              <w:t>Total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2,890,340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2,781,002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LIABILITIES AND STOCKHOLDERS’ EQUITY</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Current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Accounts Payable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117,270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110,408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Accrued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88,178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86,472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Income Tax Payable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Operating Lease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8,217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6,009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A3A3A3"/>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Current Portion of Long-term Debt</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10,000</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10,000</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rFonts w:ascii="Arial Narrow;sans-serif" w:hAnsi="Arial Narrow;sans-serif"/>
                <w:color w:val="004483"/>
                <w:sz w:val="18"/>
              </w:rPr>
            </w:pPr>
            <w:r>
              <w:rPr>
                <w:rFonts w:ascii="Arial Narrow;sans-serif" w:hAnsi="Arial Narrow;sans-serif"/>
                <w:color w:val="004483"/>
                <w:sz w:val="18"/>
              </w:rPr>
              <w:t>Total Current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225,513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212,889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Long-term Debt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1,022,482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1,079,032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Noncurrent Operating Lease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20,685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24,940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Other Long-term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42,331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41,603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Deferred Income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246,168</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236,844</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rFonts w:ascii="Arial Narrow;sans-serif" w:hAnsi="Arial Narrow;sans-serif"/>
                <w:color w:val="004483"/>
                <w:sz w:val="18"/>
              </w:rPr>
            </w:pPr>
            <w:r>
              <w:rPr>
                <w:rFonts w:ascii="Arial Narrow;sans-serif" w:hAnsi="Arial Narrow;sans-serif"/>
                <w:color w:val="004483"/>
                <w:sz w:val="18"/>
              </w:rPr>
              <w:t>Total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1,557,179</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1,595,308</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Stockholders’ Equity</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Arial Narrow;sans-serif" w:hAnsi="Arial Narrow;sans-serif"/>
                <w:color w:val="004483"/>
                <w:sz w:val="18"/>
              </w:rPr>
              <w:t>Preferred Stock, Par Value $0.01; Authorized 5,000,000</w:t>
            </w:r>
            <w:r>
              <w:rPr>
                <w:rFonts w:ascii="Times New Roman" w:hAnsi="Times New Roman"/>
                <w:color w:val="004483"/>
                <w:sz w:val="20"/>
              </w:rPr>
              <w:t> </w:t>
            </w:r>
            <w:r>
              <w:rPr>
                <w:rFonts w:ascii="Arial Narrow;sans-serif" w:hAnsi="Arial Narrow;sans-serif"/>
                <w:color w:val="004483"/>
                <w:sz w:val="18"/>
              </w:rPr>
              <w:t>Shares; None</w:t>
            </w:r>
            <w:r>
              <w:rPr>
                <w:rFonts w:ascii="Times New Roman" w:hAnsi="Times New Roman"/>
                <w:color w:val="004483"/>
                <w:sz w:val="20"/>
              </w:rPr>
              <w:t> </w:t>
            </w:r>
            <w:r>
              <w:rPr>
                <w:rFonts w:ascii="Arial Narrow;sans-serif" w:hAnsi="Arial Narrow;sans-serif"/>
                <w:color w:val="004483"/>
                <w:sz w:val="18"/>
              </w:rPr>
              <w:t>Issued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Arial Narrow;sans-serif" w:hAnsi="Arial Narrow;sans-serif"/>
                <w:color w:val="004483"/>
                <w:sz w:val="18"/>
              </w:rPr>
              <w:t>Common Stock, Par Value $0.01; Authorized 100,000,000</w:t>
            </w:r>
            <w:r>
              <w:rPr>
                <w:rFonts w:ascii="Times New Roman" w:hAnsi="Times New Roman"/>
                <w:color w:val="004483"/>
                <w:sz w:val="20"/>
              </w:rPr>
              <w:t> </w:t>
            </w:r>
            <w:r>
              <w:rPr>
                <w:rFonts w:ascii="Arial Narrow;sans-serif" w:hAnsi="Arial Narrow;sans-serif"/>
                <w:color w:val="004483"/>
                <w:sz w:val="18"/>
              </w:rPr>
              <w:t>Shares;</w:t>
              <w:br/>
              <w:t>   Issued and Outstanding 34,474,435</w:t>
            </w:r>
            <w:r>
              <w:rPr>
                <w:rFonts w:ascii="Times New Roman" w:hAnsi="Times New Roman"/>
                <w:color w:val="004483"/>
                <w:sz w:val="20"/>
              </w:rPr>
              <w:t> </w:t>
            </w:r>
            <w:r>
              <w:rPr>
                <w:rFonts w:ascii="Arial Narrow;sans-serif" w:hAnsi="Arial Narrow;sans-serif"/>
                <w:color w:val="004483"/>
                <w:sz w:val="18"/>
              </w:rPr>
              <w:t>and 35,768,376</w:t>
            </w:r>
            <w:r>
              <w:rPr>
                <w:rFonts w:ascii="Times New Roman" w:hAnsi="Times New Roman"/>
                <w:color w:val="004483"/>
                <w:sz w:val="20"/>
              </w:rPr>
              <w:t> </w:t>
            </w:r>
            <w:r>
              <w:rPr>
                <w:rFonts w:ascii="Arial Narrow;sans-serif" w:hAnsi="Arial Narrow;sans-serif"/>
                <w:color w:val="004483"/>
                <w:sz w:val="18"/>
              </w:rPr>
              <w:t>Shares, respectively</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Capital in Excess of Par Value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Accumulated Other Comprehensive Losses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(3,403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(3,547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Retained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1,336,219</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1,188,883</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4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rFonts w:ascii="Arial Narrow;sans-serif" w:hAnsi="Arial Narrow;sans-serif"/>
                <w:color w:val="004483"/>
                <w:sz w:val="18"/>
              </w:rPr>
            </w:pPr>
            <w:r>
              <w:rPr>
                <w:rFonts w:ascii="Arial Narrow;sans-serif" w:hAnsi="Arial Narrow;sans-serif"/>
                <w:color w:val="004483"/>
                <w:sz w:val="18"/>
              </w:rPr>
              <w:t>Total Stockholders’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1,333,161</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1,185,694</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41" w:type="dxa"/>
            <w:tcBorders/>
            <w:shd w:fill="FFFFFF" w:val="clear"/>
            <w:vAlign w:val="center"/>
          </w:tcPr>
          <w:p>
            <w:pPr>
              <w:pStyle w:val="TableContents"/>
              <w:bidi w:val="0"/>
              <w:spacing w:before="0" w:after="283"/>
              <w:ind w:left="400" w:right="0" w:firstLine="400"/>
              <w:jc w:val="left"/>
              <w:rPr>
                <w:rFonts w:ascii="Arial Narrow;sans-serif" w:hAnsi="Arial Narrow;sans-serif"/>
                <w:color w:val="004483"/>
                <w:sz w:val="18"/>
              </w:rPr>
            </w:pPr>
            <w:r>
              <w:rPr>
                <w:rFonts w:ascii="Arial Narrow;sans-serif" w:hAnsi="Arial Narrow;sans-serif"/>
                <w:color w:val="004483"/>
                <w:sz w:val="18"/>
              </w:rPr>
              <w:t>Total Liabilities and Stockholders’ Equity</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2,890,340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2,781,002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i/>
          <w:color w:val="000000"/>
          <w:sz w:val="20"/>
        </w:rPr>
      </w:pPr>
      <w:r>
        <w:rPr>
          <w:rFonts w:ascii="Arial" w:hAnsi="Arial"/>
          <w:i/>
          <w:color w:val="000000"/>
          <w:sz w:val="20"/>
        </w:rPr>
        <w:t>See Notes to Unaudited Consolidated Financial Statements.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5" w:name="cons_stmt_cash_flows"/>
      <w:bookmarkEnd w:id="5"/>
      <w:r>
        <w:rPr>
          <w:rFonts w:ascii="Arial" w:hAnsi="Arial"/>
          <w:b/>
          <w:color w:val="000000"/>
          <w:sz w:val="20"/>
        </w:rPr>
        <w:t>EAGLE MATERIALS INC. AND SUBSIDIARIES CONSOLIDATED STATEMENTS OF CASH FLOWS (unaudited)</w:t>
      </w:r>
    </w:p>
    <w:p>
      <w:pPr>
        <w:pStyle w:val="TextBody"/>
        <w:bidi w:val="0"/>
        <w:jc w:val="left"/>
        <w:rPr/>
      </w:pPr>
      <w:r>
        <w:rPr/>
        <w:t> </w:t>
      </w:r>
    </w:p>
    <w:tbl>
      <w:tblPr>
        <w:tblW w:w="7828" w:type="dxa"/>
        <w:jc w:val="left"/>
        <w:tblInd w:w="0" w:type="dxa"/>
        <w:tblLayout w:type="fixed"/>
        <w:tblCellMar>
          <w:top w:w="28" w:type="dxa"/>
          <w:left w:w="28" w:type="dxa"/>
          <w:bottom w:w="28" w:type="dxa"/>
          <w:right w:w="28" w:type="dxa"/>
        </w:tblCellMar>
      </w:tblPr>
      <w:tblGrid>
        <w:gridCol w:w="4746"/>
        <w:gridCol w:w="146"/>
        <w:gridCol w:w="217"/>
        <w:gridCol w:w="775"/>
        <w:gridCol w:w="181"/>
        <w:gridCol w:w="175"/>
        <w:gridCol w:w="217"/>
        <w:gridCol w:w="775"/>
        <w:gridCol w:w="596"/>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40"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596" w:type="dxa"/>
            <w:tcBorders/>
            <w:shd w:fill="004483" w:val="clear"/>
            <w:vAlign w:val="center"/>
          </w:tcPr>
          <w:p>
            <w:pPr>
              <w:pStyle w:val="TableContents"/>
              <w:bidi w:val="0"/>
              <w:spacing w:before="0" w:after="283"/>
              <w:jc w:val="center"/>
              <w:rPr/>
            </w:pPr>
            <w:r>
              <w:rPr/>
              <w:t> </w:t>
            </w:r>
          </w:p>
        </w:tc>
      </w:tr>
      <w:tr>
        <w:trPr/>
        <w:tc>
          <w:tcPr>
            <w:tcW w:w="4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81"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596" w:type="dxa"/>
            <w:tcBorders/>
            <w:shd w:fill="FFFFFF" w:val="clear"/>
            <w:vAlign w:val="center"/>
          </w:tcPr>
          <w:p>
            <w:pPr>
              <w:pStyle w:val="TableContents"/>
              <w:bidi w:val="0"/>
              <w:spacing w:before="0" w:after="283"/>
              <w:jc w:val="right"/>
              <w:rPr/>
            </w:pPr>
            <w:r>
              <w:rPr/>
              <w:t> </w:t>
            </w:r>
          </w:p>
        </w:tc>
      </w:tr>
      <w:tr>
        <w:trPr/>
        <w:tc>
          <w:tcPr>
            <w:tcW w:w="47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2340"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5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Net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400,540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361,184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Adjustments to Reconcile Net Earnings to Net Cash Provided</w:t>
              <w:br/>
              <w:t>by Operating Activities, Net of Effect of Non-Cash Activity</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Depreciation, Depletion, and Amortization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111,347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103,689</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Deferred Income Tax Provision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9,324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7,227</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Stock Compensation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15,356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13,636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Equity in Earnings of Unconsolidated Joint Venture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(22,790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(23,631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Distributions from Joint Venture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7,000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19,000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Changes in Operating Assets and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Accounts and Notes Receivable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9,452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9,300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Inventories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(27,137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(3,219</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Accounts Payable and Accrued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3,278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(13,959</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Other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(19,428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4,411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Income Taxes Payable (Receivable)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13,607</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2,473</w:t>
            </w:r>
          </w:p>
        </w:tc>
        <w:tc>
          <w:tcPr>
            <w:tcW w:w="59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rFonts w:ascii="Arial Narrow;sans-serif" w:hAnsi="Arial Narrow;sans-serif"/>
                <w:color w:val="004483"/>
                <w:sz w:val="18"/>
              </w:rPr>
            </w:pPr>
            <w:r>
              <w:rPr>
                <w:rFonts w:ascii="Arial Narrow;sans-serif" w:hAnsi="Arial Narrow;sans-serif"/>
                <w:color w:val="004483"/>
                <w:sz w:val="18"/>
              </w:rPr>
              <w:t>Net Cash Provided by Operating Activities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500,549</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480,111</w:t>
            </w:r>
          </w:p>
        </w:tc>
        <w:tc>
          <w:tcPr>
            <w:tcW w:w="5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Additions to Property, Plant, and Equipment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(87,848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(60,951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Acquisition Spending</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(55,053</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(158,451</w:t>
            </w:r>
          </w:p>
        </w:tc>
        <w:tc>
          <w:tcPr>
            <w:tcW w:w="59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rFonts w:ascii="Arial Narrow;sans-serif" w:hAnsi="Arial Narrow;sans-serif"/>
                <w:color w:val="004483"/>
                <w:sz w:val="18"/>
              </w:rPr>
            </w:pPr>
            <w:r>
              <w:rPr>
                <w:rFonts w:ascii="Arial Narrow;sans-serif" w:hAnsi="Arial Narrow;sans-serif"/>
                <w:color w:val="004483"/>
                <w:sz w:val="18"/>
              </w:rPr>
              <w:t>Net Cash Used in Investing Activities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(142,901</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(219,402</w:t>
            </w:r>
          </w:p>
        </w:tc>
        <w:tc>
          <w:tcPr>
            <w:tcW w:w="5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Borrowings Under Revolving Credit Facility</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222,000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200,000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Repayment of Borrowings Under Revolving Credit Facility</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(272,000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(70,000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Repayment of Term Loan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(5,000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Dividends Paid to Stockholders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(26,692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(28,421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Purchase and Retirement of Common Stock</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(248,852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(313,898</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Proceeds from Stock Option Exercises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11,560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840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Payment of Debt Issuance Costs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(903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Shares Redeemed to Settle Employee Taxes on Stock Compensation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(2,494</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(1,806</w:t>
            </w:r>
          </w:p>
        </w:tc>
        <w:tc>
          <w:tcPr>
            <w:tcW w:w="59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rFonts w:ascii="Arial Narrow;sans-serif" w:hAnsi="Arial Narrow;sans-serif"/>
                <w:color w:val="004483"/>
                <w:sz w:val="18"/>
              </w:rPr>
            </w:pPr>
            <w:r>
              <w:rPr>
                <w:rFonts w:ascii="Arial Narrow;sans-serif" w:hAnsi="Arial Narrow;sans-serif"/>
                <w:color w:val="004483"/>
                <w:sz w:val="18"/>
              </w:rPr>
              <w:t>Net Cash Used in Financing Activities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(323,978</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(219,188</w:t>
            </w:r>
          </w:p>
        </w:tc>
        <w:tc>
          <w:tcPr>
            <w:tcW w:w="5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NET INCREASE IN CASH AND CASH EQUIVALENTS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33,670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41,521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CASH AND CASH EQUIVALENTS AT BEGINNING OF PERIOD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15,242</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19,416</w:t>
            </w:r>
          </w:p>
        </w:tc>
        <w:tc>
          <w:tcPr>
            <w:tcW w:w="5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shd w:fill="FFFFFF" w:val="cle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CASH AND CASH EQUIVALENTS AT END OF PERIOD</w:t>
            </w:r>
          </w:p>
        </w:tc>
        <w:tc>
          <w:tcPr>
            <w:tcW w:w="146" w:type="dxa"/>
            <w:tcBorders/>
            <w:shd w:fill="FFFFFF" w:val="clear"/>
            <w:vAlign w:val="center"/>
          </w:tcPr>
          <w:p>
            <w:pPr>
              <w:pStyle w:val="TableContents"/>
              <w:bidi w:val="0"/>
              <w:spacing w:before="0" w:after="283"/>
              <w:jc w:val="center"/>
              <w:rPr/>
            </w:pPr>
            <w:r>
              <w:rPr/>
              <w:t> </w:t>
            </w:r>
          </w:p>
        </w:tc>
        <w:tc>
          <w:tcPr>
            <w:tcW w:w="21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75"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48,912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center"/>
              <w:rPr/>
            </w:pPr>
            <w:r>
              <w:rPr/>
              <w:t> </w:t>
            </w:r>
          </w:p>
        </w:tc>
        <w:tc>
          <w:tcPr>
            <w:tcW w:w="21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75"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60,937</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i/>
          <w:color w:val="000000"/>
          <w:sz w:val="20"/>
        </w:rPr>
      </w:pPr>
      <w:r>
        <w:rPr>
          <w:rFonts w:ascii="Arial" w:hAnsi="Arial"/>
          <w:i/>
          <w:color w:val="000000"/>
          <w:sz w:val="20"/>
        </w:rPr>
        <w:t>See Notes to Unaudited Consolidated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6" w:name="cons_stmt_stockholders_equity"/>
      <w:bookmarkEnd w:id="6"/>
      <w:r>
        <w:rPr>
          <w:rFonts w:ascii="Arial" w:hAnsi="Arial"/>
          <w:b/>
          <w:color w:val="000000"/>
          <w:sz w:val="20"/>
        </w:rPr>
        <w:t>EAGLE MATERIALS INC. AND SUBSIDIARIES CONSOLIDATED STATEMENTS OF STOCKHOLDERS’ EQUITY (unaudited)</w:t>
      </w:r>
    </w:p>
    <w:tbl>
      <w:tblPr>
        <w:tblW w:w="9637" w:type="dxa"/>
        <w:jc w:val="left"/>
        <w:tblInd w:w="0" w:type="dxa"/>
        <w:tblLayout w:type="fixed"/>
        <w:tblCellMar>
          <w:top w:w="28" w:type="dxa"/>
          <w:left w:w="28" w:type="dxa"/>
          <w:bottom w:w="28" w:type="dxa"/>
          <w:right w:w="28" w:type="dxa"/>
        </w:tblCellMar>
      </w:tblPr>
      <w:tblGrid>
        <w:gridCol w:w="3646"/>
        <w:gridCol w:w="146"/>
        <w:gridCol w:w="247"/>
        <w:gridCol w:w="474"/>
        <w:gridCol w:w="151"/>
        <w:gridCol w:w="146"/>
        <w:gridCol w:w="184"/>
        <w:gridCol w:w="581"/>
        <w:gridCol w:w="151"/>
        <w:gridCol w:w="146"/>
        <w:gridCol w:w="181"/>
        <w:gridCol w:w="721"/>
        <w:gridCol w:w="151"/>
        <w:gridCol w:w="146"/>
        <w:gridCol w:w="313"/>
        <w:gridCol w:w="858"/>
        <w:gridCol w:w="151"/>
        <w:gridCol w:w="146"/>
        <w:gridCol w:w="181"/>
        <w:gridCol w:w="721"/>
        <w:gridCol w:w="196"/>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Common</w:t>
              <w:br/>
              <w:t>Stock</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65" w:type="dxa"/>
            <w:gridSpan w:val="2"/>
            <w:tcBorders/>
            <w:shd w:fill="FFFFFF" w:val="cle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Capital in</w:t>
              <w:br/>
              <w:t>Excess of</w:t>
              <w:br/>
              <w:t>Par Value</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Retained</w:t>
              <w:br/>
              <w:t>Earnings</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Accumulated</w:t>
              <w:br/>
              <w:t>Other</w:t>
              <w:br/>
              <w:t>Comprehensive</w:t>
              <w:br/>
              <w:t>Losses</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Total</w:t>
            </w:r>
          </w:p>
        </w:tc>
        <w:tc>
          <w:tcPr>
            <w:tcW w:w="196" w:type="dxa"/>
            <w:tcBorders/>
            <w:shd w:fill="FFFFFF" w:val="clear"/>
            <w:vAlign w:val="center"/>
          </w:tcPr>
          <w:p>
            <w:pPr>
              <w:pStyle w:val="TableContents"/>
              <w:bidi w:val="0"/>
              <w:spacing w:before="0" w:after="283"/>
              <w:jc w:val="right"/>
              <w:rPr/>
            </w:pPr>
            <w:r>
              <w:rPr/>
              <w:t> </w:t>
            </w:r>
          </w:p>
        </w:tc>
      </w:tr>
      <w:tr>
        <w:trPr/>
        <w:tc>
          <w:tcPr>
            <w:tcW w:w="36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5649" w:type="dxa"/>
            <w:gridSpan w:val="18"/>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Balance at March 31, 2022</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1,136,344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(3,175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1,133,556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Net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105,005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105,005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Stock Compensation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5,146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5,146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Stock Option Exercises and Restricted Share Issuances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667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Shares Redeemed to Settle Employee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(1,497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(1,497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Purchase and Retirement of Common Stock</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(4,315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(105,289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(109,612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Dividends to Shareholders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(9,507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(9,507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Unfunded Pension Liability, net of tax</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23</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23</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Balance at June 30, 2022</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47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5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1,126,553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3"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85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(3,152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1,123,781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Net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138,995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138,995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Stock Compensation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4,402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4,402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Stock Option Exercise and Restricted Share Issuances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Shares Redeemed to Settle Employee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(309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Purchase and Retirement of Common Stock</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(4,161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(96,616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(100,786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Dividends to Shareholders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(9,471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(9,471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Unfunded Pension Liability, net of tax</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24</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Balance at September 30, 2022</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47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5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1,159,461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85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(3,128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1,156,704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Net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117,184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117,184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Stock Compensation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4,088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4,088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Stock Option Exercise and Restricted Share Issuances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Purchase and Retirement of Common Stock</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(4,193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(99,298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(103,500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Dividends to Shareholders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(9,090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(9,090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Unfunded Pension Liability, net of tax</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23</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23</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Balance at December 31, 2022</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47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5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1,168,257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85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(3,105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1,165,514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Common</w:t>
              <w:br/>
              <w:t>Stock</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65" w:type="dxa"/>
            <w:gridSpan w:val="2"/>
            <w:tcBorders/>
            <w:shd w:fill="FFFFFF" w:val="cle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Capital in</w:t>
              <w:br/>
              <w:t>Excess of</w:t>
              <w:br/>
              <w:t>Par Value</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Retained</w:t>
              <w:br/>
              <w:t>Earnings</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Accumulated</w:t>
              <w:br/>
              <w:t>Other</w:t>
              <w:br/>
              <w:t>Comprehensive</w:t>
              <w:br/>
              <w:t>Losses</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Total</w:t>
            </w:r>
          </w:p>
        </w:tc>
        <w:tc>
          <w:tcPr>
            <w:tcW w:w="196" w:type="dxa"/>
            <w:tcBorders/>
            <w:shd w:fill="FFFFFF" w:val="clear"/>
            <w:vAlign w:val="center"/>
          </w:tcPr>
          <w:p>
            <w:pPr>
              <w:pStyle w:val="TableContents"/>
              <w:bidi w:val="0"/>
              <w:spacing w:before="0" w:after="283"/>
              <w:jc w:val="right"/>
              <w:rPr/>
            </w:pPr>
            <w:r>
              <w:rPr/>
              <w:t> </w:t>
            </w:r>
          </w:p>
        </w:tc>
      </w:tr>
      <w:tr>
        <w:trPr/>
        <w:tc>
          <w:tcPr>
            <w:tcW w:w="36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5649" w:type="dxa"/>
            <w:gridSpan w:val="18"/>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Balance at March 31,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1,188,883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(3,547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1,185,694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Net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120,849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120,849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Stock Compensation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6,457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6,457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Stock Option Exercises and Restricted Share Issuances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10,383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10,385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Shares Redeemed to Settle Employee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(1,359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(1,360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Purchase and Retirement of Common Stock</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(15,481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(59,313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(74,799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Dividends to Shareholders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(8,863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(8,863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Unfunded Pension Liability, net of tax</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48</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48</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Balance at June 30,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47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354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5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1,241,556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3"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85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(3,499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1,238,411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Net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150,553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150,553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Stock Compensation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4,542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4,542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Stock Option Exercise and Restricted Share Issuances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1,084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Shares Redeemed to Settle Employee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(1,134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(1,134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Purchase and Retirement of Common Stock</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(4,492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(73,541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(78,037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Dividends to Shareholders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(8,833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(8,833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Unfunded Pension Liability, net of tax</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48</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48</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Balance at September 30,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47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5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1,309,735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3"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85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(3,451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1,306,634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Net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129,138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129,138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Stock Compensation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4,357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4,357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Stock Option Exercise and Restricted Share Issuances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Purchase and Retirement of Common Stock</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(4,448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(94,051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(98,504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Dividends to Shareholders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(8,603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(8,603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36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7"/>
              </w:rPr>
            </w:pPr>
            <w:r>
              <w:rPr>
                <w:rFonts w:ascii="Arial Narrow;sans-serif" w:hAnsi="Arial Narrow;sans-serif"/>
                <w:color w:val="004483"/>
                <w:sz w:val="17"/>
              </w:rPr>
              <w:t>Unfunded Pension Liability, net of tax</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48</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48</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Balance at December 31, 2023</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47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5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1,336,219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85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(3,403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1,333,161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Arial" w:hAnsi="Arial"/>
          <w:i/>
          <w:color w:val="000000"/>
          <w:sz w:val="20"/>
        </w:rPr>
        <w:t>See Notes to Unaudited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pBdr>
          <w:bottom w:val="single" w:sz="8" w:space="1" w:color="000000"/>
        </w:pBdr>
        <w:bidi w:val="0"/>
        <w:spacing w:before="560" w:after="283"/>
        <w:jc w:val="left"/>
        <w:rPr>
          <w:rFonts w:ascii="Arial" w:hAnsi="Arial"/>
          <w:b/>
          <w:color w:val="000000"/>
          <w:sz w:val="26"/>
        </w:rPr>
      </w:pPr>
      <w:bookmarkStart w:id="7" w:name="notes_to_consolidated_financial_statemen"/>
      <w:bookmarkEnd w:id="7"/>
      <w:r>
        <w:rPr>
          <w:rFonts w:ascii="Arial" w:hAnsi="Arial"/>
          <w:b/>
          <w:color w:val="000000"/>
          <w:sz w:val="26"/>
        </w:rPr>
        <w:t>Eagle Materials Inc. and Subsidiaries</w:t>
        <w:br/>
        <w:t>Notes to Consolidated Financial Statements</w:t>
      </w:r>
    </w:p>
    <w:p>
      <w:pPr>
        <w:pStyle w:val="TextBody"/>
        <w:bidi w:val="0"/>
        <w:spacing w:before="40" w:after="283"/>
        <w:jc w:val="left"/>
        <w:rPr/>
      </w:pPr>
      <w:r>
        <w:rPr/>
        <w:t> </w:t>
      </w:r>
    </w:p>
    <w:p>
      <w:pPr>
        <w:pStyle w:val="TextBody"/>
        <w:bidi w:val="0"/>
        <w:spacing w:before="30" w:after="283"/>
        <w:jc w:val="both"/>
        <w:rPr>
          <w:rFonts w:ascii="Times New Roman" w:hAnsi="Times New Roman"/>
          <w:sz w:val="20"/>
        </w:rPr>
      </w:pPr>
      <w:r>
        <w:rPr>
          <w:rFonts w:ascii="Arial" w:hAnsi="Arial"/>
          <w:b/>
          <w:color w:val="000000"/>
          <w:sz w:val="22"/>
        </w:rPr>
        <w:t>(A)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accompanying Unaudited Consolidated Financial Statements as of and for the three and nine months ended December 31, 2023,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19, 2023.</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preparation of financial statements in conformity with accounting principles generally accepted in the United States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2"/>
          <w:u w:val="single"/>
        </w:rPr>
        <w:t>Recent Accounting Pronouncements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There have been no recent accounting pronouncements that are expected to materially affect the Company.</w:t>
      </w:r>
    </w:p>
    <w:p>
      <w:pPr>
        <w:pStyle w:val="TextBody"/>
        <w:bidi w:val="0"/>
        <w:spacing w:before="240" w:after="283"/>
        <w:jc w:val="both"/>
        <w:rPr>
          <w:rFonts w:ascii="Times New Roman" w:hAnsi="Times New Roman"/>
          <w:sz w:val="20"/>
        </w:rPr>
      </w:pPr>
      <w:r>
        <w:rPr>
          <w:rFonts w:ascii="Arial" w:hAnsi="Arial"/>
          <w:b/>
          <w:color w:val="000000"/>
          <w:sz w:val="22"/>
        </w:rPr>
        <w:t>(B) SUPPLEMENTAL CASH FLOW INFORMATION</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Supplemental cash flow information is as follows:</w:t>
      </w:r>
    </w:p>
    <w:tbl>
      <w:tblPr>
        <w:tblW w:w="6986" w:type="dxa"/>
        <w:jc w:val="left"/>
        <w:tblInd w:w="0" w:type="dxa"/>
        <w:tblLayout w:type="fixed"/>
        <w:tblCellMar>
          <w:top w:w="28" w:type="dxa"/>
          <w:left w:w="28" w:type="dxa"/>
          <w:bottom w:w="28" w:type="dxa"/>
          <w:right w:w="28" w:type="dxa"/>
        </w:tblCellMar>
      </w:tblPr>
      <w:tblGrid>
        <w:gridCol w:w="4211"/>
        <w:gridCol w:w="146"/>
        <w:gridCol w:w="248"/>
        <w:gridCol w:w="721"/>
        <w:gridCol w:w="200"/>
        <w:gridCol w:w="200"/>
        <w:gridCol w:w="248"/>
        <w:gridCol w:w="721"/>
        <w:gridCol w:w="29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8"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291" w:type="dxa"/>
            <w:tcBorders/>
            <w:shd w:fill="004483" w:val="clear"/>
            <w:vAlign w:val="center"/>
          </w:tcPr>
          <w:p>
            <w:pPr>
              <w:pStyle w:val="TableContents"/>
              <w:bidi w:val="0"/>
              <w:spacing w:before="0" w:after="283"/>
              <w:jc w:val="center"/>
              <w:rPr/>
            </w:pPr>
            <w:r>
              <w:rPr/>
              <w:t> </w:t>
            </w:r>
          </w:p>
        </w:tc>
      </w:tr>
      <w:tr>
        <w:trPr/>
        <w:tc>
          <w:tcPr>
            <w:tcW w:w="4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8"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291" w:type="dxa"/>
            <w:tcBorders/>
            <w:shd w:fill="FFFFFF" w:val="clear"/>
            <w:vAlign w:val="center"/>
          </w:tcPr>
          <w:p>
            <w:pPr>
              <w:pStyle w:val="TableContents"/>
              <w:bidi w:val="0"/>
              <w:spacing w:before="0" w:after="283"/>
              <w:jc w:val="left"/>
              <w:rPr/>
            </w:pPr>
            <w:r>
              <w:rPr/>
              <w:t> </w:t>
            </w:r>
          </w:p>
        </w:tc>
      </w:tr>
      <w:tr>
        <w:trPr/>
        <w:tc>
          <w:tcPr>
            <w:tcW w:w="421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2338"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Cash Payments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1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Narrow;sans-serif" w:hAnsi="Arial Narrow;sans-serif"/>
                <w:color w:val="004483"/>
                <w:sz w:val="18"/>
              </w:rPr>
            </w:pPr>
            <w:r>
              <w:rPr>
                <w:rFonts w:ascii="Arial Narrow;sans-serif" w:hAnsi="Arial Narrow;sans-serif"/>
                <w:color w:val="004483"/>
                <w:sz w:val="18"/>
              </w:rPr>
              <w:t>Interest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38,797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26,526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1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Narrow;sans-serif" w:hAnsi="Arial Narrow;sans-serif"/>
                <w:color w:val="004483"/>
                <w:sz w:val="18"/>
              </w:rPr>
            </w:pPr>
            <w:r>
              <w:rPr>
                <w:rFonts w:ascii="Arial Narrow;sans-serif" w:hAnsi="Arial Narrow;sans-serif"/>
                <w:color w:val="004483"/>
                <w:sz w:val="18"/>
              </w:rPr>
              <w:t>Income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92,718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94,793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1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Narrow;sans-serif" w:hAnsi="Arial Narrow;sans-serif"/>
                <w:color w:val="004483"/>
                <w:sz w:val="18"/>
              </w:rPr>
            </w:pPr>
            <w:r>
              <w:rPr>
                <w:rFonts w:ascii="Arial Narrow;sans-serif" w:hAnsi="Arial Narrow;sans-serif"/>
                <w:color w:val="004483"/>
                <w:sz w:val="18"/>
              </w:rPr>
              <w:t>Operating Cash Flows Used for Operating Leases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7,016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6,360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1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Non-Cash Financing Activities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1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Narrow;sans-serif" w:hAnsi="Arial Narrow;sans-serif"/>
                <w:color w:val="004483"/>
                <w:sz w:val="18"/>
              </w:rPr>
            </w:pPr>
            <w:r>
              <w:rPr>
                <w:rFonts w:ascii="Arial Narrow;sans-serif" w:hAnsi="Arial Narrow;sans-serif"/>
                <w:color w:val="004483"/>
                <w:sz w:val="18"/>
              </w:rPr>
              <w:t>Excise Tax on Share Repurchases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3,227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1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Narrow;sans-serif" w:hAnsi="Arial Narrow;sans-serif"/>
                <w:color w:val="004483"/>
                <w:sz w:val="18"/>
              </w:rPr>
            </w:pPr>
            <w:r>
              <w:rPr>
                <w:rFonts w:ascii="Arial Narrow;sans-serif" w:hAnsi="Arial Narrow;sans-serif"/>
                <w:color w:val="004483"/>
                <w:sz w:val="18"/>
              </w:rPr>
              <w:t>Right-of-Use Assets Acquired for Capitalized Operating Leases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6,018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(C)</w:t>
      </w:r>
      <w:r>
        <w:rPr>
          <w:rFonts w:ascii="Times New Roman" w:hAnsi="Times New Roman"/>
          <w:color w:val="000000"/>
          <w:sz w:val="20"/>
        </w:rPr>
        <w:t xml:space="preserve"> </w:t>
      </w:r>
      <w:r>
        <w:rPr>
          <w:rFonts w:ascii="Arial" w:hAnsi="Arial"/>
          <w:b/>
          <w:color w:val="000000"/>
          <w:sz w:val="22"/>
        </w:rPr>
        <w:t>ACQUISITION</w:t>
      </w:r>
    </w:p>
    <w:p>
      <w:pPr>
        <w:pStyle w:val="TextBody"/>
        <w:bidi w:val="0"/>
        <w:spacing w:before="240" w:after="283"/>
        <w:jc w:val="left"/>
        <w:rPr>
          <w:rFonts w:ascii="Times New Roman" w:hAnsi="Times New Roman"/>
          <w:sz w:val="20"/>
        </w:rPr>
      </w:pPr>
      <w:r>
        <w:rPr>
          <w:rFonts w:ascii="Arial" w:hAnsi="Arial"/>
          <w:color w:val="000000"/>
          <w:sz w:val="20"/>
        </w:rPr>
        <w:t>On May 3, 2023, we purchased the assets of a cement import terminal in Stockton, California (the Stockton Terminal Acquisition), which was accounted for under the acquisition method. The purchase price of the Stockton Terminal Acquisition was approximately $55.1</w:t>
      </w:r>
      <w:r>
        <w:rPr>
          <w:rFonts w:ascii="Times New Roman" w:hAnsi="Times New Roman"/>
          <w:color w:val="000000"/>
          <w:sz w:val="20"/>
        </w:rPr>
        <w:t xml:space="preserve"> </w:t>
      </w:r>
      <w:r>
        <w:rPr>
          <w:rFonts w:ascii="Arial" w:hAnsi="Arial"/>
          <w:color w:val="000000"/>
          <w:sz w:val="20"/>
        </w:rPr>
        <w:t>million. The purchase price was funded through borrowings under our revolving credit facility. Operations related to the Stockton Terminal Acquisition are included in the Cement business in our segment reporting from May 3, 2023, through December 31, 2023.</w:t>
      </w:r>
    </w:p>
    <w:p>
      <w:pPr>
        <w:pStyle w:val="TextBody"/>
        <w:bidi w:val="0"/>
        <w:spacing w:before="240" w:after="283"/>
        <w:jc w:val="left"/>
        <w:rPr>
          <w:rFonts w:ascii="Arial" w:hAnsi="Arial"/>
          <w:color w:val="000000"/>
          <w:sz w:val="20"/>
        </w:rPr>
      </w:pPr>
      <w:r>
        <w:rPr>
          <w:rFonts w:ascii="Arial" w:hAnsi="Arial"/>
          <w:color w:val="000000"/>
          <w:sz w:val="20"/>
        </w:rPr>
        <w:t>The following table summarizes the allocation of the purchase price to the fair value of assets acquired and liabilities assumed (based on Level 3 inputs) as of December 31, 2023:</w:t>
      </w:r>
    </w:p>
    <w:tbl>
      <w:tblPr>
        <w:tblW w:w="3525" w:type="dxa"/>
        <w:jc w:val="left"/>
        <w:tblInd w:w="0" w:type="dxa"/>
        <w:tblLayout w:type="fixed"/>
        <w:tblCellMar>
          <w:top w:w="28" w:type="dxa"/>
          <w:left w:w="28" w:type="dxa"/>
          <w:bottom w:w="28" w:type="dxa"/>
          <w:right w:w="28" w:type="dxa"/>
        </w:tblCellMar>
      </w:tblPr>
      <w:tblGrid>
        <w:gridCol w:w="2281"/>
        <w:gridCol w:w="146"/>
        <w:gridCol w:w="181"/>
        <w:gridCol w:w="526"/>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2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4"/>
              </w:rPr>
            </w:pPr>
            <w:r>
              <w:rPr>
                <w:rFonts w:ascii="Arial Narrow;sans-serif" w:hAnsi="Arial Narrow;sans-serif"/>
                <w:color w:val="000000"/>
                <w:sz w:val="14"/>
              </w:rPr>
              <w:t>Fair Value</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Inventory</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14,809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Prepaid and Other Current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Property, Plant, and Equipment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12,737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Lease Right-of-Use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Intangible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16,100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Lease Obligations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Other Long-term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Goodwill</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11,858</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vAlign w:val="center"/>
          </w:tcPr>
          <w:p>
            <w:pPr>
              <w:pStyle w:val="TableContents"/>
              <w:bidi w:val="0"/>
              <w:spacing w:before="0" w:after="283"/>
              <w:ind w:left="200" w:right="0" w:firstLine="200"/>
              <w:jc w:val="left"/>
              <w:rPr>
                <w:rFonts w:ascii="Arial Narrow;sans-serif" w:hAnsi="Arial Narrow;sans-serif"/>
                <w:b/>
                <w:color w:val="000000"/>
                <w:sz w:val="18"/>
              </w:rPr>
            </w:pPr>
            <w:r>
              <w:rPr>
                <w:rFonts w:ascii="Arial Narrow;sans-serif" w:hAnsi="Arial Narrow;sans-serif"/>
                <w:b/>
                <w:color w:val="000000"/>
                <w:sz w:val="18"/>
              </w:rPr>
              <w:t>Total Purchase Price</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2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55,053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The estimated useful lives assigned to Property, Plant, and Equipment range from 5</w:t>
      </w:r>
      <w:r>
        <w:rPr>
          <w:rFonts w:ascii="Times New Roman" w:hAnsi="Times New Roman"/>
          <w:color w:val="000000"/>
          <w:sz w:val="20"/>
        </w:rPr>
        <w:t xml:space="preserve"> </w:t>
      </w:r>
      <w:r>
        <w:rPr>
          <w:rFonts w:ascii="Arial" w:hAnsi="Arial"/>
          <w:color w:val="000000"/>
          <w:sz w:val="20"/>
        </w:rPr>
        <w:t>to 30 years, while the estimated useful lives assigned to Intangible Assets range from 2</w:t>
      </w:r>
      <w:r>
        <w:rPr>
          <w:rFonts w:ascii="Times New Roman" w:hAnsi="Times New Roman"/>
          <w:color w:val="000000"/>
          <w:sz w:val="20"/>
        </w:rPr>
        <w:t xml:space="preserve"> </w:t>
      </w:r>
      <w:r>
        <w:rPr>
          <w:rFonts w:ascii="Arial" w:hAnsi="Arial"/>
          <w:color w:val="000000"/>
          <w:sz w:val="20"/>
        </w:rPr>
        <w:t>to 15 years. All goodwill generated from the Stockton Terminal Acquisition is deductible for income tax purposes.</w:t>
      </w:r>
    </w:p>
    <w:p>
      <w:pPr>
        <w:pStyle w:val="TextBody"/>
        <w:bidi w:val="0"/>
        <w:spacing w:before="240" w:after="120"/>
        <w:jc w:val="left"/>
        <w:rPr>
          <w:rFonts w:ascii="Times New Roman" w:hAnsi="Times New Roman"/>
          <w:sz w:val="20"/>
        </w:rPr>
      </w:pPr>
      <w:r>
        <w:rPr>
          <w:rFonts w:ascii="Arial" w:hAnsi="Arial"/>
          <w:color w:val="000000"/>
          <w:sz w:val="20"/>
        </w:rPr>
        <w:t>The following table presents the Revenue and Operating Loss related to the Stockton Terminal Acquisition that has been included in our Consolidated Statement of Earnings from May 3, 2023, through December 31, 2023.</w:t>
      </w:r>
      <w:r>
        <w:rPr>
          <w:rFonts w:ascii="Times New Roman" w:hAnsi="Times New Roman"/>
          <w:color w:val="000000"/>
          <w:sz w:val="20"/>
        </w:rPr>
        <w:t xml:space="preserve"> </w:t>
      </w:r>
    </w:p>
    <w:tbl>
      <w:tblPr>
        <w:tblW w:w="5080" w:type="dxa"/>
        <w:jc w:val="left"/>
        <w:tblInd w:w="0" w:type="dxa"/>
        <w:tblLayout w:type="fixed"/>
        <w:tblCellMar>
          <w:top w:w="28" w:type="dxa"/>
          <w:left w:w="28" w:type="dxa"/>
          <w:bottom w:w="28" w:type="dxa"/>
          <w:right w:w="28" w:type="dxa"/>
        </w:tblCellMar>
      </w:tblPr>
      <w:tblGrid>
        <w:gridCol w:w="1186"/>
        <w:gridCol w:w="146"/>
        <w:gridCol w:w="426"/>
        <w:gridCol w:w="1239"/>
        <w:gridCol w:w="151"/>
        <w:gridCol w:w="146"/>
        <w:gridCol w:w="407"/>
        <w:gridCol w:w="1183"/>
        <w:gridCol w:w="19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5"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5" w:type="dxa"/>
            <w:gridSpan w:val="2"/>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w:t>
            </w:r>
          </w:p>
        </w:tc>
        <w:tc>
          <w:tcPr>
            <w:tcW w:w="151" w:type="dxa"/>
            <w:tcBorders/>
            <w:shd w:fill="004483" w:val="clear"/>
            <w:vAlign w:val="center"/>
          </w:tcPr>
          <w:p>
            <w:pPr>
              <w:pStyle w:val="TableContents"/>
              <w:bidi w:val="0"/>
              <w:spacing w:before="0" w:after="283"/>
              <w:jc w:val="center"/>
              <w:rPr/>
            </w:pPr>
            <w:r>
              <w:rPr/>
              <w:t> </w:t>
            </w:r>
          </w:p>
        </w:tc>
        <w:tc>
          <w:tcPr>
            <w:tcW w:w="146" w:type="dxa"/>
            <w:tcBorders/>
            <w:shd w:fill="004483" w:val="clear"/>
            <w:vAlign w:val="center"/>
          </w:tcPr>
          <w:p>
            <w:pPr>
              <w:pStyle w:val="TableContents"/>
              <w:bidi w:val="0"/>
              <w:spacing w:before="0" w:after="283"/>
              <w:jc w:val="left"/>
              <w:rPr/>
            </w:pPr>
            <w:r>
              <w:rPr/>
              <w:t> </w:t>
            </w:r>
          </w:p>
        </w:tc>
        <w:tc>
          <w:tcPr>
            <w:tcW w:w="1590" w:type="dxa"/>
            <w:gridSpan w:val="2"/>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w:t>
            </w:r>
          </w:p>
        </w:tc>
        <w:tc>
          <w:tcPr>
            <w:tcW w:w="196" w:type="dxa"/>
            <w:tcBorders/>
            <w:shd w:fill="004483"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52"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December 31, 2023</w:t>
            </w:r>
          </w:p>
        </w:tc>
        <w:tc>
          <w:tcPr>
            <w:tcW w:w="196" w:type="dxa"/>
            <w:tcBorders/>
            <w:shd w:fill="004483" w:val="clear"/>
            <w:vAlign w:val="center"/>
          </w:tcPr>
          <w:p>
            <w:pPr>
              <w:pStyle w:val="TableContents"/>
              <w:bidi w:val="0"/>
              <w:spacing w:before="0" w:after="283"/>
              <w:jc w:val="center"/>
              <w:rPr/>
            </w:pPr>
            <w:r>
              <w:rPr/>
              <w:t> </w:t>
            </w:r>
          </w:p>
        </w:tc>
      </w:tr>
      <w:tr>
        <w:trPr/>
        <w:tc>
          <w:tcPr>
            <w:tcW w:w="118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3552"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23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11,247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32,529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4483"/>
                <w:sz w:val="18"/>
              </w:rPr>
            </w:pPr>
            <w:r>
              <w:rPr>
                <w:rFonts w:ascii="Arial Narrow;sans-serif" w:hAnsi="Arial Narrow;sans-serif"/>
                <w:b/>
                <w:color w:val="004483"/>
                <w:sz w:val="18"/>
              </w:rPr>
              <w:t>Operating Loss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23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(2,106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bl>
    <w:p>
      <w:pPr>
        <w:pStyle w:val="TextBody"/>
        <w:bidi w:val="0"/>
        <w:spacing w:before="240" w:after="283"/>
        <w:jc w:val="left"/>
        <w:rPr>
          <w:rFonts w:ascii="Times New Roman" w:hAnsi="Times New Roman"/>
          <w:sz w:val="20"/>
        </w:rPr>
      </w:pPr>
      <w:r>
        <w:rPr>
          <w:rFonts w:ascii="Arial" w:hAnsi="Arial"/>
          <w:color w:val="000000"/>
          <w:sz w:val="20"/>
        </w:rPr>
        <w:t>Operating Earnings shown above for the three months ended December 31, 2023 were affected by approximately $0.7</w:t>
      </w:r>
      <w:r>
        <w:rPr>
          <w:rFonts w:ascii="Times New Roman" w:hAnsi="Times New Roman"/>
          <w:color w:val="000000"/>
          <w:sz w:val="20"/>
        </w:rPr>
        <w:t xml:space="preserve"> </w:t>
      </w:r>
      <w:r>
        <w:rPr>
          <w:rFonts w:ascii="Arial" w:hAnsi="Arial"/>
          <w:color w:val="000000"/>
          <w:sz w:val="20"/>
        </w:rPr>
        <w:t>million related to depreciation and amortization. Operating Loss for the nine months ended December 31, 2023, was affected by approximately $1.9</w:t>
      </w:r>
      <w:r>
        <w:rPr>
          <w:rFonts w:ascii="Times New Roman" w:hAnsi="Times New Roman"/>
          <w:color w:val="000000"/>
          <w:sz w:val="20"/>
        </w:rPr>
        <w:t xml:space="preserve"> </w:t>
      </w:r>
      <w:r>
        <w:rPr>
          <w:rFonts w:ascii="Arial" w:hAnsi="Arial"/>
          <w:color w:val="000000"/>
          <w:sz w:val="20"/>
        </w:rPr>
        <w:t>million and $3.9</w:t>
      </w:r>
      <w:r>
        <w:rPr>
          <w:rFonts w:ascii="Times New Roman" w:hAnsi="Times New Roman"/>
          <w:color w:val="000000"/>
          <w:sz w:val="20"/>
        </w:rPr>
        <w:t xml:space="preserve"> </w:t>
      </w:r>
      <w:r>
        <w:rPr>
          <w:rFonts w:ascii="Arial" w:hAnsi="Arial"/>
          <w:color w:val="000000"/>
          <w:sz w:val="20"/>
        </w:rPr>
        <w:t>million related to depreciation and amortization and the recording of acquired inventories at fair value, respectively.</w:t>
      </w:r>
      <w:r>
        <w:rPr>
          <w:rFonts w:ascii="Times New Roman" w:hAnsi="Times New Roman"/>
          <w:color w:val="000000"/>
          <w:sz w:val="20"/>
        </w:rPr>
        <w:t xml:space="preserve"> </w:t>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2"/>
        </w:rPr>
        <w:t>(D)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earn Revenue primarily from the sale of products, which include cement, concrete, aggregates, gypsum wallboard, and recycled paperboard. The vast majority of Revenue from the sale of concrete, aggregates, and gypsum wallboard is originated by purchase orders from our customers, who are mostly third-party contractors and suppliers. Revenue from the sale of cement is recognized at the point-of-sale to customers under sales orders. Revenue from our Recycled Paperboard segment is generated mainly through long-term supply agreements. These agreements do not have a stated maturity date, but may be terminated by either party with a two</w:t>
      </w:r>
      <w:r>
        <w:rPr>
          <w:rFonts w:ascii="Times New Roman" w:hAnsi="Times New Roman"/>
          <w:color w:val="000000"/>
          <w:sz w:val="20"/>
        </w:rPr>
        <w:t xml:space="preserve"> </w:t>
      </w:r>
      <w:r>
        <w:rPr>
          <w:rFonts w:ascii="Arial" w:hAnsi="Arial"/>
          <w:color w:val="000000"/>
          <w:sz w:val="20"/>
        </w:rPr>
        <w:t>to three-year</w:t>
      </w:r>
      <w:r>
        <w:rPr>
          <w:rFonts w:ascii="Times New Roman" w:hAnsi="Times New Roman"/>
          <w:color w:val="000000"/>
          <w:sz w:val="20"/>
        </w:rPr>
        <w:t xml:space="preserve"> </w:t>
      </w:r>
      <w:r>
        <w:rPr>
          <w:rFonts w:ascii="Arial" w:hAnsi="Arial"/>
          <w:color w:val="000000"/>
          <w:sz w:val="20"/>
        </w:rPr>
        <w:t>notice period. We invoice customers upon shipment, and our collection terms range from 30</w:t>
      </w:r>
      <w:r>
        <w:rPr>
          <w:rFonts w:ascii="Times New Roman" w:hAnsi="Times New Roman"/>
          <w:color w:val="000000"/>
          <w:sz w:val="20"/>
        </w:rPr>
        <w:t xml:space="preserve"> </w:t>
      </w:r>
      <w:r>
        <w:rPr>
          <w:rFonts w:ascii="Arial" w:hAnsi="Arial"/>
          <w:color w:val="000000"/>
          <w:sz w:val="20"/>
        </w:rPr>
        <w:t>to 75</w:t>
      </w:r>
      <w:r>
        <w:rPr>
          <w:rFonts w:ascii="Times New Roman" w:hAnsi="Times New Roman"/>
          <w:color w:val="000000"/>
          <w:sz w:val="20"/>
        </w:rPr>
        <w:t xml:space="preserve"> </w:t>
      </w:r>
      <w:r>
        <w:rPr>
          <w:rFonts w:ascii="Arial" w:hAnsi="Arial"/>
          <w:color w:val="000000"/>
          <w:sz w:val="20"/>
        </w:rPr>
        <w:t>days. Revenue from the sale of cement, concrete, aggregates, and gypsum wallboard not related to long-term supply agreements is recognized upon shipment of the related products to customers, which is when title and ownership are transferred, and the customer is obligated to pay.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pStyle w:val="TextBody"/>
        <w:bidi w:val="0"/>
        <w:spacing w:before="120" w:after="283"/>
        <w:jc w:val="left"/>
        <w:rPr>
          <w:rFonts w:ascii="Times New Roman" w:hAnsi="Times New Roman"/>
          <w:sz w:val="20"/>
        </w:rPr>
      </w:pPr>
      <w:r>
        <w:rPr>
          <w:rFonts w:ascii="Arial" w:hAnsi="Arial"/>
          <w:color w:val="000000"/>
          <w:sz w:val="20"/>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billed to the customer are recorded as Revenue, while costs we incur for shipping and handling are recorded as expenses and included in Cost of Goods Sold.</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pStyle w:val="TextBody"/>
        <w:bidi w:val="0"/>
        <w:spacing w:before="120" w:after="283"/>
        <w:jc w:val="left"/>
        <w:rPr>
          <w:rFonts w:ascii="Times New Roman" w:hAnsi="Times New Roman"/>
          <w:sz w:val="20"/>
        </w:rPr>
      </w:pPr>
      <w:r>
        <w:rPr>
          <w:rFonts w:ascii="Arial" w:hAnsi="Arial"/>
          <w:color w:val="000000"/>
          <w:sz w:val="20"/>
        </w:rPr>
        <w:t>See Footnote (N) to the Unaudited Consolidated Financial Statements for disaggregation of revenue by segment.</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2"/>
        </w:rPr>
        <w:t>(E) ACCOUNTS AND NOTES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Accounts Receivable are shown net of the allowance for credit losses totaling $7.0</w:t>
      </w:r>
      <w:r>
        <w:rPr>
          <w:rFonts w:ascii="Times New Roman" w:hAnsi="Times New Roman"/>
          <w:color w:val="000000"/>
          <w:sz w:val="20"/>
        </w:rPr>
        <w:t xml:space="preserve"> </w:t>
      </w:r>
      <w:r>
        <w:rPr>
          <w:rFonts w:ascii="Arial" w:hAnsi="Arial"/>
          <w:color w:val="000000"/>
          <w:sz w:val="20"/>
        </w:rPr>
        <w:t>million and $6.9</w:t>
      </w:r>
      <w:r>
        <w:rPr>
          <w:rFonts w:ascii="Times New Roman" w:hAnsi="Times New Roman"/>
          <w:color w:val="000000"/>
          <w:sz w:val="20"/>
        </w:rPr>
        <w:t xml:space="preserve"> </w:t>
      </w:r>
      <w:r>
        <w:rPr>
          <w:rFonts w:ascii="Arial" w:hAnsi="Arial"/>
          <w:color w:val="000000"/>
          <w:sz w:val="20"/>
        </w:rPr>
        <w:t>million at December 31, 2023, and March 31, 2023, respectively. We perform ongoing credit evaluations of our customers’ financial condition and generally require no collateral from our customers. The allowance for credit losses is based upon an analysis of economic trends in the construction industry, detailed analysis of the expected collectability of accounts receivable that are past due, and the expected collectability of overall receivables. We have no significant credit risk concentration among our diversified customer base.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2"/>
        </w:rPr>
        <w:t>(F) INVENTORIES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are converted to tonnage using standard inventory density factors. Inventories consist of the following: </w:t>
      </w:r>
    </w:p>
    <w:p>
      <w:pPr>
        <w:pStyle w:val="TextBody"/>
        <w:bidi w:val="0"/>
        <w:jc w:val="left"/>
        <w:rPr/>
      </w:pPr>
      <w:r>
        <w:rPr/>
        <w:t> </w:t>
      </w:r>
    </w:p>
    <w:tbl>
      <w:tblPr>
        <w:tblW w:w="4907" w:type="dxa"/>
        <w:jc w:val="left"/>
        <w:tblInd w:w="0" w:type="dxa"/>
        <w:tblLayout w:type="fixed"/>
        <w:tblCellMar>
          <w:top w:w="28" w:type="dxa"/>
          <w:left w:w="28" w:type="dxa"/>
          <w:bottom w:w="28" w:type="dxa"/>
          <w:right w:w="28" w:type="dxa"/>
        </w:tblCellMar>
      </w:tblPr>
      <w:tblGrid>
        <w:gridCol w:w="2671"/>
        <w:gridCol w:w="146"/>
        <w:gridCol w:w="191"/>
        <w:gridCol w:w="634"/>
        <w:gridCol w:w="146"/>
        <w:gridCol w:w="146"/>
        <w:gridCol w:w="181"/>
        <w:gridCol w:w="60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5"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December 31,</w:t>
            </w:r>
          </w:p>
        </w:tc>
        <w:tc>
          <w:tcPr>
            <w:tcW w:w="146" w:type="dxa"/>
            <w:tcBorders/>
            <w:shd w:fill="004483" w:val="clear"/>
            <w:vAlign w:val="center"/>
          </w:tcPr>
          <w:p>
            <w:pPr>
              <w:pStyle w:val="TableContents"/>
              <w:bidi w:val="0"/>
              <w:spacing w:before="0" w:after="283"/>
              <w:jc w:val="right"/>
              <w:rPr/>
            </w:pPr>
            <w:r>
              <w:rPr/>
              <w:t> </w:t>
            </w:r>
          </w:p>
        </w:tc>
        <w:tc>
          <w:tcPr>
            <w:tcW w:w="146" w:type="dxa"/>
            <w:tcBorders/>
            <w:shd w:fill="004483" w:val="clear"/>
            <w:vAlign w:val="center"/>
          </w:tcPr>
          <w:p>
            <w:pPr>
              <w:pStyle w:val="TableContents"/>
              <w:bidi w:val="0"/>
              <w:spacing w:before="0" w:after="283"/>
              <w:jc w:val="right"/>
              <w:rPr/>
            </w:pPr>
            <w:r>
              <w:rPr/>
              <w:t> </w:t>
            </w:r>
          </w:p>
        </w:tc>
        <w:tc>
          <w:tcPr>
            <w:tcW w:w="782"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March 31,</w:t>
            </w:r>
          </w:p>
        </w:tc>
        <w:tc>
          <w:tcPr>
            <w:tcW w:w="191" w:type="dxa"/>
            <w:tcBorders/>
            <w:shd w:fill="004483" w:val="clear"/>
            <w:vAlign w:val="center"/>
          </w:tcPr>
          <w:p>
            <w:pPr>
              <w:pStyle w:val="TableContents"/>
              <w:bidi w:val="0"/>
              <w:spacing w:before="0" w:after="283"/>
              <w:jc w:val="right"/>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5"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91" w:type="dxa"/>
            <w:tcBorders/>
            <w:shd w:fill="FFFFFF" w:val="clear"/>
            <w:vAlign w:val="center"/>
          </w:tcPr>
          <w:p>
            <w:pPr>
              <w:pStyle w:val="TableContents"/>
              <w:bidi w:val="0"/>
              <w:spacing w:before="0" w:after="283"/>
              <w:jc w:val="right"/>
              <w:rPr/>
            </w:pPr>
            <w:r>
              <w:rPr/>
              <w:t> </w:t>
            </w:r>
          </w:p>
        </w:tc>
      </w:tr>
      <w:tr>
        <w:trPr/>
        <w:tc>
          <w:tcPr>
            <w:tcW w:w="267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899"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Raw Materials and Materials-in-Progress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104,465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96,880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Finished Cement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46,364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Aggregates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8,309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Gypsum Wallboard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4,244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Recycled Paperboard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8,651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Repair Parts and Supplies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123,555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112,885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Fuel and Coal</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19,094</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14,549</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333,828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0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291,882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0" w:after="283"/>
        <w:jc w:val="both"/>
        <w:rPr>
          <w:rFonts w:ascii="Times New Roman" w:hAnsi="Times New Roman"/>
          <w:sz w:val="20"/>
        </w:rPr>
      </w:pPr>
      <w:r>
        <w:rPr>
          <w:rFonts w:ascii="Arial" w:hAnsi="Arial"/>
          <w:b/>
          <w:color w:val="000000"/>
          <w:sz w:val="22"/>
        </w:rPr>
        <w:t>(G) 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Accrued Expenses consist of the following:</w:t>
      </w:r>
      <w:r>
        <w:rPr>
          <w:rFonts w:ascii="Times New Roman" w:hAnsi="Times New Roman"/>
          <w:color w:val="000000"/>
          <w:sz w:val="20"/>
        </w:rPr>
        <w:t xml:space="preserve"> </w:t>
      </w:r>
    </w:p>
    <w:tbl>
      <w:tblPr>
        <w:tblW w:w="4547" w:type="dxa"/>
        <w:jc w:val="left"/>
        <w:tblInd w:w="0" w:type="dxa"/>
        <w:tblLayout w:type="fixed"/>
        <w:tblCellMar>
          <w:top w:w="28" w:type="dxa"/>
          <w:left w:w="28" w:type="dxa"/>
          <w:bottom w:w="28" w:type="dxa"/>
          <w:right w:w="28" w:type="dxa"/>
        </w:tblCellMar>
      </w:tblPr>
      <w:tblGrid>
        <w:gridCol w:w="2386"/>
        <w:gridCol w:w="146"/>
        <w:gridCol w:w="211"/>
        <w:gridCol w:w="614"/>
        <w:gridCol w:w="146"/>
        <w:gridCol w:w="146"/>
        <w:gridCol w:w="181"/>
        <w:gridCol w:w="52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December 31,</w:t>
            </w:r>
          </w:p>
        </w:tc>
        <w:tc>
          <w:tcPr>
            <w:tcW w:w="146" w:type="dxa"/>
            <w:tcBorders/>
            <w:shd w:fill="004483" w:val="clear"/>
            <w:vAlign w:val="center"/>
          </w:tcPr>
          <w:p>
            <w:pPr>
              <w:pStyle w:val="TableContents"/>
              <w:bidi w:val="0"/>
              <w:spacing w:before="0" w:after="283"/>
              <w:jc w:val="right"/>
              <w:rPr/>
            </w:pPr>
            <w:r>
              <w:rPr/>
              <w:t> </w:t>
            </w:r>
          </w:p>
        </w:tc>
        <w:tc>
          <w:tcPr>
            <w:tcW w:w="146" w:type="dxa"/>
            <w:tcBorders/>
            <w:shd w:fill="004483" w:val="clear"/>
            <w:vAlign w:val="center"/>
          </w:tcPr>
          <w:p>
            <w:pPr>
              <w:pStyle w:val="TableContents"/>
              <w:bidi w:val="0"/>
              <w:spacing w:before="0" w:after="283"/>
              <w:jc w:val="right"/>
              <w:rPr/>
            </w:pPr>
            <w:r>
              <w:rPr/>
              <w:t> </w:t>
            </w:r>
          </w:p>
        </w:tc>
        <w:tc>
          <w:tcPr>
            <w:tcW w:w="707"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March 31,</w:t>
            </w:r>
          </w:p>
        </w:tc>
        <w:tc>
          <w:tcPr>
            <w:tcW w:w="191" w:type="dxa"/>
            <w:tcBorders/>
            <w:shd w:fill="004483" w:val="clear"/>
            <w:vAlign w:val="center"/>
          </w:tcPr>
          <w:p>
            <w:pPr>
              <w:pStyle w:val="TableContents"/>
              <w:bidi w:val="0"/>
              <w:spacing w:before="0" w:after="283"/>
              <w:jc w:val="right"/>
              <w:rPr/>
            </w:pPr>
            <w:r>
              <w:rPr/>
              <w:t> </w:t>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91" w:type="dxa"/>
            <w:tcBorders/>
            <w:shd w:fill="FFFFFF" w:val="clear"/>
            <w:vAlign w:val="center"/>
          </w:tcPr>
          <w:p>
            <w:pPr>
              <w:pStyle w:val="TableContents"/>
              <w:bidi w:val="0"/>
              <w:spacing w:before="0" w:after="283"/>
              <w:jc w:val="right"/>
              <w:rPr/>
            </w:pPr>
            <w:r>
              <w:rPr/>
              <w:t> </w:t>
            </w:r>
          </w:p>
        </w:tc>
      </w:tr>
      <w:tr>
        <w:trPr/>
        <w:tc>
          <w:tcPr>
            <w:tcW w:w="238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824"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Payroll and Incentive Compensation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39,703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32,742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Benefits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16,130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Dividends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9,186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Interest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7,163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Property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6,671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Power and Fuel</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Freight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Legal and Professional</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Sales and Use Tax</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Other</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4,130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6,723</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88,178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2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86,472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2"/>
        </w:rPr>
      </w:pPr>
      <w:r>
        <w:rPr>
          <w:rFonts w:ascii="Arial" w:hAnsi="Arial"/>
          <w:b/>
          <w:color w:val="000000"/>
          <w:sz w:val="22"/>
        </w:rPr>
        <w:t>(H) LEASES</w:t>
      </w:r>
    </w:p>
    <w:p>
      <w:pPr>
        <w:pStyle w:val="TextBody"/>
        <w:bidi w:val="0"/>
        <w:spacing w:before="120" w:after="283"/>
        <w:jc w:val="left"/>
        <w:rPr>
          <w:rFonts w:ascii="Times New Roman" w:hAnsi="Times New Roman"/>
          <w:sz w:val="20"/>
        </w:rPr>
      </w:pPr>
      <w:r>
        <w:rPr>
          <w:rFonts w:ascii="Arial" w:hAnsi="Arial"/>
          <w:color w:val="000000"/>
          <w:sz w:val="20"/>
        </w:rPr>
        <w:t>We lease certain real estate, buildings, and equipment. Certain of these leases contain escalations of rent over the term of the lease, as well as options for us to extend the term of the lease at the end of the original term. These extensions range from periods of 1</w:t>
      </w:r>
      <w:r>
        <w:rPr>
          <w:rFonts w:ascii="Times New Roman" w:hAnsi="Times New Roman"/>
          <w:color w:val="000000"/>
          <w:sz w:val="20"/>
        </w:rPr>
        <w:t xml:space="preserve"> </w:t>
      </w:r>
      <w:r>
        <w:rPr>
          <w:rFonts w:ascii="Arial" w:hAnsi="Arial"/>
          <w:color w:val="000000"/>
          <w:sz w:val="20"/>
        </w:rPr>
        <w:t>to 20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which are not recorded on the balance sheet.</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Lease expense for our operating and short-term leases is as follows:</w:t>
      </w:r>
    </w:p>
    <w:tbl>
      <w:tblPr>
        <w:tblW w:w="6942" w:type="dxa"/>
        <w:jc w:val="left"/>
        <w:tblInd w:w="0" w:type="dxa"/>
        <w:tblLayout w:type="fixed"/>
        <w:tblCellMar>
          <w:top w:w="28" w:type="dxa"/>
          <w:left w:w="28" w:type="dxa"/>
          <w:bottom w:w="28" w:type="dxa"/>
          <w:right w:w="28" w:type="dxa"/>
        </w:tblCellMar>
      </w:tblPr>
      <w:tblGrid>
        <w:gridCol w:w="1561"/>
        <w:gridCol w:w="146"/>
        <w:gridCol w:w="281"/>
        <w:gridCol w:w="700"/>
        <w:gridCol w:w="226"/>
        <w:gridCol w:w="226"/>
        <w:gridCol w:w="281"/>
        <w:gridCol w:w="700"/>
        <w:gridCol w:w="146"/>
        <w:gridCol w:w="146"/>
        <w:gridCol w:w="272"/>
        <w:gridCol w:w="678"/>
        <w:gridCol w:w="219"/>
        <w:gridCol w:w="219"/>
        <w:gridCol w:w="272"/>
        <w:gridCol w:w="678"/>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4"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 December 31,</w:t>
            </w:r>
          </w:p>
        </w:tc>
        <w:tc>
          <w:tcPr>
            <w:tcW w:w="146" w:type="dxa"/>
            <w:tcBorders/>
            <w:shd w:fill="004483"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8"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191" w:type="dxa"/>
            <w:tcBorders/>
            <w:shd w:fill="004483" w:val="cle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1" w:type="dxa"/>
            <w:gridSpan w:val="2"/>
            <w:tcBorders>
              <w:top w:val="single" w:sz="4" w:space="0" w:color="A6A6A6"/>
            </w:tcBorders>
            <w:shd w:fill="FFFFFF" w:val="clear"/>
            <w:tcMar>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right"/>
              <w:rPr/>
            </w:pPr>
            <w:r>
              <w:rPr/>
              <w:t> </w:t>
            </w:r>
          </w:p>
        </w:tc>
        <w:tc>
          <w:tcPr>
            <w:tcW w:w="981"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50" w:type="dxa"/>
            <w:gridSpan w:val="2"/>
            <w:tcBorders>
              <w:top w:val="single" w:sz="4" w:space="0" w:color="A6A6A6"/>
            </w:tcBorders>
            <w:shd w:fill="FFFFFF" w:val="clear"/>
            <w:tcMar>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2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right"/>
              <w:rPr/>
            </w:pPr>
            <w:r>
              <w:rPr/>
              <w:t> </w:t>
            </w:r>
          </w:p>
        </w:tc>
        <w:tc>
          <w:tcPr>
            <w:tcW w:w="950"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91" w:type="dxa"/>
            <w:tcBorders/>
            <w:shd w:fill="FFFFFF" w:val="clear"/>
            <w:vAlign w:val="center"/>
          </w:tcPr>
          <w:p>
            <w:pPr>
              <w:pStyle w:val="TableContents"/>
              <w:bidi w:val="0"/>
              <w:spacing w:before="0" w:after="283"/>
              <w:jc w:val="right"/>
              <w:rPr/>
            </w:pPr>
            <w:r>
              <w:rPr/>
              <w:t> </w:t>
            </w:r>
          </w:p>
        </w:tc>
      </w:tr>
      <w:tr>
        <w:trPr/>
        <w:tc>
          <w:tcPr>
            <w:tcW w:w="156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5044" w:type="dxa"/>
            <w:gridSpan w:val="14"/>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Operating Lease Cost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1,921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6,148</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5,351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Short-term Lease Cost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187</w:t>
            </w:r>
          </w:p>
        </w:tc>
        <w:tc>
          <w:tcPr>
            <w:tcW w:w="2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601</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410</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Total Lease Cost</w:t>
            </w:r>
          </w:p>
        </w:tc>
        <w:tc>
          <w:tcPr>
            <w:tcW w:w="146" w:type="dxa"/>
            <w:tcBorders/>
            <w:shd w:fill="FFFFFF" w:val="clear"/>
            <w:vAlign w:val="center"/>
          </w:tcPr>
          <w:p>
            <w:pPr>
              <w:pStyle w:val="TableContents"/>
              <w:bidi w:val="0"/>
              <w:spacing w:before="0" w:after="283"/>
              <w:jc w:val="right"/>
              <w:rPr/>
            </w:pPr>
            <w:r>
              <w:rPr/>
              <w:t> </w:t>
            </w:r>
          </w:p>
        </w:tc>
        <w:tc>
          <w:tcPr>
            <w:tcW w:w="2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0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2,108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0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7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6,749</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272"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7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5,761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The Right-of-Use Assets and Lease Liabilities are reflected on our Balance Sheet as follows:</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2606"/>
        <w:gridCol w:w="146"/>
        <w:gridCol w:w="211"/>
        <w:gridCol w:w="614"/>
        <w:gridCol w:w="146"/>
        <w:gridCol w:w="146"/>
        <w:gridCol w:w="181"/>
        <w:gridCol w:w="526"/>
        <w:gridCol w:w="291"/>
      </w:tblGrid>
      <w:tr>
        <w:trPr/>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December 31,</w:t>
            </w:r>
          </w:p>
        </w:tc>
        <w:tc>
          <w:tcPr>
            <w:tcW w:w="146" w:type="dxa"/>
            <w:tcBorders/>
            <w:shd w:fill="004483" w:val="clear"/>
            <w:vAlign w:val="center"/>
          </w:tcPr>
          <w:p>
            <w:pPr>
              <w:pStyle w:val="TableContents"/>
              <w:bidi w:val="0"/>
              <w:spacing w:before="0" w:after="283"/>
              <w:jc w:val="right"/>
              <w:rPr/>
            </w:pPr>
            <w:r>
              <w:rPr/>
              <w:t> </w:t>
            </w:r>
          </w:p>
        </w:tc>
        <w:tc>
          <w:tcPr>
            <w:tcW w:w="146" w:type="dxa"/>
            <w:tcBorders/>
            <w:shd w:fill="004483" w:val="clear"/>
            <w:vAlign w:val="center"/>
          </w:tcPr>
          <w:p>
            <w:pPr>
              <w:pStyle w:val="TableContents"/>
              <w:bidi w:val="0"/>
              <w:spacing w:before="0" w:after="283"/>
              <w:jc w:val="right"/>
              <w:rPr/>
            </w:pPr>
            <w:r>
              <w:rPr/>
              <w:t> </w:t>
            </w:r>
          </w:p>
        </w:tc>
        <w:tc>
          <w:tcPr>
            <w:tcW w:w="707"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March 31,</w:t>
            </w:r>
          </w:p>
        </w:tc>
        <w:tc>
          <w:tcPr>
            <w:tcW w:w="291" w:type="dxa"/>
            <w:tcBorders/>
            <w:shd w:fill="004483" w:val="clear"/>
            <w:vAlign w:val="center"/>
          </w:tcPr>
          <w:p>
            <w:pPr>
              <w:pStyle w:val="TableContents"/>
              <w:bidi w:val="0"/>
              <w:spacing w:before="0" w:after="283"/>
              <w:jc w:val="right"/>
              <w:rPr/>
            </w:pPr>
            <w:r>
              <w:rPr/>
              <w:t> </w:t>
            </w:r>
          </w:p>
        </w:tc>
      </w:tr>
      <w:tr>
        <w:trPr/>
        <w:tc>
          <w:tcPr>
            <w:tcW w:w="26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5"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291" w:type="dxa"/>
            <w:tcBorders/>
            <w:shd w:fill="FFFFFF" w:val="clear"/>
            <w:vAlign w:val="center"/>
          </w:tcPr>
          <w:p>
            <w:pPr>
              <w:pStyle w:val="TableContents"/>
              <w:bidi w:val="0"/>
              <w:spacing w:before="0" w:after="283"/>
              <w:jc w:val="right"/>
              <w:rPr/>
            </w:pPr>
            <w:r>
              <w:rPr/>
              <w:t> </w:t>
            </w:r>
          </w:p>
        </w:tc>
      </w:tr>
      <w:tr>
        <w:trPr/>
        <w:tc>
          <w:tcPr>
            <w:tcW w:w="260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824"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Operating Leases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2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0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Narrow;sans-serif" w:hAnsi="Arial Narrow;sans-serif"/>
                <w:color w:val="004483"/>
                <w:sz w:val="18"/>
              </w:rPr>
            </w:pPr>
            <w:r>
              <w:rPr>
                <w:rFonts w:ascii="Arial Narrow;sans-serif" w:hAnsi="Arial Narrow;sans-serif"/>
                <w:color w:val="004483"/>
                <w:sz w:val="18"/>
              </w:rPr>
              <w:t>Operating Lease Right-of-Use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20,759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0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2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0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Narrow;sans-serif" w:hAnsi="Arial Narrow;sans-serif"/>
                <w:color w:val="004483"/>
                <w:sz w:val="18"/>
              </w:rPr>
            </w:pPr>
            <w:r>
              <w:rPr>
                <w:rFonts w:ascii="Arial Narrow;sans-serif" w:hAnsi="Arial Narrow;sans-serif"/>
                <w:color w:val="004483"/>
                <w:sz w:val="18"/>
              </w:rPr>
              <w:t>Current Operating Lease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6,009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0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Narrow;sans-serif" w:hAnsi="Arial Narrow;sans-serif"/>
                <w:color w:val="004483"/>
                <w:sz w:val="18"/>
              </w:rPr>
            </w:pPr>
            <w:r>
              <w:rPr>
                <w:rFonts w:ascii="Arial Narrow;sans-serif" w:hAnsi="Arial Narrow;sans-serif"/>
                <w:color w:val="004483"/>
                <w:sz w:val="18"/>
              </w:rPr>
              <w:t>Noncurrent Operating Lease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20,685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24,940</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6" w:type="dxa"/>
            <w:tcBorders/>
            <w:shd w:fill="FFFFFF" w:val="cle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28,902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2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30,949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color w:val="000000"/>
          <w:sz w:val="20"/>
        </w:rPr>
      </w:pPr>
      <w:r>
        <w:rPr>
          <w:rFonts w:ascii="Arial" w:hAnsi="Arial"/>
          <w:color w:val="000000"/>
          <w:sz w:val="20"/>
        </w:rPr>
        <w:t>Future payments for operating leases are as follows (dollars in thousands):</w:t>
      </w:r>
    </w:p>
    <w:tbl>
      <w:tblPr>
        <w:tblW w:w="4815" w:type="dxa"/>
        <w:jc w:val="left"/>
        <w:tblInd w:w="0" w:type="dxa"/>
        <w:tblLayout w:type="fixed"/>
        <w:tblCellMar>
          <w:top w:w="28" w:type="dxa"/>
          <w:left w:w="28" w:type="dxa"/>
          <w:bottom w:w="28" w:type="dxa"/>
          <w:right w:w="28" w:type="dxa"/>
        </w:tblCellMar>
      </w:tblPr>
      <w:tblGrid>
        <w:gridCol w:w="3676"/>
        <w:gridCol w:w="146"/>
        <w:gridCol w:w="181"/>
        <w:gridCol w:w="526"/>
        <w:gridCol w:w="28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4"/>
              </w:rPr>
            </w:pPr>
            <w:r>
              <w:rPr>
                <w:rFonts w:ascii="Arial Narrow;sans-serif" w:hAnsi="Arial Narrow;sans-serif"/>
                <w:b/>
                <w:color w:val="000000"/>
                <w:sz w:val="14"/>
              </w:rPr>
              <w:t>Fiscal Year</w:t>
            </w:r>
          </w:p>
        </w:tc>
        <w:tc>
          <w:tcPr>
            <w:tcW w:w="14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Amount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2024 (remaining three months)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2,269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2025</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8,653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2026</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4,776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2027</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3,606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2028</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2,735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Thereafter</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13,664</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Total Lease Payments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35,703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Less: Imputed Interest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(6,801</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676" w:type="dxa"/>
            <w:tcBorders/>
            <w:shd w:fill="FFFFFF" w:val="cle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Present Value of Lease Liabilities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2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28,902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Weighted-Average Remaining Lease Term (in years)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9.3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Weighted-Average Discount Rate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4.17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r>
    </w:tbl>
    <w:p>
      <w:pPr>
        <w:pStyle w:val="TextBody"/>
        <w:bidi w:val="0"/>
        <w:jc w:val="left"/>
        <w:rPr/>
      </w:pPr>
      <w:r>
        <w:rPr/>
        <w:t> </w:t>
      </w:r>
    </w:p>
    <w:p>
      <w:pPr>
        <w:pStyle w:val="TextBody"/>
        <w:bidi w:val="0"/>
        <w:spacing w:before="70" w:after="283"/>
        <w:jc w:val="both"/>
        <w:rPr>
          <w:rFonts w:ascii="Times New Roman" w:hAnsi="Times New Roman"/>
          <w:sz w:val="20"/>
        </w:rPr>
      </w:pPr>
      <w:r>
        <w:rPr>
          <w:rFonts w:ascii="Arial" w:hAnsi="Arial"/>
          <w:b/>
          <w:color w:val="000000"/>
          <w:sz w:val="22"/>
        </w:rPr>
        <w:t>(I) S</w:t>
      </w:r>
      <w:r>
        <w:rPr>
          <w:rFonts w:ascii="Arial" w:hAnsi="Arial"/>
          <w:b/>
          <w:caps/>
          <w:color w:val="000000"/>
          <w:sz w:val="22"/>
        </w:rPr>
        <w:t>hare</w:t>
      </w:r>
      <w:r>
        <w:rPr>
          <w:rFonts w:ascii="Arial" w:hAnsi="Arial"/>
          <w:b/>
          <w:color w:val="000000"/>
          <w:sz w:val="22"/>
        </w:rPr>
        <w:t>-BASED EMPLOYEE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On August 3, 2023, our stockholders approved the Eagle Materials Inc. 2023 Equity Incentive Plan (the 2023 Plan), which reserves 1,425,000</w:t>
      </w:r>
      <w:r>
        <w:rPr>
          <w:rFonts w:ascii="Times New Roman" w:hAnsi="Times New Roman"/>
          <w:color w:val="000000"/>
          <w:sz w:val="20"/>
        </w:rPr>
        <w:t xml:space="preserve"> </w:t>
      </w:r>
      <w:r>
        <w:rPr>
          <w:rFonts w:ascii="Arial" w:hAnsi="Arial"/>
          <w:color w:val="000000"/>
          <w:sz w:val="20"/>
        </w:rPr>
        <w:t>shares for future grants of stock awards. Under the terms of the 2023 Plan, we can issue equity awards, including stock options, restricted stock units, restricted stock, and stock appreciation rights, to employees of the Company, members of the Board of Directors, consultants, independent contractors, and agents of the Company. The Compensation Committee of our Board of Directors specifies grant terms for awards under the Plan.</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0"/>
          <w:u w:val="single"/>
        </w:rPr>
      </w:pPr>
      <w:r>
        <w:rPr>
          <w:rFonts w:ascii="Arial" w:hAnsi="Arial"/>
          <w:b/>
          <w:color w:val="000000"/>
          <w:sz w:val="20"/>
          <w:u w:val="single"/>
        </w:rPr>
        <w:t>Long-Term Compensation Plans</w:t>
      </w:r>
    </w:p>
    <w:p>
      <w:pPr>
        <w:pStyle w:val="TextBody"/>
        <w:bidi w:val="0"/>
        <w:spacing w:before="120" w:after="283"/>
        <w:jc w:val="left"/>
        <w:rPr>
          <w:rFonts w:ascii="Arial" w:hAnsi="Arial"/>
          <w:b/>
          <w:color w:val="000000"/>
          <w:sz w:val="20"/>
        </w:rPr>
      </w:pPr>
      <w:r>
        <w:rPr>
          <w:rFonts w:ascii="Arial" w:hAnsi="Arial"/>
          <w:b/>
          <w:color w:val="000000"/>
          <w:sz w:val="20"/>
        </w:rPr>
        <w:t>OPTIONS</w:t>
      </w:r>
    </w:p>
    <w:p>
      <w:pPr>
        <w:pStyle w:val="TextBody"/>
        <w:bidi w:val="0"/>
        <w:spacing w:before="120" w:after="240"/>
        <w:jc w:val="left"/>
        <w:rPr>
          <w:rFonts w:ascii="Times New Roman" w:hAnsi="Times New Roman"/>
          <w:sz w:val="20"/>
        </w:rPr>
      </w:pPr>
      <w:r>
        <w:rPr>
          <w:rFonts w:ascii="Arial" w:hAnsi="Arial"/>
          <w:color w:val="000000"/>
          <w:sz w:val="20"/>
        </w:rPr>
        <w:t>In May 2023, under the 2013 Amended and Restated Incentive Plan (the Prior Plan), the Compensation Committee of the Board of Directors approved the granting to certain officers and key employees an aggregate of 2,296</w:t>
      </w:r>
      <w:r>
        <w:rPr>
          <w:rFonts w:ascii="Times New Roman" w:hAnsi="Times New Roman"/>
          <w:color w:val="000000"/>
          <w:sz w:val="20"/>
        </w:rPr>
        <w:t xml:space="preserve"> </w:t>
      </w:r>
      <w:r>
        <w:rPr>
          <w:rFonts w:ascii="Arial" w:hAnsi="Arial"/>
          <w:color w:val="000000"/>
          <w:sz w:val="20"/>
        </w:rPr>
        <w:t>performance-vesting stock options that will be earned only if certain performance conditions are satisfied (the Fiscal 2024 Employee Performance Stock Option Award). The performance criteria for the Fiscal 2024 Employee Performance Stock Option Award are based upon the achievement of certain levels of return on equity (as defined in the option agreements), ranging from 10.0% to 20.0%, for the performance periods described in the table below. All stock options in each performance period will be earned if the return on equity is 20.0% or greater. If the return on equity is less than 20% but at least 10% in any performance period, the amount of stock options earned in such period will be reduced proportionately using straight-line interpolation, such that approximately 66.7% of the amount of stock options granted will be earned if the return on equity is 10.0%. If the Company does not achieve a return on equity of at least 10.0% during any performance period, all stock option awards for that performance period will be forfeited.</w:t>
      </w:r>
      <w:r>
        <w:rPr>
          <w:rFonts w:ascii="Times New Roman" w:hAnsi="Times New Roman"/>
          <w:color w:val="000000"/>
          <w:sz w:val="20"/>
        </w:rPr>
        <w:t xml:space="preserve"> </w:t>
      </w:r>
      <w:r>
        <w:rPr>
          <w:rFonts w:ascii="Arial" w:hAnsi="Arial"/>
          <w:color w:val="000000"/>
          <w:sz w:val="20"/>
        </w:rPr>
        <w:t>The stock option performance periods are as follows:</w:t>
      </w:r>
    </w:p>
    <w:tbl>
      <w:tblPr>
        <w:tblW w:w="6254" w:type="dxa"/>
        <w:jc w:val="left"/>
        <w:tblInd w:w="0" w:type="dxa"/>
        <w:tblLayout w:type="fixed"/>
        <w:tblCellMar>
          <w:top w:w="28" w:type="dxa"/>
          <w:left w:w="28" w:type="dxa"/>
          <w:bottom w:w="28" w:type="dxa"/>
          <w:right w:w="28" w:type="dxa"/>
        </w:tblCellMar>
      </w:tblPr>
      <w:tblGrid>
        <w:gridCol w:w="2176"/>
        <w:gridCol w:w="146"/>
        <w:gridCol w:w="146"/>
        <w:gridCol w:w="451"/>
        <w:gridCol w:w="146"/>
        <w:gridCol w:w="146"/>
        <w:gridCol w:w="2086"/>
        <w:gridCol w:w="146"/>
        <w:gridCol w:w="81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17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597"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Options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208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Performance Period</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Vesting Date</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One-Year Performance Shares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4483"/>
                <w:sz w:val="18"/>
              </w:rPr>
            </w:pPr>
            <w:r>
              <w:rPr>
                <w:rFonts w:ascii="Arial Narrow;sans-serif" w:hAnsi="Arial Narrow;sans-serif"/>
                <w:color w:val="004483"/>
                <w:sz w:val="18"/>
              </w:rPr>
              <w:t>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Narrow;sans-serif" w:hAnsi="Arial Narrow;sans-serif"/>
                <w:color w:val="004483"/>
                <w:sz w:val="18"/>
              </w:rPr>
              <w:t>April 1, 2023</w:t>
            </w:r>
            <w:r>
              <w:rPr>
                <w:rFonts w:ascii="Times New Roman" w:hAnsi="Times New Roman"/>
                <w:color w:val="004483"/>
                <w:sz w:val="20"/>
              </w:rPr>
              <w:t> </w:t>
            </w:r>
            <w:r>
              <w:rPr>
                <w:rFonts w:ascii="Arial Narrow;sans-serif" w:hAnsi="Arial Narrow;sans-serif"/>
                <w:color w:val="004483"/>
                <w:sz w:val="18"/>
              </w:rPr>
              <w:t>to March 31, 2024</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4483"/>
                <w:sz w:val="18"/>
              </w:rPr>
            </w:pPr>
            <w:r>
              <w:rPr>
                <w:rFonts w:ascii="Arial Narrow;sans-serif" w:hAnsi="Arial Narrow;sans-serif"/>
                <w:color w:val="004483"/>
                <w:sz w:val="18"/>
              </w:rPr>
              <w:t>May 2024</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Two-Year Performance Shares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4483"/>
                <w:sz w:val="18"/>
              </w:rPr>
            </w:pPr>
            <w:r>
              <w:rPr>
                <w:rFonts w:ascii="Arial Narrow;sans-serif" w:hAnsi="Arial Narrow;sans-serif"/>
                <w:color w:val="004483"/>
                <w:sz w:val="18"/>
              </w:rPr>
              <w:t>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Narrow;sans-serif" w:hAnsi="Arial Narrow;sans-serif"/>
                <w:color w:val="004483"/>
                <w:sz w:val="18"/>
              </w:rPr>
              <w:t>April 1, 2023</w:t>
            </w:r>
            <w:r>
              <w:rPr>
                <w:rFonts w:ascii="Times New Roman" w:hAnsi="Times New Roman"/>
                <w:color w:val="004483"/>
                <w:sz w:val="20"/>
              </w:rPr>
              <w:t> </w:t>
            </w:r>
            <w:r>
              <w:rPr>
                <w:rFonts w:ascii="Arial Narrow;sans-serif" w:hAnsi="Arial Narrow;sans-serif"/>
                <w:color w:val="004483"/>
                <w:sz w:val="18"/>
              </w:rPr>
              <w:t>to March 31, 2025</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4483"/>
                <w:sz w:val="18"/>
              </w:rPr>
            </w:pPr>
            <w:r>
              <w:rPr>
                <w:rFonts w:ascii="Arial Narrow;sans-serif" w:hAnsi="Arial Narrow;sans-serif"/>
                <w:color w:val="004483"/>
                <w:sz w:val="18"/>
              </w:rPr>
              <w:t>May 2025</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Three-Year Performance Shares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4483"/>
                <w:sz w:val="18"/>
              </w:rPr>
            </w:pPr>
            <w:r>
              <w:rPr>
                <w:rFonts w:ascii="Arial Narrow;sans-serif" w:hAnsi="Arial Narrow;sans-serif"/>
                <w:color w:val="004483"/>
                <w:sz w:val="18"/>
              </w:rPr>
              <w:t>1,148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Narrow;sans-serif" w:hAnsi="Arial Narrow;sans-serif"/>
                <w:color w:val="004483"/>
                <w:sz w:val="18"/>
              </w:rPr>
              <w:t>April 1, 2023</w:t>
            </w:r>
            <w:r>
              <w:rPr>
                <w:rFonts w:ascii="Times New Roman" w:hAnsi="Times New Roman"/>
                <w:color w:val="004483"/>
                <w:sz w:val="20"/>
              </w:rPr>
              <w:t> </w:t>
            </w:r>
            <w:r>
              <w:rPr>
                <w:rFonts w:ascii="Arial Narrow;sans-serif" w:hAnsi="Arial Narrow;sans-serif"/>
                <w:color w:val="004483"/>
                <w:sz w:val="18"/>
              </w:rPr>
              <w:t>to March 31, 2026</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4483"/>
                <w:sz w:val="18"/>
              </w:rPr>
            </w:pPr>
            <w:r>
              <w:rPr>
                <w:rFonts w:ascii="Arial Narrow;sans-serif" w:hAnsi="Arial Narrow;sans-serif"/>
                <w:color w:val="004483"/>
                <w:sz w:val="18"/>
              </w:rPr>
              <w:t>May 2026</w:t>
            </w:r>
          </w:p>
        </w:tc>
      </w:tr>
    </w:tbl>
    <w:p>
      <w:pPr>
        <w:pStyle w:val="TextBody"/>
        <w:bidi w:val="0"/>
        <w:spacing w:before="120" w:after="283"/>
        <w:jc w:val="left"/>
        <w:rPr>
          <w:rFonts w:ascii="Times New Roman" w:hAnsi="Times New Roman"/>
          <w:sz w:val="20"/>
        </w:rPr>
      </w:pPr>
      <w:r>
        <w:rPr>
          <w:rFonts w:ascii="Arial" w:hAnsi="Arial"/>
          <w:color w:val="000000"/>
          <w:sz w:val="20"/>
        </w:rPr>
        <w:t>The stock options have a term of 10 years</w:t>
      </w:r>
      <w:r>
        <w:rPr>
          <w:rFonts w:ascii="Times New Roman" w:hAnsi="Times New Roman"/>
          <w:color w:val="000000"/>
          <w:sz w:val="20"/>
        </w:rPr>
        <w:t xml:space="preserve"> </w:t>
      </w:r>
      <w:r>
        <w:rPr>
          <w:rFonts w:ascii="Arial" w:hAnsi="Arial"/>
          <w:color w:val="000000"/>
          <w:sz w:val="20"/>
        </w:rPr>
        <w:t>from the grant date. The Compensation Committee also approved the granting of 1,914</w:t>
      </w:r>
      <w:r>
        <w:rPr>
          <w:rFonts w:ascii="Times New Roman" w:hAnsi="Times New Roman"/>
          <w:color w:val="000000"/>
          <w:sz w:val="20"/>
        </w:rPr>
        <w:t xml:space="preserve"> </w:t>
      </w:r>
      <w:r>
        <w:rPr>
          <w:rFonts w:ascii="Arial" w:hAnsi="Arial"/>
          <w:color w:val="000000"/>
          <w:sz w:val="20"/>
        </w:rPr>
        <w:t>time-vesting stock options to the same officers and key employees, which vest ratably over three years</w:t>
      </w:r>
      <w:r>
        <w:rPr>
          <w:rFonts w:ascii="Times New Roman" w:hAnsi="Times New Roman"/>
          <w:color w:val="000000"/>
          <w:sz w:val="20"/>
        </w:rPr>
        <w:t xml:space="preserve"> </w:t>
      </w:r>
      <w:r>
        <w:rPr>
          <w:rFonts w:ascii="Arial" w:hAnsi="Arial"/>
          <w:color w:val="000000"/>
          <w:sz w:val="20"/>
        </w:rPr>
        <w:t>(the Fiscal 2024 Employee Time-Vesting Stock Option Award).</w:t>
      </w:r>
    </w:p>
    <w:p>
      <w:pPr>
        <w:pStyle w:val="TextBody"/>
        <w:bidi w:val="0"/>
        <w:spacing w:before="120" w:after="283"/>
        <w:jc w:val="left"/>
        <w:rPr>
          <w:rFonts w:ascii="Times New Roman" w:hAnsi="Times New Roman"/>
          <w:sz w:val="20"/>
        </w:rPr>
      </w:pPr>
      <w:r>
        <w:rPr>
          <w:rFonts w:ascii="Arial" w:hAnsi="Arial"/>
          <w:color w:val="000000"/>
          <w:sz w:val="20"/>
        </w:rPr>
        <w:t>In August 2023, under the 2023 Plan, the Compensation Committee granted 1,348</w:t>
      </w:r>
      <w:r>
        <w:rPr>
          <w:rFonts w:ascii="Times New Roman" w:hAnsi="Times New Roman"/>
          <w:color w:val="000000"/>
          <w:sz w:val="20"/>
        </w:rPr>
        <w:t xml:space="preserve"> </w:t>
      </w:r>
      <w:r>
        <w:rPr>
          <w:rFonts w:ascii="Arial" w:hAnsi="Arial"/>
          <w:color w:val="000000"/>
          <w:sz w:val="20"/>
        </w:rPr>
        <w:t>options to members of the Board of Directors (the Fiscal 2024 Board of Directors Stock Option Award). Options granted under the Fiscal 2024 Board of Directors Stock Option Award vest one year after the grant date, and can be exercised from the date of vesting until their expiration on the tenth</w:t>
      </w:r>
      <w:r>
        <w:rPr>
          <w:rFonts w:ascii="Times New Roman" w:hAnsi="Times New Roman"/>
          <w:color w:val="000000"/>
          <w:sz w:val="20"/>
        </w:rPr>
        <w:t xml:space="preserve"> </w:t>
      </w:r>
      <w:r>
        <w:rPr>
          <w:rFonts w:ascii="Arial" w:hAnsi="Arial"/>
          <w:color w:val="000000"/>
          <w:sz w:val="20"/>
        </w:rPr>
        <w:t>anniversary of the grant date.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Arial" w:hAnsi="Arial"/>
          <w:color w:val="000000"/>
          <w:sz w:val="20"/>
        </w:rPr>
      </w:pPr>
      <w:r>
        <w:rPr>
          <w:rFonts w:ascii="Arial" w:hAnsi="Arial"/>
          <w:color w:val="000000"/>
          <w:sz w:val="20"/>
        </w:rPr>
        <w:t xml:space="preserve">The Fiscal 2024 Employee Performance Stock Option Award, the Fiscal 2024 Employee Time-Vesting Stock Option Award, and the Fiscal 2024 Board of Directors Stock Option Award were valued at their grant date using the Black-Scholes option pricing model. The weighted-average assumptions used in the Black-Scholes model to value the option awards for fiscal 2024 are as follows: </w:t>
      </w:r>
    </w:p>
    <w:tbl>
      <w:tblPr>
        <w:tblW w:w="2728" w:type="dxa"/>
        <w:jc w:val="left"/>
        <w:tblInd w:w="0" w:type="dxa"/>
        <w:tblLayout w:type="fixed"/>
        <w:tblCellMar>
          <w:top w:w="28" w:type="dxa"/>
          <w:left w:w="28" w:type="dxa"/>
          <w:bottom w:w="28" w:type="dxa"/>
          <w:right w:w="28" w:type="dxa"/>
        </w:tblCellMar>
      </w:tblPr>
      <w:tblGrid>
        <w:gridCol w:w="1606"/>
        <w:gridCol w:w="146"/>
        <w:gridCol w:w="193"/>
        <w:gridCol w:w="497"/>
        <w:gridCol w:w="28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Dividend Yield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0.8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1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Expected Volatility</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38.8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1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Risk-Free Interest Rate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1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Expected Life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6.0 years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In addition to the stock options described above, we issue stock options to certain employees from time to time. Any options issued are valued using the Black-Scholes options pricing model on the grant date and expensed over the vesting period.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Stock option expense for all outstanding stock option awards totaled approximately $0.5</w:t>
      </w:r>
      <w:r>
        <w:rPr>
          <w:rFonts w:ascii="Times New Roman" w:hAnsi="Times New Roman"/>
          <w:color w:val="000000"/>
          <w:sz w:val="20"/>
        </w:rPr>
        <w:t xml:space="preserve"> </w:t>
      </w:r>
      <w:r>
        <w:rPr>
          <w:rFonts w:ascii="Arial" w:hAnsi="Arial"/>
          <w:color w:val="000000"/>
          <w:sz w:val="20"/>
        </w:rPr>
        <w:t>million and $1.5</w:t>
      </w:r>
      <w:r>
        <w:rPr>
          <w:rFonts w:ascii="Times New Roman" w:hAnsi="Times New Roman"/>
          <w:color w:val="000000"/>
          <w:sz w:val="20"/>
        </w:rPr>
        <w:t xml:space="preserve"> </w:t>
      </w:r>
      <w:r>
        <w:rPr>
          <w:rFonts w:ascii="Arial" w:hAnsi="Arial"/>
          <w:color w:val="000000"/>
          <w:sz w:val="20"/>
        </w:rPr>
        <w:t>million for the three and nine months ended December 31, 2023, respectively, and $0.8</w:t>
      </w:r>
      <w:r>
        <w:rPr>
          <w:rFonts w:ascii="Times New Roman" w:hAnsi="Times New Roman"/>
          <w:color w:val="000000"/>
          <w:sz w:val="20"/>
        </w:rPr>
        <w:t xml:space="preserve"> </w:t>
      </w:r>
      <w:r>
        <w:rPr>
          <w:rFonts w:ascii="Arial" w:hAnsi="Arial"/>
          <w:color w:val="000000"/>
          <w:sz w:val="20"/>
        </w:rPr>
        <w:t>million and $2.7</w:t>
      </w:r>
      <w:r>
        <w:rPr>
          <w:rFonts w:ascii="Times New Roman" w:hAnsi="Times New Roman"/>
          <w:color w:val="000000"/>
          <w:sz w:val="20"/>
        </w:rPr>
        <w:t xml:space="preserve"> </w:t>
      </w:r>
      <w:r>
        <w:rPr>
          <w:rFonts w:ascii="Arial" w:hAnsi="Arial"/>
          <w:color w:val="000000"/>
          <w:sz w:val="20"/>
        </w:rPr>
        <w:t>million for the three and nine months ended December 31, 2022, respectively. At December 31, 2023, there was approximately $2.2</w:t>
      </w:r>
      <w:r>
        <w:rPr>
          <w:rFonts w:ascii="Times New Roman" w:hAnsi="Times New Roman"/>
          <w:color w:val="000000"/>
          <w:sz w:val="20"/>
        </w:rPr>
        <w:t xml:space="preserve"> </w:t>
      </w:r>
      <w:r>
        <w:rPr>
          <w:rFonts w:ascii="Arial" w:hAnsi="Arial"/>
          <w:color w:val="000000"/>
          <w:sz w:val="20"/>
        </w:rPr>
        <w:t>million of unrecognized compensation cost related to outstanding stock options, which is expected to be recognized over a weighted-average period of 1.9</w:t>
      </w:r>
      <w:r>
        <w:rPr>
          <w:rFonts w:ascii="Times New Roman" w:hAnsi="Times New Roman"/>
          <w:color w:val="000000"/>
          <w:sz w:val="20"/>
        </w:rPr>
        <w:t xml:space="preserve"> </w:t>
      </w:r>
      <w:r>
        <w:rPr>
          <w:rFonts w:ascii="Arial" w:hAnsi="Arial"/>
          <w:color w:val="000000"/>
          <w:sz w:val="20"/>
        </w:rPr>
        <w:t>years.</w:t>
      </w:r>
    </w:p>
    <w:p>
      <w:pPr>
        <w:pStyle w:val="TextBody"/>
        <w:bidi w:val="0"/>
        <w:spacing w:before="120" w:after="283"/>
        <w:jc w:val="left"/>
        <w:rPr>
          <w:rFonts w:ascii="Times New Roman" w:hAnsi="Times New Roman"/>
          <w:sz w:val="20"/>
        </w:rPr>
      </w:pPr>
      <w:r>
        <w:rPr>
          <w:rFonts w:ascii="Arial" w:hAnsi="Arial"/>
          <w:color w:val="000000"/>
          <w:sz w:val="20"/>
        </w:rPr>
        <w:t>The following table represents stock option activity for the nine months ended December 31, 2023:</w:t>
      </w:r>
      <w:r>
        <w:rPr>
          <w:rFonts w:ascii="Times New Roman" w:hAnsi="Times New Roman"/>
          <w:color w:val="000000"/>
          <w:sz w:val="20"/>
        </w:rPr>
        <w:t xml:space="preserve"> </w:t>
      </w:r>
    </w:p>
    <w:tbl>
      <w:tblPr>
        <w:tblW w:w="5664" w:type="dxa"/>
        <w:jc w:val="left"/>
        <w:tblInd w:w="0" w:type="dxa"/>
        <w:tblLayout w:type="fixed"/>
        <w:tblCellMar>
          <w:top w:w="28" w:type="dxa"/>
          <w:left w:w="28" w:type="dxa"/>
          <w:bottom w:w="28" w:type="dxa"/>
          <w:right w:w="28" w:type="dxa"/>
        </w:tblCellMar>
      </w:tblPr>
      <w:tblGrid>
        <w:gridCol w:w="3496"/>
        <w:gridCol w:w="146"/>
        <w:gridCol w:w="181"/>
        <w:gridCol w:w="646"/>
        <w:gridCol w:w="151"/>
        <w:gridCol w:w="146"/>
        <w:gridCol w:w="181"/>
        <w:gridCol w:w="52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Number</w:t>
              <w:br/>
              <w:t>of Shares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Weighted-</w:t>
              <w:br/>
              <w:t>Average</w:t>
              <w:br/>
              <w:t>Exercise</w:t>
              <w:br/>
              <w:t>Price</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Outstanding Options at March 31,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436,949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89.69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Granted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172.62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Exercised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(131,099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88.17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Cancelled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(1,000</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73.37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Outstanding Options at December 31,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310,408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91.86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Options Exercisable at December 31,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215,822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Weighted-Average Fair Value of Options Granted</w:t>
              <w:br/>
              <w:t>During the Year</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69.84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The following table summarizes information about stock options outstanding at December 31, 2023:</w:t>
      </w:r>
      <w:r>
        <w:rPr>
          <w:rFonts w:ascii="Times New Roman" w:hAnsi="Times New Roman"/>
          <w:color w:val="000000"/>
          <w:sz w:val="20"/>
        </w:rPr>
        <w:t xml:space="preserve"> </w:t>
      </w:r>
    </w:p>
    <w:p>
      <w:pPr>
        <w:pStyle w:val="TextBody"/>
        <w:bidi w:val="0"/>
        <w:jc w:val="left"/>
        <w:rPr/>
      </w:pPr>
      <w:r>
        <w:rPr/>
        <w:t> </w:t>
      </w:r>
    </w:p>
    <w:tbl>
      <w:tblPr>
        <w:tblW w:w="6732" w:type="dxa"/>
        <w:jc w:val="left"/>
        <w:tblInd w:w="0" w:type="dxa"/>
        <w:tblLayout w:type="fixed"/>
        <w:tblCellMar>
          <w:top w:w="28" w:type="dxa"/>
          <w:left w:w="28" w:type="dxa"/>
          <w:bottom w:w="28" w:type="dxa"/>
          <w:right w:w="28" w:type="dxa"/>
        </w:tblCellMar>
      </w:tblPr>
      <w:tblGrid>
        <w:gridCol w:w="1441"/>
        <w:gridCol w:w="146"/>
        <w:gridCol w:w="152"/>
        <w:gridCol w:w="629"/>
        <w:gridCol w:w="146"/>
        <w:gridCol w:w="146"/>
        <w:gridCol w:w="226"/>
        <w:gridCol w:w="584"/>
        <w:gridCol w:w="146"/>
        <w:gridCol w:w="146"/>
        <w:gridCol w:w="181"/>
        <w:gridCol w:w="526"/>
        <w:gridCol w:w="146"/>
        <w:gridCol w:w="146"/>
        <w:gridCol w:w="152"/>
        <w:gridCol w:w="629"/>
        <w:gridCol w:w="146"/>
        <w:gridCol w:w="146"/>
        <w:gridCol w:w="181"/>
        <w:gridCol w:w="526"/>
        <w:gridCol w:w="1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82" w:type="dxa"/>
            <w:gridSpan w:val="10"/>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Options Outstanding</w:t>
            </w:r>
          </w:p>
        </w:tc>
        <w:tc>
          <w:tcPr>
            <w:tcW w:w="146" w:type="dxa"/>
            <w:tcBorders/>
            <w:shd w:fill="004483"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0"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Options Exercisable</w:t>
            </w:r>
          </w:p>
        </w:tc>
        <w:tc>
          <w:tcPr>
            <w:tcW w:w="191" w:type="dxa"/>
            <w:tcBorders/>
            <w:shd w:fill="004483" w:val="clear"/>
            <w:vAlign w:val="center"/>
          </w:tcPr>
          <w:p>
            <w:pPr>
              <w:pStyle w:val="TableContents"/>
              <w:bidi w:val="0"/>
              <w:spacing w:before="0" w:after="283"/>
              <w:jc w:val="center"/>
              <w:rPr/>
            </w:pPr>
            <w:r>
              <w:rPr/>
              <w:t> </w:t>
            </w:r>
          </w:p>
        </w:tc>
      </w:tr>
      <w:tr>
        <w:trPr/>
        <w:tc>
          <w:tcPr>
            <w:tcW w:w="144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4"/>
              </w:rPr>
            </w:pPr>
            <w:r>
              <w:rPr>
                <w:rFonts w:ascii="Arial Narrow;sans-serif" w:hAnsi="Arial Narrow;sans-serif"/>
                <w:b/>
                <w:color w:val="000000"/>
                <w:sz w:val="14"/>
              </w:rPr>
              <w:t>Range of Exercise Prices</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Number of</w:t>
              <w:br/>
              <w:t>Shares</w:t>
              <w:br/>
              <w:t>Outstanding</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Weighted-</w:t>
              <w:br/>
              <w:t>Average</w:t>
              <w:br/>
              <w:t>Remaining</w:t>
              <w:br/>
              <w:t>Contractual</w:t>
              <w:br/>
              <w:t>Life (in years)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Weighted-</w:t>
              <w:br/>
              <w:t>Average</w:t>
              <w:br/>
              <w:t>Exercise</w:t>
              <w:br/>
              <w:t>Price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Number of</w:t>
              <w:br/>
              <w:t>Shares</w:t>
              <w:br/>
              <w:t>Outstanding</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Weighted-</w:t>
              <w:br/>
              <w:t>Average</w:t>
              <w:br/>
              <w:t>Exercise</w:t>
              <w:br/>
              <w:t>Price</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4483"/>
                <w:sz w:val="18"/>
              </w:rPr>
              <w:t>$59.32</w:t>
            </w:r>
            <w:r>
              <w:rPr>
                <w:rFonts w:ascii="Times New Roman" w:hAnsi="Times New Roman"/>
                <w:color w:val="004483"/>
                <w:sz w:val="20"/>
              </w:rPr>
              <w:t> </w:t>
            </w:r>
            <w:r>
              <w:rPr>
                <w:rFonts w:ascii="Arial Narrow;sans-serif" w:hAnsi="Arial Narrow;sans-serif"/>
                <w:color w:val="004483"/>
                <w:sz w:val="18"/>
              </w:rPr>
              <w:t>- $81.28</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113,490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71,086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63.67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4483"/>
                <w:sz w:val="18"/>
              </w:rPr>
              <w:t>$87.37</w:t>
            </w:r>
            <w:r>
              <w:rPr>
                <w:rFonts w:ascii="Times New Roman" w:hAnsi="Times New Roman"/>
                <w:color w:val="004483"/>
                <w:sz w:val="20"/>
              </w:rPr>
              <w:t> </w:t>
            </w:r>
            <w:r>
              <w:rPr>
                <w:rFonts w:ascii="Arial Narrow;sans-serif" w:hAnsi="Arial Narrow;sans-serif"/>
                <w:color w:val="004483"/>
                <w:sz w:val="18"/>
              </w:rPr>
              <w:t>- $106.24</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125,721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122,005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95.72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4483"/>
                <w:sz w:val="18"/>
              </w:rPr>
              <w:t>$118.27</w:t>
            </w:r>
            <w:r>
              <w:rPr>
                <w:rFonts w:ascii="Times New Roman" w:hAnsi="Times New Roman"/>
                <w:color w:val="004483"/>
                <w:sz w:val="20"/>
              </w:rPr>
              <w:t> </w:t>
            </w:r>
            <w:r>
              <w:rPr>
                <w:rFonts w:ascii="Arial Narrow;sans-serif" w:hAnsi="Arial Narrow;sans-serif"/>
                <w:color w:val="004483"/>
                <w:sz w:val="18"/>
              </w:rPr>
              <w:t>- $166.75</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71,197</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22,731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130.79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310,408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91.86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215,822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88.86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At December 31, 2023, the aggregate intrinsic value of the outstanding and exercisable options was approximately $34.4</w:t>
      </w:r>
      <w:r>
        <w:rPr>
          <w:rFonts w:ascii="Times New Roman" w:hAnsi="Times New Roman"/>
          <w:color w:val="000000"/>
          <w:sz w:val="20"/>
        </w:rPr>
        <w:t xml:space="preserve"> </w:t>
      </w:r>
      <w:r>
        <w:rPr>
          <w:rFonts w:ascii="Arial" w:hAnsi="Arial"/>
          <w:color w:val="000000"/>
          <w:sz w:val="20"/>
        </w:rPr>
        <w:t>million and $24.6</w:t>
      </w:r>
      <w:r>
        <w:rPr>
          <w:rFonts w:ascii="Times New Roman" w:hAnsi="Times New Roman"/>
          <w:color w:val="000000"/>
          <w:sz w:val="20"/>
        </w:rPr>
        <w:t xml:space="preserve"> </w:t>
      </w:r>
      <w:r>
        <w:rPr>
          <w:rFonts w:ascii="Arial" w:hAnsi="Arial"/>
          <w:color w:val="000000"/>
          <w:sz w:val="20"/>
        </w:rPr>
        <w:t>million, respectively. The total intrinsic value of options exercised during the nine months ended December 31, 2023, was approximately $10.6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RESTRICTED STOCK</w:t>
      </w:r>
    </w:p>
    <w:p>
      <w:pPr>
        <w:pStyle w:val="TextBody"/>
        <w:bidi w:val="0"/>
        <w:spacing w:before="120" w:after="240"/>
        <w:jc w:val="left"/>
        <w:rPr>
          <w:rFonts w:ascii="Times New Roman" w:hAnsi="Times New Roman"/>
          <w:sz w:val="20"/>
        </w:rPr>
      </w:pPr>
      <w:r>
        <w:rPr>
          <w:rFonts w:ascii="Arial" w:hAnsi="Arial"/>
          <w:color w:val="000000"/>
          <w:sz w:val="20"/>
        </w:rPr>
        <w:t>In May 2023, under the Prior Plan, the Compensation Committee approved the granting to certain officers and key employees an aggregate of 45,693</w:t>
      </w:r>
      <w:r>
        <w:rPr>
          <w:rFonts w:ascii="Times New Roman" w:hAnsi="Times New Roman"/>
          <w:color w:val="000000"/>
          <w:sz w:val="20"/>
        </w:rPr>
        <w:t xml:space="preserve"> </w:t>
      </w:r>
      <w:r>
        <w:rPr>
          <w:rFonts w:ascii="Arial" w:hAnsi="Arial"/>
          <w:color w:val="000000"/>
          <w:sz w:val="20"/>
        </w:rPr>
        <w:t xml:space="preserve">shares of performance-vesting restricted stock that will be earned if certain performance conditions are satisfied (the Fiscal 2024 Employee Restricted Stock Performance Award). The performance criteria for the Fiscal 2024 Employee Restricted Stock Performance Award are based upon the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sz w:val="20"/>
        </w:rPr>
      </w:pPr>
      <w:r>
        <w:rPr>
          <w:rFonts w:ascii="Arial" w:hAnsi="Arial"/>
          <w:color w:val="000000"/>
          <w:sz w:val="20"/>
        </w:rPr>
        <w:t>achievement of certain levels of return on equity (as defined in the award agreement), ranging from 10.0% to 20.0%, for the performance periods described in the table below. All restricted shares in each performance period will be earned if the return on equity is 20.0% or greater. If the return on equity is less than 20% but at least 10% in any performance period, the amount of shares earned in such period will be reduced proportionately using straight-line interpolation, such that approximately 66.7% of the amount of shares issued will be earned if the return on equity is 10.0%. If the Company does not achieve a return on equity of at least 10.0% during any performance period, all awards for that performance period will be forfeited.</w:t>
      </w:r>
      <w:r>
        <w:rPr>
          <w:rFonts w:ascii="Times New Roman" w:hAnsi="Times New Roman"/>
          <w:color w:val="000000"/>
          <w:sz w:val="20"/>
        </w:rPr>
        <w:t xml:space="preserve"> </w:t>
      </w:r>
      <w:r>
        <w:rPr>
          <w:rFonts w:ascii="Arial" w:hAnsi="Arial"/>
          <w:color w:val="000000"/>
          <w:sz w:val="20"/>
        </w:rPr>
        <w:t>The restricted share performance periods are as follows:</w:t>
      </w:r>
    </w:p>
    <w:tbl>
      <w:tblPr>
        <w:tblW w:w="6329" w:type="dxa"/>
        <w:jc w:val="left"/>
        <w:tblInd w:w="0" w:type="dxa"/>
        <w:tblLayout w:type="fixed"/>
        <w:tblCellMar>
          <w:top w:w="28" w:type="dxa"/>
          <w:left w:w="28" w:type="dxa"/>
          <w:bottom w:w="28" w:type="dxa"/>
          <w:right w:w="28" w:type="dxa"/>
        </w:tblCellMar>
      </w:tblPr>
      <w:tblGrid>
        <w:gridCol w:w="2176"/>
        <w:gridCol w:w="146"/>
        <w:gridCol w:w="146"/>
        <w:gridCol w:w="526"/>
        <w:gridCol w:w="146"/>
        <w:gridCol w:w="146"/>
        <w:gridCol w:w="2086"/>
        <w:gridCol w:w="146"/>
        <w:gridCol w:w="81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17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208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Performance Period</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Vesting Date</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One-Year Performance Shares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4483"/>
                <w:sz w:val="18"/>
              </w:rPr>
            </w:pPr>
            <w:r>
              <w:rPr>
                <w:rFonts w:ascii="Arial Narrow;sans-serif" w:hAnsi="Arial Narrow;sans-serif"/>
                <w:color w:val="004483"/>
                <w:sz w:val="18"/>
              </w:rPr>
              <w:t>11,424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Narrow;sans-serif" w:hAnsi="Arial Narrow;sans-serif"/>
                <w:color w:val="004483"/>
                <w:sz w:val="18"/>
              </w:rPr>
              <w:t>April 1, 2023</w:t>
            </w:r>
            <w:r>
              <w:rPr>
                <w:rFonts w:ascii="Times New Roman" w:hAnsi="Times New Roman"/>
                <w:color w:val="004483"/>
                <w:sz w:val="20"/>
              </w:rPr>
              <w:t> </w:t>
            </w:r>
            <w:r>
              <w:rPr>
                <w:rFonts w:ascii="Arial Narrow;sans-serif" w:hAnsi="Arial Narrow;sans-serif"/>
                <w:color w:val="004483"/>
                <w:sz w:val="18"/>
              </w:rPr>
              <w:t>to March 31, 2024</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4483"/>
                <w:sz w:val="18"/>
              </w:rPr>
            </w:pPr>
            <w:r>
              <w:rPr>
                <w:rFonts w:ascii="Arial Narrow;sans-serif" w:hAnsi="Arial Narrow;sans-serif"/>
                <w:color w:val="004483"/>
                <w:sz w:val="18"/>
              </w:rPr>
              <w:t>May 2024</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Two-Year Performance Shares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4483"/>
                <w:sz w:val="18"/>
              </w:rPr>
            </w:pPr>
            <w:r>
              <w:rPr>
                <w:rFonts w:ascii="Arial Narrow;sans-serif" w:hAnsi="Arial Narrow;sans-serif"/>
                <w:color w:val="004483"/>
                <w:sz w:val="18"/>
              </w:rPr>
              <w:t>11,424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Narrow;sans-serif" w:hAnsi="Arial Narrow;sans-serif"/>
                <w:color w:val="004483"/>
                <w:sz w:val="18"/>
              </w:rPr>
              <w:t>April 1, 2023</w:t>
            </w:r>
            <w:r>
              <w:rPr>
                <w:rFonts w:ascii="Times New Roman" w:hAnsi="Times New Roman"/>
                <w:color w:val="004483"/>
                <w:sz w:val="20"/>
              </w:rPr>
              <w:t> </w:t>
            </w:r>
            <w:r>
              <w:rPr>
                <w:rFonts w:ascii="Arial Narrow;sans-serif" w:hAnsi="Arial Narrow;sans-serif"/>
                <w:color w:val="004483"/>
                <w:sz w:val="18"/>
              </w:rPr>
              <w:t>to March 31, 2025</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4483"/>
                <w:sz w:val="18"/>
              </w:rPr>
            </w:pPr>
            <w:r>
              <w:rPr>
                <w:rFonts w:ascii="Arial Narrow;sans-serif" w:hAnsi="Arial Narrow;sans-serif"/>
                <w:color w:val="004483"/>
                <w:sz w:val="18"/>
              </w:rPr>
              <w:t>May 2025</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Three-Year Performance Shares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4483"/>
                <w:sz w:val="18"/>
              </w:rPr>
            </w:pPr>
            <w:r>
              <w:rPr>
                <w:rFonts w:ascii="Arial Narrow;sans-serif" w:hAnsi="Arial Narrow;sans-serif"/>
                <w:color w:val="004483"/>
                <w:sz w:val="18"/>
              </w:rPr>
              <w:t>22,845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Narrow;sans-serif" w:hAnsi="Arial Narrow;sans-serif"/>
                <w:color w:val="004483"/>
                <w:sz w:val="18"/>
              </w:rPr>
              <w:t>April 1, 2023</w:t>
            </w:r>
            <w:r>
              <w:rPr>
                <w:rFonts w:ascii="Times New Roman" w:hAnsi="Times New Roman"/>
                <w:color w:val="004483"/>
                <w:sz w:val="20"/>
              </w:rPr>
              <w:t> </w:t>
            </w:r>
            <w:r>
              <w:rPr>
                <w:rFonts w:ascii="Arial Narrow;sans-serif" w:hAnsi="Arial Narrow;sans-serif"/>
                <w:color w:val="004483"/>
                <w:sz w:val="18"/>
              </w:rPr>
              <w:t>to March 31, 2026</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4483"/>
                <w:sz w:val="18"/>
              </w:rPr>
            </w:pPr>
            <w:r>
              <w:rPr>
                <w:rFonts w:ascii="Arial Narrow;sans-serif" w:hAnsi="Arial Narrow;sans-serif"/>
                <w:color w:val="004483"/>
                <w:sz w:val="18"/>
              </w:rPr>
              <w:t>May 2026</w:t>
            </w:r>
          </w:p>
        </w:tc>
      </w:tr>
    </w:tbl>
    <w:p>
      <w:pPr>
        <w:pStyle w:val="TextBody"/>
        <w:bidi w:val="0"/>
        <w:spacing w:before="120" w:after="283"/>
        <w:jc w:val="left"/>
        <w:rPr>
          <w:rFonts w:ascii="Times New Roman" w:hAnsi="Times New Roman"/>
          <w:sz w:val="20"/>
        </w:rPr>
      </w:pPr>
      <w:r>
        <w:rPr>
          <w:rFonts w:ascii="Arial" w:hAnsi="Arial"/>
          <w:color w:val="000000"/>
          <w:sz w:val="20"/>
        </w:rPr>
        <w:t>The Compensation Committee also approved the granting of 38,072</w:t>
      </w:r>
      <w:r>
        <w:rPr>
          <w:rFonts w:ascii="Times New Roman" w:hAnsi="Times New Roman"/>
          <w:color w:val="000000"/>
          <w:sz w:val="20"/>
        </w:rPr>
        <w:t xml:space="preserve"> </w:t>
      </w:r>
      <w:r>
        <w:rPr>
          <w:rFonts w:ascii="Arial" w:hAnsi="Arial"/>
          <w:color w:val="000000"/>
          <w:sz w:val="20"/>
        </w:rPr>
        <w:t>shares of time-vesting restricted stock to the same officers and key employees, which vest ratably over three years</w:t>
      </w:r>
      <w:r>
        <w:rPr>
          <w:rFonts w:ascii="Times New Roman" w:hAnsi="Times New Roman"/>
          <w:color w:val="000000"/>
          <w:sz w:val="20"/>
        </w:rPr>
        <w:t xml:space="preserve"> </w:t>
      </w:r>
      <w:r>
        <w:rPr>
          <w:rFonts w:ascii="Arial" w:hAnsi="Arial"/>
          <w:color w:val="000000"/>
          <w:sz w:val="20"/>
        </w:rPr>
        <w:t>(the Fiscal 2024 Employee Restricted Stock Time-Vesting Award). The Fiscal 2024 Employee Restricted Stock Performance Award and the Fiscal 2024 Employee Restricted Stock Time-Vesting Award were valued at the closing price of the stock on the grant date and are being expensed over a three-year</w:t>
      </w:r>
      <w:r>
        <w:rPr>
          <w:rFonts w:ascii="Times New Roman" w:hAnsi="Times New Roman"/>
          <w:color w:val="000000"/>
          <w:sz w:val="20"/>
        </w:rPr>
        <w:t xml:space="preserve"> </w:t>
      </w:r>
      <w:r>
        <w:rPr>
          <w:rFonts w:ascii="Arial" w:hAnsi="Arial"/>
          <w:color w:val="000000"/>
          <w:sz w:val="20"/>
        </w:rPr>
        <w:t>period.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August 2023, under the 2023 Plan, we granted 10,755</w:t>
      </w:r>
      <w:r>
        <w:rPr>
          <w:rFonts w:ascii="Times New Roman" w:hAnsi="Times New Roman"/>
          <w:color w:val="000000"/>
          <w:sz w:val="20"/>
        </w:rPr>
        <w:t xml:space="preserve"> </w:t>
      </w:r>
      <w:r>
        <w:rPr>
          <w:rFonts w:ascii="Arial" w:hAnsi="Arial"/>
          <w:color w:val="000000"/>
          <w:sz w:val="20"/>
        </w:rPr>
        <w:t>shares of restricted stock to members of the Board of Directors (the Fiscal 2024 Board of Directors Restricted Stock Award). Restrictions on these shares will lapse one year</w:t>
      </w:r>
      <w:r>
        <w:rPr>
          <w:rFonts w:ascii="Times New Roman" w:hAnsi="Times New Roman"/>
          <w:color w:val="000000"/>
          <w:sz w:val="20"/>
        </w:rPr>
        <w:t xml:space="preserve"> </w:t>
      </w:r>
      <w:r>
        <w:rPr>
          <w:rFonts w:ascii="Arial" w:hAnsi="Arial"/>
          <w:color w:val="000000"/>
          <w:sz w:val="20"/>
        </w:rPr>
        <w:t>after the grant date. The Fiscal 2024 Board of Directors Restricted Stock Award was valued at the closing price of the stock on the grant date, and is being expensed over a one-year</w:t>
      </w:r>
      <w:r>
        <w:rPr>
          <w:rFonts w:ascii="Times New Roman" w:hAnsi="Times New Roman"/>
          <w:color w:val="000000"/>
          <w:sz w:val="20"/>
        </w:rPr>
        <w:t xml:space="preserve"> </w:t>
      </w:r>
      <w:r>
        <w:rPr>
          <w:rFonts w:ascii="Arial" w:hAnsi="Arial"/>
          <w:color w:val="000000"/>
          <w:sz w:val="20"/>
        </w:rPr>
        <w:t>period.</w:t>
      </w:r>
    </w:p>
    <w:p>
      <w:pPr>
        <w:pStyle w:val="TextBody"/>
        <w:bidi w:val="0"/>
        <w:spacing w:before="120" w:after="283"/>
        <w:jc w:val="left"/>
        <w:rPr>
          <w:rFonts w:ascii="Times New Roman" w:hAnsi="Times New Roman"/>
          <w:sz w:val="20"/>
        </w:rPr>
      </w:pPr>
      <w:r>
        <w:rPr>
          <w:rFonts w:ascii="Arial" w:hAnsi="Arial"/>
          <w:color w:val="000000"/>
          <w:sz w:val="20"/>
        </w:rPr>
        <w:t>In addition to the restricted stock described above, from time to time we issue restricted stock to certain employees. These awards are valued at the closing price of the stock on the grant date and expensed over the vesting period.</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The fair value of restricted stock is based on the stock price on the grant date. The following table summarizes the activity for nonvested restricted shares during the nine months ended December 31, 2023:</w:t>
      </w:r>
    </w:p>
    <w:tbl>
      <w:tblPr>
        <w:tblW w:w="7445" w:type="dxa"/>
        <w:jc w:val="left"/>
        <w:tblInd w:w="0" w:type="dxa"/>
        <w:tblLayout w:type="fixed"/>
        <w:tblCellMar>
          <w:top w:w="28" w:type="dxa"/>
          <w:left w:w="28" w:type="dxa"/>
          <w:bottom w:w="28" w:type="dxa"/>
          <w:right w:w="28" w:type="dxa"/>
        </w:tblCellMar>
      </w:tblPr>
      <w:tblGrid>
        <w:gridCol w:w="3496"/>
        <w:gridCol w:w="146"/>
        <w:gridCol w:w="211"/>
        <w:gridCol w:w="869"/>
        <w:gridCol w:w="151"/>
        <w:gridCol w:w="146"/>
        <w:gridCol w:w="570"/>
        <w:gridCol w:w="1665"/>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Number of Shares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2235"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000000"/>
                <w:sz w:val="14"/>
              </w:rPr>
            </w:pPr>
            <w:r>
              <w:rPr>
                <w:rFonts w:ascii="Arial Narrow;sans-serif" w:hAnsi="Arial Narrow;sans-serif"/>
                <w:b/>
                <w:color w:val="000000"/>
                <w:sz w:val="14"/>
              </w:rPr>
              <w:t>Weighted-Average Grant Date Fair Value</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Nonvested Restricted Stock at March 31,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219,084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66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96.54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Granted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97,257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66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169.62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Vested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(35,958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66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146.24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Forfeited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(3,000</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66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139.03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Nonvested Restricted Stock at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277,383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665" w:type="dxa"/>
            <w:tcBorders/>
            <w:shd w:fill="FFFFFF" w:val="cle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125.10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Expense related to restricted shares was approximately $4.0</w:t>
      </w:r>
      <w:r>
        <w:rPr>
          <w:rFonts w:ascii="Times New Roman" w:hAnsi="Times New Roman"/>
          <w:color w:val="000000"/>
          <w:sz w:val="20"/>
        </w:rPr>
        <w:t xml:space="preserve"> </w:t>
      </w:r>
      <w:r>
        <w:rPr>
          <w:rFonts w:ascii="Arial" w:hAnsi="Arial"/>
          <w:color w:val="000000"/>
          <w:sz w:val="20"/>
        </w:rPr>
        <w:t>million and $13.8</w:t>
      </w:r>
      <w:r>
        <w:rPr>
          <w:rFonts w:ascii="Times New Roman" w:hAnsi="Times New Roman"/>
          <w:color w:val="000000"/>
          <w:sz w:val="20"/>
        </w:rPr>
        <w:t xml:space="preserve"> </w:t>
      </w:r>
      <w:r>
        <w:rPr>
          <w:rFonts w:ascii="Arial" w:hAnsi="Arial"/>
          <w:color w:val="000000"/>
          <w:sz w:val="20"/>
        </w:rPr>
        <w:t>million for the three and nine months ended December 31, 2023, respectively, and $3.3</w:t>
      </w:r>
      <w:r>
        <w:rPr>
          <w:rFonts w:ascii="Times New Roman" w:hAnsi="Times New Roman"/>
          <w:color w:val="000000"/>
          <w:sz w:val="20"/>
        </w:rPr>
        <w:t xml:space="preserve"> </w:t>
      </w:r>
      <w:r>
        <w:rPr>
          <w:rFonts w:ascii="Arial" w:hAnsi="Arial"/>
          <w:color w:val="000000"/>
          <w:sz w:val="20"/>
        </w:rPr>
        <w:t>million and $11.0</w:t>
      </w:r>
      <w:r>
        <w:rPr>
          <w:rFonts w:ascii="Times New Roman" w:hAnsi="Times New Roman"/>
          <w:color w:val="000000"/>
          <w:sz w:val="20"/>
        </w:rPr>
        <w:t xml:space="preserve"> </w:t>
      </w:r>
      <w:r>
        <w:rPr>
          <w:rFonts w:ascii="Arial" w:hAnsi="Arial"/>
          <w:color w:val="000000"/>
          <w:sz w:val="20"/>
        </w:rPr>
        <w:t>million for the three and nine months ended December 31, 2022, respectively. At December 31, 2023, there was approximately $21.5</w:t>
      </w:r>
      <w:r>
        <w:rPr>
          <w:rFonts w:ascii="Times New Roman" w:hAnsi="Times New Roman"/>
          <w:color w:val="000000"/>
          <w:sz w:val="20"/>
        </w:rPr>
        <w:t xml:space="preserve"> </w:t>
      </w:r>
      <w:r>
        <w:rPr>
          <w:rFonts w:ascii="Arial" w:hAnsi="Arial"/>
          <w:color w:val="000000"/>
          <w:sz w:val="20"/>
        </w:rPr>
        <w:t>million of unearned compensation from restricted stock, which will be recognized over a weighted-average period of 1.7</w:t>
      </w:r>
      <w:r>
        <w:rPr>
          <w:rFonts w:ascii="Times New Roman" w:hAnsi="Times New Roman"/>
          <w:color w:val="000000"/>
          <w:sz w:val="20"/>
        </w:rPr>
        <w:t xml:space="preserve"> </w:t>
      </w:r>
      <w:r>
        <w:rPr>
          <w:rFonts w:ascii="Arial" w:hAnsi="Arial"/>
          <w:color w:val="000000"/>
          <w:sz w:val="20"/>
        </w:rPr>
        <w:t>years.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number of shares available for future grants of stock options, restricted stock units, stock appreciation rights, and restricted stock under the 2023 Plan was 1,411,804</w:t>
      </w:r>
      <w:r>
        <w:rPr>
          <w:rFonts w:ascii="Times New Roman" w:hAnsi="Times New Roman"/>
          <w:color w:val="000000"/>
          <w:sz w:val="20"/>
        </w:rPr>
        <w:t xml:space="preserve"> </w:t>
      </w:r>
      <w:r>
        <w:rPr>
          <w:rFonts w:ascii="Arial" w:hAnsi="Arial"/>
          <w:color w:val="000000"/>
          <w:sz w:val="20"/>
        </w:rPr>
        <w:t>at December 31, 2023.</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2"/>
        </w:rPr>
        <w:t>(J)</w:t>
      </w:r>
      <w:r>
        <w:rPr>
          <w:rFonts w:ascii="Times New Roman" w:hAnsi="Times New Roman"/>
          <w:color w:val="000000"/>
          <w:sz w:val="20"/>
        </w:rPr>
        <w:t xml:space="preserve"> </w:t>
      </w:r>
      <w:r>
        <w:rPr>
          <w:rFonts w:ascii="Arial" w:hAnsi="Arial"/>
          <w:b/>
          <w:color w:val="000000"/>
          <w:sz w:val="22"/>
        </w:rPr>
        <w:t>COMPUTATION OF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calculation of basic and diluted common shares outstanding is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743"/>
        <w:gridCol w:w="146"/>
        <w:gridCol w:w="159"/>
        <w:gridCol w:w="875"/>
        <w:gridCol w:w="165"/>
        <w:gridCol w:w="159"/>
        <w:gridCol w:w="159"/>
        <w:gridCol w:w="875"/>
        <w:gridCol w:w="151"/>
        <w:gridCol w:w="146"/>
        <w:gridCol w:w="155"/>
        <w:gridCol w:w="849"/>
        <w:gridCol w:w="161"/>
        <w:gridCol w:w="155"/>
        <w:gridCol w:w="155"/>
        <w:gridCol w:w="849"/>
        <w:gridCol w:w="303"/>
      </w:tblGrid>
      <w:tr>
        <w:trPr/>
        <w:tc>
          <w:tcPr>
            <w:tcW w:w="4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7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2"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 December 31,</w:t>
            </w:r>
          </w:p>
        </w:tc>
        <w:tc>
          <w:tcPr>
            <w:tcW w:w="151" w:type="dxa"/>
            <w:tcBorders/>
            <w:shd w:fill="004483"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4"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303" w:type="dxa"/>
            <w:tcBorders/>
            <w:shd w:fill="004483" w:val="clear"/>
            <w:vAlign w:val="center"/>
          </w:tcPr>
          <w:p>
            <w:pPr>
              <w:pStyle w:val="TableContents"/>
              <w:bidi w:val="0"/>
              <w:spacing w:before="0" w:after="283"/>
              <w:jc w:val="center"/>
              <w:rPr/>
            </w:pPr>
            <w:r>
              <w:rPr/>
              <w:t> </w:t>
            </w:r>
          </w:p>
        </w:tc>
      </w:tr>
      <w:tr>
        <w:trPr/>
        <w:tc>
          <w:tcPr>
            <w:tcW w:w="474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6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30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Weighted-Average Shares of Common Stock Outstanding</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34,466,141</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36,336,056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34,931,378</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37,149,927</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Effect of Dilutive Shares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743"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Narrow;sans-serif" w:hAnsi="Arial Narrow;sans-serif"/>
                <w:color w:val="004483"/>
                <w:sz w:val="18"/>
              </w:rPr>
            </w:pPr>
            <w:r>
              <w:rPr>
                <w:rFonts w:ascii="Arial Narrow;sans-serif" w:hAnsi="Arial Narrow;sans-serif"/>
                <w:color w:val="004483"/>
                <w:sz w:val="18"/>
              </w:rPr>
              <w:t>Assumed Exercise of Outstanding Dilutive Options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305,842</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424,949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312,723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424,642</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43"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Narrow;sans-serif" w:hAnsi="Arial Narrow;sans-serif"/>
                <w:color w:val="004483"/>
                <w:sz w:val="18"/>
              </w:rPr>
            </w:pPr>
            <w:r>
              <w:rPr>
                <w:rFonts w:ascii="Arial Narrow;sans-serif" w:hAnsi="Arial Narrow;sans-serif"/>
                <w:color w:val="004483"/>
                <w:sz w:val="18"/>
              </w:rPr>
              <w:t>Less Shares Repurchased from Proceeds of Assumed Exercised Options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(169,413</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(294,478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(170,910</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(305,741</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18"/>
              </w:rPr>
            </w:pPr>
            <w:r>
              <w:rPr>
                <w:rFonts w:ascii="Arial Narrow;sans-serif" w:hAnsi="Arial Narrow;sans-serif"/>
                <w:color w:val="000000"/>
                <w:sz w:val="18"/>
              </w:rPr>
              <w:t>)</w:t>
            </w:r>
          </w:p>
        </w:tc>
      </w:tr>
      <w:tr>
        <w:trPr/>
        <w:tc>
          <w:tcPr>
            <w:tcW w:w="4743"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Narrow;sans-serif" w:hAnsi="Arial Narrow;sans-serif"/>
                <w:color w:val="004483"/>
                <w:sz w:val="18"/>
              </w:rPr>
            </w:pPr>
            <w:r>
              <w:rPr>
                <w:rFonts w:ascii="Arial Narrow;sans-serif" w:hAnsi="Arial Narrow;sans-serif"/>
                <w:color w:val="004483"/>
                <w:sz w:val="18"/>
              </w:rPr>
              <w:t>Restricted Stock Units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147,151</w:t>
            </w:r>
          </w:p>
        </w:tc>
        <w:tc>
          <w:tcPr>
            <w:tcW w:w="16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139,455</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128,467</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126,758</w:t>
            </w:r>
          </w:p>
        </w:tc>
        <w:tc>
          <w:tcPr>
            <w:tcW w:w="30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Weighted-Average Common Stock and Dilutive Securities Outstanding</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34,749,721</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36,605,982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35,201,658</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37,395,586</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Shares Excluded Due to Anti-Dilution Effects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5,558</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66,802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22,145</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46,736</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2"/>
        </w:rPr>
        <w:t>(K) PENSION AND EMPLOYEE BENEFIT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sponsor several single-employer defined benefit plans and defined contribution plans, which together cover substantially all our employees. Benefits paid under the single-employer defined benefit plans covering certain hourly employees were historically based on years of service and the employee’s qualifying compensation over the last few years of employment. Over the last several years, these plans have been frozen to new participants and new benefits, with the last plan becoming frozen during fiscal 2020. Our defined benefit plans are all fully funded, with plan assets exceeding the benefit obligation at March 31, 2023. Due to the frozen status and current funding of the single-employer pension plans, our expected pension expense for fiscal 2024 is less than $0.2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2"/>
        </w:rPr>
        <w:t>(L) INCOME TAXES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nine months ended December 31, 2023, was approximately 22%, which was consistent with the effective tax rate for the nine months ended December 31, 2022. The effective tax rate was higher than the U.S. Statutory rate of 21% mainly because of state income taxes, partially offset by a benefit recognized related to percentage depletion.</w:t>
      </w:r>
    </w:p>
    <w:p>
      <w:pPr>
        <w:pStyle w:val="TextBody"/>
        <w:bidi w:val="0"/>
        <w:spacing w:before="270" w:after="283"/>
        <w:jc w:val="both"/>
        <w:rPr>
          <w:rFonts w:ascii="Times New Roman" w:hAnsi="Times New Roman"/>
          <w:sz w:val="20"/>
        </w:rPr>
      </w:pPr>
      <w:r>
        <w:rPr>
          <w:rFonts w:ascii="Arial" w:hAnsi="Arial"/>
          <w:b/>
          <w:color w:val="000000"/>
          <w:sz w:val="22"/>
        </w:rPr>
        <w:t>(M) LONG-TERM DEBT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Long-term Debt at December 31, 2023 is as follows:</w:t>
      </w:r>
      <w:r>
        <w:rPr>
          <w:rFonts w:ascii="Times New Roman" w:hAnsi="Times New Roman"/>
          <w:color w:val="000000"/>
          <w:sz w:val="20"/>
        </w:rPr>
        <w:t xml:space="preserve"> </w:t>
      </w:r>
    </w:p>
    <w:tbl>
      <w:tblPr>
        <w:tblW w:w="6074" w:type="dxa"/>
        <w:jc w:val="left"/>
        <w:tblInd w:w="0" w:type="dxa"/>
        <w:tblLayout w:type="fixed"/>
        <w:tblCellMar>
          <w:top w:w="28" w:type="dxa"/>
          <w:left w:w="28" w:type="dxa"/>
          <w:bottom w:w="28" w:type="dxa"/>
          <w:right w:w="28" w:type="dxa"/>
        </w:tblCellMar>
      </w:tblPr>
      <w:tblGrid>
        <w:gridCol w:w="3631"/>
        <w:gridCol w:w="146"/>
        <w:gridCol w:w="181"/>
        <w:gridCol w:w="721"/>
        <w:gridCol w:w="151"/>
        <w:gridCol w:w="146"/>
        <w:gridCol w:w="181"/>
        <w:gridCol w:w="721"/>
        <w:gridCol w:w="19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December 31,</w:t>
            </w:r>
          </w:p>
        </w:tc>
        <w:tc>
          <w:tcPr>
            <w:tcW w:w="151" w:type="dxa"/>
            <w:tcBorders/>
            <w:shd w:fill="004483" w:val="clear"/>
            <w:vAlign w:val="center"/>
          </w:tcPr>
          <w:p>
            <w:pPr>
              <w:pStyle w:val="TableContents"/>
              <w:bidi w:val="0"/>
              <w:spacing w:before="0" w:after="283"/>
              <w:jc w:val="right"/>
              <w:rPr/>
            </w:pPr>
            <w:r>
              <w:rPr/>
              <w:t> </w:t>
            </w:r>
          </w:p>
        </w:tc>
        <w:tc>
          <w:tcPr>
            <w:tcW w:w="146" w:type="dxa"/>
            <w:tcBorders/>
            <w:shd w:fill="004483" w:val="clear"/>
            <w:vAlign w:val="center"/>
          </w:tcPr>
          <w:p>
            <w:pPr>
              <w:pStyle w:val="TableContents"/>
              <w:bidi w:val="0"/>
              <w:spacing w:before="0" w:after="283"/>
              <w:jc w:val="right"/>
              <w:rPr/>
            </w:pPr>
            <w:r>
              <w:rPr/>
              <w:t> </w:t>
            </w:r>
          </w:p>
        </w:tc>
        <w:tc>
          <w:tcPr>
            <w:tcW w:w="902"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March 31,</w:t>
            </w:r>
          </w:p>
        </w:tc>
        <w:tc>
          <w:tcPr>
            <w:tcW w:w="196" w:type="dxa"/>
            <w:tcBorders/>
            <w:shd w:fill="004483" w:val="clear"/>
            <w:vAlign w:val="center"/>
          </w:tcPr>
          <w:p>
            <w:pPr>
              <w:pStyle w:val="TableContents"/>
              <w:bidi w:val="0"/>
              <w:spacing w:before="0" w:after="283"/>
              <w:jc w:val="right"/>
              <w:rPr/>
            </w:pPr>
            <w:r>
              <w:rPr/>
              <w:t> </w:t>
            </w:r>
          </w:p>
        </w:tc>
      </w:tr>
      <w:tr>
        <w:trPr/>
        <w:tc>
          <w:tcPr>
            <w:tcW w:w="3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96" w:type="dxa"/>
            <w:tcBorders/>
            <w:shd w:fill="FFFFFF" w:val="clear"/>
            <w:vAlign w:val="center"/>
          </w:tcPr>
          <w:p>
            <w:pPr>
              <w:pStyle w:val="TableContents"/>
              <w:bidi w:val="0"/>
              <w:spacing w:before="0" w:after="283"/>
              <w:jc w:val="right"/>
              <w:rPr/>
            </w:pPr>
            <w:r>
              <w:rPr/>
              <w:t> </w:t>
            </w:r>
          </w:p>
        </w:tc>
      </w:tr>
      <w:tr>
        <w:trPr/>
        <w:tc>
          <w:tcPr>
            <w:tcW w:w="363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2101"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Revolving Credit Facility</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107,000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157,000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2.500% Senior Unsecured Notes Due 2031</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750,000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750,000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Term Loan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185,000</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192,500</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Total Debt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1,042,000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1,099,500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Less: Current Portion of Long-term Debt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(10,000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6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Less: Unamortized Discounts and Debt Issuance Costs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(9,518</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(10,468</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631" w:type="dxa"/>
            <w:tcBorders/>
            <w:shd w:fill="FFFFFF" w:val="cle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Long-term Debt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1,022,482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1,079,032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b/>
          <w:color w:val="000000"/>
          <w:sz w:val="20"/>
          <w:u w:val="single"/>
        </w:rPr>
      </w:pPr>
      <w:r>
        <w:rPr>
          <w:rFonts w:ascii="Arial" w:hAnsi="Arial"/>
          <w:b/>
          <w:color w:val="000000"/>
          <w:sz w:val="20"/>
          <w:u w:val="single"/>
        </w:rPr>
        <w:t>Revolving Credit Facility</w:t>
      </w:r>
    </w:p>
    <w:p>
      <w:pPr>
        <w:pStyle w:val="TextBody"/>
        <w:bidi w:val="0"/>
        <w:spacing w:before="120" w:after="283"/>
        <w:jc w:val="left"/>
        <w:rPr>
          <w:rFonts w:ascii="Times New Roman" w:hAnsi="Times New Roman"/>
          <w:sz w:val="20"/>
        </w:rPr>
      </w:pPr>
      <w:r>
        <w:rPr>
          <w:rFonts w:ascii="Arial" w:hAnsi="Arial"/>
          <w:color w:val="000000"/>
          <w:sz w:val="20"/>
        </w:rPr>
        <w:t>We have an unsecured $750.0</w:t>
      </w:r>
      <w:r>
        <w:rPr>
          <w:rFonts w:ascii="Times New Roman" w:hAnsi="Times New Roman"/>
          <w:color w:val="000000"/>
          <w:sz w:val="20"/>
        </w:rPr>
        <w:t xml:space="preserve"> </w:t>
      </w:r>
      <w:r>
        <w:rPr>
          <w:rFonts w:ascii="Arial" w:hAnsi="Arial"/>
          <w:color w:val="000000"/>
          <w:sz w:val="20"/>
        </w:rPr>
        <w:t>million revolving credit facility (the Revolving Credit Facility). The Revolving Credit Facility includes a separate $200.0</w:t>
      </w:r>
      <w:r>
        <w:rPr>
          <w:rFonts w:ascii="Times New Roman" w:hAnsi="Times New Roman"/>
          <w:color w:val="000000"/>
          <w:sz w:val="20"/>
        </w:rPr>
        <w:t xml:space="preserve"> </w:t>
      </w:r>
      <w:r>
        <w:rPr>
          <w:rFonts w:ascii="Arial" w:hAnsi="Arial"/>
          <w:color w:val="000000"/>
          <w:sz w:val="20"/>
        </w:rPr>
        <w:t>million term loan facility (the Term Loan) and also provides the Company the option to increase the borrowing capacity by up to $375.0</w:t>
      </w:r>
      <w:r>
        <w:rPr>
          <w:rFonts w:ascii="Times New Roman" w:hAnsi="Times New Roman"/>
          <w:color w:val="000000"/>
          <w:sz w:val="20"/>
        </w:rPr>
        <w:t xml:space="preserve"> </w:t>
      </w:r>
      <w:r>
        <w:rPr>
          <w:rFonts w:ascii="Arial" w:hAnsi="Arial"/>
          <w:color w:val="000000"/>
          <w:sz w:val="20"/>
        </w:rPr>
        <w:t>million (for a total borrowing capacity of $1,125.0</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million), provided the existing lenders, or new lenders, agree to such increase. The Revolving Credit Facility includes a $40.0</w:t>
      </w:r>
      <w:r>
        <w:rPr>
          <w:rFonts w:ascii="Times New Roman" w:hAnsi="Times New Roman"/>
          <w:color w:val="000000"/>
          <w:sz w:val="20"/>
        </w:rPr>
        <w:t xml:space="preserve"> </w:t>
      </w:r>
      <w:r>
        <w:rPr>
          <w:rFonts w:ascii="Arial" w:hAnsi="Arial"/>
          <w:color w:val="000000"/>
          <w:sz w:val="20"/>
        </w:rPr>
        <w:t>million letter of credit facility and a swingline loan sub-facility of $25.0</w:t>
      </w:r>
      <w:r>
        <w:rPr>
          <w:rFonts w:ascii="Times New Roman" w:hAnsi="Times New Roman"/>
          <w:color w:val="000000"/>
          <w:sz w:val="20"/>
        </w:rPr>
        <w:t xml:space="preserve"> </w:t>
      </w:r>
      <w:r>
        <w:rPr>
          <w:rFonts w:ascii="Arial" w:hAnsi="Arial"/>
          <w:color w:val="000000"/>
          <w:sz w:val="20"/>
        </w:rPr>
        <w:t>million, and expires on May 5, 2027.</w:t>
      </w:r>
    </w:p>
    <w:p>
      <w:pPr>
        <w:pStyle w:val="TextBody"/>
        <w:bidi w:val="0"/>
        <w:spacing w:before="120" w:after="283"/>
        <w:jc w:val="left"/>
        <w:rPr>
          <w:rFonts w:ascii="Times New Roman" w:hAnsi="Times New Roman"/>
          <w:sz w:val="20"/>
        </w:rPr>
      </w:pPr>
      <w:r>
        <w:rPr>
          <w:rFonts w:ascii="Arial" w:hAnsi="Arial"/>
          <w:color w:val="000000"/>
          <w:sz w:val="20"/>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w:t>
      </w:r>
      <w:r>
        <w:rPr>
          <w:rFonts w:ascii="Times New Roman" w:hAnsi="Times New Roman"/>
          <w:color w:val="000000"/>
          <w:sz w:val="20"/>
        </w:rPr>
        <w:t xml:space="preserve"> </w:t>
      </w:r>
      <w:r>
        <w:rPr>
          <w:rFonts w:ascii="Arial" w:hAnsi="Arial"/>
          <w:color w:val="000000"/>
          <w:sz w:val="20"/>
        </w:rPr>
        <w:t>to 1.00 (collectively, the Financial Covenants).</w:t>
      </w:r>
    </w:p>
    <w:p>
      <w:pPr>
        <w:pStyle w:val="TextBody"/>
        <w:bidi w:val="0"/>
        <w:spacing w:before="120" w:after="283"/>
        <w:jc w:val="left"/>
        <w:rPr>
          <w:rFonts w:ascii="Times New Roman" w:hAnsi="Times New Roman"/>
          <w:sz w:val="20"/>
        </w:rPr>
      </w:pPr>
      <w:r>
        <w:rPr>
          <w:rFonts w:ascii="Arial" w:hAnsi="Arial"/>
          <w:color w:val="000000"/>
          <w:sz w:val="20"/>
        </w:rPr>
        <w:t>At the Company’s option, outstanding loans under the Revolving Credit Facility bear interest, at a variable rate equal to either (i) the adjusted term SOFR rate (secured overnight financing rate), plus 10 basis points, plus an agreed spread (ranging from 100</w:t>
      </w:r>
      <w:r>
        <w:rPr>
          <w:rFonts w:ascii="Times New Roman" w:hAnsi="Times New Roman"/>
          <w:color w:val="000000"/>
          <w:sz w:val="20"/>
        </w:rPr>
        <w:t xml:space="preserve"> </w:t>
      </w:r>
      <w:r>
        <w:rPr>
          <w:rFonts w:ascii="Arial" w:hAnsi="Arial"/>
          <w:color w:val="000000"/>
          <w:sz w:val="20"/>
        </w:rPr>
        <w:t>to 162.5</w:t>
      </w:r>
      <w:r>
        <w:rPr>
          <w:rFonts w:ascii="Times New Roman" w:hAnsi="Times New Roman"/>
          <w:color w:val="000000"/>
          <w:sz w:val="20"/>
        </w:rPr>
        <w:t xml:space="preserve"> </w:t>
      </w:r>
      <w:r>
        <w:rPr>
          <w:rFonts w:ascii="Arial" w:hAnsi="Arial"/>
          <w:color w:val="000000"/>
          <w:sz w:val="20"/>
        </w:rPr>
        <w:t>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 month interest period on any applicable day, or if such day is not a business day, the immediately preceding business day, plus 1.0%, in each case plus an agreed upon spread (ranging from 0</w:t>
      </w:r>
      <w:r>
        <w:rPr>
          <w:rFonts w:ascii="Times New Roman" w:hAnsi="Times New Roman"/>
          <w:color w:val="000000"/>
          <w:sz w:val="20"/>
        </w:rPr>
        <w:t xml:space="preserve"> </w:t>
      </w:r>
      <w:r>
        <w:rPr>
          <w:rFonts w:ascii="Arial" w:hAnsi="Arial"/>
          <w:color w:val="000000"/>
          <w:sz w:val="20"/>
        </w:rPr>
        <w:t>to 62.5</w:t>
      </w:r>
      <w:r>
        <w:rPr>
          <w:rFonts w:ascii="Times New Roman" w:hAnsi="Times New Roman"/>
          <w:color w:val="000000"/>
          <w:sz w:val="20"/>
        </w:rPr>
        <w:t xml:space="preserve"> </w:t>
      </w:r>
      <w:r>
        <w:rPr>
          <w:rFonts w:ascii="Arial" w:hAnsi="Arial"/>
          <w:color w:val="000000"/>
          <w:sz w:val="20"/>
        </w:rPr>
        <w:t>basis points), which is established quarterly based on the Company's credit rating. The Company is also required to pay a facility fee on unused available borrowings under the Revolving Credit Facility ranging from 9</w:t>
      </w:r>
      <w:r>
        <w:rPr>
          <w:rFonts w:ascii="Times New Roman" w:hAnsi="Times New Roman"/>
          <w:color w:val="000000"/>
          <w:sz w:val="20"/>
        </w:rPr>
        <w:t xml:space="preserve"> </w:t>
      </w:r>
      <w:r>
        <w:rPr>
          <w:rFonts w:ascii="Arial" w:hAnsi="Arial"/>
          <w:color w:val="000000"/>
          <w:sz w:val="20"/>
        </w:rPr>
        <w:t>to 22.5</w:t>
      </w:r>
      <w:r>
        <w:rPr>
          <w:rFonts w:ascii="Times New Roman" w:hAnsi="Times New Roman"/>
          <w:color w:val="000000"/>
          <w:sz w:val="20"/>
        </w:rPr>
        <w:t xml:space="preserve"> </w:t>
      </w:r>
      <w:r>
        <w:rPr>
          <w:rFonts w:ascii="Arial" w:hAnsi="Arial"/>
          <w:color w:val="000000"/>
          <w:sz w:val="20"/>
        </w:rPr>
        <w:t>basis points, which is established based on the Company's then credit rating.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w:t>
      </w:r>
      <w:r>
        <w:rPr>
          <w:rFonts w:ascii="Times New Roman" w:hAnsi="Times New Roman"/>
          <w:color w:val="000000"/>
          <w:sz w:val="20"/>
        </w:rPr>
        <w:t xml:space="preserve"> </w:t>
      </w:r>
      <w:r>
        <w:rPr>
          <w:rFonts w:ascii="Arial" w:hAnsi="Arial"/>
          <w:color w:val="000000"/>
          <w:sz w:val="20"/>
        </w:rPr>
        <w:t>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pStyle w:val="TextBody"/>
        <w:bidi w:val="0"/>
        <w:spacing w:before="120" w:after="283"/>
        <w:jc w:val="left"/>
        <w:rPr>
          <w:rFonts w:ascii="Times New Roman" w:hAnsi="Times New Roman"/>
          <w:sz w:val="20"/>
        </w:rPr>
      </w:pPr>
      <w:r>
        <w:rPr>
          <w:rFonts w:ascii="Arial" w:hAnsi="Arial"/>
          <w:color w:val="000000"/>
          <w:sz w:val="20"/>
        </w:rPr>
        <w:t>There were $107.0</w:t>
      </w:r>
      <w:r>
        <w:rPr>
          <w:rFonts w:ascii="Times New Roman" w:hAnsi="Times New Roman"/>
          <w:color w:val="000000"/>
          <w:sz w:val="20"/>
        </w:rPr>
        <w:t xml:space="preserve"> </w:t>
      </w:r>
      <w:r>
        <w:rPr>
          <w:rFonts w:ascii="Arial" w:hAnsi="Arial"/>
          <w:color w:val="000000"/>
          <w:sz w:val="20"/>
        </w:rPr>
        <w:t>million of outstanding borrowings under the Revolving Credit Facility, plus $8.3</w:t>
      </w:r>
      <w:r>
        <w:rPr>
          <w:rFonts w:ascii="Times New Roman" w:hAnsi="Times New Roman"/>
          <w:color w:val="000000"/>
          <w:sz w:val="20"/>
        </w:rPr>
        <w:t xml:space="preserve"> </w:t>
      </w:r>
      <w:r>
        <w:rPr>
          <w:rFonts w:ascii="Arial" w:hAnsi="Arial"/>
          <w:color w:val="000000"/>
          <w:sz w:val="20"/>
        </w:rPr>
        <w:t>million outstanding letters of credit as of December 31, 2023, resulting in $634.7</w:t>
      </w:r>
      <w:r>
        <w:rPr>
          <w:rFonts w:ascii="Times New Roman" w:hAnsi="Times New Roman"/>
          <w:color w:val="000000"/>
          <w:sz w:val="20"/>
        </w:rPr>
        <w:t xml:space="preserve"> </w:t>
      </w:r>
      <w:r>
        <w:rPr>
          <w:rFonts w:ascii="Arial" w:hAnsi="Arial"/>
          <w:color w:val="000000"/>
          <w:sz w:val="20"/>
        </w:rPr>
        <w:t>million of available borrowings under the Revolving Credit Facility, net of the outstanding letters of credit. We were in compliance with all Financial Covenants on December 31, 2023; therefore, the entire $634.7</w:t>
      </w:r>
      <w:r>
        <w:rPr>
          <w:rFonts w:ascii="Times New Roman" w:hAnsi="Times New Roman"/>
          <w:color w:val="000000"/>
          <w:sz w:val="20"/>
        </w:rPr>
        <w:t xml:space="preserve"> </w:t>
      </w:r>
      <w:r>
        <w:rPr>
          <w:rFonts w:ascii="Arial" w:hAnsi="Arial"/>
          <w:color w:val="000000"/>
          <w:sz w:val="20"/>
        </w:rPr>
        <w:t>million is available for future borrowings.</w:t>
      </w:r>
    </w:p>
    <w:p>
      <w:pPr>
        <w:pStyle w:val="TextBody"/>
        <w:bidi w:val="0"/>
        <w:spacing w:before="120" w:after="283"/>
        <w:jc w:val="left"/>
        <w:rPr>
          <w:rFonts w:ascii="Arial" w:hAnsi="Arial"/>
          <w:b/>
          <w:color w:val="000000"/>
          <w:sz w:val="20"/>
          <w:u w:val="single"/>
        </w:rPr>
      </w:pPr>
      <w:r>
        <w:rPr>
          <w:rFonts w:ascii="Arial" w:hAnsi="Arial"/>
          <w:b/>
          <w:color w:val="000000"/>
          <w:sz w:val="20"/>
          <w:u w:val="single"/>
        </w:rPr>
        <w:t>Term Loan</w:t>
      </w:r>
    </w:p>
    <w:p>
      <w:pPr>
        <w:pStyle w:val="TextBody"/>
        <w:bidi w:val="0"/>
        <w:spacing w:before="120" w:after="283"/>
        <w:jc w:val="left"/>
        <w:rPr>
          <w:rFonts w:ascii="Times New Roman" w:hAnsi="Times New Roman"/>
          <w:sz w:val="20"/>
        </w:rPr>
      </w:pPr>
      <w:r>
        <w:rPr>
          <w:rFonts w:ascii="Arial" w:hAnsi="Arial"/>
          <w:color w:val="000000"/>
          <w:sz w:val="20"/>
        </w:rPr>
        <w:t>On May 5, 2022, we borrowed the $200.0</w:t>
      </w:r>
      <w:r>
        <w:rPr>
          <w:rFonts w:ascii="Times New Roman" w:hAnsi="Times New Roman"/>
          <w:color w:val="000000"/>
          <w:sz w:val="20"/>
        </w:rPr>
        <w:t xml:space="preserve"> </w:t>
      </w:r>
      <w:r>
        <w:rPr>
          <w:rFonts w:ascii="Arial" w:hAnsi="Arial"/>
          <w:color w:val="000000"/>
          <w:sz w:val="20"/>
        </w:rPr>
        <w:t>million Term Loan under the Revolving Credit Facility, and used these proceeds to, among other things, pay down a portion of the Revolving Credit Facility. The Term Loan requires quarterly principal payments of $2.5</w:t>
      </w:r>
      <w:r>
        <w:rPr>
          <w:rFonts w:ascii="Times New Roman" w:hAnsi="Times New Roman"/>
          <w:color w:val="000000"/>
          <w:sz w:val="20"/>
        </w:rPr>
        <w:t xml:space="preserve"> </w:t>
      </w:r>
      <w:r>
        <w:rPr>
          <w:rFonts w:ascii="Arial" w:hAnsi="Arial"/>
          <w:color w:val="000000"/>
          <w:sz w:val="20"/>
        </w:rPr>
        <w:t>million, with any unpaid amounts due upon maturity on May 5, 2027.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20"/>
          <w:u w:val="single"/>
        </w:rPr>
      </w:pPr>
      <w:r>
        <w:rPr>
          <w:rFonts w:ascii="Arial" w:hAnsi="Arial"/>
          <w:b/>
          <w:color w:val="000000"/>
          <w:sz w:val="20"/>
          <w:u w:val="single"/>
        </w:rPr>
        <w:t>2.500% Senior Unsecured Notes Due 2031</w:t>
      </w:r>
    </w:p>
    <w:p>
      <w:pPr>
        <w:pStyle w:val="TextBody"/>
        <w:bidi w:val="0"/>
        <w:spacing w:before="120" w:after="283"/>
        <w:jc w:val="left"/>
        <w:rPr>
          <w:rFonts w:ascii="Times New Roman" w:hAnsi="Times New Roman"/>
          <w:sz w:val="20"/>
        </w:rPr>
      </w:pPr>
      <w:r>
        <w:rPr>
          <w:rFonts w:ascii="Arial" w:hAnsi="Arial"/>
          <w:color w:val="000000"/>
          <w:sz w:val="20"/>
        </w:rPr>
        <w:t>On July 1, 2021, we issued $750.0</w:t>
      </w:r>
      <w:r>
        <w:rPr>
          <w:rFonts w:ascii="Times New Roman" w:hAnsi="Times New Roman"/>
          <w:color w:val="000000"/>
          <w:sz w:val="20"/>
        </w:rPr>
        <w:t xml:space="preserve"> </w:t>
      </w:r>
      <w:r>
        <w:rPr>
          <w:rFonts w:ascii="Arial" w:hAnsi="Arial"/>
          <w:color w:val="000000"/>
          <w:sz w:val="20"/>
        </w:rPr>
        <w:t>million aggregate principal amount of 2.500% senior notes due July 2031</w:t>
      </w:r>
      <w:r>
        <w:rPr>
          <w:rFonts w:ascii="Times New Roman" w:hAnsi="Times New Roman"/>
          <w:color w:val="000000"/>
          <w:sz w:val="20"/>
        </w:rPr>
        <w:t xml:space="preserve"> </w:t>
      </w:r>
      <w:r>
        <w:rPr>
          <w:rFonts w:ascii="Arial" w:hAnsi="Arial"/>
          <w:color w:val="000000"/>
          <w:sz w:val="20"/>
        </w:rPr>
        <w:t>(the 2.500% Senior Unsecured Notes). The 2.500% Senior Unsecured Notes are senior unsecured obligations of the Company and are not guaranteed by any of our subsidiaries. The 2.500% Senior Unsecured Notes were issued net of original issue discount of $6.3</w:t>
      </w:r>
      <w:r>
        <w:rPr>
          <w:rFonts w:ascii="Times New Roman" w:hAnsi="Times New Roman"/>
          <w:color w:val="000000"/>
          <w:sz w:val="20"/>
        </w:rPr>
        <w:t xml:space="preserve"> </w:t>
      </w:r>
      <w:r>
        <w:rPr>
          <w:rFonts w:ascii="Arial" w:hAnsi="Arial"/>
          <w:color w:val="000000"/>
          <w:sz w:val="20"/>
        </w:rPr>
        <w:t>million and have an effective interest rate of approximately 2.6%. The original issue discount is being amortized by the effective interest method over the 10-year</w:t>
      </w:r>
      <w:r>
        <w:rPr>
          <w:rFonts w:ascii="Times New Roman" w:hAnsi="Times New Roman"/>
          <w:color w:val="000000"/>
          <w:sz w:val="20"/>
        </w:rPr>
        <w:t xml:space="preserve"> </w:t>
      </w:r>
      <w:r>
        <w:rPr>
          <w:rFonts w:ascii="Arial" w:hAnsi="Arial"/>
          <w:color w:val="000000"/>
          <w:sz w:val="20"/>
        </w:rPr>
        <w:t>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w:t>
      </w:r>
      <w:r>
        <w:rPr>
          <w:rFonts w:ascii="Times New Roman" w:hAnsi="Times New Roman"/>
          <w:color w:val="000000"/>
          <w:sz w:val="20"/>
        </w:rPr>
        <w:t xml:space="preserve"> </w:t>
      </w:r>
      <w:r>
        <w:rPr>
          <w:rFonts w:ascii="Arial" w:hAnsi="Arial"/>
          <w:color w:val="000000"/>
          <w:sz w:val="20"/>
        </w:rPr>
        <w:t>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2"/>
        </w:rPr>
        <w:t>(N) 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Our business is organized into two</w:t>
      </w:r>
      <w:r>
        <w:rPr>
          <w:rFonts w:ascii="Times New Roman" w:hAnsi="Times New Roman"/>
          <w:color w:val="000000"/>
          <w:sz w:val="20"/>
        </w:rPr>
        <w:t xml:space="preserve"> </w:t>
      </w:r>
      <w:r>
        <w:rPr>
          <w:rFonts w:ascii="Arial" w:hAnsi="Arial"/>
          <w:color w:val="000000"/>
          <w:sz w:val="20"/>
        </w:rPr>
        <w:t>sectors within which there are four</w:t>
      </w:r>
      <w:r>
        <w:rPr>
          <w:rFonts w:ascii="Times New Roman" w:hAnsi="Times New Roman"/>
          <w:color w:val="000000"/>
          <w:sz w:val="20"/>
        </w:rPr>
        <w:t xml:space="preserve"> </w:t>
      </w:r>
      <w:r>
        <w:rPr>
          <w:rFonts w:ascii="Arial" w:hAnsi="Arial"/>
          <w:color w:val="000000"/>
          <w:sz w:val="20"/>
        </w:rPr>
        <w:t>reportable business segments. The Heavy Materials sector includes the Cement and Concrete and Aggregates segments. The Light Materials sector includes the Gypsum Wallboard and Recycled Paperboard segments.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Our operations are conducted in the U.S. and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pStyle w:val="TextBody"/>
        <w:bidi w:val="0"/>
        <w:spacing w:before="120" w:after="283"/>
        <w:jc w:val="left"/>
        <w:rPr>
          <w:rFonts w:ascii="Times New Roman" w:hAnsi="Times New Roman"/>
          <w:sz w:val="20"/>
        </w:rPr>
      </w:pPr>
      <w:r>
        <w:rPr>
          <w:rFonts w:ascii="Arial" w:hAnsi="Arial"/>
          <w:color w:val="000000"/>
          <w:sz w:val="20"/>
        </w:rPr>
        <w:t>We operate eight</w:t>
      </w:r>
      <w:r>
        <w:rPr>
          <w:rFonts w:ascii="Times New Roman" w:hAnsi="Times New Roman"/>
          <w:color w:val="000000"/>
          <w:sz w:val="20"/>
        </w:rPr>
        <w:t xml:space="preserve"> </w:t>
      </w:r>
      <w:r>
        <w:rPr>
          <w:rFonts w:ascii="Arial" w:hAnsi="Arial"/>
          <w:color w:val="000000"/>
          <w:sz w:val="20"/>
        </w:rPr>
        <w:t>modern cement plants (one of which is operated through a joint venture located in Buda, Texas), one</w:t>
      </w:r>
      <w:r>
        <w:rPr>
          <w:rFonts w:ascii="Times New Roman" w:hAnsi="Times New Roman"/>
          <w:color w:val="000000"/>
          <w:sz w:val="20"/>
        </w:rPr>
        <w:t xml:space="preserve"> </w:t>
      </w:r>
      <w:r>
        <w:rPr>
          <w:rFonts w:ascii="Arial" w:hAnsi="Arial"/>
          <w:color w:val="000000"/>
          <w:sz w:val="20"/>
        </w:rPr>
        <w:t>slag grinding facility, and over 30</w:t>
      </w:r>
      <w:r>
        <w:rPr>
          <w:rFonts w:ascii="Times New Roman" w:hAnsi="Times New Roman"/>
          <w:color w:val="000000"/>
          <w:sz w:val="20"/>
        </w:rPr>
        <w:t xml:space="preserve"> </w:t>
      </w:r>
      <w:r>
        <w:rPr>
          <w:rFonts w:ascii="Arial" w:hAnsi="Arial"/>
          <w:color w:val="000000"/>
          <w:sz w:val="20"/>
        </w:rPr>
        <w:t>cement distribution terminals. Our cement companies focus on the U.S. heartland and operate as an integrated network selling product primarily in California, Colorado, Illinois, Indiana, Iowa, Kansas, Kentucky, Missouri, Nebraska, Nevada, Ohio, Oklahoma, Tennessee, and Texas. We operate over 25</w:t>
      </w:r>
      <w:r>
        <w:rPr>
          <w:rFonts w:ascii="Times New Roman" w:hAnsi="Times New Roman"/>
          <w:color w:val="000000"/>
          <w:sz w:val="20"/>
        </w:rPr>
        <w:t xml:space="preserve"> </w:t>
      </w:r>
      <w:r>
        <w:rPr>
          <w:rFonts w:ascii="Arial" w:hAnsi="Arial"/>
          <w:color w:val="000000"/>
          <w:sz w:val="20"/>
        </w:rPr>
        <w:t>readymix concrete batch plants and five</w:t>
      </w:r>
      <w:r>
        <w:rPr>
          <w:rFonts w:ascii="Times New Roman" w:hAnsi="Times New Roman"/>
          <w:color w:val="000000"/>
          <w:sz w:val="20"/>
        </w:rPr>
        <w:t xml:space="preserve"> </w:t>
      </w:r>
      <w:r>
        <w:rPr>
          <w:rFonts w:ascii="Arial" w:hAnsi="Arial"/>
          <w:color w:val="000000"/>
          <w:sz w:val="20"/>
        </w:rPr>
        <w:t>aggregates processing plants in markets that are complementary to our cement network.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operate five</w:t>
      </w:r>
      <w:r>
        <w:rPr>
          <w:rFonts w:ascii="Times New Roman" w:hAnsi="Times New Roman"/>
          <w:color w:val="000000"/>
          <w:sz w:val="20"/>
        </w:rPr>
        <w:t xml:space="preserve"> </w:t>
      </w:r>
      <w:r>
        <w:rPr>
          <w:rFonts w:ascii="Arial" w:hAnsi="Arial"/>
          <w:color w:val="000000"/>
          <w:sz w:val="20"/>
        </w:rPr>
        <w:t>gypsum wallboard plants and a recycled paperboard mill. We distribute gypsum wallboard and recycled paperboard throughout the continental U.S., with the exception of the Northeast.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pStyle w:val="TextBody"/>
        <w:bidi w:val="0"/>
        <w:spacing w:before="120" w:after="283"/>
        <w:jc w:val="left"/>
        <w:rPr>
          <w:rFonts w:ascii="Times New Roman" w:hAnsi="Times New Roman"/>
          <w:sz w:val="20"/>
        </w:rPr>
      </w:pPr>
      <w:r>
        <w:rPr>
          <w:rFonts w:ascii="Arial" w:hAnsi="Arial"/>
          <w:color w:val="000000"/>
          <w:sz w:val="20"/>
        </w:rPr>
        <w:t>The following table sets forth certain financial information relating to our operations by segment. We do not allocate interest or taxes at the segment level; these costs are disclosed at the consolidated company level.</w:t>
      </w:r>
      <w:r>
        <w:rPr>
          <w:rFonts w:ascii="Times New Roman" w:hAnsi="Times New Roman"/>
          <w:color w:val="000000"/>
          <w:sz w:val="20"/>
        </w:rPr>
        <w:t xml:space="preserve"> </w:t>
      </w:r>
    </w:p>
    <w:p>
      <w:pPr>
        <w:pStyle w:val="TextBody"/>
        <w:bidi w:val="0"/>
        <w:jc w:val="left"/>
        <w:rPr/>
      </w:pPr>
      <w:r>
        <w:rPr/>
        <w:t> </w:t>
      </w:r>
    </w:p>
    <w:tbl>
      <w:tblPr>
        <w:tblW w:w="7741" w:type="dxa"/>
        <w:jc w:val="left"/>
        <w:tblInd w:w="0" w:type="dxa"/>
        <w:tblLayout w:type="fixed"/>
        <w:tblCellMar>
          <w:top w:w="28" w:type="dxa"/>
          <w:left w:w="28" w:type="dxa"/>
          <w:bottom w:w="28" w:type="dxa"/>
          <w:right w:w="28" w:type="dxa"/>
        </w:tblCellMar>
      </w:tblPr>
      <w:tblGrid>
        <w:gridCol w:w="2151"/>
        <w:gridCol w:w="146"/>
        <w:gridCol w:w="234"/>
        <w:gridCol w:w="780"/>
        <w:gridCol w:w="196"/>
        <w:gridCol w:w="189"/>
        <w:gridCol w:w="234"/>
        <w:gridCol w:w="780"/>
        <w:gridCol w:w="151"/>
        <w:gridCol w:w="146"/>
        <w:gridCol w:w="201"/>
        <w:gridCol w:w="803"/>
        <w:gridCol w:w="168"/>
        <w:gridCol w:w="162"/>
        <w:gridCol w:w="201"/>
        <w:gridCol w:w="803"/>
        <w:gridCol w:w="396"/>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3"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 December 31,</w:t>
            </w:r>
          </w:p>
        </w:tc>
        <w:tc>
          <w:tcPr>
            <w:tcW w:w="151" w:type="dxa"/>
            <w:tcBorders/>
            <w:shd w:fill="004483"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8"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396" w:type="dxa"/>
            <w:tcBorders/>
            <w:shd w:fill="004483" w:val="cle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9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68"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00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396" w:type="dxa"/>
            <w:tcBorders/>
            <w:shd w:fill="FFFFFF" w:val="clear"/>
            <w:vAlign w:val="center"/>
          </w:tcPr>
          <w:p>
            <w:pPr>
              <w:pStyle w:val="TableContents"/>
              <w:bidi w:val="0"/>
              <w:spacing w:before="0" w:after="283"/>
              <w:jc w:val="right"/>
              <w:rPr/>
            </w:pPr>
            <w:r>
              <w:rPr/>
              <w:t> </w:t>
            </w:r>
          </w:p>
        </w:tc>
      </w:tr>
      <w:tr>
        <w:trPr/>
        <w:tc>
          <w:tcPr>
            <w:tcW w:w="215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048" w:type="dxa"/>
            <w:gridSpan w:val="14"/>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3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15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Cement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308,654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256,313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998,437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860,289</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5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Concrete and Aggregates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61,186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55,176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201,526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186,407</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5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Gypsum Wallboard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200,969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212,016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629,299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652,981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5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Recycled Paperboard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47,053</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47,774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135,397</w:t>
            </w:r>
          </w:p>
        </w:tc>
        <w:tc>
          <w:tcPr>
            <w:tcW w:w="1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155,520</w:t>
            </w:r>
          </w:p>
        </w:tc>
        <w:tc>
          <w:tcPr>
            <w:tcW w:w="3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617,862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571,279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1,964,659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1,855,197</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5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Less: Intersegment 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(32,346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(32,172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(99,356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(98,190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215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Less: Joint Venture 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(26,683</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(27,620</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(82,713</w:t>
            </w:r>
          </w:p>
        </w:tc>
        <w:tc>
          <w:tcPr>
            <w:tcW w:w="1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(79,065</w:t>
            </w:r>
          </w:p>
        </w:tc>
        <w:tc>
          <w:tcPr>
            <w:tcW w:w="3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558,833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511,487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03"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1,782,590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0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03"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1,677,942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tbl>
      <w:tblPr>
        <w:tblW w:w="7830" w:type="dxa"/>
        <w:jc w:val="left"/>
        <w:tblInd w:w="0" w:type="dxa"/>
        <w:tblLayout w:type="fixed"/>
        <w:tblCellMar>
          <w:top w:w="28" w:type="dxa"/>
          <w:left w:w="28" w:type="dxa"/>
          <w:bottom w:w="28" w:type="dxa"/>
          <w:right w:w="28" w:type="dxa"/>
        </w:tblCellMar>
      </w:tblPr>
      <w:tblGrid>
        <w:gridCol w:w="2251"/>
        <w:gridCol w:w="146"/>
        <w:gridCol w:w="256"/>
        <w:gridCol w:w="744"/>
        <w:gridCol w:w="206"/>
        <w:gridCol w:w="206"/>
        <w:gridCol w:w="256"/>
        <w:gridCol w:w="744"/>
        <w:gridCol w:w="146"/>
        <w:gridCol w:w="146"/>
        <w:gridCol w:w="248"/>
        <w:gridCol w:w="721"/>
        <w:gridCol w:w="200"/>
        <w:gridCol w:w="200"/>
        <w:gridCol w:w="248"/>
        <w:gridCol w:w="721"/>
        <w:gridCol w:w="3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2"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 December 31,</w:t>
            </w:r>
          </w:p>
        </w:tc>
        <w:tc>
          <w:tcPr>
            <w:tcW w:w="146" w:type="dxa"/>
            <w:tcBorders/>
            <w:shd w:fill="004483"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8"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391" w:type="dxa"/>
            <w:tcBorders/>
            <w:shd w:fill="004483" w:val="clear"/>
            <w:vAlign w:val="center"/>
          </w:tcPr>
          <w:p>
            <w:pPr>
              <w:pStyle w:val="TableContents"/>
              <w:bidi w:val="0"/>
              <w:spacing w:before="0" w:after="283"/>
              <w:jc w:val="center"/>
              <w:rPr/>
            </w:pPr>
            <w:r>
              <w:rPr/>
              <w:t> </w:t>
            </w:r>
          </w:p>
        </w:tc>
      </w:tr>
      <w:tr>
        <w:trPr/>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0"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20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1000"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20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391" w:type="dxa"/>
            <w:tcBorders/>
            <w:shd w:fill="FFFFFF" w:val="clear"/>
            <w:vAlign w:val="center"/>
          </w:tcPr>
          <w:p>
            <w:pPr>
              <w:pStyle w:val="TableContents"/>
              <w:bidi w:val="0"/>
              <w:spacing w:before="0" w:after="283"/>
              <w:jc w:val="right"/>
              <w:rPr/>
            </w:pPr>
            <w:r>
              <w:rPr/>
              <w:t> </w:t>
            </w:r>
          </w:p>
        </w:tc>
      </w:tr>
      <w:tr>
        <w:trPr/>
        <w:tc>
          <w:tcPr>
            <w:tcW w:w="225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042" w:type="dxa"/>
            <w:gridSpan w:val="14"/>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Intersegment 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25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Cement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7,804</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27,192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26,371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5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Concrete and Aggregates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3,414</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10,235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5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Recycled Paperboard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21,128</w:t>
            </w:r>
          </w:p>
        </w:tc>
        <w:tc>
          <w:tcPr>
            <w:tcW w:w="2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24,453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61,929</w:t>
            </w:r>
          </w:p>
        </w:tc>
        <w:tc>
          <w:tcPr>
            <w:tcW w:w="20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71,819</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4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32,346</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4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32,172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99,356</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98,190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Cement Sales Volume (M tons)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25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Wholly Owned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1,663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5,470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5,313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5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Joint Venture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161</w:t>
            </w:r>
          </w:p>
        </w:tc>
        <w:tc>
          <w:tcPr>
            <w:tcW w:w="2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496</w:t>
            </w:r>
          </w:p>
        </w:tc>
        <w:tc>
          <w:tcPr>
            <w:tcW w:w="20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524</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1,824</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5,966</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4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5,837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076" w:type="dxa"/>
        <w:jc w:val="left"/>
        <w:tblInd w:w="0" w:type="dxa"/>
        <w:tblLayout w:type="fixed"/>
        <w:tblCellMar>
          <w:top w:w="28" w:type="dxa"/>
          <w:left w:w="28" w:type="dxa"/>
          <w:bottom w:w="28" w:type="dxa"/>
          <w:right w:w="28" w:type="dxa"/>
        </w:tblCellMar>
      </w:tblPr>
      <w:tblGrid>
        <w:gridCol w:w="3291"/>
        <w:gridCol w:w="146"/>
        <w:gridCol w:w="234"/>
        <w:gridCol w:w="780"/>
        <w:gridCol w:w="196"/>
        <w:gridCol w:w="189"/>
        <w:gridCol w:w="234"/>
        <w:gridCol w:w="780"/>
        <w:gridCol w:w="151"/>
        <w:gridCol w:w="146"/>
        <w:gridCol w:w="227"/>
        <w:gridCol w:w="756"/>
        <w:gridCol w:w="189"/>
        <w:gridCol w:w="183"/>
        <w:gridCol w:w="227"/>
        <w:gridCol w:w="756"/>
        <w:gridCol w:w="591"/>
      </w:tblGrid>
      <w:tr>
        <w:trPr/>
        <w:tc>
          <w:tcPr>
            <w:tcW w:w="3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3"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 December 31,</w:t>
            </w:r>
          </w:p>
        </w:tc>
        <w:tc>
          <w:tcPr>
            <w:tcW w:w="151" w:type="dxa"/>
            <w:tcBorders/>
            <w:shd w:fill="004483"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8"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591" w:type="dxa"/>
            <w:tcBorders/>
            <w:shd w:fill="004483" w:val="clear"/>
            <w:vAlign w:val="center"/>
          </w:tcPr>
          <w:p>
            <w:pPr>
              <w:pStyle w:val="TableContents"/>
              <w:bidi w:val="0"/>
              <w:spacing w:before="0" w:after="283"/>
              <w:jc w:val="center"/>
              <w:rPr/>
            </w:pPr>
            <w:r>
              <w:rPr/>
              <w:t> </w:t>
            </w:r>
          </w:p>
        </w:tc>
      </w:tr>
      <w:tr>
        <w:trPr/>
        <w:tc>
          <w:tcPr>
            <w:tcW w:w="3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9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center"/>
              <w:rPr/>
            </w:pPr>
            <w:r>
              <w:rPr/>
              <w:t> </w:t>
            </w:r>
          </w:p>
        </w:tc>
        <w:tc>
          <w:tcPr>
            <w:tcW w:w="101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3"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89"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center"/>
              <w:rPr/>
            </w:pPr>
            <w:r>
              <w:rPr/>
              <w:t> </w:t>
            </w:r>
          </w:p>
        </w:tc>
        <w:tc>
          <w:tcPr>
            <w:tcW w:w="983"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591" w:type="dxa"/>
            <w:tcBorders/>
            <w:shd w:fill="FFFFFF" w:val="clear"/>
            <w:vAlign w:val="center"/>
          </w:tcPr>
          <w:p>
            <w:pPr>
              <w:pStyle w:val="TableContents"/>
              <w:bidi w:val="0"/>
              <w:spacing w:before="0" w:after="283"/>
              <w:jc w:val="right"/>
              <w:rPr/>
            </w:pPr>
            <w:r>
              <w:rPr/>
              <w:t> </w:t>
            </w:r>
          </w:p>
        </w:tc>
      </w:tr>
      <w:tr>
        <w:trPr/>
        <w:tc>
          <w:tcPr>
            <w:tcW w:w="329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2413"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2338"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Operating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8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Cement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105,566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72,315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301,056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233,442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Concrete and Aggregates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1,760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13,434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15,700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Gypsum Wallboard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75,063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87,335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251,625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261,164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Recycled Paperboard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7,524</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7,805</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22,316</w:t>
            </w:r>
          </w:p>
        </w:tc>
        <w:tc>
          <w:tcPr>
            <w:tcW w:w="1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17,200</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400" w:right="0" w:firstLine="400"/>
              <w:jc w:val="left"/>
              <w:rPr>
                <w:rFonts w:ascii="Arial Narrow;sans-serif" w:hAnsi="Arial Narrow;sans-serif"/>
                <w:color w:val="004483"/>
                <w:sz w:val="18"/>
              </w:rPr>
            </w:pPr>
            <w:r>
              <w:rPr>
                <w:rFonts w:ascii="Arial Narrow;sans-serif" w:hAnsi="Arial Narrow;sans-serif"/>
                <w:color w:val="004483"/>
                <w:sz w:val="18"/>
              </w:rPr>
              <w:t>Sub-Total</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189,913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170,147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588,431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527,506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Corporate General and Administrative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(14,201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(12,497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(42,456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(37,944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Other Non-Operating Income (Loss)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1,019</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2,210</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2,837</w:t>
            </w:r>
          </w:p>
        </w:tc>
        <w:tc>
          <w:tcPr>
            <w:tcW w:w="1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911</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Earnings Before Interest and Income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176,731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159,860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548,812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490,473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Interest Expense, net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(10,128</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(8,932</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(32,571</w:t>
            </w:r>
          </w:p>
        </w:tc>
        <w:tc>
          <w:tcPr>
            <w:tcW w:w="1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(24,842</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b/>
                <w:color w:val="000000"/>
                <w:sz w:val="18"/>
              </w:rPr>
            </w:pPr>
            <w:r>
              <w:rPr>
                <w:rFonts w:ascii="Arial Narrow;sans-serif" w:hAnsi="Arial Narrow;sans-serif"/>
                <w:b/>
                <w:color w:val="000000"/>
                <w:sz w:val="18"/>
              </w:rPr>
              <w:t>Earnings Before Income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166,603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150,928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516,241</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465,631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Cement Operating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8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Wholly Owned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96,281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60,938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278,266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209,811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Joint Venture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9,285</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11,377</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22,790</w:t>
            </w:r>
          </w:p>
        </w:tc>
        <w:tc>
          <w:tcPr>
            <w:tcW w:w="1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23,631</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105,566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72,315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301,056</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233,442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Capital Expenditures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8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Cement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11,571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7,278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38,288</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21,157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Concrete and Aggregates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1,207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10,281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16,468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Gypsum Wallboard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7,386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7,307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23,866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19,777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Recycled Paperboard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1,868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7,733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Corporate and Other</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403</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526</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7,680</w:t>
            </w:r>
          </w:p>
        </w:tc>
        <w:tc>
          <w:tcPr>
            <w:tcW w:w="1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1,231</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22,435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17,702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87,848</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60,951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Depreciation, Depletion, and Amortization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8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Cement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22,514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20,582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66,380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60,893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Concrete and Aggregates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4,857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4,402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14,850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12,954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Gypsum Wallboard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5,611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5,387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16,620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16,539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Recycled Paperboard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3,694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11,121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11,197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Corporate and Other</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792</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706</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2,376</w:t>
            </w:r>
          </w:p>
        </w:tc>
        <w:tc>
          <w:tcPr>
            <w:tcW w:w="1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2,106</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37,468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right"/>
              <w:rPr/>
            </w:pPr>
            <w:r>
              <w:rPr/>
              <w:t> </w:t>
            </w:r>
          </w:p>
        </w:tc>
        <w:tc>
          <w:tcPr>
            <w:tcW w:w="2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34,815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111,347</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right"/>
              <w:rPr/>
            </w:pPr>
            <w:r>
              <w:rPr/>
              <w:t> </w:t>
            </w:r>
          </w:p>
        </w:tc>
        <w:tc>
          <w:tcPr>
            <w:tcW w:w="22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5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103,689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4559" w:type="dxa"/>
        <w:jc w:val="left"/>
        <w:tblInd w:w="0" w:type="dxa"/>
        <w:tblLayout w:type="fixed"/>
        <w:tblCellMar>
          <w:top w:w="28" w:type="dxa"/>
          <w:left w:w="28" w:type="dxa"/>
          <w:bottom w:w="28" w:type="dxa"/>
          <w:right w:w="28" w:type="dxa"/>
        </w:tblCellMar>
      </w:tblPr>
      <w:tblGrid>
        <w:gridCol w:w="1926"/>
        <w:gridCol w:w="146"/>
        <w:gridCol w:w="181"/>
        <w:gridCol w:w="721"/>
        <w:gridCol w:w="146"/>
        <w:gridCol w:w="146"/>
        <w:gridCol w:w="181"/>
        <w:gridCol w:w="721"/>
        <w:gridCol w:w="391"/>
      </w:tblGrid>
      <w:tr>
        <w:trPr/>
        <w:tc>
          <w:tcPr>
            <w:tcW w:w="1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December 31,</w:t>
            </w:r>
          </w:p>
        </w:tc>
        <w:tc>
          <w:tcPr>
            <w:tcW w:w="146" w:type="dxa"/>
            <w:tcBorders/>
            <w:shd w:fill="004483" w:val="clear"/>
            <w:vAlign w:val="center"/>
          </w:tcPr>
          <w:p>
            <w:pPr>
              <w:pStyle w:val="TableContents"/>
              <w:bidi w:val="0"/>
              <w:spacing w:before="0" w:after="283"/>
              <w:jc w:val="right"/>
              <w:rPr/>
            </w:pPr>
            <w:r>
              <w:rPr/>
              <w:t> </w:t>
            </w:r>
          </w:p>
        </w:tc>
        <w:tc>
          <w:tcPr>
            <w:tcW w:w="146" w:type="dxa"/>
            <w:tcBorders/>
            <w:shd w:fill="004483" w:val="clear"/>
            <w:vAlign w:val="center"/>
          </w:tcPr>
          <w:p>
            <w:pPr>
              <w:pStyle w:val="TableContents"/>
              <w:bidi w:val="0"/>
              <w:spacing w:before="0" w:after="283"/>
              <w:jc w:val="right"/>
              <w:rPr/>
            </w:pPr>
            <w:r>
              <w:rPr/>
              <w:t> </w:t>
            </w:r>
          </w:p>
        </w:tc>
        <w:tc>
          <w:tcPr>
            <w:tcW w:w="902"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March 31,</w:t>
            </w:r>
          </w:p>
        </w:tc>
        <w:tc>
          <w:tcPr>
            <w:tcW w:w="391" w:type="dxa"/>
            <w:tcBorders/>
            <w:shd w:fill="004483" w:val="clear"/>
            <w:vAlign w:val="center"/>
          </w:tcPr>
          <w:p>
            <w:pPr>
              <w:pStyle w:val="TableContents"/>
              <w:bidi w:val="0"/>
              <w:spacing w:before="0" w:after="283"/>
              <w:jc w:val="right"/>
              <w:rPr/>
            </w:pPr>
            <w:r>
              <w:rPr/>
              <w:t> </w:t>
            </w:r>
          </w:p>
        </w:tc>
      </w:tr>
      <w:tr>
        <w:trPr/>
        <w:tc>
          <w:tcPr>
            <w:tcW w:w="1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391" w:type="dxa"/>
            <w:tcBorders/>
            <w:shd w:fill="FFFFFF" w:val="clear"/>
            <w:vAlign w:val="center"/>
          </w:tcPr>
          <w:p>
            <w:pPr>
              <w:pStyle w:val="TableContents"/>
              <w:bidi w:val="0"/>
              <w:spacing w:before="0" w:after="283"/>
              <w:jc w:val="right"/>
              <w:rPr/>
            </w:pPr>
            <w:r>
              <w:rPr/>
              <w:t> </w:t>
            </w:r>
          </w:p>
        </w:tc>
      </w:tr>
      <w:tr>
        <w:trPr/>
        <w:tc>
          <w:tcPr>
            <w:tcW w:w="192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2096"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Identifiable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192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Cement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1,997,649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1,905,227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Concrete and Aggregates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229,998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234,767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Gypsum Wallboard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412,092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421,425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Recycled Paperboard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168,120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163,797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Other, net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82,481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55,786</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2,890,340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2,781,002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pStyle w:val="TextBody"/>
        <w:bidi w:val="0"/>
        <w:spacing w:before="120" w:after="283"/>
        <w:jc w:val="left"/>
        <w:rPr>
          <w:rFonts w:ascii="Arial" w:hAnsi="Arial"/>
          <w:color w:val="000000"/>
          <w:sz w:val="20"/>
        </w:rPr>
      </w:pPr>
      <w:r>
        <w:rPr>
          <w:rFonts w:ascii="Arial" w:hAnsi="Arial"/>
          <w:color w:val="000000"/>
          <w:sz w:val="20"/>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Arial" w:hAnsi="Arial"/>
          <w:color w:val="000000"/>
          <w:sz w:val="20"/>
        </w:rPr>
        <w:t>The segment breakdown of Goodwill is as follows:</w:t>
      </w:r>
      <w:r>
        <w:rPr>
          <w:rFonts w:ascii="Times New Roman" w:hAnsi="Times New Roman"/>
          <w:color w:val="000000"/>
          <w:sz w:val="20"/>
        </w:rPr>
        <w:t xml:space="preserve"> </w:t>
      </w:r>
    </w:p>
    <w:tbl>
      <w:tblPr>
        <w:tblW w:w="3962" w:type="dxa"/>
        <w:jc w:val="left"/>
        <w:tblInd w:w="0" w:type="dxa"/>
        <w:tblLayout w:type="fixed"/>
        <w:tblCellMar>
          <w:top w:w="28" w:type="dxa"/>
          <w:left w:w="28" w:type="dxa"/>
          <w:bottom w:w="28" w:type="dxa"/>
          <w:right w:w="28" w:type="dxa"/>
        </w:tblCellMar>
      </w:tblPr>
      <w:tblGrid>
        <w:gridCol w:w="1726"/>
        <w:gridCol w:w="146"/>
        <w:gridCol w:w="191"/>
        <w:gridCol w:w="634"/>
        <w:gridCol w:w="146"/>
        <w:gridCol w:w="146"/>
        <w:gridCol w:w="181"/>
        <w:gridCol w:w="601"/>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December 31,</w:t>
            </w:r>
          </w:p>
        </w:tc>
        <w:tc>
          <w:tcPr>
            <w:tcW w:w="146" w:type="dxa"/>
            <w:tcBorders/>
            <w:shd w:fill="004483" w:val="clear"/>
            <w:vAlign w:val="center"/>
          </w:tcPr>
          <w:p>
            <w:pPr>
              <w:pStyle w:val="TableContents"/>
              <w:bidi w:val="0"/>
              <w:spacing w:before="0" w:after="283"/>
              <w:jc w:val="right"/>
              <w:rPr/>
            </w:pPr>
            <w:r>
              <w:rPr/>
              <w:t> </w:t>
            </w:r>
          </w:p>
        </w:tc>
        <w:tc>
          <w:tcPr>
            <w:tcW w:w="146" w:type="dxa"/>
            <w:tcBorders/>
            <w:shd w:fill="004483" w:val="clear"/>
            <w:vAlign w:val="center"/>
          </w:tcPr>
          <w:p>
            <w:pPr>
              <w:pStyle w:val="TableContents"/>
              <w:bidi w:val="0"/>
              <w:spacing w:before="0" w:after="283"/>
              <w:jc w:val="right"/>
              <w:rPr/>
            </w:pPr>
            <w:r>
              <w:rPr/>
              <w:t> </w:t>
            </w:r>
          </w:p>
        </w:tc>
        <w:tc>
          <w:tcPr>
            <w:tcW w:w="782"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March 31,</w:t>
            </w:r>
          </w:p>
        </w:tc>
        <w:tc>
          <w:tcPr>
            <w:tcW w:w="191" w:type="dxa"/>
            <w:tcBorders/>
            <w:shd w:fill="004483" w:val="clear"/>
            <w:vAlign w:val="center"/>
          </w:tcPr>
          <w:p>
            <w:pPr>
              <w:pStyle w:val="TableContents"/>
              <w:bidi w:val="0"/>
              <w:spacing w:before="0" w:after="283"/>
              <w:jc w:val="right"/>
              <w:rPr/>
            </w:pPr>
            <w:r>
              <w:rPr/>
              <w:t> </w:t>
            </w:r>
          </w:p>
        </w:tc>
      </w:tr>
      <w:tr>
        <w:trPr/>
        <w:tc>
          <w:tcPr>
            <w:tcW w:w="1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91" w:type="dxa"/>
            <w:tcBorders/>
            <w:shd w:fill="FFFFFF" w:val="clear"/>
            <w:vAlign w:val="center"/>
          </w:tcPr>
          <w:p>
            <w:pPr>
              <w:pStyle w:val="TableContents"/>
              <w:bidi w:val="0"/>
              <w:spacing w:before="0" w:after="283"/>
              <w:jc w:val="right"/>
              <w:rPr/>
            </w:pPr>
            <w:r>
              <w:rPr/>
              <w:t> </w:t>
            </w:r>
          </w:p>
        </w:tc>
      </w:tr>
      <w:tr>
        <w:trPr/>
        <w:tc>
          <w:tcPr>
            <w:tcW w:w="172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899"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Cement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227,669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215,781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Concrete and Aggregates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40,774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40,774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Gypsum Wallboard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116,618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116,618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Recycled Paperboard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7,538</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7,538</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3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392,599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0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380,711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The increase in Goodwill in the Cement segment is related to the Stockton Terminal Acquisition. The purchase price allocation is still in progress, and may affect the recorded balance of Goodwill when completed.</w:t>
      </w:r>
    </w:p>
    <w:p>
      <w:pPr>
        <w:pStyle w:val="TextBody"/>
        <w:bidi w:val="0"/>
        <w:jc w:val="left"/>
        <w:rPr>
          <w:rFonts w:ascii="Times New Roman" w:hAnsi="Times New Roman"/>
          <w:sz w:val="20"/>
        </w:rPr>
      </w:pPr>
      <w:r>
        <w:rPr>
          <w:rFonts w:ascii="Arial" w:hAnsi="Arial"/>
          <w:color w:val="000000"/>
          <w:sz w:val="20"/>
        </w:rPr>
        <w:t>Summarized financial information for the Joint Venture that is not consolidated is set out below. This summarized financial information includes the total amount for the Joint Venture and not our 50% interest in those amounts:</w:t>
      </w:r>
      <w:r>
        <w:rPr>
          <w:rFonts w:ascii="Times New Roman" w:hAnsi="Times New Roman"/>
          <w:color w:val="000000"/>
          <w:sz w:val="20"/>
        </w:rPr>
        <w:t xml:space="preserve"> </w:t>
      </w:r>
    </w:p>
    <w:tbl>
      <w:tblPr>
        <w:tblW w:w="7467" w:type="dxa"/>
        <w:jc w:val="left"/>
        <w:tblInd w:w="0" w:type="dxa"/>
        <w:tblLayout w:type="fixed"/>
        <w:tblCellMar>
          <w:top w:w="28" w:type="dxa"/>
          <w:left w:w="28" w:type="dxa"/>
          <w:bottom w:w="28" w:type="dxa"/>
          <w:right w:w="28" w:type="dxa"/>
        </w:tblCellMar>
      </w:tblPr>
      <w:tblGrid>
        <w:gridCol w:w="2086"/>
        <w:gridCol w:w="146"/>
        <w:gridCol w:w="256"/>
        <w:gridCol w:w="744"/>
        <w:gridCol w:w="206"/>
        <w:gridCol w:w="206"/>
        <w:gridCol w:w="256"/>
        <w:gridCol w:w="744"/>
        <w:gridCol w:w="146"/>
        <w:gridCol w:w="146"/>
        <w:gridCol w:w="228"/>
        <w:gridCol w:w="758"/>
        <w:gridCol w:w="184"/>
        <w:gridCol w:w="184"/>
        <w:gridCol w:w="228"/>
        <w:gridCol w:w="758"/>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 December 31,</w:t>
            </w:r>
          </w:p>
        </w:tc>
        <w:tc>
          <w:tcPr>
            <w:tcW w:w="146" w:type="dxa"/>
            <w:tcBorders/>
            <w:shd w:fill="004483"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40"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191" w:type="dxa"/>
            <w:tcBorders/>
            <w:shd w:fill="004483" w:val="cle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00"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20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center"/>
              <w:rPr/>
            </w:pPr>
            <w:r>
              <w:rPr/>
              <w:t> </w:t>
            </w:r>
          </w:p>
        </w:tc>
        <w:tc>
          <w:tcPr>
            <w:tcW w:w="1000"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86"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84"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center"/>
              <w:rPr/>
            </w:pPr>
            <w:r>
              <w:rPr/>
              <w:t> </w:t>
            </w:r>
          </w:p>
        </w:tc>
        <w:tc>
          <w:tcPr>
            <w:tcW w:w="986"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91" w:type="dxa"/>
            <w:tcBorders/>
            <w:shd w:fill="FFFFFF" w:val="clear"/>
            <w:vAlign w:val="center"/>
          </w:tcPr>
          <w:p>
            <w:pPr>
              <w:pStyle w:val="TableContents"/>
              <w:bidi w:val="0"/>
              <w:spacing w:before="0" w:after="283"/>
              <w:jc w:val="right"/>
              <w:rPr/>
            </w:pPr>
            <w:r>
              <w:rPr/>
              <w:t> </w:t>
            </w:r>
          </w:p>
        </w:tc>
      </w:tr>
      <w:tr>
        <w:trPr/>
        <w:tc>
          <w:tcPr>
            <w:tcW w:w="208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2412"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2340"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53,366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165,426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158,129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Gross Margin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19,465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24,716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51,512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52,718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Earnings Before Income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18,711</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45,925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5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47,262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542" w:type="dxa"/>
        <w:jc w:val="left"/>
        <w:tblInd w:w="0" w:type="dxa"/>
        <w:tblLayout w:type="fixed"/>
        <w:tblCellMar>
          <w:top w:w="28" w:type="dxa"/>
          <w:left w:w="28" w:type="dxa"/>
          <w:bottom w:w="28" w:type="dxa"/>
          <w:right w:w="28" w:type="dxa"/>
        </w:tblCellMar>
      </w:tblPr>
      <w:tblGrid>
        <w:gridCol w:w="1306"/>
        <w:gridCol w:w="146"/>
        <w:gridCol w:w="191"/>
        <w:gridCol w:w="634"/>
        <w:gridCol w:w="146"/>
        <w:gridCol w:w="146"/>
        <w:gridCol w:w="181"/>
        <w:gridCol w:w="601"/>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5"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December 31,</w:t>
            </w:r>
          </w:p>
        </w:tc>
        <w:tc>
          <w:tcPr>
            <w:tcW w:w="146" w:type="dxa"/>
            <w:tcBorders/>
            <w:shd w:fill="004483" w:val="clear"/>
            <w:vAlign w:val="center"/>
          </w:tcPr>
          <w:p>
            <w:pPr>
              <w:pStyle w:val="TableContents"/>
              <w:bidi w:val="0"/>
              <w:spacing w:before="0" w:after="283"/>
              <w:jc w:val="right"/>
              <w:rPr/>
            </w:pPr>
            <w:r>
              <w:rPr/>
              <w:t> </w:t>
            </w:r>
          </w:p>
        </w:tc>
        <w:tc>
          <w:tcPr>
            <w:tcW w:w="146" w:type="dxa"/>
            <w:tcBorders/>
            <w:shd w:fill="004483" w:val="clear"/>
            <w:vAlign w:val="center"/>
          </w:tcPr>
          <w:p>
            <w:pPr>
              <w:pStyle w:val="TableContents"/>
              <w:bidi w:val="0"/>
              <w:spacing w:before="0" w:after="283"/>
              <w:jc w:val="right"/>
              <w:rPr/>
            </w:pPr>
            <w:r>
              <w:rPr/>
              <w:t> </w:t>
            </w:r>
          </w:p>
        </w:tc>
        <w:tc>
          <w:tcPr>
            <w:tcW w:w="782" w:type="dxa"/>
            <w:gridSpan w:val="2"/>
            <w:tcBorders/>
            <w:shd w:fill="004483" w:val="clear"/>
            <w:vAlign w:val="center"/>
          </w:tcPr>
          <w:p>
            <w:pPr>
              <w:pStyle w:val="TableContents"/>
              <w:bidi w:val="0"/>
              <w:spacing w:before="0" w:after="283"/>
              <w:jc w:val="right"/>
              <w:rPr>
                <w:rFonts w:ascii="Arial Narrow;sans-serif" w:hAnsi="Arial Narrow;sans-serif"/>
                <w:b/>
                <w:color w:val="FFFFFF"/>
                <w:sz w:val="14"/>
              </w:rPr>
            </w:pPr>
            <w:r>
              <w:rPr>
                <w:rFonts w:ascii="Arial Narrow;sans-serif" w:hAnsi="Arial Narrow;sans-serif"/>
                <w:b/>
                <w:color w:val="FFFFFF"/>
                <w:sz w:val="14"/>
              </w:rPr>
              <w:t>March 31,</w:t>
            </w:r>
          </w:p>
        </w:tc>
        <w:tc>
          <w:tcPr>
            <w:tcW w:w="191" w:type="dxa"/>
            <w:tcBorders/>
            <w:shd w:fill="004483" w:val="clear"/>
            <w:vAlign w:val="center"/>
          </w:tcPr>
          <w:p>
            <w:pPr>
              <w:pStyle w:val="TableContents"/>
              <w:bidi w:val="0"/>
              <w:spacing w:before="0" w:after="283"/>
              <w:jc w:val="right"/>
              <w:rPr/>
            </w:pPr>
            <w:r>
              <w:rPr/>
              <w:t> </w:t>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5"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91" w:type="dxa"/>
            <w:tcBorders/>
            <w:shd w:fill="FFFFFF" w:val="clear"/>
            <w:vAlign w:val="center"/>
          </w:tcPr>
          <w:p>
            <w:pPr>
              <w:pStyle w:val="TableContents"/>
              <w:bidi w:val="0"/>
              <w:spacing w:before="0" w:after="283"/>
              <w:jc w:val="right"/>
              <w:rPr/>
            </w:pPr>
            <w:r>
              <w:rPr/>
              <w:t> </w:t>
            </w:r>
          </w:p>
        </w:tc>
      </w:tr>
      <w:tr>
        <w:trPr/>
        <w:tc>
          <w:tcPr>
            <w:tcW w:w="130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899"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Current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104,158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88,562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Noncurrent Assets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150,950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124,503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Current Liabilities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3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40,621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29,434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2"/>
        </w:rPr>
        <w:t>(O) INTEREST EXPENSE</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following components are included in Interest Expense, net:</w:t>
      </w:r>
    </w:p>
    <w:p>
      <w:pPr>
        <w:pStyle w:val="TextBody"/>
        <w:bidi w:val="0"/>
        <w:jc w:val="left"/>
        <w:rPr/>
      </w:pPr>
      <w:r>
        <w:rPr/>
        <w:t> </w:t>
      </w:r>
    </w:p>
    <w:tbl>
      <w:tblPr>
        <w:tblW w:w="6950" w:type="dxa"/>
        <w:jc w:val="left"/>
        <w:tblInd w:w="0" w:type="dxa"/>
        <w:tblLayout w:type="fixed"/>
        <w:tblCellMar>
          <w:top w:w="28" w:type="dxa"/>
          <w:left w:w="28" w:type="dxa"/>
          <w:bottom w:w="28" w:type="dxa"/>
          <w:right w:w="28" w:type="dxa"/>
        </w:tblCellMar>
      </w:tblPr>
      <w:tblGrid>
        <w:gridCol w:w="1561"/>
        <w:gridCol w:w="146"/>
        <w:gridCol w:w="267"/>
        <w:gridCol w:w="776"/>
        <w:gridCol w:w="222"/>
        <w:gridCol w:w="215"/>
        <w:gridCol w:w="267"/>
        <w:gridCol w:w="666"/>
        <w:gridCol w:w="151"/>
        <w:gridCol w:w="146"/>
        <w:gridCol w:w="247"/>
        <w:gridCol w:w="719"/>
        <w:gridCol w:w="206"/>
        <w:gridCol w:w="199"/>
        <w:gridCol w:w="247"/>
        <w:gridCol w:w="719"/>
        <w:gridCol w:w="19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3"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 December 31,</w:t>
            </w:r>
          </w:p>
        </w:tc>
        <w:tc>
          <w:tcPr>
            <w:tcW w:w="151" w:type="dxa"/>
            <w:tcBorders/>
            <w:shd w:fill="004483"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7"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196" w:type="dxa"/>
            <w:tcBorders/>
            <w:shd w:fill="004483" w:val="cle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222"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c>
          <w:tcPr>
            <w:tcW w:w="933"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20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96" w:type="dxa"/>
            <w:tcBorders/>
            <w:shd w:fill="FFFFFF" w:val="clear"/>
            <w:vAlign w:val="center"/>
          </w:tcPr>
          <w:p>
            <w:pPr>
              <w:pStyle w:val="TableContents"/>
              <w:bidi w:val="0"/>
              <w:spacing w:before="0" w:after="283"/>
              <w:jc w:val="right"/>
              <w:rPr/>
            </w:pPr>
            <w:r>
              <w:rPr/>
              <w:t> </w:t>
            </w:r>
          </w:p>
        </w:tc>
      </w:tr>
      <w:tr>
        <w:trPr/>
        <w:tc>
          <w:tcPr>
            <w:tcW w:w="156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2413"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2337"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Interest Income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(150</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15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Interest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9,804</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8,621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31,671</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23,676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Other Expenses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474</w:t>
            </w:r>
          </w:p>
        </w:tc>
        <w:tc>
          <w:tcPr>
            <w:tcW w:w="22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474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1,423</w:t>
            </w:r>
          </w:p>
        </w:tc>
        <w:tc>
          <w:tcPr>
            <w:tcW w:w="2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1,411</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Interest Expense, net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7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10,128</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6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8,932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1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32,571</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4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1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24,842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2"/>
        </w:rPr>
        <w:t>(P)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December 31, 2023, we had contingent liabilities under these outstanding letters of credit of approximately $8.3</w:t>
      </w:r>
      <w:r>
        <w:rPr>
          <w:rFonts w:ascii="Times New Roman" w:hAnsi="Times New Roman"/>
          <w:color w:val="000000"/>
          <w:sz w:val="20"/>
        </w:rPr>
        <w:t xml:space="preserve"> </w:t>
      </w:r>
      <w:r>
        <w:rPr>
          <w:rFonts w:ascii="Arial" w:hAnsi="Arial"/>
          <w:color w:val="000000"/>
          <w:sz w:val="20"/>
        </w:rPr>
        <w:t>million.</w:t>
      </w:r>
    </w:p>
    <w:p>
      <w:pPr>
        <w:pStyle w:val="TextBody"/>
        <w:bidi w:val="0"/>
        <w:spacing w:before="120" w:after="283"/>
        <w:jc w:val="left"/>
        <w:rPr>
          <w:rFonts w:ascii="Times New Roman" w:hAnsi="Times New Roman"/>
          <w:sz w:val="20"/>
        </w:rPr>
      </w:pPr>
      <w:r>
        <w:rPr>
          <w:rFonts w:ascii="Arial" w:hAnsi="Arial"/>
          <w:color w:val="000000"/>
          <w:sz w:val="20"/>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and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w:t>
      </w:r>
      <w:r>
        <w:rPr>
          <w:rFonts w:ascii="Times New Roman" w:hAnsi="Times New Roman"/>
          <w:color w:val="000000"/>
          <w:sz w:val="20"/>
        </w:rPr>
        <w:t xml:space="preserve"> </w:t>
      </w:r>
      <w:r>
        <w:rPr>
          <w:rFonts w:ascii="Arial" w:hAnsi="Arial"/>
          <w:color w:val="000000"/>
          <w:sz w:val="20"/>
        </w:rPr>
        <w:t>outstanding guarantees.</w:t>
      </w:r>
    </w:p>
    <w:p>
      <w:pPr>
        <w:pStyle w:val="TextBody"/>
        <w:bidi w:val="0"/>
        <w:spacing w:before="120" w:after="283"/>
        <w:jc w:val="left"/>
        <w:rPr>
          <w:rFonts w:ascii="Times New Roman" w:hAnsi="Times New Roman"/>
          <w:sz w:val="20"/>
        </w:rPr>
      </w:pPr>
      <w:r>
        <w:rPr>
          <w:rFonts w:ascii="Arial" w:hAnsi="Arial"/>
          <w:color w:val="000000"/>
          <w:sz w:val="20"/>
        </w:rPr>
        <w:t>We are currently contingently liable for performance under $29.3</w:t>
      </w:r>
      <w:r>
        <w:rPr>
          <w:rFonts w:ascii="Times New Roman" w:hAnsi="Times New Roman"/>
          <w:color w:val="000000"/>
          <w:sz w:val="20"/>
        </w:rPr>
        <w:t xml:space="preserve"> </w:t>
      </w:r>
      <w:r>
        <w:rPr>
          <w:rFonts w:ascii="Arial" w:hAnsi="Arial"/>
          <w:color w:val="000000"/>
          <w:sz w:val="20"/>
        </w:rPr>
        <w:t>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experience, no material claims have been made against these financial instruments.</w:t>
      </w:r>
    </w:p>
    <w:p>
      <w:pPr>
        <w:pStyle w:val="TextBody"/>
        <w:bidi w:val="0"/>
        <w:spacing w:before="270" w:after="283"/>
        <w:jc w:val="left"/>
        <w:rPr>
          <w:rFonts w:ascii="Times New Roman" w:hAnsi="Times New Roman"/>
          <w:sz w:val="20"/>
        </w:rPr>
      </w:pPr>
      <w:r>
        <w:rPr>
          <w:rFonts w:ascii="Arial" w:hAnsi="Arial"/>
          <w:b/>
          <w:color w:val="000000"/>
          <w:sz w:val="22"/>
        </w:rPr>
        <w:t>(Q) FAIR VALUE OF FINANCIAL INSTRUMENTS</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The fair value of our long-term debt has been determined using market transactions (Level 1 inputs). The fair value of our 2.500% Senior Unsecured Notes at December 31, 2023, is as follows:</w:t>
      </w:r>
    </w:p>
    <w:tbl>
      <w:tblPr>
        <w:tblW w:w="4328" w:type="dxa"/>
        <w:jc w:val="left"/>
        <w:tblInd w:w="0" w:type="dxa"/>
        <w:tblLayout w:type="fixed"/>
        <w:tblCellMar>
          <w:top w:w="28" w:type="dxa"/>
          <w:left w:w="28" w:type="dxa"/>
          <w:bottom w:w="28" w:type="dxa"/>
          <w:right w:w="28" w:type="dxa"/>
        </w:tblCellMar>
      </w:tblPr>
      <w:tblGrid>
        <w:gridCol w:w="2836"/>
        <w:gridCol w:w="146"/>
        <w:gridCol w:w="267"/>
        <w:gridCol w:w="888"/>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Fair Value</w:t>
            </w:r>
          </w:p>
        </w:tc>
        <w:tc>
          <w:tcPr>
            <w:tcW w:w="191" w:type="dxa"/>
            <w:tcBorders/>
            <w:shd w:fill="FFFFFF" w:val="clear"/>
            <w:vAlign w:val="center"/>
          </w:tcPr>
          <w:p>
            <w:pPr>
              <w:pStyle w:val="TableContents"/>
              <w:bidi w:val="0"/>
              <w:spacing w:before="0" w:after="283"/>
              <w:jc w:val="right"/>
              <w:rPr/>
            </w:pPr>
            <w:r>
              <w:rPr/>
              <w:t> </w:t>
            </w:r>
          </w:p>
        </w:tc>
      </w:tr>
      <w:tr>
        <w:trPr/>
        <w:tc>
          <w:tcPr>
            <w:tcW w:w="283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4"/>
              </w:rPr>
            </w:pPr>
            <w:r>
              <w:rPr>
                <w:rFonts w:ascii="Arial Narrow;sans-serif" w:hAnsi="Arial Narrow;sans-serif"/>
                <w:color w:val="000000"/>
                <w:sz w:val="14"/>
              </w:rPr>
              <w:t>(dollars in thousands)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4483"/>
                <w:sz w:val="18"/>
              </w:rPr>
              <w:t>2.500% Senior Unsecured Notes Due</w:t>
            </w:r>
            <w:r>
              <w:rPr>
                <w:rFonts w:ascii="Times New Roman" w:hAnsi="Times New Roman"/>
                <w:color w:val="004483"/>
                <w:sz w:val="20"/>
              </w:rPr>
              <w:t xml:space="preserve"> </w:t>
            </w:r>
            <w:r>
              <w:rPr>
                <w:rFonts w:ascii="Arial Narrow;sans-serif" w:hAnsi="Arial Narrow;sans-serif"/>
                <w:color w:val="004483"/>
                <w:sz w:val="18"/>
              </w:rPr>
              <w:t>2031</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8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631,000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The carrying values of Cash and Cash Equivalents, Accounts Receivable, Accounts Payable, and Accrued Liabilities approximate their fair values at December 31, 2023, due to the short-term maturities of these assets and liabilities. The fair value of our Revolving Credit Facility and Term Loan also approximates the carrying value at December 31, 2023.</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6"/>
        </w:rPr>
      </w:pPr>
      <w:bookmarkStart w:id="8" w:name="item_7_managements_discussion_and"/>
      <w:bookmarkEnd w:id="8"/>
      <w:r>
        <w:rPr>
          <w:rFonts w:ascii="Arial" w:hAnsi="Arial"/>
          <w:b/>
          <w:color w:val="000000"/>
          <w:sz w:val="26"/>
        </w:rPr>
        <w:t>ITEM 2. Management’s Discussion and Analysis of Financial Condition and Results of Operations</w:t>
      </w:r>
    </w:p>
    <w:p>
      <w:pPr>
        <w:pStyle w:val="TextBody"/>
        <w:pBdr>
          <w:bottom w:val="single" w:sz="8" w:space="1" w:color="000000"/>
        </w:pBdr>
        <w:bidi w:val="0"/>
        <w:spacing w:before="270" w:after="283"/>
        <w:jc w:val="left"/>
        <w:rPr>
          <w:rFonts w:ascii="Times New Roman" w:hAnsi="Times New Roman"/>
          <w:sz w:val="20"/>
        </w:rPr>
      </w:pPr>
      <w:r>
        <w:rPr>
          <w:rFonts w:ascii="Arial" w:hAnsi="Arial"/>
          <w:b/>
          <w:color w:val="000000"/>
          <w:sz w:val="20"/>
        </w:rPr>
        <w:t>EXECUTIVE SUMMARY</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are a leading manufacturer of heavy construction materials and light building materials in the United States. Our primary products, portland cement and gypsum wallboard,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pStyle w:val="TextBody"/>
        <w:bidi w:val="0"/>
        <w:spacing w:before="120" w:after="283"/>
        <w:jc w:val="left"/>
        <w:rPr>
          <w:rFonts w:ascii="Times New Roman" w:hAnsi="Times New Roman"/>
          <w:sz w:val="20"/>
        </w:rPr>
      </w:pPr>
      <w:r>
        <w:rPr>
          <w:rFonts w:ascii="Arial" w:hAnsi="Arial"/>
          <w:color w:val="000000"/>
          <w:sz w:val="20"/>
        </w:rPr>
        <w:t>Our business is organized into two sectors: Heavy Materials, which includes the Cement and Concrete and Aggregates segments; and Light Materials, which includes the Gypsum Wallboard and Recycled Paperboard segments. Financial results and other information for the three and nine months ended December 31, 2023 and 2022, are presented on a consolidated basis and by these business segments – Cement, Concrete and Aggregates, Gypsum Wallboard, and Recycled Paperboard.</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pStyle w:val="TextBody"/>
        <w:bidi w:val="0"/>
        <w:spacing w:before="120" w:after="283"/>
        <w:jc w:val="left"/>
        <w:rPr>
          <w:rFonts w:ascii="Times New Roman" w:hAnsi="Times New Roman"/>
          <w:sz w:val="20"/>
        </w:rPr>
      </w:pPr>
      <w:r>
        <w:rPr>
          <w:rFonts w:ascii="Arial" w:hAnsi="Arial"/>
          <w:color w:val="000000"/>
          <w:sz w:val="20"/>
        </w:rPr>
        <w:t>All our business activities are conducted in the United States. These activities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In April 2023, we assumed operation of our quarry in Battletown, Kentucky (Battletown Aggregates). Our Battletown quarry is primarily used to supply our Kosmos Cement plant with limestone; however, beginning in April 2023, we started selling a portion of the mined materials as aggregates. Battletown Aggregates is included in our Heavy Materials sector, in the Concrete and Aggregates business segment.</w:t>
      </w:r>
    </w:p>
    <w:p>
      <w:pPr>
        <w:pStyle w:val="TextBody"/>
        <w:bidi w:val="0"/>
        <w:spacing w:before="120" w:after="283"/>
        <w:jc w:val="left"/>
        <w:rPr>
          <w:rFonts w:ascii="Arial" w:hAnsi="Arial"/>
          <w:color w:val="000000"/>
          <w:sz w:val="20"/>
        </w:rPr>
      </w:pPr>
      <w:r>
        <w:rPr>
          <w:rFonts w:ascii="Arial" w:hAnsi="Arial"/>
          <w:color w:val="000000"/>
          <w:sz w:val="20"/>
        </w:rPr>
        <w:t>On May 3, 2023, we finalized the Stockton Terminal Acquisition. The purchase price of the Stockton Terminal Acquisition was approximately $55.1 million. The Stockton Terminal Acquisition is included in our Heavy Materials sector, in the Cement business segment. See Footnote (B) in the Unaudited Consolidated Financial Statements for more information regarding the Stockton Terminal Acquisition.</w:t>
      </w:r>
    </w:p>
    <w:p>
      <w:pPr>
        <w:pStyle w:val="TextBody"/>
        <w:bidi w:val="0"/>
        <w:spacing w:before="270" w:after="283"/>
        <w:jc w:val="both"/>
        <w:rPr>
          <w:rFonts w:ascii="Times New Roman" w:hAnsi="Times New Roman"/>
          <w:sz w:val="20"/>
        </w:rPr>
      </w:pPr>
      <w:r>
        <w:rPr>
          <w:rFonts w:ascii="Arial" w:hAnsi="Arial"/>
          <w:b/>
          <w:color w:val="000000"/>
          <w:sz w:val="20"/>
        </w:rPr>
        <w:t>MARKET CONDITIONS AND OUTLOOK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During the first nine months of fiscal 2024, our end markets generally remained stable despite shifting economic conditions brought on by US monetary policy in response to inflation. Construction activity in most of our regional markets continued to be steady. Sales Volume in our Cement business, excluding volume related to the Stockton Acquisition, remained relatively flat for the first nine months of fiscal 2024. Sales Volume in our Gypsum Wallboard business declined 4% over the same time period. The decline in Sales Volume in Gypsum Wallboard was due to the slowdown in residential construction. Despite this decline, our overall sales volume remains historically strong.</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Arial" w:hAnsi="Arial"/>
          <w:i/>
          <w:color w:val="000000"/>
          <w:sz w:val="20"/>
        </w:rPr>
      </w:pPr>
      <w:r>
        <w:rPr>
          <w:rFonts w:ascii="Arial" w:hAnsi="Arial"/>
          <w:i/>
          <w:color w:val="000000"/>
          <w:sz w:val="20"/>
        </w:rPr>
        <w:t>Demand Outlook</w:t>
      </w:r>
    </w:p>
    <w:p>
      <w:pPr>
        <w:pStyle w:val="TextBody"/>
        <w:bidi w:val="0"/>
        <w:spacing w:before="120" w:after="283"/>
        <w:jc w:val="left"/>
        <w:rPr>
          <w:rFonts w:ascii="Times New Roman" w:hAnsi="Times New Roman"/>
          <w:sz w:val="20"/>
        </w:rPr>
      </w:pPr>
      <w:r>
        <w:rPr>
          <w:rFonts w:ascii="Arial" w:hAnsi="Arial"/>
          <w:color w:val="000000"/>
          <w:sz w:val="20"/>
        </w:rPr>
        <w:t>The principal end-use market of Cement is public infrastructure (i.e. roads, bridges, and highways). Our Cement business remains in a near sold-out position, and several factors indicate cement demand will remain strong. First, the Inflation Reduction and Infrastructure Investment and Jobs Acts have resulted in increased federal funding for public construction and repair projects. At the same time, state budget allocations for additional infrastructure projects remain high. Finally, passage of the CHIPS and Science Act is leading to growth in heavy industrial and manufacturing projects. Despite underlying growth in demand, our ability to increase Cement sales volume from our existing facilities is limited, because our integrated cement sales network, which stretches across the U.S. heartland, is operating at high utilization levels.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principal end use for Gypsum Wallboard is residential housing, consisting of new construction (both single-family and multi-family homes) as well as repair and remodel. Our Gypsum Wallboard shipments and orders, while down 4% for the first nine months of fiscal 2024, were down only 1% for the quarter ended December 31, 2023, both compared to similar periods in the prior year, and remain historically strong. Residential construction activity continued at a healthier pace than expected as the market continues to balance affordability challenges related primarily to higher interest rates with chronic supply shortages and resultant demand for new homebuilding. Our Recycled Paperboard business sells paper primarily into the gypsum wallboard market, and demand for our paper generally follows the demand for gypsum wallboard.</w:t>
      </w:r>
    </w:p>
    <w:p>
      <w:pPr>
        <w:pStyle w:val="TextBody"/>
        <w:bidi w:val="0"/>
        <w:spacing w:before="120" w:after="283"/>
        <w:jc w:val="left"/>
        <w:rPr>
          <w:rFonts w:ascii="Times New Roman" w:hAnsi="Times New Roman"/>
          <w:sz w:val="20"/>
        </w:rPr>
      </w:pPr>
      <w:r>
        <w:rPr>
          <w:rFonts w:ascii="Arial" w:hAnsi="Arial"/>
          <w:i/>
          <w:color w:val="000000"/>
          <w:sz w:val="20"/>
        </w:rPr>
        <w:t>Cost Outlook</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are well-positioned to manage our cost structure and meet our customers’ needs during the remainder of the fiscal year. Our substantial raw material reserves for our Cement, Aggregates, and Gypsum Wallboard businesses, and their proximity to our respective manufacturing facilities, support our low-cost producer position across all our business segments.</w:t>
      </w:r>
    </w:p>
    <w:p>
      <w:pPr>
        <w:pStyle w:val="TextBody"/>
        <w:bidi w:val="0"/>
        <w:spacing w:before="120" w:after="283"/>
        <w:jc w:val="left"/>
        <w:rPr>
          <w:rFonts w:ascii="Arial" w:hAnsi="Arial"/>
          <w:color w:val="000000"/>
          <w:sz w:val="20"/>
        </w:rPr>
      </w:pPr>
      <w:r>
        <w:rPr>
          <w:rFonts w:ascii="Arial" w:hAnsi="Arial"/>
          <w:color w:val="000000"/>
          <w:sz w:val="20"/>
        </w:rPr>
        <w:t>Energy and freight costs increased in all our businesses during fiscal 2023. In the first nine months of fiscal 2024, our natural gas costs have declined and freight costs have stabilized compared with the prior year; however, our solid fuel costs, which are the primary energy costs in manufacturing cement, continue to increase in fiscal 2024 compared with fiscal 2023. Our maintenance costs have increased during fiscal 2024 from fiscal 2023 due to the inflation in repair parts and contractor services, and we expect these amounts to remain elevated.</w:t>
      </w:r>
    </w:p>
    <w:p>
      <w:pPr>
        <w:pStyle w:val="TextBody"/>
        <w:bidi w:val="0"/>
        <w:spacing w:before="120" w:after="283"/>
        <w:jc w:val="left"/>
        <w:rPr>
          <w:rFonts w:ascii="Times New Roman" w:hAnsi="Times New Roman"/>
          <w:sz w:val="20"/>
        </w:rPr>
      </w:pPr>
      <w:r>
        <w:rPr>
          <w:rFonts w:ascii="Arial" w:hAnsi="Arial"/>
          <w:color w:val="000000"/>
          <w:sz w:val="20"/>
        </w:rPr>
        <w:t>The primary raw material used to produce recycled paperboard is old corrugated containers (OCC). Prices for OCC stabilized toward the end of fiscal 2023. OCC prices increased during the first nine months of fiscal 2024, and we anticipate OCC pricing to remain relatively stable in the near term.</w:t>
      </w:r>
      <w:r>
        <w:rPr>
          <w:rFonts w:ascii="Times New Roman" w:hAnsi="Times New Roman"/>
          <w:color w:val="FF0000"/>
          <w:sz w:val="20"/>
        </w:rPr>
        <w:t xml:space="preserve"> </w:t>
      </w:r>
      <w:r>
        <w:rPr>
          <w:rFonts w:ascii="Arial" w:hAnsi="Arial"/>
          <w:color w:val="000000"/>
          <w:sz w:val="20"/>
        </w:rPr>
        <w:t>Our current customer contracts for gypsum liner include price adjustments that partially compensate for changes in raw material fiber prices. However, because these price adjustments are not realized until future quarters, costs in our Gypsum Wallboard segment are likely to be adjusted in the period that these price changes are realized.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2"/>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aps/>
          <w:color w:val="000000"/>
          <w:sz w:val="20"/>
        </w:rPr>
        <w:t>THREE MONTHS ENDED december 31, 2023 Compared WITH THREE MONTHS ENDED december 31, 2022</w:t>
      </w:r>
      <w:r>
        <w:rPr>
          <w:rFonts w:ascii="Times New Roman" w:hAnsi="Times New Roman"/>
          <w:caps/>
          <w:color w:val="000000"/>
          <w:sz w:val="20"/>
        </w:rPr>
        <w:t xml:space="preserve"> </w:t>
      </w:r>
    </w:p>
    <w:p>
      <w:pPr>
        <w:pStyle w:val="TextBody"/>
        <w:bidi w:val="0"/>
        <w:jc w:val="both"/>
        <w:rPr/>
      </w:pPr>
      <w:r>
        <w:rPr/>
        <w:t> </w:t>
      </w:r>
    </w:p>
    <w:tbl>
      <w:tblPr>
        <w:tblW w:w="7043" w:type="dxa"/>
        <w:jc w:val="left"/>
        <w:tblInd w:w="0" w:type="dxa"/>
        <w:tblLayout w:type="fixed"/>
        <w:tblCellMar>
          <w:top w:w="28" w:type="dxa"/>
          <w:left w:w="28" w:type="dxa"/>
          <w:bottom w:w="28" w:type="dxa"/>
          <w:right w:w="28" w:type="dxa"/>
        </w:tblCellMar>
      </w:tblPr>
      <w:tblGrid>
        <w:gridCol w:w="3331"/>
        <w:gridCol w:w="146"/>
        <w:gridCol w:w="224"/>
        <w:gridCol w:w="799"/>
        <w:gridCol w:w="186"/>
        <w:gridCol w:w="180"/>
        <w:gridCol w:w="224"/>
        <w:gridCol w:w="799"/>
        <w:gridCol w:w="151"/>
        <w:gridCol w:w="146"/>
        <w:gridCol w:w="171"/>
        <w:gridCol w:w="355"/>
        <w:gridCol w:w="33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2"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 December 31,</w:t>
            </w:r>
          </w:p>
        </w:tc>
        <w:tc>
          <w:tcPr>
            <w:tcW w:w="151" w:type="dxa"/>
            <w:tcBorders/>
            <w:shd w:fill="004483"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8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1023"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Change</w:t>
            </w:r>
          </w:p>
        </w:tc>
        <w:tc>
          <w:tcPr>
            <w:tcW w:w="331" w:type="dxa"/>
            <w:tcBorders/>
            <w:shd w:fill="FFFFFF" w:val="clear"/>
            <w:vAlign w:val="center"/>
          </w:tcPr>
          <w:p>
            <w:pPr>
              <w:pStyle w:val="TableContents"/>
              <w:bidi w:val="0"/>
              <w:spacing w:before="0" w:after="283"/>
              <w:jc w:val="right"/>
              <w:rPr/>
            </w:pPr>
            <w:r>
              <w:rPr/>
              <w:t> </w:t>
            </w:r>
          </w:p>
        </w:tc>
      </w:tr>
      <w:tr>
        <w:trPr/>
        <w:tc>
          <w:tcPr>
            <w:tcW w:w="333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2412"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 except per share)</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558,833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511,487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Cost of Goods Sold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(378,205</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(352,717</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Gross Profit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180,628</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158,770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Equity in Earnings of Unconsolidated Joint Venture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9,285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11,377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Corporate General and Administrative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(14,201</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(12,497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Other Non-Operating Income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1,019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Interest Expense, net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(10,128</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(8,932</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Earnings Before Income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166,603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150,928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(37,465</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(33,744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Net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9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129,138</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9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117,184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Diluted Earnings per Share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9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3.72</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99"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r>
    </w:tbl>
    <w:p>
      <w:pPr>
        <w:pStyle w:val="TextBody"/>
        <w:bidi w:val="0"/>
        <w:spacing w:before="240" w:after="283"/>
        <w:jc w:val="left"/>
        <w:rPr>
          <w:rFonts w:ascii="Arial" w:hAnsi="Arial"/>
          <w:b/>
          <w:color w:val="000000"/>
          <w:sz w:val="20"/>
        </w:rPr>
      </w:pPr>
      <w:r>
        <w:rPr>
          <w:rFonts w:ascii="Arial" w:hAnsi="Arial"/>
          <w:b/>
          <w:color w:val="000000"/>
          <w:sz w:val="20"/>
        </w:rPr>
        <w:t>REVENUE</w:t>
      </w:r>
    </w:p>
    <w:p>
      <w:pPr>
        <w:pStyle w:val="TextBody"/>
        <w:bidi w:val="0"/>
        <w:spacing w:before="120" w:after="283"/>
        <w:jc w:val="left"/>
        <w:rPr>
          <w:rFonts w:ascii="Times New Roman" w:hAnsi="Times New Roman"/>
          <w:sz w:val="20"/>
        </w:rPr>
      </w:pPr>
      <w:r>
        <w:rPr>
          <w:rFonts w:ascii="Arial" w:hAnsi="Arial"/>
          <w:color w:val="000000"/>
          <w:sz w:val="20"/>
        </w:rPr>
        <w:t>Revenue increased by $47.3 million, or 9%, to $558.3 million for the three months ended December 31, 2023. Battletown Aggregates and the Stockton Terminal Acquisition contributed $2.0 million and $11.2 million of Revenue, respectively, during the three months ended December 31, 2023. Excluding Battletown Aggregates and the Stockton Terminal Acquisition, Revenue increased by $34.1 million. This was due to higher gross sales prices and Sales Volume, which positively affected Revenue by $26.0 million and $8.1 million, respectively.</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COST OF GOODS SOLD</w:t>
      </w:r>
    </w:p>
    <w:p>
      <w:pPr>
        <w:pStyle w:val="TextBody"/>
        <w:bidi w:val="0"/>
        <w:spacing w:before="120" w:after="283"/>
        <w:jc w:val="left"/>
        <w:rPr>
          <w:rFonts w:ascii="Arial" w:hAnsi="Arial"/>
          <w:color w:val="000000"/>
          <w:sz w:val="20"/>
        </w:rPr>
      </w:pPr>
      <w:r>
        <w:rPr>
          <w:rFonts w:ascii="Arial" w:hAnsi="Arial"/>
          <w:color w:val="000000"/>
          <w:sz w:val="20"/>
        </w:rPr>
        <w:t>Cost of Goods Sold increased by $25.5 million, or 7%, to $378.2 million for the three months ended December 31, 2023. Battletown Aggregates and the Stockton Terminal Acquisition contributed $2.6 million and $11.3 million of Cost of Goods Sold, respectively, during the three months ended December 31, 2023. Excluding Battletown Aggregates and the Stockton Terminal Acquisition, Cost of Goods Sold increased by $11.6 million, or 3%. The increase was due to higher Sales Volume and increased operating costs of $4.1 million and $7.5 million, respectively. Higher operating costs were primarily related to our Cement and Concrete and Aggregates businesses and are discussed further in the segment analysis.</w:t>
      </w:r>
    </w:p>
    <w:p>
      <w:pPr>
        <w:pStyle w:val="TextBody"/>
        <w:bidi w:val="0"/>
        <w:spacing w:before="270" w:after="283"/>
        <w:jc w:val="left"/>
        <w:rPr>
          <w:rFonts w:ascii="Arial" w:hAnsi="Arial"/>
          <w:b/>
          <w:color w:val="000000"/>
          <w:sz w:val="20"/>
        </w:rPr>
      </w:pPr>
      <w:r>
        <w:rPr>
          <w:rFonts w:ascii="Arial" w:hAnsi="Arial"/>
          <w:b/>
          <w:color w:val="000000"/>
          <w:sz w:val="20"/>
        </w:rPr>
        <w:t>GROSS PROFIT</w:t>
      </w:r>
    </w:p>
    <w:p>
      <w:pPr>
        <w:pStyle w:val="TextBody"/>
        <w:bidi w:val="0"/>
        <w:spacing w:before="120" w:after="283"/>
        <w:jc w:val="left"/>
        <w:rPr>
          <w:rFonts w:ascii="Times New Roman" w:hAnsi="Times New Roman"/>
          <w:sz w:val="20"/>
        </w:rPr>
      </w:pPr>
      <w:r>
        <w:rPr>
          <w:rFonts w:ascii="Arial" w:hAnsi="Arial"/>
          <w:color w:val="000000"/>
          <w:sz w:val="20"/>
        </w:rPr>
        <w:t>Gross Profit increased 14% to $180.6 million during the three months ended December 31, 2023. The increase was primarily related to higher gross sales prices and Sales Volume, partially offset by increased operating costs. The gross margin expanded to 32%, with higher gross sales prices being partially offset by a rise in operating costs.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EQUITY IN EARNINGS OF UNCONSOLIDATED JOINT VENTURE</w:t>
      </w:r>
    </w:p>
    <w:p>
      <w:pPr>
        <w:pStyle w:val="TextBody"/>
        <w:bidi w:val="0"/>
        <w:spacing w:before="120" w:after="283"/>
        <w:jc w:val="left"/>
        <w:rPr>
          <w:rFonts w:ascii="Times New Roman" w:hAnsi="Times New Roman"/>
          <w:sz w:val="20"/>
        </w:rPr>
      </w:pPr>
      <w:r>
        <w:rPr>
          <w:rFonts w:ascii="Arial" w:hAnsi="Arial"/>
          <w:color w:val="000000"/>
          <w:sz w:val="20"/>
        </w:rPr>
        <w:t>Equity in Earnings of our Unconsolidated Joint Venture decreased $2.1 million, or 18%, for the three months ended December 31, 2023. The decrease was primarily due to higher operating expense and lower Sales Volume, which reduced earnings by approximately $2.2 million and $0.8 million, respectively. This was partially offset by higher gross sales prices, which increased earnings by $0.9 million. The increase in operating expense was due primarily to freight, energy, and maintenance costs of $0.8 million, $0.6 million, and $0.4 million, respectively.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0000"/>
          <w:sz w:val="20"/>
        </w:rPr>
      </w:pPr>
      <w:r>
        <w:rPr>
          <w:rFonts w:ascii="Arial" w:hAnsi="Arial"/>
          <w:b/>
          <w:color w:val="000000"/>
          <w:sz w:val="20"/>
        </w:rPr>
        <w:t>CORPORATE GENERAL AND ADMINISTRATIVE EXPENSE</w:t>
      </w:r>
    </w:p>
    <w:p>
      <w:pPr>
        <w:pStyle w:val="TextBody"/>
        <w:bidi w:val="0"/>
        <w:spacing w:before="120" w:after="283"/>
        <w:jc w:val="left"/>
        <w:rPr>
          <w:rFonts w:ascii="Arial" w:hAnsi="Arial"/>
          <w:color w:val="000000"/>
          <w:sz w:val="20"/>
        </w:rPr>
      </w:pPr>
      <w:r>
        <w:rPr>
          <w:rFonts w:ascii="Arial" w:hAnsi="Arial"/>
          <w:color w:val="000000"/>
          <w:sz w:val="20"/>
        </w:rPr>
        <w:t>Corporate General and Administrative Expense increased by approximately $1.7 million, or 14%, for the three months ended December 31, 2023. The increase was primarily due to higher salary and incentive compensation, information technology upgrades, and legal and professional expenses of $0.4 million, $0.9 million, and $0.3 million, respectively. The increase in incentive compensation was due to higher earnings compared with the prior year.</w:t>
      </w:r>
    </w:p>
    <w:p>
      <w:pPr>
        <w:pStyle w:val="TextBody"/>
        <w:bidi w:val="0"/>
        <w:spacing w:before="270" w:after="283"/>
        <w:jc w:val="left"/>
        <w:rPr>
          <w:rFonts w:ascii="Times New Roman" w:hAnsi="Times New Roman"/>
          <w:sz w:val="20"/>
        </w:rPr>
      </w:pPr>
      <w:r>
        <w:rPr>
          <w:rFonts w:ascii="Arial" w:hAnsi="Arial"/>
          <w:b/>
          <w:color w:val="000000"/>
          <w:sz w:val="20"/>
        </w:rPr>
        <w:t>OTHER NON-OPERATING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Other Non-Operating Income consists of a variety of items that are unrelated to segment operations and include non-inventoried Aggregates income, asset sales, and other miscellaneous income and cost items.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INTEREST EXPENSE, NET</w:t>
      </w:r>
    </w:p>
    <w:p>
      <w:pPr>
        <w:pStyle w:val="TextBody"/>
        <w:bidi w:val="0"/>
        <w:spacing w:before="120" w:after="283"/>
        <w:jc w:val="left"/>
        <w:rPr>
          <w:rFonts w:ascii="Times New Roman" w:hAnsi="Times New Roman"/>
          <w:sz w:val="20"/>
        </w:rPr>
      </w:pPr>
      <w:r>
        <w:rPr>
          <w:rFonts w:ascii="Arial" w:hAnsi="Arial"/>
          <w:color w:val="000000"/>
          <w:sz w:val="20"/>
        </w:rPr>
        <w:t>Interest Expense, net increased by approximately $1.2 million, or 13%, during the three months ended December 31, 2023. This was primarily due to higher interest on our revolving credit facility, which was mostly related to higher interest rates on our borrowings.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EARNINGS BEFORE INCOME TAXES</w:t>
      </w:r>
    </w:p>
    <w:p>
      <w:pPr>
        <w:pStyle w:val="TextBody"/>
        <w:bidi w:val="0"/>
        <w:spacing w:before="120" w:after="283"/>
        <w:jc w:val="left"/>
        <w:rPr>
          <w:rFonts w:ascii="Times New Roman" w:hAnsi="Times New Roman"/>
          <w:sz w:val="20"/>
        </w:rPr>
      </w:pPr>
      <w:r>
        <w:rPr>
          <w:rFonts w:ascii="Arial" w:hAnsi="Arial"/>
          <w:color w:val="000000"/>
          <w:sz w:val="20"/>
        </w:rPr>
        <w:t>Earnings Before Income Taxes increased to $166.6 million during the three months ended December 31, 2023, primarily because of higher Gross Profit. This was partially offset by higher Corporate General and Administrative Expense and Interest Expense as well as lower Equity in Earnings of Unconsolidated Joint Venture.</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INCOME TAX EXPENSE</w:t>
      </w:r>
    </w:p>
    <w:p>
      <w:pPr>
        <w:pStyle w:val="TextBody"/>
        <w:bidi w:val="0"/>
        <w:spacing w:before="120" w:after="283"/>
        <w:jc w:val="left"/>
        <w:rPr>
          <w:rFonts w:ascii="Times New Roman" w:hAnsi="Times New Roman"/>
          <w:sz w:val="20"/>
        </w:rPr>
      </w:pPr>
      <w:r>
        <w:rPr>
          <w:rFonts w:ascii="Arial" w:hAnsi="Arial"/>
          <w:color w:val="000000"/>
          <w:sz w:val="20"/>
        </w:rPr>
        <w:t>Income Tax Expense was $37.5 million for the three months ended December 31, 2023, compared with $33.7 million for the three months ended December 31, 2022. The effective tax rate of 22% remained consistent with the prior-year period.</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NET EARNINGS</w:t>
      </w:r>
    </w:p>
    <w:p>
      <w:pPr>
        <w:pStyle w:val="TextBody"/>
        <w:bidi w:val="0"/>
        <w:spacing w:before="120" w:after="283"/>
        <w:jc w:val="left"/>
        <w:rPr>
          <w:rFonts w:ascii="Arial" w:hAnsi="Arial"/>
          <w:color w:val="000000"/>
          <w:sz w:val="20"/>
        </w:rPr>
      </w:pPr>
      <w:r>
        <w:rPr>
          <w:rFonts w:ascii="Arial" w:hAnsi="Arial"/>
          <w:color w:val="000000"/>
          <w:sz w:val="20"/>
        </w:rPr>
        <w:t>Net Earnings increased 10% to $129.1 million for the three months ended December 31, 2023, as discussed above.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2"/>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aps/>
          <w:color w:val="000000"/>
          <w:sz w:val="20"/>
        </w:rPr>
        <w:t>NINE MONTHS ENDED DECember 31, 2023 Compared WITH Nine MONTHS ENDED DECember 31, 2022</w:t>
      </w:r>
      <w:r>
        <w:rPr>
          <w:rFonts w:ascii="Times New Roman" w:hAnsi="Times New Roman"/>
          <w:caps/>
          <w:color w:val="000000"/>
          <w:sz w:val="20"/>
        </w:rPr>
        <w:t xml:space="preserve"> </w:t>
      </w:r>
    </w:p>
    <w:tbl>
      <w:tblPr>
        <w:tblW w:w="6969" w:type="dxa"/>
        <w:jc w:val="left"/>
        <w:tblInd w:w="0" w:type="dxa"/>
        <w:tblLayout w:type="fixed"/>
        <w:tblCellMar>
          <w:top w:w="28" w:type="dxa"/>
          <w:left w:w="28" w:type="dxa"/>
          <w:bottom w:w="28" w:type="dxa"/>
          <w:right w:w="28" w:type="dxa"/>
        </w:tblCellMar>
      </w:tblPr>
      <w:tblGrid>
        <w:gridCol w:w="3331"/>
        <w:gridCol w:w="146"/>
        <w:gridCol w:w="193"/>
        <w:gridCol w:w="818"/>
        <w:gridCol w:w="161"/>
        <w:gridCol w:w="155"/>
        <w:gridCol w:w="193"/>
        <w:gridCol w:w="818"/>
        <w:gridCol w:w="151"/>
        <w:gridCol w:w="146"/>
        <w:gridCol w:w="160"/>
        <w:gridCol w:w="366"/>
        <w:gridCol w:w="33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8"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151" w:type="dxa"/>
            <w:tcBorders/>
            <w:shd w:fill="004483"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1"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61"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1011"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Change</w:t>
            </w:r>
          </w:p>
        </w:tc>
        <w:tc>
          <w:tcPr>
            <w:tcW w:w="331" w:type="dxa"/>
            <w:tcBorders/>
            <w:shd w:fill="FFFFFF" w:val="clear"/>
            <w:vAlign w:val="center"/>
          </w:tcPr>
          <w:p>
            <w:pPr>
              <w:pStyle w:val="TableContents"/>
              <w:bidi w:val="0"/>
              <w:spacing w:before="0" w:after="283"/>
              <w:jc w:val="right"/>
              <w:rPr/>
            </w:pPr>
            <w:r>
              <w:rPr/>
              <w:t> </w:t>
            </w:r>
          </w:p>
        </w:tc>
      </w:tr>
      <w:tr>
        <w:trPr/>
        <w:tc>
          <w:tcPr>
            <w:tcW w:w="333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2338"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 except per share)</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1,782,590</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1,677,942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Cost of Goods Sold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(1,216,949</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(1,174,067</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Gross Profit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565,641</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503,875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Equity in Earnings of Unconsolidated Joint Venture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22,790</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23,631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Corporate General and Administrative Expense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(42,456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(37,944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Other Non-Operating Income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2,837</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Interest Expense, net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(32,571</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(24,842</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Earnings Before Income Taxes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516,241</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465,631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(115,701</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(104,447</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Net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1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400,540</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1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361,184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r>
      <w:tr>
        <w:trPr/>
        <w:tc>
          <w:tcPr>
            <w:tcW w:w="33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Diluted Earnings per Share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1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11.38</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1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9.66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r>
    </w:tbl>
    <w:p>
      <w:pPr>
        <w:pStyle w:val="TextBody"/>
        <w:bidi w:val="0"/>
        <w:spacing w:before="240" w:after="283"/>
        <w:jc w:val="left"/>
        <w:rPr>
          <w:rFonts w:ascii="Arial" w:hAnsi="Arial"/>
          <w:b/>
          <w:color w:val="000000"/>
          <w:sz w:val="20"/>
        </w:rPr>
      </w:pPr>
      <w:r>
        <w:rPr>
          <w:rFonts w:ascii="Arial" w:hAnsi="Arial"/>
          <w:b/>
          <w:color w:val="000000"/>
          <w:sz w:val="20"/>
        </w:rPr>
        <w:t>REVENUE</w:t>
      </w:r>
    </w:p>
    <w:p>
      <w:pPr>
        <w:pStyle w:val="TextBody"/>
        <w:bidi w:val="0"/>
        <w:spacing w:before="120" w:after="283"/>
        <w:jc w:val="left"/>
        <w:rPr>
          <w:rFonts w:ascii="Times New Roman" w:hAnsi="Times New Roman"/>
          <w:sz w:val="20"/>
        </w:rPr>
      </w:pPr>
      <w:r>
        <w:rPr>
          <w:rFonts w:ascii="Arial" w:hAnsi="Arial"/>
          <w:color w:val="000000"/>
          <w:sz w:val="20"/>
        </w:rPr>
        <w:t>Revenue increased by $104.7 million, or 6%, to $1,782.6 million for the nine months ended December 31, 2023. Battletown Aggregates and the Stockton Terminal Acquisition contributed $6.2 million and $32.5 million of Revenue, respectively, during the nine months ended December 31, 2023. Excluding Battletown Aggregates and the Stockton Terminal Acquisition, Revenue increased by $66.0 million, or 4%. This was due to higher gross sales prices, which positively affected Revenue by $120.4 million, partially offset by lower Sales Volume, which adversely affected Revenue by approximately $54.4 million.</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COST OF GOODS SOLD</w:t>
      </w:r>
    </w:p>
    <w:p>
      <w:pPr>
        <w:pStyle w:val="TextBody"/>
        <w:bidi w:val="0"/>
        <w:spacing w:before="120" w:after="283"/>
        <w:jc w:val="left"/>
        <w:rPr>
          <w:rFonts w:ascii="Arial" w:hAnsi="Arial"/>
          <w:color w:val="000000"/>
          <w:sz w:val="20"/>
        </w:rPr>
      </w:pPr>
      <w:r>
        <w:rPr>
          <w:rFonts w:ascii="Arial" w:hAnsi="Arial"/>
          <w:color w:val="000000"/>
          <w:sz w:val="20"/>
        </w:rPr>
        <w:t>Cost of Goods Sold increased by $42.8 million, or 4%, to $1,216.9 million for the nine months ended December 31, 2023. Battletown Aggregates and the Stockton Terminal Acquisition contributed $6.9 million and $34.6 million of Cost of Goods Sold, respectively, during the nine months ended December 31, 2023. Excluding Battletown Aggregates and the Stockton Terminal Acquisition, Cost of Goods Sold increased by $1.3 million. The increase was due to higher operating costs of $42.6 million, partially offset by lower Sales Volume of $41.3 million. Higher operating costs were primarily related to our Cement and Concrete and Aggregates businesses and are discussed further in the segment analysis.</w:t>
      </w:r>
    </w:p>
    <w:p>
      <w:pPr>
        <w:pStyle w:val="TextBody"/>
        <w:bidi w:val="0"/>
        <w:spacing w:before="270" w:after="283"/>
        <w:jc w:val="left"/>
        <w:rPr>
          <w:rFonts w:ascii="Arial" w:hAnsi="Arial"/>
          <w:b/>
          <w:color w:val="000000"/>
          <w:sz w:val="20"/>
        </w:rPr>
      </w:pPr>
      <w:r>
        <w:rPr>
          <w:rFonts w:ascii="Arial" w:hAnsi="Arial"/>
          <w:b/>
          <w:color w:val="000000"/>
          <w:sz w:val="20"/>
        </w:rPr>
        <w:t>GROSS PROFIT</w:t>
      </w:r>
    </w:p>
    <w:p>
      <w:pPr>
        <w:pStyle w:val="TextBody"/>
        <w:bidi w:val="0"/>
        <w:spacing w:before="120" w:after="283"/>
        <w:jc w:val="left"/>
        <w:rPr>
          <w:rFonts w:ascii="Times New Roman" w:hAnsi="Times New Roman"/>
          <w:sz w:val="20"/>
        </w:rPr>
      </w:pPr>
      <w:r>
        <w:rPr>
          <w:rFonts w:ascii="Arial" w:hAnsi="Arial"/>
          <w:color w:val="000000"/>
          <w:sz w:val="20"/>
        </w:rPr>
        <w:t>Gross Profit increased 12% to $565.6 million during the nine months ended December 31, 2023. The increase was primarily related to higher gross sales prices, partially offset by lower Sales Volume and increased operating costs. The gross margin expanded to 32%, with higher gross sales prices being partially offset by a rise in operating costs.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EQUITY IN EARNINGS OF UNCONSOLIDATED JOINT VENTURE</w:t>
      </w:r>
    </w:p>
    <w:p>
      <w:pPr>
        <w:pStyle w:val="TextBody"/>
        <w:bidi w:val="0"/>
        <w:spacing w:before="120" w:after="283"/>
        <w:jc w:val="left"/>
        <w:rPr>
          <w:rFonts w:ascii="Arial" w:hAnsi="Arial"/>
          <w:color w:val="000000"/>
          <w:sz w:val="20"/>
        </w:rPr>
      </w:pPr>
      <w:r>
        <w:rPr>
          <w:rFonts w:ascii="Arial" w:hAnsi="Arial"/>
          <w:color w:val="000000"/>
          <w:sz w:val="20"/>
        </w:rPr>
        <w:t>Equity in Earnings of our Unconsolidated Joint Venture decreased $0.8 million, or 4%, for the nine months ended December 31, 2023. The decrease was primarily due to higher operating expense and lower Sales Volume, which adversely affected earnings by $8.0 million and $1.5 million, respectively. This was partially offset by higher gross sales prices, which increased earnings by approximately $8.7 million. The increase in operating expense was primarily related to extended equipment downtime that reduced production and resulted in higher maintenance cost of approximately $2.8 million, as well as purchased cement, freight, and energy costs which reduced operating earnings by $1.3 million, $1.2 million, and $0.8 million, respectively.</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0000"/>
          <w:sz w:val="20"/>
        </w:rPr>
      </w:pPr>
      <w:r>
        <w:rPr>
          <w:rFonts w:ascii="Arial" w:hAnsi="Arial"/>
          <w:b/>
          <w:color w:val="000000"/>
          <w:sz w:val="20"/>
        </w:rPr>
        <w:t>CORPORATE GENERAL AND ADMINISTRATIVE EXPENSE</w:t>
      </w:r>
    </w:p>
    <w:p>
      <w:pPr>
        <w:pStyle w:val="TextBody"/>
        <w:bidi w:val="0"/>
        <w:spacing w:before="120" w:after="283"/>
        <w:jc w:val="left"/>
        <w:rPr>
          <w:rFonts w:ascii="Arial" w:hAnsi="Arial"/>
          <w:color w:val="000000"/>
          <w:sz w:val="20"/>
        </w:rPr>
      </w:pPr>
      <w:r>
        <w:rPr>
          <w:rFonts w:ascii="Arial" w:hAnsi="Arial"/>
          <w:color w:val="000000"/>
          <w:sz w:val="20"/>
        </w:rPr>
        <w:t>Corporate General and Administrative Expense increased by approximately $4.6 million, or 12%, for the nine months ended December 31, 2023. The increase was primarily due to higher salary and incentive compensation, information technology upgrades, and legal and professional expenses of $1.7 million, $1.4 million, and $1.4 million, respectively. The increase in incentive compensation was due to higher earnings compared with the prior year, while the increase in legal and professional expense was primarily related to the Stockton Acquisition.</w:t>
      </w:r>
    </w:p>
    <w:p>
      <w:pPr>
        <w:pStyle w:val="TextBody"/>
        <w:bidi w:val="0"/>
        <w:spacing w:before="270" w:after="283"/>
        <w:jc w:val="left"/>
        <w:rPr>
          <w:rFonts w:ascii="Times New Roman" w:hAnsi="Times New Roman"/>
          <w:sz w:val="20"/>
        </w:rPr>
      </w:pPr>
      <w:r>
        <w:rPr>
          <w:rFonts w:ascii="Arial" w:hAnsi="Arial"/>
          <w:b/>
          <w:color w:val="000000"/>
          <w:sz w:val="20"/>
        </w:rPr>
        <w:t>OTHER NON-OPERATING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Other Non-Operating Income consists of a variety of items that are unrelated to segment operations and include non-inventoried Aggregates income, asset sales, and other miscellaneous income and cost items.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INTEREST EXPENSE, NET</w:t>
      </w:r>
    </w:p>
    <w:p>
      <w:pPr>
        <w:pStyle w:val="TextBody"/>
        <w:bidi w:val="0"/>
        <w:spacing w:before="120" w:after="283"/>
        <w:jc w:val="left"/>
        <w:rPr>
          <w:rFonts w:ascii="Times New Roman" w:hAnsi="Times New Roman"/>
          <w:sz w:val="20"/>
        </w:rPr>
      </w:pPr>
      <w:r>
        <w:rPr>
          <w:rFonts w:ascii="Arial" w:hAnsi="Arial"/>
          <w:color w:val="000000"/>
          <w:sz w:val="20"/>
        </w:rPr>
        <w:t>Interest Expense, net increased by approximately $7.8 million, or 31%, during the nine months ended December 31, 2023. This was primarily due to approximately $7.9 million of higher interest on our revolving credit facility, which was related to increased average outstanding borrowings and higher interest rates, partially offset by increased interest income on cash deposits.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EARNINGS BEFORE INCOME TAXES</w:t>
      </w:r>
    </w:p>
    <w:p>
      <w:pPr>
        <w:pStyle w:val="TextBody"/>
        <w:bidi w:val="0"/>
        <w:spacing w:before="120" w:after="283"/>
        <w:jc w:val="left"/>
        <w:rPr>
          <w:rFonts w:ascii="Times New Roman" w:hAnsi="Times New Roman"/>
          <w:sz w:val="20"/>
        </w:rPr>
      </w:pPr>
      <w:r>
        <w:rPr>
          <w:rFonts w:ascii="Arial" w:hAnsi="Arial"/>
          <w:color w:val="000000"/>
          <w:sz w:val="20"/>
        </w:rPr>
        <w:t>Earnings Before Income Taxes increased to $516.2 million during the nine months ended December 31, 2023, primarily because of higher Gross Profit. This was partially offset by higher Corporate General and Administrative Expense and Interest Expense as well as lower Equity in Earnings of Unconsolidated Joint Venture.</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INCOME TAX EXPENSE</w:t>
      </w:r>
    </w:p>
    <w:p>
      <w:pPr>
        <w:pStyle w:val="TextBody"/>
        <w:bidi w:val="0"/>
        <w:spacing w:before="120" w:after="283"/>
        <w:jc w:val="left"/>
        <w:rPr>
          <w:rFonts w:ascii="Times New Roman" w:hAnsi="Times New Roman"/>
          <w:sz w:val="20"/>
        </w:rPr>
      </w:pPr>
      <w:r>
        <w:rPr>
          <w:rFonts w:ascii="Arial" w:hAnsi="Arial"/>
          <w:color w:val="000000"/>
          <w:sz w:val="20"/>
        </w:rPr>
        <w:t>Income Tax Expense was $115.7 million for the nine months ended December 31, 2023, compared with $104.4 million for the nine months ended December 31, 2022. The effective tax rate of 22% remained consistent with the prior-year period.</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NET EARNINGS</w:t>
      </w:r>
    </w:p>
    <w:p>
      <w:pPr>
        <w:pStyle w:val="TextBody"/>
        <w:bidi w:val="0"/>
        <w:spacing w:before="120" w:after="283"/>
        <w:jc w:val="left"/>
        <w:rPr>
          <w:rFonts w:ascii="Arial" w:hAnsi="Arial"/>
          <w:color w:val="000000"/>
          <w:sz w:val="20"/>
        </w:rPr>
      </w:pPr>
      <w:r>
        <w:rPr>
          <w:rFonts w:ascii="Arial" w:hAnsi="Arial"/>
          <w:color w:val="000000"/>
          <w:sz w:val="20"/>
        </w:rPr>
        <w:t>Net Earnings increased 11% to $400.5 million for the nine months ended December 31, 2023, as discussed above.</w:t>
      </w:r>
    </w:p>
    <w:p>
      <w:pPr>
        <w:pStyle w:val="TextBody"/>
        <w:bidi w:val="0"/>
        <w:spacing w:before="270" w:after="283"/>
        <w:jc w:val="left"/>
        <w:rPr>
          <w:rFonts w:ascii="Times New Roman" w:hAnsi="Times New Roman"/>
          <w:sz w:val="20"/>
        </w:rPr>
      </w:pPr>
      <w:r>
        <w:rPr>
          <w:rFonts w:ascii="Arial" w:hAnsi="Arial"/>
          <w:b/>
          <w:caps/>
          <w:color w:val="000000"/>
          <w:sz w:val="20"/>
        </w:rPr>
        <w:t xml:space="preserve">Three AND NINE MONTHS ENDED December 31, 2023 </w:t>
      </w:r>
      <w:r>
        <w:rPr>
          <w:rFonts w:ascii="Arial" w:hAnsi="Arial"/>
          <w:b/>
          <w:color w:val="000000"/>
          <w:sz w:val="20"/>
        </w:rPr>
        <w:t>vs.</w:t>
      </w:r>
      <w:r>
        <w:rPr>
          <w:rFonts w:ascii="Times New Roman" w:hAnsi="Times New Roman"/>
          <w:caps/>
          <w:color w:val="000000"/>
          <w:sz w:val="20"/>
        </w:rPr>
        <w:t xml:space="preserve"> </w:t>
      </w:r>
      <w:r>
        <w:rPr>
          <w:rFonts w:ascii="Arial" w:hAnsi="Arial"/>
          <w:b/>
          <w:caps/>
          <w:color w:val="000000"/>
          <w:sz w:val="20"/>
        </w:rPr>
        <w:t>three AND nine MONTHS ENDED december 31, 2022 BY SEGMENT</w:t>
      </w:r>
    </w:p>
    <w:p>
      <w:pPr>
        <w:pStyle w:val="TextBody"/>
        <w:bidi w:val="0"/>
        <w:spacing w:before="120" w:after="283"/>
        <w:jc w:val="left"/>
        <w:rPr>
          <w:rFonts w:ascii="Arial" w:hAnsi="Arial"/>
          <w:color w:val="000000"/>
          <w:sz w:val="20"/>
        </w:rPr>
      </w:pPr>
      <w:r>
        <w:rPr>
          <w:rFonts w:ascii="Arial" w:hAnsi="Arial"/>
          <w:color w:val="000000"/>
          <w:sz w:val="20"/>
        </w:rPr>
        <w:t>The following presents results within our two business sectors for the three and nine months ended December 31, 2023, and 2022. Revenue and operating results are organized by sector and discussed by individual business segments.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70" w:after="283"/>
        <w:jc w:val="left"/>
        <w:rPr>
          <w:rFonts w:ascii="Arial" w:hAnsi="Arial"/>
          <w:b/>
          <w:color w:val="000000"/>
          <w:sz w:val="20"/>
          <w:u w:val="single"/>
        </w:rPr>
      </w:pPr>
      <w:r>
        <w:rPr>
          <w:rFonts w:ascii="Arial" w:hAnsi="Arial"/>
          <w:b/>
          <w:color w:val="000000"/>
          <w:sz w:val="20"/>
          <w:u w:val="single"/>
        </w:rPr>
        <w:t>Heavy Materials</w:t>
      </w:r>
    </w:p>
    <w:p>
      <w:pPr>
        <w:pStyle w:val="TextBody"/>
        <w:bidi w:val="0"/>
        <w:spacing w:before="120" w:after="283"/>
        <w:jc w:val="left"/>
        <w:rPr>
          <w:rFonts w:ascii="Times New Roman" w:hAnsi="Times New Roman"/>
          <w:sz w:val="20"/>
        </w:rPr>
      </w:pPr>
      <w:r>
        <w:rPr>
          <w:rFonts w:ascii="Arial" w:hAnsi="Arial"/>
          <w:b/>
          <w:color w:val="000000"/>
          <w:sz w:val="20"/>
        </w:rPr>
        <w:t xml:space="preserve">CEMENT </w:t>
      </w:r>
      <w:r>
        <w:rPr>
          <w:rFonts w:ascii="Arial" w:hAnsi="Arial"/>
          <w:b/>
          <w:color w:val="000000"/>
          <w:sz w:val="13"/>
        </w:rPr>
        <w:t>(1)</w:t>
      </w:r>
    </w:p>
    <w:tbl>
      <w:tblPr>
        <w:tblW w:w="10205" w:type="dxa"/>
        <w:jc w:val="left"/>
        <w:tblInd w:w="0" w:type="dxa"/>
        <w:tblLayout w:type="fixed"/>
        <w:tblCellMar>
          <w:top w:w="28" w:type="dxa"/>
          <w:left w:w="28" w:type="dxa"/>
          <w:bottom w:w="28" w:type="dxa"/>
          <w:right w:w="28" w:type="dxa"/>
        </w:tblCellMar>
      </w:tblPr>
      <w:tblGrid>
        <w:gridCol w:w="2430"/>
        <w:gridCol w:w="146"/>
        <w:gridCol w:w="213"/>
        <w:gridCol w:w="712"/>
        <w:gridCol w:w="179"/>
        <w:gridCol w:w="172"/>
        <w:gridCol w:w="213"/>
        <w:gridCol w:w="712"/>
        <w:gridCol w:w="151"/>
        <w:gridCol w:w="146"/>
        <w:gridCol w:w="357"/>
        <w:gridCol w:w="628"/>
        <w:gridCol w:w="269"/>
        <w:gridCol w:w="146"/>
        <w:gridCol w:w="209"/>
        <w:gridCol w:w="697"/>
        <w:gridCol w:w="174"/>
        <w:gridCol w:w="169"/>
        <w:gridCol w:w="209"/>
        <w:gridCol w:w="697"/>
        <w:gridCol w:w="151"/>
        <w:gridCol w:w="146"/>
        <w:gridCol w:w="357"/>
        <w:gridCol w:w="628"/>
        <w:gridCol w:w="294"/>
      </w:tblGrid>
      <w:tr>
        <w:trPr/>
        <w:tc>
          <w:tcPr>
            <w:tcW w:w="2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4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1" w:type="dxa"/>
            <w:gridSpan w:val="6"/>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 December 31,</w:t>
            </w:r>
          </w:p>
        </w:tc>
        <w:tc>
          <w:tcPr>
            <w:tcW w:w="151" w:type="dxa"/>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5" w:type="dxa"/>
            <w:gridSpan w:val="2"/>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55" w:type="dxa"/>
            <w:gridSpan w:val="6"/>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151" w:type="dxa"/>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5" w:type="dxa"/>
            <w:gridSpan w:val="2"/>
            <w:tcBorders/>
            <w:shd w:fill="FFFFFF" w:val="cle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center"/>
              <w:rPr/>
            </w:pPr>
            <w:r>
              <w:rPr/>
              <w:t> </w:t>
            </w:r>
          </w:p>
        </w:tc>
      </w:tr>
      <w:tr>
        <w:trPr/>
        <w:tc>
          <w:tcPr>
            <w:tcW w:w="24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5"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79"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center"/>
              <w:rPr/>
            </w:pPr>
            <w:r>
              <w:rPr/>
              <w:t> </w:t>
            </w:r>
          </w:p>
        </w:tc>
        <w:tc>
          <w:tcPr>
            <w:tcW w:w="925"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85" w:type="dxa"/>
            <w:gridSpan w:val="2"/>
            <w:tcBorders/>
            <w:shd w:fill="FFFFFF" w:val="clear"/>
            <w:vAlign w:val="center"/>
          </w:tcPr>
          <w:p>
            <w:pPr>
              <w:pStyle w:val="TableContents"/>
              <w:bidi w:val="0"/>
              <w:spacing w:before="0" w:after="283"/>
              <w:jc w:val="center"/>
              <w:rPr>
                <w:rFonts w:ascii="Arial Narrow;sans-serif" w:hAnsi="Arial Narrow;sans-serif"/>
                <w:b/>
                <w:color w:val="000000"/>
                <w:sz w:val="14"/>
              </w:rPr>
            </w:pPr>
            <w:r>
              <w:rPr>
                <w:rFonts w:ascii="Arial Narrow;sans-serif" w:hAnsi="Arial Narrow;sans-serif"/>
                <w:b/>
                <w:color w:val="000000"/>
                <w:sz w:val="14"/>
              </w:rPr>
              <w:t>Percentage Change</w:t>
            </w:r>
          </w:p>
        </w:tc>
        <w:tc>
          <w:tcPr>
            <w:tcW w:w="2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74"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center"/>
              <w:rPr/>
            </w:pPr>
            <w:r>
              <w:rPr/>
              <w:t> </w:t>
            </w:r>
          </w:p>
        </w:tc>
        <w:tc>
          <w:tcPr>
            <w:tcW w:w="906"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85" w:type="dxa"/>
            <w:gridSpan w:val="2"/>
            <w:tcBorders/>
            <w:shd w:fill="FFFFFF" w:val="clear"/>
            <w:vAlign w:val="center"/>
          </w:tcPr>
          <w:p>
            <w:pPr>
              <w:pStyle w:val="TableContents"/>
              <w:bidi w:val="0"/>
              <w:spacing w:before="0" w:after="283"/>
              <w:jc w:val="center"/>
              <w:rPr>
                <w:rFonts w:ascii="Arial Narrow;sans-serif" w:hAnsi="Arial Narrow;sans-serif"/>
                <w:b/>
                <w:color w:val="000000"/>
                <w:sz w:val="14"/>
              </w:rPr>
            </w:pPr>
            <w:r>
              <w:rPr>
                <w:rFonts w:ascii="Arial Narrow;sans-serif" w:hAnsi="Arial Narrow;sans-serif"/>
                <w:b/>
                <w:color w:val="000000"/>
                <w:sz w:val="14"/>
              </w:rPr>
              <w:t>Percentage Change</w:t>
            </w:r>
          </w:p>
        </w:tc>
        <w:tc>
          <w:tcPr>
            <w:tcW w:w="294" w:type="dxa"/>
            <w:tcBorders/>
            <w:shd w:fill="FFFFFF" w:val="clear"/>
            <w:vAlign w:val="center"/>
          </w:tcPr>
          <w:p>
            <w:pPr>
              <w:pStyle w:val="TableContents"/>
              <w:bidi w:val="0"/>
              <w:spacing w:before="0" w:after="283"/>
              <w:jc w:val="center"/>
              <w:rPr/>
            </w:pPr>
            <w:r>
              <w:rPr/>
              <w:t> </w:t>
            </w:r>
          </w:p>
        </w:tc>
      </w:tr>
      <w:tr>
        <w:trPr/>
        <w:tc>
          <w:tcPr>
            <w:tcW w:w="2430"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left"/>
              <w:rPr/>
            </w:pPr>
            <w:r>
              <w:rPr/>
              <w:t> </w:t>
            </w:r>
          </w:p>
        </w:tc>
        <w:tc>
          <w:tcPr>
            <w:tcW w:w="2201" w:type="dxa"/>
            <w:gridSpan w:val="6"/>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(in thousands, except per ton information)</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985" w:type="dxa"/>
            <w:gridSpan w:val="2"/>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left"/>
              <w:rPr/>
            </w:pPr>
            <w:r>
              <w:rPr/>
              <w:t> </w:t>
            </w:r>
          </w:p>
        </w:tc>
        <w:tc>
          <w:tcPr>
            <w:tcW w:w="2155" w:type="dxa"/>
            <w:gridSpan w:val="6"/>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(in thousands, except per ton information)</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985" w:type="dxa"/>
            <w:gridSpan w:val="2"/>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Revenue, including Intersegment and Joint Venture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308,654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256,313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998,437</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860,289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Less Intersegment 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(7,804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(7,719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(27,192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(26,371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Less Joint Venture 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(26,683</w:t>
            </w:r>
          </w:p>
        </w:tc>
        <w:tc>
          <w:tcPr>
            <w:tcW w:w="17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(27,620</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(82,713</w:t>
            </w:r>
          </w:p>
        </w:tc>
        <w:tc>
          <w:tcPr>
            <w:tcW w:w="17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(79,065</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274,167</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220,974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888,532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754,853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2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2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8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8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Sales Volume (M Tons)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5,966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5,837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Freight and Delivery Costs billed to Customers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(16,944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(12,910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31</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(52,344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(48,922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Arial Narrow;sans-serif" w:hAnsi="Arial Narrow;sans-serif"/>
                <w:color w:val="004483"/>
                <w:sz w:val="18"/>
              </w:rPr>
              <w:t>Average Net Sales Price, per ton</w:t>
            </w:r>
            <w:r>
              <w:rPr>
                <w:rFonts w:ascii="Times New Roman" w:hAnsi="Times New Roman"/>
                <w:color w:val="004483"/>
                <w:sz w:val="18"/>
              </w:rPr>
              <w:t> </w:t>
            </w:r>
            <w:r>
              <w:rPr>
                <w:rFonts w:ascii="Arial Narrow;sans-serif" w:hAnsi="Arial Narrow;sans-serif"/>
                <w:color w:val="004483"/>
                <w:sz w:val="12"/>
              </w:rPr>
              <w:t>(2)</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151.32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134.36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150.20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131.44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Operating Margin, per ton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57.88</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42.56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50.46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39.99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3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Operating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105,566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72,315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301,056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233,442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29</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bl>
    <w:p>
      <w:pPr>
        <w:pStyle w:val="TextBody"/>
        <w:bidi w:val="0"/>
        <w:spacing w:before="120" w:after="283"/>
        <w:jc w:val="left"/>
        <w:rPr>
          <w:rFonts w:ascii="Arial" w:hAnsi="Arial"/>
          <w:color w:val="000000"/>
          <w:sz w:val="13"/>
        </w:rPr>
      </w:pPr>
      <w:r>
        <w:rPr>
          <w:rFonts w:ascii="Arial" w:hAnsi="Arial"/>
          <w:color w:val="000000"/>
          <w:sz w:val="13"/>
        </w:rPr>
        <w:t>(1) Total of wholly owned subsidiaries and proportionately consolidated 50% interest of the Joint Venture’s results.</w:t>
      </w:r>
    </w:p>
    <w:p>
      <w:pPr>
        <w:pStyle w:val="TextBody"/>
        <w:bidi w:val="0"/>
        <w:jc w:val="left"/>
        <w:rPr>
          <w:rFonts w:ascii="Arial" w:hAnsi="Arial"/>
          <w:color w:val="000000"/>
          <w:sz w:val="13"/>
        </w:rPr>
      </w:pPr>
      <w:r>
        <w:rPr>
          <w:rFonts w:ascii="Arial" w:hAnsi="Arial"/>
          <w:color w:val="000000"/>
          <w:sz w:val="13"/>
        </w:rPr>
        <w:t>(2) Net of freight per ton, including Joint Venture.</w:t>
      </w:r>
    </w:p>
    <w:p>
      <w:pPr>
        <w:pStyle w:val="TextBody"/>
        <w:bidi w:val="0"/>
        <w:spacing w:before="120" w:after="283"/>
        <w:jc w:val="left"/>
        <w:rPr>
          <w:rFonts w:ascii="Arial" w:hAnsi="Arial"/>
          <w:b/>
          <w:i/>
          <w:color w:val="000000"/>
          <w:sz w:val="20"/>
        </w:rPr>
      </w:pPr>
      <w:r>
        <w:rPr>
          <w:rFonts w:ascii="Arial" w:hAnsi="Arial"/>
          <w:b/>
          <w:i/>
          <w:color w:val="000000"/>
          <w:sz w:val="20"/>
        </w:rPr>
        <w:t>Three months ended December 31, 2023</w:t>
      </w:r>
    </w:p>
    <w:p>
      <w:pPr>
        <w:pStyle w:val="TextBody"/>
        <w:bidi w:val="0"/>
        <w:spacing w:before="120" w:after="283"/>
        <w:jc w:val="left"/>
        <w:rPr>
          <w:rFonts w:ascii="Times New Roman" w:hAnsi="Times New Roman"/>
          <w:sz w:val="20"/>
        </w:rPr>
      </w:pPr>
      <w:r>
        <w:rPr>
          <w:rFonts w:ascii="Arial" w:hAnsi="Arial"/>
          <w:color w:val="000000"/>
          <w:sz w:val="20"/>
        </w:rPr>
        <w:t>Cement Revenue was $308.7 million, a 20% increase, for the three months ended December 31, 2023. Excluding Intersegment Revenue and the Stockton Terminal Acquisition, Revenue increased $41.1 million, or 17%, for the three months ended December 31, 2023. The increase was primarily due to higher gross sales prices and Sales Volume, which improved Cement Revenue by approximately $34.6 million and $6.5 million, respectively.</w:t>
      </w:r>
      <w:r>
        <w:rPr>
          <w:rFonts w:ascii="Times New Roman" w:hAnsi="Times New Roman"/>
          <w:color w:val="66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Cement Operating Earnings increased by $33.3 million to $105.6 million for the three months ended December 31, 2023. Excluding the Stockton Terminal Acquisition, Operating Earnings increased by $33.4 million. The increase was due to higher gross sales prices and Sales Volume of $34.5 million and $1.5 million, respectively. This was partially offset by higher operating costs of $2.7 million.</w:t>
      </w:r>
      <w:r>
        <w:rPr>
          <w:rFonts w:ascii="Times New Roman" w:hAnsi="Times New Roman"/>
          <w:color w:val="660000"/>
          <w:sz w:val="20"/>
        </w:rPr>
        <w:t xml:space="preserve"> </w:t>
      </w:r>
      <w:r>
        <w:rPr>
          <w:rFonts w:ascii="Arial" w:hAnsi="Arial"/>
          <w:color w:val="000000"/>
          <w:sz w:val="20"/>
        </w:rPr>
        <w:t>Higher operating costs were primarily due to increased energy costs of approximately $2.4 million. The Operating Margin increased to 34% from 28%, as a result of higher gross sales prices, partially offset by higher operating expenses.</w:t>
      </w:r>
    </w:p>
    <w:p>
      <w:pPr>
        <w:pStyle w:val="TextBody"/>
        <w:bidi w:val="0"/>
        <w:spacing w:before="120" w:after="283"/>
        <w:jc w:val="left"/>
        <w:rPr>
          <w:rFonts w:ascii="Arial" w:hAnsi="Arial"/>
          <w:b/>
          <w:i/>
          <w:color w:val="000000"/>
          <w:sz w:val="20"/>
        </w:rPr>
      </w:pPr>
      <w:r>
        <w:rPr>
          <w:rFonts w:ascii="Arial" w:hAnsi="Arial"/>
          <w:b/>
          <w:i/>
          <w:color w:val="000000"/>
          <w:sz w:val="20"/>
        </w:rPr>
        <w:t>Nine months ended December 31, 2023</w:t>
      </w:r>
    </w:p>
    <w:p>
      <w:pPr>
        <w:pStyle w:val="TextBody"/>
        <w:bidi w:val="0"/>
        <w:spacing w:before="120" w:after="283"/>
        <w:jc w:val="left"/>
        <w:rPr>
          <w:rFonts w:ascii="Times New Roman" w:hAnsi="Times New Roman"/>
          <w:sz w:val="20"/>
        </w:rPr>
      </w:pPr>
      <w:r>
        <w:rPr>
          <w:rFonts w:ascii="Arial" w:hAnsi="Arial"/>
          <w:color w:val="000000"/>
          <w:sz w:val="20"/>
        </w:rPr>
        <w:t>Cement Revenue was $998.4 million, a 16% increase, for the nine months ended December 31, 2023. Excluding Intersegment Revenue and the Stockton Terminal Acquisition, Revenue increased $104.8 million, or 13%, for the nine months ended December 31, 2023. The increase was primarily due to higher gross sales prices, which improved Cement Revenue by approximately $120.2 million, partially offset by lower Sales Volume from legacy cement plants of $15.4 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Cement Operating Earnings increased by $67.7 million to $301.1 million for the nine months ended December 31, 2023. Excluding the Stockton Terminal Acquisition, Operating Earnings increased by $69.8 million, or 30%. The increase was due to higher gross sales prices of $120.2 million. This was partially offset by lower Sales Volume and higher operating costs of $4.3 million and $46.1 million, respectively.</w:t>
      </w:r>
      <w:r>
        <w:rPr>
          <w:rFonts w:ascii="Times New Roman" w:hAnsi="Times New Roman"/>
          <w:color w:val="660000"/>
          <w:sz w:val="20"/>
        </w:rPr>
        <w:t xml:space="preserve"> </w:t>
      </w:r>
      <w:r>
        <w:rPr>
          <w:rFonts w:ascii="Arial" w:hAnsi="Arial"/>
          <w:color w:val="000000"/>
          <w:sz w:val="20"/>
        </w:rPr>
        <w:t>Higher operating costs were primarily due to increased maintenance, purchased raw materials, energy, and fixed costs of approximately $24.0 million, $11.6 million, $3.8 million, and $2.8 million, respectively. The Operating Margin increased to 30% from 27%, as a result of higher gross sales prices, partially offset by higher operating expenses.</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0000"/>
          <w:sz w:val="20"/>
        </w:rPr>
      </w:pPr>
      <w:r>
        <w:rPr>
          <w:rFonts w:ascii="Arial" w:hAnsi="Arial"/>
          <w:b/>
          <w:color w:val="000000"/>
          <w:sz w:val="20"/>
        </w:rPr>
        <w:t>CONCRETE AND AGGREGATES</w:t>
      </w:r>
    </w:p>
    <w:p>
      <w:pPr>
        <w:pStyle w:val="TextBody"/>
        <w:bidi w:val="0"/>
        <w:jc w:val="left"/>
        <w:rPr/>
      </w:pPr>
      <w:r>
        <w:rPr/>
        <w:t> </w:t>
      </w:r>
    </w:p>
    <w:tbl>
      <w:tblPr>
        <w:tblW w:w="10166" w:type="dxa"/>
        <w:jc w:val="left"/>
        <w:tblInd w:w="0" w:type="dxa"/>
        <w:tblLayout w:type="fixed"/>
        <w:tblCellMar>
          <w:top w:w="28" w:type="dxa"/>
          <w:left w:w="28" w:type="dxa"/>
          <w:bottom w:w="28" w:type="dxa"/>
          <w:right w:w="28" w:type="dxa"/>
        </w:tblCellMar>
      </w:tblPr>
      <w:tblGrid>
        <w:gridCol w:w="2176"/>
        <w:gridCol w:w="146"/>
        <w:gridCol w:w="211"/>
        <w:gridCol w:w="613"/>
        <w:gridCol w:w="176"/>
        <w:gridCol w:w="170"/>
        <w:gridCol w:w="211"/>
        <w:gridCol w:w="613"/>
        <w:gridCol w:w="146"/>
        <w:gridCol w:w="146"/>
        <w:gridCol w:w="342"/>
        <w:gridCol w:w="813"/>
        <w:gridCol w:w="286"/>
        <w:gridCol w:w="146"/>
        <w:gridCol w:w="194"/>
        <w:gridCol w:w="644"/>
        <w:gridCol w:w="161"/>
        <w:gridCol w:w="156"/>
        <w:gridCol w:w="194"/>
        <w:gridCol w:w="644"/>
        <w:gridCol w:w="146"/>
        <w:gridCol w:w="146"/>
        <w:gridCol w:w="342"/>
        <w:gridCol w:w="813"/>
        <w:gridCol w:w="53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6"/>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w:t>
              <w:br/>
              <w:t>December 31,</w:t>
            </w:r>
          </w:p>
        </w:tc>
        <w:tc>
          <w:tcPr>
            <w:tcW w:w="146" w:type="dxa"/>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w:t>
              <w:br/>
              <w:t>December 31,</w:t>
            </w:r>
          </w:p>
        </w:tc>
        <w:tc>
          <w:tcPr>
            <w:tcW w:w="146" w:type="dxa"/>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7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center"/>
              <w:rPr/>
            </w:pPr>
            <w:r>
              <w:rPr/>
              <w:t> </w:t>
            </w:r>
          </w:p>
        </w:tc>
        <w:tc>
          <w:tcPr>
            <w:tcW w:w="82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shd w:fill="FFFFFF" w:val="clear"/>
            <w:vAlign w:val="center"/>
          </w:tcPr>
          <w:p>
            <w:pPr>
              <w:pStyle w:val="TableContents"/>
              <w:bidi w:val="0"/>
              <w:spacing w:before="0" w:after="283"/>
              <w:jc w:val="center"/>
              <w:rPr>
                <w:rFonts w:ascii="Arial Narrow;sans-serif" w:hAnsi="Arial Narrow;sans-serif"/>
                <w:b/>
                <w:color w:val="000000"/>
                <w:sz w:val="14"/>
              </w:rPr>
            </w:pPr>
            <w:r>
              <w:rPr>
                <w:rFonts w:ascii="Arial Narrow;sans-serif" w:hAnsi="Arial Narrow;sans-serif"/>
                <w:b/>
                <w:color w:val="000000"/>
                <w:sz w:val="14"/>
              </w:rPr>
              <w:t>Percentage Change</w:t>
            </w:r>
          </w:p>
        </w:tc>
        <w:tc>
          <w:tcPr>
            <w:tcW w:w="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8"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61"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center"/>
              <w:rPr/>
            </w:pPr>
            <w:r>
              <w:rPr/>
              <w:t> </w:t>
            </w:r>
          </w:p>
        </w:tc>
        <w:tc>
          <w:tcPr>
            <w:tcW w:w="838"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shd w:fill="FFFFFF" w:val="clear"/>
            <w:vAlign w:val="center"/>
          </w:tcPr>
          <w:p>
            <w:pPr>
              <w:pStyle w:val="TableContents"/>
              <w:bidi w:val="0"/>
              <w:spacing w:before="0" w:after="283"/>
              <w:jc w:val="center"/>
              <w:rPr>
                <w:rFonts w:ascii="Arial Narrow;sans-serif" w:hAnsi="Arial Narrow;sans-serif"/>
                <w:b/>
                <w:color w:val="000000"/>
                <w:sz w:val="14"/>
              </w:rPr>
            </w:pPr>
            <w:r>
              <w:rPr>
                <w:rFonts w:ascii="Arial Narrow;sans-serif" w:hAnsi="Arial Narrow;sans-serif"/>
                <w:b/>
                <w:color w:val="000000"/>
                <w:sz w:val="14"/>
              </w:rPr>
              <w:t>Percentage Change</w:t>
            </w:r>
          </w:p>
        </w:tc>
        <w:tc>
          <w:tcPr>
            <w:tcW w:w="531" w:type="dxa"/>
            <w:tcBorders/>
            <w:shd w:fill="FFFFFF" w:val="clear"/>
            <w:vAlign w:val="center"/>
          </w:tcPr>
          <w:p>
            <w:pPr>
              <w:pStyle w:val="TableContents"/>
              <w:bidi w:val="0"/>
              <w:spacing w:before="0" w:after="283"/>
              <w:jc w:val="center"/>
              <w:rPr/>
            </w:pPr>
            <w:r>
              <w:rPr/>
              <w:t> </w:t>
            </w:r>
          </w:p>
        </w:tc>
      </w:tr>
      <w:tr>
        <w:trPr/>
        <w:tc>
          <w:tcPr>
            <w:tcW w:w="217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left"/>
              <w:rPr/>
            </w:pPr>
            <w:r>
              <w:rPr/>
              <w:t> </w:t>
            </w:r>
          </w:p>
        </w:tc>
        <w:tc>
          <w:tcPr>
            <w:tcW w:w="1994" w:type="dxa"/>
            <w:gridSpan w:val="6"/>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(in thousands, except net sales prices)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left"/>
              <w:rPr/>
            </w:pPr>
            <w:r>
              <w:rPr/>
              <w:t> </w:t>
            </w:r>
          </w:p>
        </w:tc>
        <w:tc>
          <w:tcPr>
            <w:tcW w:w="1993" w:type="dxa"/>
            <w:gridSpan w:val="6"/>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(in thousands, except net sales prices)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5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Revenue, including Intersegment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61,186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201,526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186,407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Less Intersegment 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(3,414</w:t>
            </w:r>
          </w:p>
        </w:tc>
        <w:tc>
          <w:tcPr>
            <w:tcW w:w="1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(10,235</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57,772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191,291</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186,407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2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Sales Volume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2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2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M Cubic Yards of Concrete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308</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1,055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M Tons of Aggregate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1,034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3,362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44</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Average Net Sales Price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2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Concrete - Per Cubic Yard</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149.54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145.29</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Aggregates - Per Ton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11.18</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11.20</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Operating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1,760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13,434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4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bl>
    <w:p>
      <w:pPr>
        <w:pStyle w:val="TextBody"/>
        <w:bidi w:val="0"/>
        <w:spacing w:before="120" w:after="283"/>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Three months ended December 31, 2023</w:t>
      </w:r>
    </w:p>
    <w:p>
      <w:pPr>
        <w:pStyle w:val="TextBody"/>
        <w:bidi w:val="0"/>
        <w:spacing w:before="240" w:after="283"/>
        <w:jc w:val="left"/>
        <w:rPr>
          <w:rFonts w:ascii="Times New Roman" w:hAnsi="Times New Roman"/>
          <w:sz w:val="20"/>
        </w:rPr>
      </w:pPr>
      <w:r>
        <w:rPr>
          <w:rFonts w:ascii="Arial" w:hAnsi="Arial"/>
          <w:color w:val="000000"/>
          <w:sz w:val="20"/>
        </w:rPr>
        <w:t>Concrete and Aggregates Revenue increased 11% to $61.2 million for the three months ended December 31, 2023. Excluding Intersegment Revenue and Battletown Aggregates, Revenue increased $0.6 million. The increase was due to higher gross sales prices in Concrete of $4.7 million and higher Sales Volume in Aggregates of $2.1 million. This was partially offset by lower Sales Volume in Concrete, which reduced Revenue by $6.2 million.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Operating Earnings were approximately $1.8 million, a 35% decrease. Excluding Battletown Aggregates, Operating Earnings were $2.3 million, a decrease of $0.4 million. The decrease in Operating Earnings was due to higher operating costs of $5.6 million. This was partially offset by higher gross sales prices and Sales Volume of $4.7 million and $0.5 million, respectively. The increase in operating costs was primarily due to higher cost of materials of approximately $5.7 million.</w:t>
      </w:r>
    </w:p>
    <w:p>
      <w:pPr>
        <w:pStyle w:val="TextBody"/>
        <w:bidi w:val="0"/>
        <w:spacing w:before="120" w:after="283"/>
        <w:jc w:val="left"/>
        <w:rPr>
          <w:rFonts w:ascii="Arial" w:hAnsi="Arial"/>
          <w:b/>
          <w:i/>
          <w:color w:val="000000"/>
          <w:sz w:val="20"/>
        </w:rPr>
      </w:pPr>
      <w:r>
        <w:rPr>
          <w:rFonts w:ascii="Arial" w:hAnsi="Arial"/>
          <w:b/>
          <w:i/>
          <w:color w:val="000000"/>
          <w:sz w:val="20"/>
        </w:rPr>
        <w:t>Nine months ended December 31, 2023</w:t>
      </w:r>
    </w:p>
    <w:p>
      <w:pPr>
        <w:pStyle w:val="TextBody"/>
        <w:bidi w:val="0"/>
        <w:spacing w:before="120" w:after="283"/>
        <w:jc w:val="left"/>
        <w:rPr>
          <w:rFonts w:ascii="Arial" w:hAnsi="Arial"/>
          <w:color w:val="000000"/>
          <w:sz w:val="20"/>
        </w:rPr>
      </w:pPr>
      <w:r>
        <w:rPr>
          <w:rFonts w:ascii="Arial" w:hAnsi="Arial"/>
          <w:color w:val="000000"/>
          <w:sz w:val="20"/>
        </w:rPr>
        <w:t>Concrete and Aggregates Revenue was $201.5 million for the nine months ended December 31, 2023. Excluding Intersegment Revenue and Battletown Aggregates, Revenue declined $1.3 million. The decrease was due to lower Sales Volume, primarily in Concrete, which reduced Revenue by $17.2 million. This was partially offset by higher gross sales prices of $15.9 million.</w:t>
      </w:r>
    </w:p>
    <w:p>
      <w:pPr>
        <w:pStyle w:val="TextBody"/>
        <w:bidi w:val="0"/>
        <w:spacing w:before="120" w:after="283"/>
        <w:jc w:val="left"/>
        <w:rPr>
          <w:rFonts w:ascii="Arial" w:hAnsi="Arial"/>
          <w:color w:val="000000"/>
          <w:sz w:val="20"/>
        </w:rPr>
      </w:pPr>
      <w:r>
        <w:rPr>
          <w:rFonts w:ascii="Arial" w:hAnsi="Arial"/>
          <w:color w:val="000000"/>
          <w:sz w:val="20"/>
        </w:rPr>
        <w:t>Operating Earnings were approximately $13.4 million, a 14% decrease. Excluding Battletown Aggregates, Operating Earnings were $14.1 million, a decrease of $1.6 million. The decline in Operating Earnings was due to higher operating costs of $17.8 million. This was partially offset by higher gross sales prices and Sales Volume of $15.9 million and $0.3 million, respectively. The increase in operating costs was primarily due to higher cost of materials, maintenance, and fixed costs of approximately $13.6 million, $2.5 million, and $2.0 million, respectively. This was partially offset by the impact of recording acquired inventories at fair value of $1.2 million in the first quarter of fiscal 2022.</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0000"/>
          <w:sz w:val="22"/>
          <w:u w:val="single"/>
        </w:rPr>
      </w:pPr>
      <w:r>
        <w:rPr>
          <w:rFonts w:ascii="Arial" w:hAnsi="Arial"/>
          <w:b/>
          <w:color w:val="000000"/>
          <w:sz w:val="22"/>
          <w:u w:val="single"/>
        </w:rPr>
        <w:t>Light Materials</w:t>
      </w:r>
    </w:p>
    <w:p>
      <w:pPr>
        <w:pStyle w:val="TextBody"/>
        <w:bidi w:val="0"/>
        <w:spacing w:before="120" w:after="283"/>
        <w:jc w:val="left"/>
        <w:rPr>
          <w:rFonts w:ascii="Times New Roman" w:hAnsi="Times New Roman"/>
          <w:sz w:val="20"/>
        </w:rPr>
      </w:pPr>
      <w:r>
        <w:rPr>
          <w:rFonts w:ascii="Arial" w:hAnsi="Arial"/>
          <w:b/>
          <w:color w:val="000000"/>
          <w:sz w:val="20"/>
        </w:rPr>
        <w:t>GYPSUM WALLBOARD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429"/>
        <w:gridCol w:w="146"/>
        <w:gridCol w:w="204"/>
        <w:gridCol w:w="680"/>
        <w:gridCol w:w="170"/>
        <w:gridCol w:w="165"/>
        <w:gridCol w:w="204"/>
        <w:gridCol w:w="680"/>
        <w:gridCol w:w="151"/>
        <w:gridCol w:w="146"/>
        <w:gridCol w:w="335"/>
        <w:gridCol w:w="693"/>
        <w:gridCol w:w="273"/>
        <w:gridCol w:w="146"/>
        <w:gridCol w:w="197"/>
        <w:gridCol w:w="706"/>
        <w:gridCol w:w="164"/>
        <w:gridCol w:w="159"/>
        <w:gridCol w:w="197"/>
        <w:gridCol w:w="706"/>
        <w:gridCol w:w="151"/>
        <w:gridCol w:w="146"/>
        <w:gridCol w:w="304"/>
        <w:gridCol w:w="724"/>
        <w:gridCol w:w="329"/>
      </w:tblGrid>
      <w:tr>
        <w:trPr/>
        <w:tc>
          <w:tcPr>
            <w:tcW w:w="2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4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3" w:type="dxa"/>
            <w:gridSpan w:val="6"/>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 xml:space="preserve">For the Three Months Ended </w:t>
              <w:br/>
              <w:t>December 31,</w:t>
            </w:r>
          </w:p>
        </w:tc>
        <w:tc>
          <w:tcPr>
            <w:tcW w:w="151" w:type="dxa"/>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9" w:type="dxa"/>
            <w:gridSpan w:val="6"/>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 xml:space="preserve">For the Nine Months Ended </w:t>
              <w:br/>
              <w:t>December 31,</w:t>
            </w:r>
          </w:p>
        </w:tc>
        <w:tc>
          <w:tcPr>
            <w:tcW w:w="151" w:type="dxa"/>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shd w:fill="FFFFFF" w:val="clear"/>
            <w:vAlign w:val="center"/>
          </w:tcPr>
          <w:p>
            <w:pPr>
              <w:pStyle w:val="TableContents"/>
              <w:bidi w:val="0"/>
              <w:spacing w:before="0" w:after="283"/>
              <w:jc w:val="center"/>
              <w:rPr/>
            </w:pPr>
            <w:r>
              <w:rPr/>
              <w:t> </w:t>
            </w:r>
          </w:p>
        </w:tc>
        <w:tc>
          <w:tcPr>
            <w:tcW w:w="329" w:type="dxa"/>
            <w:tcBorders/>
            <w:shd w:fill="FFFFFF" w:val="clear"/>
            <w:vAlign w:val="center"/>
          </w:tcPr>
          <w:p>
            <w:pPr>
              <w:pStyle w:val="TableContents"/>
              <w:bidi w:val="0"/>
              <w:spacing w:before="0" w:after="283"/>
              <w:jc w:val="center"/>
              <w:rPr/>
            </w:pPr>
            <w:r>
              <w:rPr/>
              <w:t> </w:t>
            </w:r>
          </w:p>
        </w:tc>
      </w:tr>
      <w:tr>
        <w:trPr/>
        <w:tc>
          <w:tcPr>
            <w:tcW w:w="24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70"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center"/>
              <w:rPr/>
            </w:pPr>
            <w:r>
              <w:rPr/>
              <w:t> </w:t>
            </w:r>
          </w:p>
        </w:tc>
        <w:tc>
          <w:tcPr>
            <w:tcW w:w="88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shd w:fill="FFFFFF" w:val="clear"/>
            <w:vAlign w:val="center"/>
          </w:tcPr>
          <w:p>
            <w:pPr>
              <w:pStyle w:val="TableContents"/>
              <w:bidi w:val="0"/>
              <w:spacing w:before="0" w:after="283"/>
              <w:jc w:val="center"/>
              <w:rPr>
                <w:rFonts w:ascii="Arial Narrow;sans-serif" w:hAnsi="Arial Narrow;sans-serif"/>
                <w:b/>
                <w:color w:val="000000"/>
                <w:sz w:val="14"/>
              </w:rPr>
            </w:pPr>
            <w:r>
              <w:rPr>
                <w:rFonts w:ascii="Arial Narrow;sans-serif" w:hAnsi="Arial Narrow;sans-serif"/>
                <w:b/>
                <w:color w:val="000000"/>
                <w:sz w:val="14"/>
              </w:rPr>
              <w:t>Percentage Change</w:t>
            </w:r>
          </w:p>
        </w:tc>
        <w:tc>
          <w:tcPr>
            <w:tcW w:w="27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3"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64"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center"/>
              <w:rPr/>
            </w:pPr>
            <w:r>
              <w:rPr/>
              <w:t> </w:t>
            </w:r>
          </w:p>
        </w:tc>
        <w:tc>
          <w:tcPr>
            <w:tcW w:w="903"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shd w:fill="FFFFFF" w:val="clear"/>
            <w:vAlign w:val="center"/>
          </w:tcPr>
          <w:p>
            <w:pPr>
              <w:pStyle w:val="TableContents"/>
              <w:bidi w:val="0"/>
              <w:spacing w:before="0" w:after="283"/>
              <w:jc w:val="center"/>
              <w:rPr>
                <w:rFonts w:ascii="Arial Narrow;sans-serif" w:hAnsi="Arial Narrow;sans-serif"/>
                <w:b/>
                <w:color w:val="000000"/>
                <w:sz w:val="14"/>
              </w:rPr>
            </w:pPr>
            <w:r>
              <w:rPr>
                <w:rFonts w:ascii="Arial Narrow;sans-serif" w:hAnsi="Arial Narrow;sans-serif"/>
                <w:b/>
                <w:color w:val="000000"/>
                <w:sz w:val="14"/>
              </w:rPr>
              <w:t>Percentage Change</w:t>
            </w:r>
          </w:p>
        </w:tc>
        <w:tc>
          <w:tcPr>
            <w:tcW w:w="329" w:type="dxa"/>
            <w:tcBorders/>
            <w:shd w:fill="FFFFFF" w:val="clear"/>
            <w:vAlign w:val="center"/>
          </w:tcPr>
          <w:p>
            <w:pPr>
              <w:pStyle w:val="TableContents"/>
              <w:bidi w:val="0"/>
              <w:spacing w:before="0" w:after="283"/>
              <w:jc w:val="center"/>
              <w:rPr/>
            </w:pPr>
            <w:r>
              <w:rPr/>
              <w:t> </w:t>
            </w:r>
          </w:p>
        </w:tc>
      </w:tr>
      <w:tr>
        <w:trPr/>
        <w:tc>
          <w:tcPr>
            <w:tcW w:w="2429"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left"/>
              <w:rPr/>
            </w:pPr>
            <w:r>
              <w:rPr/>
              <w:t> </w:t>
            </w:r>
          </w:p>
        </w:tc>
        <w:tc>
          <w:tcPr>
            <w:tcW w:w="2103" w:type="dxa"/>
            <w:gridSpan w:val="6"/>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(in thousands, except per MSF information)</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1028" w:type="dxa"/>
            <w:gridSpan w:val="2"/>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left"/>
              <w:rPr/>
            </w:pPr>
            <w:r>
              <w:rPr/>
              <w:t> </w:t>
            </w:r>
          </w:p>
        </w:tc>
        <w:tc>
          <w:tcPr>
            <w:tcW w:w="2129" w:type="dxa"/>
            <w:gridSpan w:val="6"/>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(in thousands, except per MSF information)</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1028" w:type="dxa"/>
            <w:gridSpan w:val="2"/>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32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200,969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212,016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629,299</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652,981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2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8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2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0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0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2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Sales Volume (MMSF)</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722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2,218</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2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Freight and Delivery Costs billed to Customers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(36,569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6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(38,238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(112,979</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(121,778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2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Arial Narrow;sans-serif" w:hAnsi="Arial Narrow;sans-serif"/>
                <w:color w:val="004483"/>
                <w:sz w:val="18"/>
              </w:rPr>
              <w:t xml:space="preserve">Average Net Sales Price, per MSF </w:t>
            </w:r>
            <w:r>
              <w:rPr>
                <w:rFonts w:ascii="Arial Narrow;sans-serif" w:hAnsi="Arial Narrow;sans-serif"/>
                <w:color w:val="004483"/>
                <w:sz w:val="12"/>
              </w:rPr>
              <w:t>(1)</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227.78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238.51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232.79</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230.01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2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Freight, per MSF</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50.65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50.94</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42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Operating Margin, per MSF</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103.97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119.97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113.45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113.11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Operating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75,063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8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87,335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251,625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261,164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bl>
    <w:p>
      <w:pPr>
        <w:pStyle w:val="TextBody"/>
        <w:bidi w:val="0"/>
        <w:spacing w:before="200" w:after="283"/>
        <w:jc w:val="left"/>
        <w:rPr>
          <w:rFonts w:ascii="Arial" w:hAnsi="Arial"/>
          <w:color w:val="000000"/>
          <w:sz w:val="13"/>
        </w:rPr>
      </w:pPr>
      <w:r>
        <w:rPr>
          <w:rFonts w:ascii="Arial" w:hAnsi="Arial"/>
          <w:color w:val="000000"/>
          <w:sz w:val="13"/>
        </w:rPr>
        <w:t>(1) Net of freight per MSF.</w:t>
      </w:r>
    </w:p>
    <w:p>
      <w:pPr>
        <w:pStyle w:val="TextBody"/>
        <w:bidi w:val="0"/>
        <w:spacing w:before="120" w:after="283"/>
        <w:jc w:val="left"/>
        <w:rPr>
          <w:rFonts w:ascii="Arial" w:hAnsi="Arial"/>
          <w:b/>
          <w:i/>
          <w:color w:val="000000"/>
          <w:sz w:val="20"/>
        </w:rPr>
      </w:pPr>
      <w:r>
        <w:rPr>
          <w:rFonts w:ascii="Arial" w:hAnsi="Arial"/>
          <w:b/>
          <w:i/>
          <w:color w:val="000000"/>
          <w:sz w:val="20"/>
        </w:rPr>
        <w:t>Three months ended December 31, 2023</w:t>
      </w:r>
    </w:p>
    <w:p>
      <w:pPr>
        <w:pStyle w:val="TextBody"/>
        <w:bidi w:val="0"/>
        <w:spacing w:before="120" w:after="283"/>
        <w:jc w:val="left"/>
        <w:rPr>
          <w:rFonts w:ascii="Arial" w:hAnsi="Arial"/>
          <w:color w:val="000000"/>
          <w:sz w:val="20"/>
        </w:rPr>
      </w:pPr>
      <w:r>
        <w:rPr>
          <w:rFonts w:ascii="Arial" w:hAnsi="Arial"/>
          <w:color w:val="000000"/>
          <w:sz w:val="20"/>
        </w:rPr>
        <w:t>Gypsum Wallboard Revenue was $201.0 million, a 5% decrease, for the three months ended December 31, 2023. The decrease was primarily due to lower gross sales prices and Sales Volume, which reduced Revenue by $9.3 million and $1.7 million, respectively. Our market share remained relatively consistent during the three months ended December 31, 2023.</w:t>
      </w:r>
    </w:p>
    <w:p>
      <w:pPr>
        <w:pStyle w:val="TextBody"/>
        <w:bidi w:val="0"/>
        <w:spacing w:before="120" w:after="283"/>
        <w:jc w:val="left"/>
        <w:rPr>
          <w:rFonts w:ascii="Times New Roman" w:hAnsi="Times New Roman"/>
          <w:sz w:val="20"/>
        </w:rPr>
      </w:pPr>
      <w:r>
        <w:rPr>
          <w:rFonts w:ascii="Arial" w:hAnsi="Arial"/>
          <w:color w:val="000000"/>
          <w:sz w:val="20"/>
        </w:rPr>
        <w:t>Operating Earnings decreased 14% to $75.1 million, primarily because of lower gross sales prices and Sales Volume, as well as higher operating costs. The decline in gross sales prices and Sales Volume negatively affected Operating Earnings by approximately $9.3 million and $0.7 million, respectively, while the higher operating costs decreased Operating Earnings by approximately $2.3 million. The increase in operating costs was primarily related to maintenance, input costs, and wage expense $1.8 million, $0.4 million, and $1.1 million, respectively, partially offset by lower energy costs of $1.3 million. Operating Margin decreased to 37% for the three months ended December 31, 2023, primarily because of higher operating costs and lower gross sales prices. Fixed costs are not a significant portion of the overall cost of wallboard; therefore, changes in utilization have a relatively minor impact on our operating cost per unit.</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Nine months ended December 31, 2023</w:t>
      </w:r>
    </w:p>
    <w:p>
      <w:pPr>
        <w:pStyle w:val="TextBody"/>
        <w:bidi w:val="0"/>
        <w:spacing w:before="120" w:after="283"/>
        <w:jc w:val="left"/>
        <w:rPr>
          <w:rFonts w:ascii="Arial" w:hAnsi="Arial"/>
          <w:color w:val="000000"/>
          <w:sz w:val="20"/>
        </w:rPr>
      </w:pPr>
      <w:r>
        <w:rPr>
          <w:rFonts w:ascii="Arial" w:hAnsi="Arial"/>
          <w:color w:val="000000"/>
          <w:sz w:val="20"/>
        </w:rPr>
        <w:t>Gypsum Wallboard Revenue was $629.3 million, a 4% decrease, for the nine months ended December 31, 2023. The decrease was primarily due to lower Sales Volume, which reduced Revenue by $25.7 million, partially offset by higher gross sales prices, which increased Revenue by $2.1 million. Our market share remained relatively consistent during the nine months ended December 31, 2023.</w:t>
      </w:r>
    </w:p>
    <w:p>
      <w:pPr>
        <w:pStyle w:val="TextBody"/>
        <w:bidi w:val="0"/>
        <w:spacing w:before="120" w:after="283"/>
        <w:jc w:val="left"/>
        <w:rPr>
          <w:rFonts w:ascii="Times New Roman" w:hAnsi="Times New Roman"/>
          <w:sz w:val="20"/>
        </w:rPr>
      </w:pPr>
      <w:r>
        <w:rPr>
          <w:rFonts w:ascii="Arial" w:hAnsi="Arial"/>
          <w:color w:val="000000"/>
          <w:sz w:val="20"/>
        </w:rPr>
        <w:t>Operating Earnings decreased 4% to $251.6 million, primarily because of lower Sales Volume and higher operating costs of $10.3 million and $1.3 million, respectively. This was partially offset by higher gross sales prices, which increased Operating Earnings by approximately $2.1 million. Operating Margin remained consistent at 40% for the nine months ended December 31, 2023, primarily because higher gross sales prices offset the increase in operating expenses. Fixed costs are not a significant portion of the overall cost of wallboard; therefore, changes in utilization have a relatively minor impact on our operating cost per unit.</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0000"/>
          <w:sz w:val="20"/>
        </w:rPr>
      </w:pPr>
      <w:r>
        <w:rPr>
          <w:rFonts w:ascii="Arial" w:hAnsi="Arial"/>
          <w:b/>
          <w:color w:val="000000"/>
          <w:sz w:val="20"/>
        </w:rPr>
        <w:t>RECYCLED PAPERBOARD</w:t>
      </w:r>
    </w:p>
    <w:tbl>
      <w:tblPr>
        <w:tblW w:w="10205" w:type="dxa"/>
        <w:jc w:val="left"/>
        <w:tblInd w:w="0" w:type="dxa"/>
        <w:tblLayout w:type="fixed"/>
        <w:tblCellMar>
          <w:top w:w="28" w:type="dxa"/>
          <w:left w:w="28" w:type="dxa"/>
          <w:bottom w:w="28" w:type="dxa"/>
          <w:right w:w="28" w:type="dxa"/>
        </w:tblCellMar>
      </w:tblPr>
      <w:tblGrid>
        <w:gridCol w:w="2345"/>
        <w:gridCol w:w="146"/>
        <w:gridCol w:w="221"/>
        <w:gridCol w:w="699"/>
        <w:gridCol w:w="184"/>
        <w:gridCol w:w="178"/>
        <w:gridCol w:w="221"/>
        <w:gridCol w:w="699"/>
        <w:gridCol w:w="151"/>
        <w:gridCol w:w="146"/>
        <w:gridCol w:w="279"/>
        <w:gridCol w:w="723"/>
        <w:gridCol w:w="270"/>
        <w:gridCol w:w="146"/>
        <w:gridCol w:w="211"/>
        <w:gridCol w:w="703"/>
        <w:gridCol w:w="176"/>
        <w:gridCol w:w="170"/>
        <w:gridCol w:w="211"/>
        <w:gridCol w:w="703"/>
        <w:gridCol w:w="151"/>
        <w:gridCol w:w="146"/>
        <w:gridCol w:w="296"/>
        <w:gridCol w:w="706"/>
        <w:gridCol w:w="324"/>
      </w:tblGrid>
      <w:tr>
        <w:trPr/>
        <w:tc>
          <w:tcPr>
            <w:tcW w:w="2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3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2" w:type="dxa"/>
            <w:gridSpan w:val="6"/>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Three Months Ended December 31,</w:t>
            </w:r>
          </w:p>
        </w:tc>
        <w:tc>
          <w:tcPr>
            <w:tcW w:w="151" w:type="dxa"/>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4" w:type="dxa"/>
            <w:gridSpan w:val="6"/>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151" w:type="dxa"/>
            <w:tcBorders>
              <w:bottom w:val="single" w:sz="4" w:space="0" w:color="000000"/>
            </w:tcBorders>
            <w:shd w:fill="004483"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center"/>
              <w:rPr/>
            </w:pPr>
            <w:r>
              <w:rPr/>
              <w:t> </w:t>
            </w:r>
          </w:p>
        </w:tc>
        <w:tc>
          <w:tcPr>
            <w:tcW w:w="324" w:type="dxa"/>
            <w:tcBorders/>
            <w:shd w:fill="FFFFFF" w:val="clear"/>
            <w:vAlign w:val="center"/>
          </w:tcPr>
          <w:p>
            <w:pPr>
              <w:pStyle w:val="TableContents"/>
              <w:bidi w:val="0"/>
              <w:spacing w:before="0" w:after="283"/>
              <w:jc w:val="center"/>
              <w:rPr/>
            </w:pPr>
            <w:r>
              <w:rPr/>
              <w:t> </w:t>
            </w:r>
          </w:p>
        </w:tc>
      </w:tr>
      <w:tr>
        <w:trPr/>
        <w:tc>
          <w:tcPr>
            <w:tcW w:w="23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84"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center"/>
              <w:rPr/>
            </w:pPr>
            <w:r>
              <w:rPr/>
              <w:t> </w:t>
            </w:r>
          </w:p>
        </w:tc>
        <w:tc>
          <w:tcPr>
            <w:tcW w:w="920"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center"/>
              <w:rPr>
                <w:rFonts w:ascii="Arial Narrow;sans-serif" w:hAnsi="Arial Narrow;sans-serif"/>
                <w:b/>
                <w:color w:val="000000"/>
                <w:sz w:val="14"/>
              </w:rPr>
            </w:pPr>
            <w:r>
              <w:rPr>
                <w:rFonts w:ascii="Arial Narrow;sans-serif" w:hAnsi="Arial Narrow;sans-serif"/>
                <w:b/>
                <w:color w:val="000000"/>
                <w:sz w:val="14"/>
              </w:rPr>
              <w:t>Percentage Change</w:t>
            </w:r>
          </w:p>
        </w:tc>
        <w:tc>
          <w:tcPr>
            <w:tcW w:w="27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7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center"/>
              <w:rPr/>
            </w:pPr>
            <w:r>
              <w:rPr/>
              <w:t> </w:t>
            </w:r>
          </w:p>
        </w:tc>
        <w:tc>
          <w:tcPr>
            <w:tcW w:w="914"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center"/>
              <w:rPr>
                <w:rFonts w:ascii="Arial Narrow;sans-serif" w:hAnsi="Arial Narrow;sans-serif"/>
                <w:b/>
                <w:color w:val="000000"/>
                <w:sz w:val="14"/>
              </w:rPr>
            </w:pPr>
            <w:r>
              <w:rPr>
                <w:rFonts w:ascii="Arial Narrow;sans-serif" w:hAnsi="Arial Narrow;sans-serif"/>
                <w:b/>
                <w:color w:val="000000"/>
                <w:sz w:val="14"/>
              </w:rPr>
              <w:t>Percentage Change</w:t>
            </w:r>
          </w:p>
        </w:tc>
        <w:tc>
          <w:tcPr>
            <w:tcW w:w="324" w:type="dxa"/>
            <w:tcBorders/>
            <w:shd w:fill="FFFFFF" w:val="clear"/>
            <w:vAlign w:val="center"/>
          </w:tcPr>
          <w:p>
            <w:pPr>
              <w:pStyle w:val="TableContents"/>
              <w:bidi w:val="0"/>
              <w:spacing w:before="0" w:after="283"/>
              <w:jc w:val="center"/>
              <w:rPr/>
            </w:pPr>
            <w:r>
              <w:rPr/>
              <w:t> </w:t>
            </w:r>
          </w:p>
        </w:tc>
      </w:tr>
      <w:tr>
        <w:trPr/>
        <w:tc>
          <w:tcPr>
            <w:tcW w:w="2345"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left"/>
              <w:rPr/>
            </w:pPr>
            <w:r>
              <w:rPr/>
              <w:t> </w:t>
            </w:r>
          </w:p>
        </w:tc>
        <w:tc>
          <w:tcPr>
            <w:tcW w:w="2202" w:type="dxa"/>
            <w:gridSpan w:val="6"/>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(in thousands, except per ton information)</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left"/>
              <w:rPr/>
            </w:pPr>
            <w:r>
              <w:rPr/>
              <w:t> </w:t>
            </w:r>
          </w:p>
        </w:tc>
        <w:tc>
          <w:tcPr>
            <w:tcW w:w="2174" w:type="dxa"/>
            <w:gridSpan w:val="6"/>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(in thousands, except per ton information)</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18" w:space="0" w:color="17385E"/>
            </w:tcBorders>
            <w:shd w:fill="FFFFFF" w:val="clear"/>
            <w:tcMar>
              <w:top w:w="0" w:type="dxa"/>
              <w:left w:w="0" w:type="dxa"/>
              <w:right w:w="0" w:type="dxa"/>
            </w:tcMar>
            <w:vAlign w:val="center"/>
          </w:tcPr>
          <w:p>
            <w:pPr>
              <w:pStyle w:val="TableContents"/>
              <w:bidi w:val="0"/>
              <w:spacing w:before="0" w:after="283"/>
              <w:jc w:val="center"/>
              <w:rPr/>
            </w:pPr>
            <w:r>
              <w:rPr/>
              <w:t> </w:t>
            </w:r>
          </w:p>
        </w:tc>
        <w:tc>
          <w:tcPr>
            <w:tcW w:w="3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Revenue, including Intersegment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47,053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47,774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135,397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155,520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(13</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34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Less Intersegment 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(21,128</w:t>
            </w:r>
          </w:p>
        </w:tc>
        <w:tc>
          <w:tcPr>
            <w:tcW w:w="1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(24,453</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(61,929</w:t>
            </w:r>
          </w:p>
        </w:tc>
        <w:tc>
          <w:tcPr>
            <w:tcW w:w="1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(71,819</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34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Revenue</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25,925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23,321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73,468</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83,701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34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2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2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1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Sales Volume (M Tons)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Freight and Delivery Costs billed to Customers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(100</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(608</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(91</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34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Arial Narrow;sans-serif" w:hAnsi="Arial Narrow;sans-serif"/>
                <w:color w:val="004483"/>
                <w:sz w:val="18"/>
              </w:rPr>
              <w:t xml:space="preserve">Average Net Sales Price, per ton </w:t>
            </w:r>
            <w:r>
              <w:rPr>
                <w:rFonts w:ascii="Arial Narrow;sans-serif" w:hAnsi="Arial Narrow;sans-serif"/>
                <w:color w:val="004483"/>
                <w:sz w:val="12"/>
              </w:rPr>
              <w:t>(1)</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559.49</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594.93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546.21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603.73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34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Operating Margin, per ton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89.57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101.36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90.35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69.92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29</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234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Operating Earnings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7,805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22,316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0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17,200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bl>
    <w:p>
      <w:pPr>
        <w:pStyle w:val="TextBody"/>
        <w:bidi w:val="0"/>
        <w:spacing w:before="200" w:after="283"/>
        <w:jc w:val="left"/>
        <w:rPr>
          <w:rFonts w:ascii="Arial" w:hAnsi="Arial"/>
          <w:color w:val="000000"/>
          <w:sz w:val="13"/>
        </w:rPr>
      </w:pPr>
      <w:r>
        <w:rPr>
          <w:rFonts w:ascii="Arial" w:hAnsi="Arial"/>
          <w:color w:val="000000"/>
          <w:sz w:val="13"/>
        </w:rPr>
        <w:t>(1) Net of freight per ton.</w:t>
      </w:r>
    </w:p>
    <w:p>
      <w:pPr>
        <w:pStyle w:val="TextBody"/>
        <w:bidi w:val="0"/>
        <w:spacing w:before="120" w:after="283"/>
        <w:jc w:val="left"/>
        <w:rPr>
          <w:rFonts w:ascii="Arial" w:hAnsi="Arial"/>
          <w:b/>
          <w:i/>
          <w:color w:val="000000"/>
          <w:sz w:val="20"/>
        </w:rPr>
      </w:pPr>
      <w:r>
        <w:rPr>
          <w:rFonts w:ascii="Arial" w:hAnsi="Arial"/>
          <w:b/>
          <w:i/>
          <w:color w:val="000000"/>
          <w:sz w:val="20"/>
        </w:rPr>
        <w:t>Three months ended December 31, 2023</w:t>
      </w:r>
    </w:p>
    <w:p>
      <w:pPr>
        <w:pStyle w:val="TextBody"/>
        <w:bidi w:val="0"/>
        <w:spacing w:before="120" w:after="283"/>
        <w:jc w:val="left"/>
        <w:rPr>
          <w:rFonts w:ascii="Times New Roman" w:hAnsi="Times New Roman"/>
          <w:sz w:val="20"/>
        </w:rPr>
      </w:pPr>
      <w:r>
        <w:rPr>
          <w:rFonts w:ascii="Arial" w:hAnsi="Arial"/>
          <w:color w:val="000000"/>
          <w:sz w:val="20"/>
        </w:rPr>
        <w:t>Recycled Paperboard Revenue decreased 2% to $47.1 million during the three months ended December 31, 2023. The decrease was primarily due to lower gross sales prices which reduced Revenue by $4.5 million, partially offset by higher Sales Volume of $3.8 million. Lower gross sales prices were related to the pricing provisions in our long-term sales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Operating Earnings decreased 4% to $7.5 million, primarily because of lower gross sales prices, which reduced Operating Earnings by $4.5 million. This was partially offset by lower operating expense and higher Sales Volume, which increased Operating Earnings by approximately $3.6 million and $0.6 million, respectively. The decrease in operating expense was primarily related to lower input costs, namely fiber and freight, which improved Operating Earnings by approximately $1.4 million and $2.0 million, respectively. Operating Margin remained consistent at 16% because of lower operating costs, partially offset by lower gross sales prices. Although we have certain pricing provisions in our long-term sales agreements, prices are only adjusted at certain times throughout the year, so price adjustments are not always reflected in the same period as the change in costs.</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Nine months ended December 31, 2023</w:t>
      </w:r>
    </w:p>
    <w:p>
      <w:pPr>
        <w:pStyle w:val="TextBody"/>
        <w:bidi w:val="0"/>
        <w:spacing w:before="120" w:after="283"/>
        <w:jc w:val="left"/>
        <w:rPr>
          <w:rFonts w:ascii="Times New Roman" w:hAnsi="Times New Roman"/>
          <w:sz w:val="20"/>
        </w:rPr>
      </w:pPr>
      <w:r>
        <w:rPr>
          <w:rFonts w:ascii="Arial" w:hAnsi="Arial"/>
          <w:color w:val="000000"/>
          <w:sz w:val="20"/>
        </w:rPr>
        <w:t>Recycled Paperboard Revenue decreased 13% to $135.4 million during the nine months ended December 31, 2023. The decrease was primarily due to lower gross sales prices, which reduced Revenue by $20.6 million, partially offset by higher Sales Volume of $0.5 million. Lower gross sales prices were related to the pricing provisions in our long-term sales agreements.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Operating Earnings increased 30% to $22.3 million, primarily because of lower operating expenses, which increased Operating Earnings by $25.7 million. This was partially offset by lower gross sales prices, which reduced Operating Earnings by approximately $20.6 million. The decrease in operating expense was primarily related to lower input costs, namely fiber and freight, which lowered Operating Earnings by approximately $21.0 million and $6.4 million, respectively. This was partially offset by higher fixed costs of $1.8 million. The Operating Margin increased to 16% because of lower operating costs, partially offset by lower gross sales prices. Although we have certain pricing provisions in our long-term sales agreements, prices are only adjusted at certain times throughout the year, so price adjustments are not always reflected in the same period as the change in costs.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Information regarding our Critical Accounting Policies can be found in our Annual Report. The three Critical Accounting Policies that we believe either require the use of the most judgment, or the selection or application of alternative accounting policies, and are material to our financial statements, are those related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0000"/>
          <w:sz w:val="20"/>
          <w:u w:val="single"/>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Refer to Footnote (A) in the Notes to Unaudited Consolidated Financial Statements of this Form 10-Q for information regarding recently issued accounting pronouncements that may affect our financial statements.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believe at this time that we have access to sufficient financial resources from our liquidity sources to fund our business and operations, including contractual obligations, capital expenditures, and debt service obligations for at least the next twelve months.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pStyle w:val="TextBody"/>
        <w:bidi w:val="0"/>
        <w:spacing w:before="120" w:after="283"/>
        <w:jc w:val="both"/>
        <w:rPr>
          <w:rFonts w:ascii="Times New Roman" w:hAnsi="Times New Roman"/>
          <w:sz w:val="20"/>
        </w:rPr>
      </w:pPr>
      <w:r>
        <w:rPr>
          <w:rFonts w:ascii="Arial" w:hAnsi="Arial"/>
          <w:b/>
          <w:color w:val="000000"/>
          <w:sz w:val="20"/>
          <w:u w:val="single"/>
        </w:rPr>
        <w:t>Cash Flow</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The following table provides a summary of our cash flows:</w:t>
      </w:r>
      <w:r>
        <w:rPr>
          <w:rFonts w:ascii="Times New Roman" w:hAnsi="Times New Roman"/>
          <w:color w:val="000000"/>
          <w:sz w:val="20"/>
        </w:rPr>
        <w:t xml:space="preserve"> </w:t>
      </w:r>
    </w:p>
    <w:tbl>
      <w:tblPr>
        <w:tblW w:w="7628" w:type="dxa"/>
        <w:jc w:val="left"/>
        <w:tblInd w:w="0" w:type="dxa"/>
        <w:tblLayout w:type="fixed"/>
        <w:tblCellMar>
          <w:top w:w="28" w:type="dxa"/>
          <w:left w:w="28" w:type="dxa"/>
          <w:bottom w:w="28" w:type="dxa"/>
          <w:right w:w="28" w:type="dxa"/>
        </w:tblCellMar>
      </w:tblPr>
      <w:tblGrid>
        <w:gridCol w:w="4746"/>
        <w:gridCol w:w="146"/>
        <w:gridCol w:w="217"/>
        <w:gridCol w:w="775"/>
        <w:gridCol w:w="181"/>
        <w:gridCol w:w="175"/>
        <w:gridCol w:w="217"/>
        <w:gridCol w:w="775"/>
        <w:gridCol w:w="396"/>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0"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396" w:type="dxa"/>
            <w:tcBorders/>
            <w:shd w:fill="004483" w:val="clear"/>
            <w:vAlign w:val="center"/>
          </w:tcPr>
          <w:p>
            <w:pPr>
              <w:pStyle w:val="TableContents"/>
              <w:bidi w:val="0"/>
              <w:spacing w:before="0" w:after="283"/>
              <w:jc w:val="center"/>
              <w:rPr/>
            </w:pPr>
            <w:r>
              <w:rPr/>
              <w:t> </w:t>
            </w:r>
          </w:p>
        </w:tc>
      </w:tr>
      <w:tr>
        <w:trPr/>
        <w:tc>
          <w:tcPr>
            <w:tcW w:w="4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181"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396" w:type="dxa"/>
            <w:tcBorders/>
            <w:shd w:fill="FFFFFF" w:val="clear"/>
            <w:vAlign w:val="center"/>
          </w:tcPr>
          <w:p>
            <w:pPr>
              <w:pStyle w:val="TableContents"/>
              <w:bidi w:val="0"/>
              <w:spacing w:before="0" w:after="283"/>
              <w:jc w:val="right"/>
              <w:rPr/>
            </w:pPr>
            <w:r>
              <w:rPr/>
              <w:t> </w:t>
            </w:r>
          </w:p>
        </w:tc>
      </w:tr>
      <w:tr>
        <w:trPr/>
        <w:tc>
          <w:tcPr>
            <w:tcW w:w="47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2340"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3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Net Cash Provided by Operating Activities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500,549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480,111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6" w:type="dxa"/>
            <w:tcBorders>
              <w:bottom w:val="single" w:sz="18"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Investing Activities</w:t>
            </w:r>
          </w:p>
        </w:tc>
        <w:tc>
          <w:tcPr>
            <w:tcW w:w="146" w:type="dxa"/>
            <w:tcBorders>
              <w:bottom w:val="single" w:sz="18"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18"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18"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18"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Additions to Property, Plant, and Equipment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(87,848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(60,951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Acquisition Spending</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(55,053</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(158,451</w:t>
            </w:r>
          </w:p>
        </w:tc>
        <w:tc>
          <w:tcPr>
            <w:tcW w:w="3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Net Cash Used in Investing Activities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(142,901</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(219,402</w:t>
            </w:r>
          </w:p>
        </w:tc>
        <w:tc>
          <w:tcPr>
            <w:tcW w:w="3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r>
      <w:tr>
        <w:trPr/>
        <w:tc>
          <w:tcPr>
            <w:tcW w:w="4746" w:type="dxa"/>
            <w:tcBorders>
              <w:bottom w:val="single" w:sz="18"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Financing Activities</w:t>
            </w:r>
          </w:p>
        </w:tc>
        <w:tc>
          <w:tcPr>
            <w:tcW w:w="146" w:type="dxa"/>
            <w:tcBorders>
              <w:bottom w:val="single" w:sz="18"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18"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18"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18"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Increase (Decrease) in Revolving Credit Facility</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(50,000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200,000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Repayment of Term Loan and Term Loan Credit Agreement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(75,000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Dividends Paid to Stockholders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(26,692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(28,421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Purchase and Retirement of Common Stock</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(248,852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(313,898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Proceeds from Stock Option Exercises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11,560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840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Payment of Debt Issuance Costs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(903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color w:val="004483"/>
                <w:sz w:val="18"/>
              </w:rPr>
            </w:pPr>
            <w:r>
              <w:rPr>
                <w:rFonts w:ascii="Arial Narrow;sans-serif" w:hAnsi="Arial Narrow;sans-serif"/>
                <w:color w:val="004483"/>
                <w:sz w:val="18"/>
              </w:rPr>
              <w:t>Shares Redeemed to Settle Employee Taxes on Stock Compensation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(2,494</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(1,806</w:t>
            </w:r>
          </w:p>
        </w:tc>
        <w:tc>
          <w:tcPr>
            <w:tcW w:w="3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47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Net Cash Used in Financing Activities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(323,978</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(219,188</w:t>
            </w:r>
          </w:p>
        </w:tc>
        <w:tc>
          <w:tcPr>
            <w:tcW w:w="3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r>
      <w:tr>
        <w:trPr/>
        <w:tc>
          <w:tcPr>
            <w:tcW w:w="4746" w:type="dxa"/>
            <w:tcBorders/>
            <w:shd w:fill="FFFFFF" w:val="cle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Net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75"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33,670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17"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75"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41,521</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Net Cash Provided by Operating Activities increased by $20.4 million to $500.5 million during the nine months ended December 31, 2023. This increase was primarily attributable to higher Net Earnings, adjusted for non-cash charges of approximately $51.6 million. This was partially offset by changes in working capital of $19.2 million and lower dividends from our Unconsolidated Joint Venture of $12.0 million.</w:t>
      </w:r>
    </w:p>
    <w:p>
      <w:pPr>
        <w:pStyle w:val="TextBody"/>
        <w:bidi w:val="0"/>
        <w:spacing w:before="120" w:after="283"/>
        <w:jc w:val="left"/>
        <w:rPr>
          <w:rFonts w:ascii="Arial" w:hAnsi="Arial"/>
          <w:color w:val="000000"/>
          <w:sz w:val="20"/>
        </w:rPr>
      </w:pPr>
      <w:r>
        <w:rPr>
          <w:rFonts w:ascii="Arial" w:hAnsi="Arial"/>
          <w:color w:val="000000"/>
          <w:sz w:val="20"/>
        </w:rPr>
        <w:t>Working capital increased by $53.6 million to $362.2 million at December 31, 2023, compared with March 31, 2023. The increase was due to higher Cash, Inventories, Prepaid and Other Assets of $33.7 million, $41.9 million, and $6.0 million, respectively. This was partially offset by lower Accounts and Notes Receivable, net and Income Tax Receivable of $2.1 million and $13.3 million, respectively, and higher Income Tax Payable and Accounts Payable and Accrued Liabilities of $2.0 million and $8.6 million, respectively. The increase in Inventory was due primarily to the Stockton Terminal Acquisition and the increase in repair parts as we prepare for annual outages in our Cement business. The Stockton Terminal Acquisition in May 2023 increased working capital by approximately $4.1 million at December 31, 2023.</w:t>
      </w:r>
    </w:p>
    <w:p>
      <w:pPr>
        <w:pStyle w:val="TextBody"/>
        <w:bidi w:val="0"/>
        <w:spacing w:before="120" w:after="283"/>
        <w:jc w:val="left"/>
        <w:rPr>
          <w:rFonts w:ascii="Times New Roman" w:hAnsi="Times New Roman"/>
          <w:sz w:val="20"/>
        </w:rPr>
      </w:pPr>
      <w:r>
        <w:rPr>
          <w:rFonts w:ascii="Arial" w:hAnsi="Arial"/>
          <w:color w:val="000000"/>
          <w:sz w:val="20"/>
        </w:rPr>
        <w:t>The decrease in Accounts Receivable at December 31, 2023, was primarily related to increased collection efforts during the third fiscal quarter. As a percentage of quarterly sales generated for the respective quarter, Accounts Receivable was approximately 35% at December 31, 2023, and 41% at March 31, 2023.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December 31, 2023.</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Our Inventory balance at December 31, 2023, increased by approximately $41.9 million from our balance at March 31, 2023. Excluding the Stockton Terminal Acquisition, our Inventory balance increased by $32.7 million. Within Inventory, Raw Materials and Materials-in-Progress, Aggregates, Recycled Paperboard, Repair Parts, and Fuel and Coal increased by approximately $7.6 million, $2.3 million, $4.8 million, $10.7 million, and $4.6 million, respectively. The increase in Raw Materials and Materials-in-Progress and relatively flat balance in Finished Cement is consistent with our business cycle; we generally build up clinker inventory over the winter months to meet the demand for cement in the spring and summer. The increase in repair parts inventory was primarily due to preparing for the expected maintenance outages in the fiscal fourth quarter.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Net Cash Used in Investing Activities during the nine months ended December 31, 2023, was approximately $142.9 million, compared with $219.4 million during the same period in 2022. The $76.5 million decrease was primarily related to the lower purchase price for the Stockton Terminal Acquisition in May 2023, compared with the acquisition completed in the nine months ended December 31, 2022, partially offset by higher capital expenditures in the current fiscal year.</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Net Cash Used in Financing Activities was approximately $324.0 million during the nine months ended December 31, 2023, compared with $219.2 million during the nine months ended December 31, 2022. The $104.8 million increase was primarily related to reduced borrowings of $182.5 million, partially offset by lower Purchase and Retirement of Common Stock of $65.0 million and increased Proceeds from Stock Option Exercises of $10.8 million.</w:t>
      </w:r>
    </w:p>
    <w:p>
      <w:pPr>
        <w:pStyle w:val="TextBody"/>
        <w:bidi w:val="0"/>
        <w:spacing w:before="120" w:after="283"/>
        <w:jc w:val="left"/>
        <w:rPr>
          <w:rFonts w:ascii="Times New Roman" w:hAnsi="Times New Roman"/>
          <w:sz w:val="20"/>
        </w:rPr>
      </w:pPr>
      <w:r>
        <w:rPr>
          <w:rFonts w:ascii="Arial" w:hAnsi="Arial"/>
          <w:color w:val="000000"/>
          <w:sz w:val="20"/>
        </w:rPr>
        <w:t>Our debt-to-capitalization ratio and net-debt-to-capitalization ratio were 43.9% and 42.7%, respectively, at December 31, 2023, compared with 48.1% and 47.8%, respectively, at March 31, 2023.</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0"/>
          <w:u w:val="single"/>
        </w:rPr>
        <w:t>Debt Financing Activities</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Below is a summary of the Company’s outstanding debt facilities at December 31, 2023:</w:t>
      </w:r>
    </w:p>
    <w:tbl>
      <w:tblPr>
        <w:tblW w:w="3163" w:type="dxa"/>
        <w:jc w:val="left"/>
        <w:tblInd w:w="0" w:type="dxa"/>
        <w:tblLayout w:type="fixed"/>
        <w:tblCellMar>
          <w:top w:w="28" w:type="dxa"/>
          <w:left w:w="28" w:type="dxa"/>
          <w:bottom w:w="28" w:type="dxa"/>
          <w:right w:w="28" w:type="dxa"/>
        </w:tblCellMar>
      </w:tblPr>
      <w:tblGrid>
        <w:gridCol w:w="2251"/>
        <w:gridCol w:w="146"/>
        <w:gridCol w:w="76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Maturity</w:t>
            </w:r>
          </w:p>
        </w:tc>
      </w:tr>
      <w:tr>
        <w:trPr/>
        <w:tc>
          <w:tcPr>
            <w:tcW w:w="225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color w:val="004483"/>
              </w:rPr>
            </w:pPr>
            <w:r>
              <w:rPr>
                <w:color w:val="004483"/>
              </w:rPr>
              <w:t> </w:t>
            </w:r>
            <w:r>
              <w:rPr>
                <w:rFonts w:ascii="Arial Narrow;sans-serif" w:hAnsi="Arial Narrow;sans-serif"/>
                <w:color w:val="004483"/>
                <w:sz w:val="18"/>
              </w:rPr>
              <w:t>Revolving Credit Facility</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May 2027</w:t>
            </w:r>
          </w:p>
        </w:tc>
      </w:tr>
      <w:tr>
        <w:trPr/>
        <w:tc>
          <w:tcPr>
            <w:tcW w:w="22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color w:val="004483"/>
              </w:rPr>
            </w:pPr>
            <w:r>
              <w:rPr>
                <w:color w:val="004483"/>
              </w:rPr>
              <w:t> </w:t>
            </w:r>
            <w:r>
              <w:rPr>
                <w:rFonts w:ascii="Arial Narrow;sans-serif" w:hAnsi="Arial Narrow;sans-serif"/>
                <w:color w:val="004483"/>
                <w:sz w:val="18"/>
              </w:rPr>
              <w:t>Term Loan</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May 2027</w:t>
            </w:r>
          </w:p>
        </w:tc>
      </w:tr>
      <w:tr>
        <w:trPr/>
        <w:tc>
          <w:tcPr>
            <w:tcW w:w="22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color w:val="004483"/>
              </w:rPr>
            </w:pPr>
            <w:r>
              <w:rPr>
                <w:color w:val="004483"/>
              </w:rPr>
              <w:t> </w:t>
            </w:r>
            <w:r>
              <w:rPr>
                <w:rFonts w:ascii="Arial Narrow;sans-serif" w:hAnsi="Arial Narrow;sans-serif"/>
                <w:color w:val="004483"/>
                <w:sz w:val="18"/>
              </w:rPr>
              <w:t>2.500% Senior Unsecured Notes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July 2031</w:t>
            </w:r>
          </w:p>
        </w:tc>
      </w:tr>
    </w:tbl>
    <w:p>
      <w:pPr>
        <w:pStyle w:val="TextBody"/>
        <w:bidi w:val="0"/>
        <w:spacing w:before="200" w:after="283"/>
        <w:jc w:val="left"/>
        <w:rPr>
          <w:rFonts w:ascii="Times New Roman" w:hAnsi="Times New Roman"/>
          <w:sz w:val="20"/>
        </w:rPr>
      </w:pPr>
      <w:r>
        <w:rPr>
          <w:rFonts w:ascii="Arial" w:hAnsi="Arial"/>
          <w:color w:val="000000"/>
          <w:sz w:val="20"/>
        </w:rPr>
        <w:t>See Footnote (M) to the Unaudited Consolidated Financial Statements for further details on the Company’s debt facilities, including interest rate, and financial and other covenants and restrictions.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revolving borrowing capacity of our Revolving Credit Facility is $750.0 million (any revolving loans borrowed under the Revolving Credit Facility, as applicable, the Revolving Loans). The Revolving Credit Facility also includes a swingline loan sublimit of $25.0 million, and a $40.0 million letter of credit facility. At December 31, 2023 we had $107.0 million outstanding of Revolving Loans under the Revolving Credit Facility and $8.3 million of outstanding letters of credit, resulting in $634.7 million of available borrowings under the Revolving Credit Facility, net of the outstanding letters of credit. We are contingently liable for performance under $29.3 million in performance bonds relating primarily to our mining operations. We do not have any off-balance sheet debt, or any outstanding debt guarantees.</w:t>
      </w:r>
    </w:p>
    <w:p>
      <w:pPr>
        <w:pStyle w:val="TextBody"/>
        <w:bidi w:val="0"/>
        <w:spacing w:before="120" w:after="283"/>
        <w:jc w:val="left"/>
        <w:rPr>
          <w:rFonts w:ascii="Times New Roman" w:hAnsi="Times New Roman"/>
          <w:sz w:val="20"/>
        </w:rPr>
      </w:pPr>
      <w:r>
        <w:rPr>
          <w:rFonts w:ascii="Arial" w:hAnsi="Arial"/>
          <w:color w:val="000000"/>
          <w:sz w:val="20"/>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believe that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on our business.</w:t>
      </w:r>
    </w:p>
    <w:p>
      <w:pPr>
        <w:pStyle w:val="TextBody"/>
        <w:bidi w:val="0"/>
        <w:spacing w:before="120" w:after="283"/>
        <w:jc w:val="left"/>
        <w:rPr>
          <w:rFonts w:ascii="Times New Roman" w:hAnsi="Times New Roman"/>
          <w:sz w:val="20"/>
        </w:rPr>
      </w:pPr>
      <w:r>
        <w:rPr>
          <w:rFonts w:ascii="Arial" w:hAnsi="Arial"/>
          <w:color w:val="000000"/>
          <w:sz w:val="20"/>
        </w:rPr>
        <w:t>As market conditions warrant, the Company may from time to time seek to purchase or repay its outstanding debt securities or loans, including the 2.500% Senior Unsecured Notes, Term Loan,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have approximately $28.9 million of lease liabilities at December 31, 2023, that have an average remaining life of approximately 9.3 years.</w:t>
      </w:r>
    </w:p>
    <w:p>
      <w:pPr>
        <w:pStyle w:val="TextBody"/>
        <w:bidi w:val="0"/>
        <w:spacing w:before="120" w:after="283"/>
        <w:jc w:val="left"/>
        <w:rPr>
          <w:rFonts w:ascii="Arial" w:hAnsi="Arial"/>
          <w:b/>
          <w:color w:val="000000"/>
          <w:sz w:val="20"/>
          <w:u w:val="single"/>
        </w:rPr>
      </w:pPr>
      <w:r>
        <w:rPr>
          <w:rFonts w:ascii="Arial" w:hAnsi="Arial"/>
          <w:b/>
          <w:color w:val="000000"/>
          <w:sz w:val="20"/>
          <w:u w:val="single"/>
        </w:rPr>
        <w:t>Dividends</w:t>
      </w:r>
    </w:p>
    <w:p>
      <w:pPr>
        <w:pStyle w:val="TextBody"/>
        <w:bidi w:val="0"/>
        <w:spacing w:before="120" w:after="283"/>
        <w:jc w:val="left"/>
        <w:rPr>
          <w:rFonts w:ascii="Arial" w:hAnsi="Arial"/>
          <w:color w:val="000000"/>
          <w:sz w:val="20"/>
        </w:rPr>
      </w:pPr>
      <w:r>
        <w:rPr>
          <w:rFonts w:ascii="Arial" w:hAnsi="Arial"/>
          <w:color w:val="000000"/>
          <w:sz w:val="20"/>
        </w:rPr>
        <w:t>Dividends paid were $26.7 million and $28.4 million for the nine months ended December 31, 2023 and 2022, respectively. Each quarterly dividend payment is subject to review and approval by our Board of Directors, who will continue to evaluate our dividend payment amount on a quarterly basis.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color w:val="000000"/>
          <w:sz w:val="20"/>
          <w:u w:val="single"/>
        </w:rPr>
      </w:pPr>
      <w:r>
        <w:rPr>
          <w:rFonts w:ascii="Arial" w:hAnsi="Arial"/>
          <w:b/>
          <w:color w:val="000000"/>
          <w:sz w:val="20"/>
          <w:u w:val="single"/>
        </w:rPr>
        <w:t>Share Repurchases</w:t>
      </w:r>
    </w:p>
    <w:p>
      <w:pPr>
        <w:pStyle w:val="TextBody"/>
        <w:bidi w:val="0"/>
        <w:spacing w:before="120" w:after="120"/>
        <w:jc w:val="both"/>
        <w:rPr>
          <w:rFonts w:ascii="Arial" w:hAnsi="Arial"/>
          <w:color w:val="000000"/>
          <w:sz w:val="20"/>
        </w:rPr>
      </w:pPr>
      <w:r>
        <w:rPr>
          <w:rFonts w:ascii="Arial" w:hAnsi="Arial"/>
          <w:color w:val="000000"/>
          <w:sz w:val="20"/>
        </w:rPr>
        <w:t>During the nine months ended December 31, 2023, our share repurchases were as follows:</w:t>
      </w:r>
    </w:p>
    <w:tbl>
      <w:tblPr>
        <w:tblW w:w="8569" w:type="dxa"/>
        <w:jc w:val="left"/>
        <w:tblInd w:w="0" w:type="dxa"/>
        <w:tblLayout w:type="fixed"/>
        <w:tblCellMar>
          <w:top w:w="28" w:type="dxa"/>
          <w:left w:w="28" w:type="dxa"/>
          <w:bottom w:w="28" w:type="dxa"/>
          <w:right w:w="28" w:type="dxa"/>
        </w:tblCellMar>
      </w:tblPr>
      <w:tblGrid>
        <w:gridCol w:w="2761"/>
        <w:gridCol w:w="146"/>
        <w:gridCol w:w="184"/>
        <w:gridCol w:w="911"/>
        <w:gridCol w:w="146"/>
        <w:gridCol w:w="146"/>
        <w:gridCol w:w="284"/>
        <w:gridCol w:w="826"/>
        <w:gridCol w:w="146"/>
        <w:gridCol w:w="146"/>
        <w:gridCol w:w="184"/>
        <w:gridCol w:w="911"/>
        <w:gridCol w:w="146"/>
        <w:gridCol w:w="146"/>
        <w:gridCol w:w="184"/>
        <w:gridCol w:w="911"/>
        <w:gridCol w:w="3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4"/>
              </w:rPr>
            </w:pPr>
            <w:r>
              <w:rPr>
                <w:rFonts w:ascii="Arial Narrow;sans-serif" w:hAnsi="Arial Narrow;sans-serif"/>
                <w:b/>
                <w:color w:val="000000"/>
                <w:sz w:val="14"/>
              </w:rPr>
              <w:t>Period</w:t>
            </w:r>
          </w:p>
        </w:tc>
        <w:tc>
          <w:tcPr>
            <w:tcW w:w="14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Total 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Average 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Total Number of</w:t>
              <w:br/>
              <w:t>Shares Purchased</w:t>
              <w:br/>
              <w:t>as Part 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Maximum Number</w:t>
              <w:br/>
              <w:t>of Shares that May</w:t>
              <w:br/>
              <w:t>Yet be Purchased</w:t>
              <w:br/>
              <w:t>Under the Plans</w:t>
              <w:br/>
              <w:t>or Programs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April 1 through April 30,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234,000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May 1 through May 31,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June 1 through June 30,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76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b/>
                <w:color w:val="000000"/>
                <w:sz w:val="18"/>
              </w:rPr>
            </w:pPr>
            <w:r>
              <w:rPr>
                <w:rFonts w:ascii="Arial Narrow;sans-serif" w:hAnsi="Arial Narrow;sans-serif"/>
                <w:b/>
                <w:color w:val="000000"/>
                <w:sz w:val="18"/>
              </w:rPr>
              <w:t>Quarter 1 Totals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484,000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2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154.54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484,000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July 1 through July 31,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August 1 through August 31,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September 1 through September 30, 2023</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176.84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265,000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761" w:type="dxa"/>
            <w:tcBorders>
              <w:bottom w:val="single" w:sz="4" w:space="0" w:color="A3A3A3"/>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b/>
                <w:color w:val="000000"/>
                <w:sz w:val="18"/>
              </w:rPr>
            </w:pPr>
            <w:r>
              <w:rPr>
                <w:rFonts w:ascii="Arial Narrow;sans-serif" w:hAnsi="Arial Narrow;sans-serif"/>
                <w:b/>
                <w:color w:val="000000"/>
                <w:sz w:val="18"/>
              </w:rPr>
              <w:t>Quarter 2 Totals</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432,500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2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178.64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432,500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6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October 1 through October 31, 2023</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2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6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November 1 through November 30, 2023</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2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6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December 1 through December 31, 2023</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2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761" w:type="dxa"/>
            <w:tcBorders>
              <w:bottom w:val="single" w:sz="4" w:space="0" w:color="A3A3A3"/>
            </w:tcBorders>
            <w:shd w:fill="FFFFFF" w:val="clear"/>
            <w:tcMar>
              <w:top w:w="0" w:type="dxa"/>
              <w:left w:w="0" w:type="dxa"/>
              <w:right w:w="0" w:type="dxa"/>
            </w:tcMar>
            <w:vAlign w:val="center"/>
          </w:tcPr>
          <w:p>
            <w:pPr>
              <w:pStyle w:val="TableContents"/>
              <w:bidi w:val="0"/>
              <w:spacing w:before="0" w:after="283"/>
              <w:ind w:left="200" w:right="0" w:firstLine="200"/>
              <w:jc w:val="left"/>
              <w:rPr>
                <w:rFonts w:ascii="Arial Narrow;sans-serif" w:hAnsi="Arial Narrow;sans-serif"/>
                <w:b/>
                <w:color w:val="000000"/>
                <w:sz w:val="18"/>
              </w:rPr>
            </w:pPr>
            <w:r>
              <w:rPr>
                <w:rFonts w:ascii="Arial Narrow;sans-serif" w:hAnsi="Arial Narrow;sans-serif"/>
                <w:b/>
                <w:color w:val="000000"/>
                <w:sz w:val="18"/>
              </w:rPr>
              <w:t>Quarter 3 Totals</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558,500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26"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174.63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558,500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4483"/>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761" w:type="dxa"/>
            <w:tcBorders/>
            <w:shd w:fill="FFFFFF" w:val="clear"/>
            <w:vAlign w:val="center"/>
          </w:tcPr>
          <w:p>
            <w:pPr>
              <w:pStyle w:val="TableContents"/>
              <w:bidi w:val="0"/>
              <w:spacing w:before="0" w:after="283"/>
              <w:ind w:left="200" w:right="0" w:firstLine="200"/>
              <w:jc w:val="left"/>
              <w:rPr>
                <w:rFonts w:ascii="Arial Narrow;sans-serif" w:hAnsi="Arial Narrow;sans-serif"/>
                <w:b/>
                <w:color w:val="000000"/>
                <w:sz w:val="18"/>
              </w:rPr>
            </w:pPr>
            <w:r>
              <w:rPr>
                <w:rFonts w:ascii="Arial Narrow;sans-serif" w:hAnsi="Arial Narrow;sans-serif"/>
                <w:b/>
                <w:color w:val="000000"/>
                <w:sz w:val="18"/>
              </w:rPr>
              <w:t>Year-to-Date Totals</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1,475,000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26"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168.71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1,475,000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6,272,204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On May 17, 2022, the Board of Directors authorized us to repurchase an additional 7.5 million shares. This authorization brought the cumulative total of Common Stock our Board has approved for repurchase in the open market to 55.9 million shares since we became publicly held in April 1994. Through December 31, 2023, we have repurchased approximately 49.6 million shares.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 harbor provided by Rule 10b5-1.</w:t>
      </w:r>
    </w:p>
    <w:p>
      <w:pPr>
        <w:pStyle w:val="TextBody"/>
        <w:bidi w:val="0"/>
        <w:spacing w:before="120" w:after="283"/>
        <w:jc w:val="left"/>
        <w:rPr>
          <w:rFonts w:ascii="Times New Roman" w:hAnsi="Times New Roman"/>
          <w:sz w:val="20"/>
        </w:rPr>
      </w:pPr>
      <w:r>
        <w:rPr>
          <w:rFonts w:ascii="Arial" w:hAnsi="Arial"/>
          <w:color w:val="000000"/>
          <w:sz w:val="20"/>
        </w:rPr>
        <w:t>During the nine months ended December 31, 2023, the Company withheld from employees 14,572 shares of stock upon the vesting of Restricted Shares that were granted under the Plan. We withheld these shares to satisfy the employees’ statutory tax withholding requirements, which is necessary once the Restricted Shares or Restricted Share Units are vested.</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u w:val="single"/>
        </w:rPr>
      </w:pPr>
      <w:r>
        <w:rPr>
          <w:rFonts w:ascii="Arial" w:hAnsi="Arial"/>
          <w:b/>
          <w:color w:val="000000"/>
          <w:sz w:val="20"/>
          <w:u w:val="single"/>
        </w:rPr>
        <w:t>Capital Expenditures</w:t>
      </w:r>
    </w:p>
    <w:p>
      <w:pPr>
        <w:pStyle w:val="TextBody"/>
        <w:bidi w:val="0"/>
        <w:spacing w:before="120" w:after="283"/>
        <w:jc w:val="left"/>
        <w:rPr>
          <w:rFonts w:ascii="Times New Roman" w:hAnsi="Times New Roman"/>
          <w:sz w:val="20"/>
        </w:rPr>
      </w:pPr>
      <w:r>
        <w:rPr>
          <w:rFonts w:ascii="Arial" w:hAnsi="Arial"/>
          <w:color w:val="000000"/>
          <w:sz w:val="20"/>
        </w:rPr>
        <w:t>The following table details capital expenditures by category:</w:t>
      </w:r>
      <w:r>
        <w:rPr>
          <w:rFonts w:ascii="Times New Roman" w:hAnsi="Times New Roman"/>
          <w:color w:val="000000"/>
          <w:sz w:val="20"/>
        </w:rPr>
        <w:t xml:space="preserve"> </w:t>
      </w:r>
    </w:p>
    <w:tbl>
      <w:tblPr>
        <w:tblW w:w="5236" w:type="dxa"/>
        <w:jc w:val="left"/>
        <w:tblInd w:w="0" w:type="dxa"/>
        <w:tblLayout w:type="fixed"/>
        <w:tblCellMar>
          <w:top w:w="28" w:type="dxa"/>
          <w:left w:w="28" w:type="dxa"/>
          <w:bottom w:w="28" w:type="dxa"/>
          <w:right w:w="28" w:type="dxa"/>
        </w:tblCellMar>
      </w:tblPr>
      <w:tblGrid>
        <w:gridCol w:w="2461"/>
        <w:gridCol w:w="146"/>
        <w:gridCol w:w="248"/>
        <w:gridCol w:w="721"/>
        <w:gridCol w:w="200"/>
        <w:gridCol w:w="200"/>
        <w:gridCol w:w="248"/>
        <w:gridCol w:w="721"/>
        <w:gridCol w:w="2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8" w:type="dxa"/>
            <w:gridSpan w:val="6"/>
            <w:tcBorders/>
            <w:shd w:fill="004483" w:val="clear"/>
            <w:vAlign w:val="center"/>
          </w:tcPr>
          <w:p>
            <w:pPr>
              <w:pStyle w:val="TableContents"/>
              <w:bidi w:val="0"/>
              <w:spacing w:before="0" w:after="283"/>
              <w:jc w:val="center"/>
              <w:rPr>
                <w:rFonts w:ascii="Arial Narrow;sans-serif" w:hAnsi="Arial Narrow;sans-serif"/>
                <w:b/>
                <w:color w:val="FFFFFF"/>
                <w:sz w:val="14"/>
              </w:rPr>
            </w:pPr>
            <w:r>
              <w:rPr>
                <w:rFonts w:ascii="Arial Narrow;sans-serif" w:hAnsi="Arial Narrow;sans-serif"/>
                <w:b/>
                <w:color w:val="FFFFFF"/>
                <w:sz w:val="14"/>
              </w:rPr>
              <w:t>For the Nine Months Ended December 31,</w:t>
            </w:r>
          </w:p>
        </w:tc>
        <w:tc>
          <w:tcPr>
            <w:tcW w:w="291" w:type="dxa"/>
            <w:tcBorders/>
            <w:shd w:fill="004483" w:val="cle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69"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2023</w:t>
            </w:r>
          </w:p>
        </w:tc>
        <w:tc>
          <w:tcPr>
            <w:tcW w:w="20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center"/>
              <w:rPr/>
            </w:pPr>
            <w:r>
              <w:rPr/>
              <w:t> </w:t>
            </w:r>
          </w:p>
        </w:tc>
        <w:tc>
          <w:tcPr>
            <w:tcW w:w="969" w:type="dxa"/>
            <w:gridSpan w:val="2"/>
            <w:tcBorders/>
            <w:shd w:fill="FFFFFF" w:val="clear"/>
            <w:vAlign w:val="center"/>
          </w:tcPr>
          <w:p>
            <w:pPr>
              <w:pStyle w:val="TableContents"/>
              <w:bidi w:val="0"/>
              <w:spacing w:before="0" w:after="283"/>
              <w:jc w:val="right"/>
              <w:rPr>
                <w:rFonts w:ascii="Arial Narrow;sans-serif" w:hAnsi="Arial Narrow;sans-serif"/>
                <w:b/>
                <w:color w:val="000000"/>
                <w:sz w:val="14"/>
              </w:rPr>
            </w:pPr>
            <w:r>
              <w:rPr>
                <w:rFonts w:ascii="Arial Narrow;sans-serif" w:hAnsi="Arial Narrow;sans-serif"/>
                <w:b/>
                <w:color w:val="000000"/>
                <w:sz w:val="14"/>
              </w:rPr>
              <w:t>2022</w:t>
            </w:r>
          </w:p>
        </w:tc>
        <w:tc>
          <w:tcPr>
            <w:tcW w:w="291" w:type="dxa"/>
            <w:tcBorders/>
            <w:shd w:fill="FFFFFF" w:val="clear"/>
            <w:vAlign w:val="center"/>
          </w:tcPr>
          <w:p>
            <w:pPr>
              <w:pStyle w:val="TableContents"/>
              <w:bidi w:val="0"/>
              <w:spacing w:before="0" w:after="283"/>
              <w:jc w:val="right"/>
              <w:rPr/>
            </w:pPr>
            <w:r>
              <w:rPr/>
              <w:t> </w:t>
            </w:r>
          </w:p>
        </w:tc>
      </w:tr>
      <w:tr>
        <w:trPr/>
        <w:tc>
          <w:tcPr>
            <w:tcW w:w="246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pPr>
            <w:r>
              <w:rPr/>
              <w:t> </w:t>
            </w:r>
          </w:p>
        </w:tc>
        <w:tc>
          <w:tcPr>
            <w:tcW w:w="2338" w:type="dxa"/>
            <w:gridSpan w:val="6"/>
            <w:tcBorders>
              <w:bottom w:val="single" w:sz="18" w:space="0" w:color="004483"/>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Land and Quarries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5,761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11,178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Plants</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42,354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33,650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4483"/>
                <w:sz w:val="18"/>
              </w:rPr>
            </w:pPr>
            <w:r>
              <w:rPr>
                <w:rFonts w:ascii="Arial Narrow;sans-serif" w:hAnsi="Arial Narrow;sans-serif"/>
                <w:color w:val="004483"/>
                <w:sz w:val="18"/>
              </w:rPr>
              <w:t>Buildings, Machinery, and Equipment</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39,733</w:t>
            </w:r>
          </w:p>
        </w:tc>
        <w:tc>
          <w:tcPr>
            <w:tcW w:w="20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16,123</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61" w:type="dxa"/>
            <w:tcBorders/>
            <w:shd w:fill="FFFFFF" w:val="clear"/>
            <w:vAlign w:val="center"/>
          </w:tcPr>
          <w:p>
            <w:pPr>
              <w:pStyle w:val="TableContents"/>
              <w:bidi w:val="0"/>
              <w:spacing w:before="0" w:after="283"/>
              <w:ind w:left="100" w:right="0" w:firstLine="100"/>
              <w:jc w:val="left"/>
              <w:rPr>
                <w:rFonts w:ascii="Arial Narrow;sans-serif" w:hAnsi="Arial Narrow;sans-serif"/>
                <w:b/>
                <w:color w:val="000000"/>
                <w:sz w:val="18"/>
              </w:rPr>
            </w:pPr>
            <w:r>
              <w:rPr>
                <w:rFonts w:ascii="Arial Narrow;sans-serif" w:hAnsi="Arial Narrow;sans-serif"/>
                <w:b/>
                <w:color w:val="000000"/>
                <w:sz w:val="18"/>
              </w:rPr>
              <w:t>Total Capital Expenditures</w:t>
            </w:r>
          </w:p>
        </w:tc>
        <w:tc>
          <w:tcPr>
            <w:tcW w:w="146" w:type="dxa"/>
            <w:tcBorders/>
            <w:shd w:fill="FFFFFF" w:val="clear"/>
            <w:vAlign w:val="center"/>
          </w:tcPr>
          <w:p>
            <w:pPr>
              <w:pStyle w:val="TableContents"/>
              <w:bidi w:val="0"/>
              <w:spacing w:before="0" w:after="283"/>
              <w:jc w:val="center"/>
              <w:rPr/>
            </w:pPr>
            <w:r>
              <w:rPr/>
              <w:t> </w:t>
            </w:r>
          </w:p>
        </w:tc>
        <w:tc>
          <w:tcPr>
            <w:tcW w:w="24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87,848</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center"/>
              <w:rPr/>
            </w:pPr>
            <w:r>
              <w:rPr/>
              <w:t> </w:t>
            </w:r>
          </w:p>
        </w:tc>
        <w:tc>
          <w:tcPr>
            <w:tcW w:w="248"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1" w:type="dxa"/>
            <w:tcBorders>
              <w:bottom w:val="double" w:sz="6" w:space="0" w:color="004483"/>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60,951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color w:val="000000"/>
          <w:sz w:val="20"/>
        </w:rPr>
      </w:pPr>
      <w:r>
        <w:rPr>
          <w:rFonts w:ascii="Arial" w:hAnsi="Arial"/>
          <w:color w:val="000000"/>
          <w:sz w:val="20"/>
        </w:rPr>
        <w:t>Capital expenditures for fiscal 2024 are expected to range from $125.0 million to $140.0 million and will be allocated across both Heavy Materials and Light Materials sectors. These estimated capital expenditures will include maintenance capital expenditures and improvements, as well as other safety and regulatory projects.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0000"/>
          <w:sz w:val="20"/>
        </w:rPr>
      </w:pPr>
      <w:r>
        <w:rPr>
          <w:rFonts w:ascii="Arial" w:hAnsi="Arial"/>
          <w:b/>
          <w:color w:val="000000"/>
          <w:sz w:val="20"/>
        </w:rPr>
        <w:t>FORWARD LOOKING STATEMENTS</w:t>
      </w:r>
    </w:p>
    <w:p>
      <w:pPr>
        <w:pStyle w:val="TextBody"/>
        <w:bidi w:val="0"/>
        <w:spacing w:before="120" w:after="283"/>
        <w:jc w:val="left"/>
        <w:rPr>
          <w:rFonts w:ascii="Arial" w:hAnsi="Arial"/>
          <w:color w:val="000000"/>
          <w:sz w:val="20"/>
        </w:rPr>
      </w:pPr>
      <w:r>
        <w:rPr>
          <w:rFonts w:ascii="Arial" w:hAnsi="Arial"/>
          <w:color w:val="000000"/>
          <w:sz w:val="20"/>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public infrastructure expenditures; adverse weather conditions; the fact that our products are commodities and that prices for our products are subject to material fluctuation due to market conditions and other factors beyond our control; availability of raw materials; changes in the costs of energy, including, without limitation, natural gas, coal and oil, and the nature of our obligations to counterparties under energy supply contracts, such as those related to market conditions (such as fluctuations in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fluctuations in or changes in the nature of activity in the oil and gas industry;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changes in economic conditions specific to any one or more of the Company’s markets; adverse impact of severe weather conditions (such as winter storms, tornados and hurricanes) and their effects on our facilities, operations and contractual arrangements with third parties; competition; cyber-attacks or data security breaches; announced increases in capacity in the gypsum wallboard and cement industries; changes in the demand for residential housing construction or commercial construction or construction projects undertaken by state or local governments; risks related to pursuit of acquisitions, joint ventures and other transactions or the execution or implementation of such transactions, including the integration of operations acquired by the Company; general economic conditions; and interest rates. For example, increases in interest rates, decreases in demand for construction materials or increases in the cost of energy (including, without limitation, natural gas, coal and oil) and the cost of our raw materials can expected to adversely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 impacts associated with natural disasters, the outbreak, escalation, or resurgence of health emergencies, pandemics or other unforeseen events, including, without limitation, the COVID-19 pandemic and responses thereto designed to contain its spread and mitigate its public health effects, as well as their impact on our operations or on economic conditions, capital and financial markets. These and other factors are described in the Company’s Annual Report on Form 10-K for the fiscal year ended March 31, 2023.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pStyle w:val="TextBody"/>
        <w:bidi w:val="0"/>
        <w:spacing w:before="270" w:after="283"/>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bookmarkStart w:id="9" w:name="item_3"/>
      <w:bookmarkEnd w:id="9"/>
      <w:r>
        <w:rPr>
          <w:rFonts w:ascii="Arial" w:hAnsi="Arial"/>
          <w:b/>
          <w:color w:val="000000"/>
          <w:sz w:val="26"/>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are exposed to market risks related to fluctuations in interest rates on our Revolving Credit Facility. We have occasionally utilized derivative instruments, including interest rate swaps, in conjunction with our overall strategy to manage the debt outstanding that is subject to changes in interest rates. We had a $750.0 million Revolving Credit Facility at December 31, 2023, under which borrowings bear interest at a variable rate. A hypothetical 100 basis point increase in interest rates on the $107.0 million of borrowings under the Revolving Credit Facility and the $185.0 million of borrowings under the Term Loan at December 31, 2023, would increase interest expense by approximately $2.9 million on an annual basis. At present, we do not utilize derivative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are subject to commodity risk with respect to price changes principally in coal, coke, natural gas, and power. We attempt to limit our exposure to changes in commodity prices by entering into contracts or increasing our use of alternative fuels.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bookmarkStart w:id="10" w:name="item_4"/>
      <w:bookmarkEnd w:id="10"/>
      <w:r>
        <w:rPr>
          <w:rFonts w:ascii="Arial" w:hAnsi="Arial"/>
          <w:b/>
          <w:color w:val="000000"/>
          <w:sz w:val="26"/>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1" w:name="part_ii"/>
      <w:bookmarkEnd w:id="11"/>
      <w:r>
        <w:rPr>
          <w:rFonts w:ascii="Arial" w:hAnsi="Arial"/>
          <w:b/>
          <w:color w:val="000000"/>
          <w:sz w:val="26"/>
        </w:rPr>
        <w:t>PART II.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bookmarkStart w:id="12" w:name="item_1_legal_proceedings"/>
      <w:bookmarkEnd w:id="12"/>
      <w:r>
        <w:rPr>
          <w:rFonts w:ascii="Arial" w:hAnsi="Arial"/>
          <w:b/>
          <w:color w:val="000000"/>
          <w:sz w:val="26"/>
        </w:rPr>
        <w:t>Item 1.</w:t>
      </w:r>
      <w:r>
        <w:rPr>
          <w:rFonts w:ascii="Times New Roman" w:hAnsi="Times New Roman"/>
          <w:color w:val="000000"/>
          <w:sz w:val="20"/>
        </w:rPr>
        <w:t xml:space="preserve"> </w:t>
      </w:r>
      <w:r>
        <w:rPr>
          <w:rFonts w:ascii="Arial" w:hAnsi="Arial"/>
          <w:b/>
          <w:color w:val="000000"/>
          <w:sz w:val="26"/>
        </w:rPr>
        <w:t>Legal Proceedings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In addition to the legal matters described in Part 1, Item 3 "Legal Proceedings" of our Form 10-K for the fiscal year ended March 31, 2023, 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pStyle w:val="TextBody"/>
        <w:bidi w:val="0"/>
        <w:spacing w:before="120" w:after="283"/>
        <w:jc w:val="left"/>
        <w:rPr>
          <w:rFonts w:ascii="Times New Roman" w:hAnsi="Times New Roman"/>
          <w:sz w:val="20"/>
        </w:rPr>
      </w:pPr>
      <w:r>
        <w:rPr>
          <w:rFonts w:ascii="Arial" w:hAnsi="Arial"/>
          <w:color w:val="000000"/>
          <w:sz w:val="20"/>
        </w:rPr>
        <w:t>For additional information regarding claims and other contingent liabilities to which we may be subject, see Footnote (P) in the Unaudited Consolidated Financial Statements.</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6"/>
        </w:rPr>
      </w:pPr>
      <w:bookmarkStart w:id="13" w:name="item_1a"/>
      <w:bookmarkEnd w:id="13"/>
      <w:r>
        <w:rPr>
          <w:rFonts w:ascii="Arial" w:hAnsi="Arial"/>
          <w:b/>
          <w:color w:val="000000"/>
          <w:sz w:val="26"/>
        </w:rPr>
        <w:t>Item 1A. Risk Factors</w:t>
      </w:r>
    </w:p>
    <w:p>
      <w:pPr>
        <w:pStyle w:val="TextBody"/>
        <w:bidi w:val="0"/>
        <w:spacing w:before="120" w:after="283"/>
        <w:jc w:val="left"/>
        <w:rPr>
          <w:rFonts w:ascii="Arial" w:hAnsi="Arial"/>
          <w:color w:val="000000"/>
          <w:sz w:val="20"/>
        </w:rPr>
      </w:pPr>
      <w:r>
        <w:rPr>
          <w:rFonts w:ascii="Arial" w:hAnsi="Arial"/>
          <w:color w:val="000000"/>
          <w:sz w:val="20"/>
        </w:rPr>
        <w:t>For information regarding factors that could impact our results of operations, financial condition, and liquidity, see Part 1. Item 1A. Risk Factors in our Form 10-K for the fiscal year ended March 31, 2023, filed with the Securities and Exchange Commission on May 19, 2023.</w:t>
      </w:r>
    </w:p>
    <w:p>
      <w:pPr>
        <w:pStyle w:val="TextBody"/>
        <w:bidi w:val="0"/>
        <w:spacing w:before="270" w:after="283"/>
        <w:jc w:val="left"/>
        <w:rPr>
          <w:rFonts w:ascii="Times New Roman" w:hAnsi="Times New Roman"/>
          <w:sz w:val="20"/>
        </w:rPr>
      </w:pPr>
      <w:bookmarkStart w:id="14" w:name="item_2_unregistered_sales"/>
      <w:bookmarkEnd w:id="14"/>
      <w:r>
        <w:rPr>
          <w:rFonts w:ascii="Arial" w:hAnsi="Arial"/>
          <w:b/>
          <w:color w:val="000000"/>
          <w:sz w:val="26"/>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disclosure required under this Item is included in “Management’s Discussion and Analysis of Results of Operations and Financial Condition” of this Quarterly Report on Form 10-Q under the heading “Share Repurchases” and is incorporated herein by reference.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bookmarkStart w:id="15" w:name="item_4_mine_safety"/>
      <w:bookmarkEnd w:id="15"/>
      <w:r>
        <w:rPr>
          <w:rFonts w:ascii="Arial" w:hAnsi="Arial"/>
          <w:b/>
          <w:color w:val="000000"/>
          <w:sz w:val="26"/>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information concerning mine safety violations or other regulatory matters required by Section 1503 (a) of the Dodd-Frank Wall Street Reform and Consumer Protection Act and Item 104 of Regulation S-K is included in Exhibit 95 to this Form 10-Q.</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6"/>
        </w:rPr>
      </w:pPr>
      <w:bookmarkStart w:id="16" w:name="item_5_other_information"/>
      <w:bookmarkEnd w:id="16"/>
      <w:r>
        <w:rPr>
          <w:rFonts w:ascii="Arial" w:hAnsi="Arial"/>
          <w:b/>
          <w:color w:val="000000"/>
          <w:sz w:val="26"/>
        </w:rPr>
        <w:t>Item 5. Other Information</w:t>
      </w:r>
    </w:p>
    <w:p>
      <w:pPr>
        <w:pStyle w:val="TextBody"/>
        <w:bidi w:val="0"/>
        <w:spacing w:before="120" w:after="120"/>
        <w:jc w:val="left"/>
        <w:rPr>
          <w:rFonts w:ascii="Times New Roman" w:hAnsi="Times New Roman"/>
          <w:sz w:val="20"/>
        </w:rPr>
      </w:pPr>
      <w:r>
        <w:rPr>
          <w:rFonts w:ascii="Arial" w:hAnsi="Arial"/>
          <w:color w:val="000000"/>
          <w:sz w:val="20"/>
        </w:rPr>
        <w:t>None of the Company's directors or officers adopted, modified, or terminated a Rule 10b5-1 trading arrangement, or a non-Rule 10b5-1 trading arrangement during the Company's fiscal third quarter ended December 31, 2023, except as follows: On December 6, 2023, Michael R. Haack, President and Chief Executive Officer, adopted a Rule 10b5-1 trading arrangement intended to satisfy the affirmative defense of Rule 10b5-1(c) for the sale of up to 10,000 shares of the Company’s common stock and the exercise of up to 21,700 stock options and the sale of the underlying shares, subject to certain conditions. Trades may occur under Mr. Haack’s plan during the period from (a) the later of March 6, 2024, or the third trading day after the filing of the Company’s Form 10-Q for the quarter ended December 31, 2023, through (b) March 5, 2025.</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bookmarkStart w:id="17" w:name="item_6_exhibits"/>
      <w:bookmarkEnd w:id="17"/>
      <w:r>
        <w:rPr>
          <w:rFonts w:ascii="Arial" w:hAnsi="Arial"/>
          <w:b/>
          <w:color w:val="000000"/>
          <w:sz w:val="26"/>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77"/>
        <w:gridCol w:w="146"/>
        <w:gridCol w:w="9282"/>
      </w:tblGrid>
      <w:tr>
        <w:trPr/>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120" w:after="283"/>
              <w:jc w:val="left"/>
              <w:rPr>
                <w:rFonts w:ascii="Arial" w:hAnsi="Arial"/>
                <w:color w:val="000000"/>
                <w:sz w:val="20"/>
              </w:rPr>
            </w:pPr>
            <w:r>
              <w:rPr>
                <w:rFonts w:ascii="Arial" w:hAnsi="Arial"/>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120" w:after="283"/>
              <w:ind w:left="0" w:right="30" w:hanging="0"/>
              <w:jc w:val="left"/>
              <w:rPr/>
            </w:pPr>
            <w:hyperlink w:anchor="exp-ex31_1.htm">
              <w:r>
                <w:rPr>
                  <w:rStyle w:val="InternetLink"/>
                  <w:rFonts w:ascii="Arial" w:hAnsi="Arial"/>
                  <w:color w:val="000000"/>
                  <w:sz w:val="20"/>
                </w:rPr>
                <w:t>Certification of the Chief Executive Officer of Eagle Materials Inc. pursuant to Rules 13a-14 and 15d-14 promulgated under the Securities Exchange Act of 1934, as amended.</w:t>
              </w:r>
            </w:hyperlink>
          </w:p>
        </w:tc>
      </w:tr>
      <w:tr>
        <w:trPr/>
        <w:tc>
          <w:tcPr>
            <w:tcW w:w="777" w:type="dxa"/>
            <w:tcBorders/>
            <w:vAlign w:val="center"/>
          </w:tcPr>
          <w:p>
            <w:pPr>
              <w:pStyle w:val="TableContents"/>
              <w:bidi w:val="0"/>
              <w:spacing w:before="120" w:after="283"/>
              <w:jc w:val="left"/>
              <w:rPr>
                <w:rFonts w:ascii="Arial" w:hAnsi="Arial"/>
                <w:color w:val="000000"/>
                <w:sz w:val="20"/>
              </w:rPr>
            </w:pPr>
            <w:r>
              <w:rPr>
                <w:rFonts w:ascii="Arial" w:hAnsi="Arial"/>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120" w:after="283"/>
              <w:ind w:left="0" w:right="30" w:hanging="0"/>
              <w:jc w:val="left"/>
              <w:rPr/>
            </w:pPr>
            <w:hyperlink w:anchor="exp-ex31_2.htm">
              <w:r>
                <w:rPr>
                  <w:rStyle w:val="InternetLink"/>
                  <w:rFonts w:ascii="Arial" w:hAnsi="Arial"/>
                  <w:color w:val="000000"/>
                  <w:sz w:val="20"/>
                </w:rPr>
                <w:t>Certification of the Chief Financial Officer of Eagle Materials Inc. pursuant to Rules 13a-14 and 15d-14 promulgated under the Securities Exchange Act of 1934, as amended.</w:t>
              </w:r>
            </w:hyperlink>
          </w:p>
        </w:tc>
      </w:tr>
      <w:tr>
        <w:trPr/>
        <w:tc>
          <w:tcPr>
            <w:tcW w:w="777" w:type="dxa"/>
            <w:tcBorders/>
            <w:vAlign w:val="center"/>
          </w:tcPr>
          <w:p>
            <w:pPr>
              <w:pStyle w:val="TableContents"/>
              <w:bidi w:val="0"/>
              <w:spacing w:before="120" w:after="283"/>
              <w:jc w:val="left"/>
              <w:rPr>
                <w:rFonts w:ascii="Arial" w:hAnsi="Arial"/>
                <w:color w:val="000000"/>
                <w:sz w:val="20"/>
              </w:rPr>
            </w:pPr>
            <w:r>
              <w:rPr>
                <w:rFonts w:ascii="Arial" w:hAnsi="Arial"/>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120" w:after="283"/>
              <w:ind w:left="0" w:right="30" w:hanging="0"/>
              <w:jc w:val="left"/>
              <w:rPr/>
            </w:pPr>
            <w:hyperlink w:anchor="exp-ex32_1.htm">
              <w:r>
                <w:rPr>
                  <w:rStyle w:val="InternetLink"/>
                  <w:rFonts w:ascii="Arial" w:hAnsi="Arial"/>
                  <w:color w:val="000000"/>
                  <w:sz w:val="20"/>
                </w:rPr>
                <w:t>Certification of the Chief Executive Officer of Eagle Materials Inc. pursuant to 18 U.S.C. Section 1350, as adopted pursuant to Section 906 of the Sarbanes-Oxley Act of 2002.</w:t>
              </w:r>
            </w:hyperlink>
          </w:p>
        </w:tc>
      </w:tr>
      <w:tr>
        <w:trPr/>
        <w:tc>
          <w:tcPr>
            <w:tcW w:w="777" w:type="dxa"/>
            <w:tcBorders/>
            <w:vAlign w:val="center"/>
          </w:tcPr>
          <w:p>
            <w:pPr>
              <w:pStyle w:val="TableContents"/>
              <w:bidi w:val="0"/>
              <w:spacing w:before="120" w:after="283"/>
              <w:jc w:val="left"/>
              <w:rPr>
                <w:rFonts w:ascii="Arial" w:hAnsi="Arial"/>
                <w:color w:val="000000"/>
                <w:sz w:val="20"/>
              </w:rPr>
            </w:pPr>
            <w:r>
              <w:rPr>
                <w:rFonts w:ascii="Arial" w:hAnsi="Arial"/>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120" w:after="283"/>
              <w:ind w:left="0" w:right="30" w:hanging="0"/>
              <w:jc w:val="left"/>
              <w:rPr/>
            </w:pPr>
            <w:hyperlink w:anchor="exp-ex32_2.htm">
              <w:r>
                <w:rPr>
                  <w:rStyle w:val="InternetLink"/>
                  <w:rFonts w:ascii="Arial" w:hAnsi="Arial"/>
                  <w:color w:val="000000"/>
                  <w:sz w:val="20"/>
                </w:rPr>
                <w:t>Certification of the Chief Financial Officer of Eagle Materials Inc. pursuant to 18 U.S.C. Section 1350, as adopted pursuant to Section 906 of the Sarbanes-Oxley Act of 2002.</w:t>
              </w:r>
            </w:hyperlink>
          </w:p>
        </w:tc>
      </w:tr>
      <w:tr>
        <w:trPr/>
        <w:tc>
          <w:tcPr>
            <w:tcW w:w="777" w:type="dxa"/>
            <w:tcBorders/>
            <w:vAlign w:val="center"/>
          </w:tcPr>
          <w:p>
            <w:pPr>
              <w:pStyle w:val="TableContents"/>
              <w:bidi w:val="0"/>
              <w:spacing w:before="120" w:after="283"/>
              <w:jc w:val="left"/>
              <w:rPr>
                <w:rFonts w:ascii="Arial" w:hAnsi="Arial"/>
                <w:color w:val="000000"/>
                <w:sz w:val="20"/>
              </w:rPr>
            </w:pPr>
            <w:r>
              <w:rPr>
                <w:rFonts w:ascii="Arial" w:hAnsi="Arial"/>
                <w:color w:val="000000"/>
                <w:sz w:val="20"/>
              </w:rPr>
              <w:t>95*</w:t>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120" w:after="283"/>
              <w:ind w:left="0" w:right="30" w:hanging="0"/>
              <w:jc w:val="left"/>
              <w:rPr/>
            </w:pPr>
            <w:hyperlink w:anchor="exp-ex95.htm">
              <w:r>
                <w:rPr>
                  <w:rStyle w:val="InternetLink"/>
                  <w:rFonts w:ascii="Arial" w:hAnsi="Arial"/>
                  <w:color w:val="000000"/>
                  <w:sz w:val="20"/>
                </w:rPr>
                <w:t>Mine Safety Disclosure.</w:t>
              </w:r>
            </w:hyperlink>
          </w:p>
        </w:tc>
      </w:tr>
      <w:tr>
        <w:trPr/>
        <w:tc>
          <w:tcPr>
            <w:tcW w:w="777" w:type="dxa"/>
            <w:tcBorders/>
            <w:vAlign w:val="center"/>
          </w:tcPr>
          <w:p>
            <w:pPr>
              <w:pStyle w:val="TableContents"/>
              <w:bidi w:val="0"/>
              <w:spacing w:before="120" w:after="283"/>
              <w:jc w:val="left"/>
              <w:rPr>
                <w:rFonts w:ascii="Arial" w:hAnsi="Arial"/>
                <w:color w:val="000000"/>
                <w:sz w:val="20"/>
              </w:rPr>
            </w:pPr>
            <w:r>
              <w:rPr>
                <w:rFonts w:ascii="Arial" w:hAnsi="Arial"/>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120" w:after="283"/>
              <w:ind w:left="0" w:right="30" w:hanging="0"/>
              <w:jc w:val="left"/>
              <w:rPr>
                <w:rFonts w:ascii="Arial" w:hAnsi="Arial"/>
                <w:color w:val="000000"/>
                <w:sz w:val="20"/>
              </w:rPr>
            </w:pPr>
            <w:r>
              <w:rPr>
                <w:rFonts w:ascii="Arial" w:hAnsi="Arial"/>
                <w:color w:val="000000"/>
                <w:sz w:val="20"/>
              </w:rPr>
              <w:t>Inline XBRL Instance Document – The instance document does not appear in the Interactive Data File because its XBRL tags are embedded within the Inline XBRL document.</w:t>
            </w:r>
          </w:p>
        </w:tc>
      </w:tr>
      <w:tr>
        <w:trPr/>
        <w:tc>
          <w:tcPr>
            <w:tcW w:w="777" w:type="dxa"/>
            <w:tcBorders/>
            <w:vAlign w:val="center"/>
          </w:tcPr>
          <w:p>
            <w:pPr>
              <w:pStyle w:val="TableContents"/>
              <w:bidi w:val="0"/>
              <w:spacing w:before="120" w:after="283"/>
              <w:jc w:val="left"/>
              <w:rPr>
                <w:rFonts w:ascii="Arial" w:hAnsi="Arial"/>
                <w:color w:val="000000"/>
                <w:sz w:val="20"/>
              </w:rPr>
            </w:pPr>
            <w:r>
              <w:rPr>
                <w:rFonts w:ascii="Arial" w:hAnsi="Arial"/>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120" w:after="283"/>
              <w:ind w:left="0" w:right="30" w:hanging="0"/>
              <w:jc w:val="left"/>
              <w:rPr>
                <w:rFonts w:ascii="Arial" w:hAnsi="Arial"/>
                <w:color w:val="000000"/>
                <w:sz w:val="20"/>
              </w:rPr>
            </w:pPr>
            <w:r>
              <w:rPr>
                <w:rFonts w:ascii="Arial" w:hAnsi="Arial"/>
                <w:color w:val="000000"/>
                <w:sz w:val="20"/>
              </w:rPr>
              <w:t>Inline XBRL Taxonomy Extension Schema Document.</w:t>
            </w:r>
          </w:p>
        </w:tc>
      </w:tr>
      <w:tr>
        <w:trPr/>
        <w:tc>
          <w:tcPr>
            <w:tcW w:w="777" w:type="dxa"/>
            <w:tcBorders/>
            <w:vAlign w:val="center"/>
          </w:tcPr>
          <w:p>
            <w:pPr>
              <w:pStyle w:val="TableContents"/>
              <w:bidi w:val="0"/>
              <w:spacing w:before="120" w:after="283"/>
              <w:jc w:val="left"/>
              <w:rPr>
                <w:rFonts w:ascii="Arial" w:hAnsi="Arial"/>
                <w:color w:val="000000"/>
                <w:sz w:val="20"/>
              </w:rPr>
            </w:pPr>
            <w:r>
              <w:rPr>
                <w:rFonts w:ascii="Arial" w:hAnsi="Arial"/>
                <w:color w:val="000000"/>
                <w:sz w:val="20"/>
              </w:rPr>
              <w:t>101.CAL*</w:t>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120" w:after="283"/>
              <w:ind w:left="0" w:right="30" w:hanging="0"/>
              <w:jc w:val="left"/>
              <w:rPr>
                <w:rFonts w:ascii="Arial" w:hAnsi="Arial"/>
                <w:color w:val="000000"/>
                <w:sz w:val="20"/>
              </w:rPr>
            </w:pPr>
            <w:r>
              <w:rPr>
                <w:rFonts w:ascii="Arial" w:hAnsi="Arial"/>
                <w:color w:val="000000"/>
                <w:sz w:val="20"/>
              </w:rPr>
              <w:t>Inline XBRL Taxonomy Extension Calculation Linkbase Document.</w:t>
            </w:r>
          </w:p>
        </w:tc>
      </w:tr>
      <w:tr>
        <w:trPr/>
        <w:tc>
          <w:tcPr>
            <w:tcW w:w="777" w:type="dxa"/>
            <w:tcBorders/>
            <w:vAlign w:val="center"/>
          </w:tcPr>
          <w:p>
            <w:pPr>
              <w:pStyle w:val="TableContents"/>
              <w:bidi w:val="0"/>
              <w:spacing w:before="120" w:after="283"/>
              <w:jc w:val="left"/>
              <w:rPr>
                <w:rFonts w:ascii="Arial" w:hAnsi="Arial"/>
                <w:color w:val="000000"/>
                <w:sz w:val="20"/>
              </w:rPr>
            </w:pPr>
            <w:r>
              <w:rPr>
                <w:rFonts w:ascii="Arial" w:hAnsi="Arial"/>
                <w:color w:val="000000"/>
                <w:sz w:val="20"/>
              </w:rPr>
              <w:t>101.DEF*</w:t>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120" w:after="283"/>
              <w:ind w:left="0" w:right="30" w:hanging="0"/>
              <w:jc w:val="left"/>
              <w:rPr>
                <w:rFonts w:ascii="Arial" w:hAnsi="Arial"/>
                <w:color w:val="000000"/>
                <w:sz w:val="20"/>
              </w:rPr>
            </w:pPr>
            <w:r>
              <w:rPr>
                <w:rFonts w:ascii="Arial" w:hAnsi="Arial"/>
                <w:color w:val="000000"/>
                <w:sz w:val="20"/>
              </w:rPr>
              <w:t>Inline XBRL Taxonomy Extension Definition Linkbase Document.</w:t>
            </w:r>
          </w:p>
        </w:tc>
      </w:tr>
      <w:tr>
        <w:trPr/>
        <w:tc>
          <w:tcPr>
            <w:tcW w:w="777" w:type="dxa"/>
            <w:tcBorders/>
            <w:vAlign w:val="center"/>
          </w:tcPr>
          <w:p>
            <w:pPr>
              <w:pStyle w:val="TableContents"/>
              <w:bidi w:val="0"/>
              <w:spacing w:before="120" w:after="283"/>
              <w:jc w:val="left"/>
              <w:rPr>
                <w:rFonts w:ascii="Arial" w:hAnsi="Arial"/>
                <w:color w:val="000000"/>
                <w:sz w:val="20"/>
              </w:rPr>
            </w:pPr>
            <w:r>
              <w:rPr>
                <w:rFonts w:ascii="Arial" w:hAnsi="Arial"/>
                <w:color w:val="000000"/>
                <w:sz w:val="20"/>
              </w:rPr>
              <w:t>101.LAB*</w:t>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120" w:after="283"/>
              <w:ind w:left="0" w:right="30" w:hanging="0"/>
              <w:jc w:val="left"/>
              <w:rPr>
                <w:rFonts w:ascii="Arial" w:hAnsi="Arial"/>
                <w:color w:val="000000"/>
                <w:sz w:val="20"/>
              </w:rPr>
            </w:pPr>
            <w:r>
              <w:rPr>
                <w:rFonts w:ascii="Arial" w:hAnsi="Arial"/>
                <w:color w:val="000000"/>
                <w:sz w:val="20"/>
              </w:rPr>
              <w:t>Inline XBRL Taxonomy Extension Label Linkbase Document.</w:t>
            </w:r>
          </w:p>
        </w:tc>
      </w:tr>
      <w:tr>
        <w:trPr/>
        <w:tc>
          <w:tcPr>
            <w:tcW w:w="777" w:type="dxa"/>
            <w:tcBorders/>
            <w:vAlign w:val="center"/>
          </w:tcPr>
          <w:p>
            <w:pPr>
              <w:pStyle w:val="TableContents"/>
              <w:bidi w:val="0"/>
              <w:spacing w:before="120" w:after="283"/>
              <w:jc w:val="left"/>
              <w:rPr>
                <w:rFonts w:ascii="Arial" w:hAnsi="Arial"/>
                <w:color w:val="000000"/>
                <w:sz w:val="20"/>
              </w:rPr>
            </w:pPr>
            <w:r>
              <w:rPr>
                <w:rFonts w:ascii="Arial" w:hAnsi="Arial"/>
                <w:color w:val="000000"/>
                <w:sz w:val="20"/>
              </w:rPr>
              <w:t>101.PRE*</w:t>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120" w:after="283"/>
              <w:ind w:left="0" w:right="30" w:hanging="0"/>
              <w:jc w:val="left"/>
              <w:rPr>
                <w:rFonts w:ascii="Arial" w:hAnsi="Arial"/>
                <w:color w:val="000000"/>
                <w:sz w:val="20"/>
              </w:rPr>
            </w:pPr>
            <w:r>
              <w:rPr>
                <w:rFonts w:ascii="Arial" w:hAnsi="Arial"/>
                <w:color w:val="000000"/>
                <w:sz w:val="20"/>
              </w:rPr>
              <w:t>Inline XBRL Taxonomy Extension Presentation Linkbase Document.</w:t>
            </w:r>
          </w:p>
        </w:tc>
      </w:tr>
      <w:tr>
        <w:trPr/>
        <w:tc>
          <w:tcPr>
            <w:tcW w:w="777" w:type="dxa"/>
            <w:tcBorders/>
            <w:vAlign w:val="center"/>
          </w:tcPr>
          <w:p>
            <w:pPr>
              <w:pStyle w:val="TableContents"/>
              <w:bidi w:val="0"/>
              <w:spacing w:before="120" w:after="283"/>
              <w:jc w:val="left"/>
              <w:rPr>
                <w:rFonts w:ascii="Arial" w:hAnsi="Arial"/>
                <w:color w:val="000000"/>
                <w:sz w:val="20"/>
              </w:rPr>
            </w:pPr>
            <w:r>
              <w:rPr>
                <w:rFonts w:ascii="Arial" w:hAnsi="Arial"/>
                <w:color w:val="000000"/>
                <w:sz w:val="20"/>
              </w:rPr>
              <w:t>104</w:t>
            </w:r>
          </w:p>
        </w:tc>
        <w:tc>
          <w:tcPr>
            <w:tcW w:w="146" w:type="dxa"/>
            <w:tcBorders/>
            <w:vAlign w:val="center"/>
          </w:tcPr>
          <w:p>
            <w:pPr>
              <w:pStyle w:val="TableContents"/>
              <w:bidi w:val="0"/>
              <w:spacing w:before="120" w:after="283"/>
              <w:jc w:val="left"/>
              <w:rPr/>
            </w:pPr>
            <w:r>
              <w:rPr/>
              <w:t> </w:t>
            </w:r>
          </w:p>
        </w:tc>
        <w:tc>
          <w:tcPr>
            <w:tcW w:w="9282" w:type="dxa"/>
            <w:tcBorders/>
            <w:vAlign w:val="center"/>
          </w:tcPr>
          <w:p>
            <w:pPr>
              <w:pStyle w:val="TableContents"/>
              <w:bidi w:val="0"/>
              <w:spacing w:before="120" w:after="283"/>
              <w:ind w:left="0" w:right="30" w:hanging="0"/>
              <w:jc w:val="left"/>
              <w:rPr>
                <w:rFonts w:ascii="Arial" w:hAnsi="Arial"/>
                <w:color w:val="000000"/>
                <w:sz w:val="20"/>
              </w:rPr>
            </w:pPr>
            <w:r>
              <w:rPr>
                <w:rFonts w:ascii="Arial" w:hAnsi="Arial"/>
                <w:color w:val="000000"/>
                <w:sz w:val="20"/>
              </w:rPr>
              <w:t>Cover Page Interactive Data File – (formatted as Inline XBRL and Contained in Exhibit 101).</w:t>
            </w:r>
          </w:p>
        </w:tc>
      </w:tr>
    </w:tbl>
    <w:p>
      <w:pPr>
        <w:pStyle w:val="TextBody"/>
        <w:bidi w:val="0"/>
        <w:spacing w:before="40" w:after="283"/>
        <w:jc w:val="left"/>
        <w:rPr>
          <w:rFonts w:ascii="Times New Roman" w:hAnsi="Times New Roman"/>
          <w:sz w:val="20"/>
        </w:rPr>
      </w:pPr>
      <w:r>
        <w:rPr>
          <w:rFonts w:ascii="Arial" w:hAnsi="Arial"/>
          <w:color w:val="000000"/>
          <w:sz w:val="20"/>
        </w:rPr>
        <w:t>* Filed herewith.</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signatures"/>
      <w:bookmarkEnd w:id="18"/>
      <w:r>
        <w:rPr>
          <w:rFonts w:ascii="Arial" w:hAnsi="Arial"/>
          <w:b/>
          <w:color w:val="000000"/>
          <w:sz w:val="26"/>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tbl>
      <w:tblPr>
        <w:tblW w:w="5533" w:type="dxa"/>
        <w:jc w:val="left"/>
        <w:tblInd w:w="0" w:type="dxa"/>
        <w:tblLayout w:type="fixed"/>
        <w:tblCellMar>
          <w:top w:w="28" w:type="dxa"/>
          <w:left w:w="28" w:type="dxa"/>
          <w:bottom w:w="28" w:type="dxa"/>
          <w:right w:w="28" w:type="dxa"/>
        </w:tblCellMar>
      </w:tblPr>
      <w:tblGrid>
        <w:gridCol w:w="1621"/>
        <w:gridCol w:w="146"/>
        <w:gridCol w:w="376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EAGLE MATERIALS INC.</w:t>
            </w:r>
          </w:p>
        </w:tc>
      </w:tr>
      <w:tr>
        <w:trPr/>
        <w:tc>
          <w:tcPr>
            <w:tcW w:w="16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Registrant</w:t>
            </w:r>
          </w:p>
        </w:tc>
      </w:tr>
      <w:tr>
        <w:trPr/>
        <w:tc>
          <w:tcPr>
            <w:tcW w:w="1621" w:type="dxa"/>
            <w:tcBorders/>
            <w:vAlign w:val="center"/>
          </w:tcPr>
          <w:p>
            <w:pPr>
              <w:pStyle w:val="TableContents"/>
              <w:bidi w:val="0"/>
              <w:spacing w:before="0" w:after="283"/>
              <w:jc w:val="left"/>
              <w:rPr/>
            </w:pPr>
            <w:r>
              <w:rPr/>
              <w:t> </w:t>
            </w:r>
          </w:p>
        </w:tc>
        <w:tc>
          <w:tcPr>
            <w:tcW w:w="3912" w:type="dxa"/>
            <w:gridSpan w:val="2"/>
            <w:tcBorders/>
            <w:vAlign w:val="center"/>
          </w:tcPr>
          <w:p>
            <w:pPr>
              <w:pStyle w:val="TableContents"/>
              <w:bidi w:val="0"/>
              <w:spacing w:before="0" w:after="283"/>
              <w:jc w:val="left"/>
              <w:rPr/>
            </w:pPr>
            <w:r>
              <w:rPr/>
              <w:t> </w:t>
            </w:r>
          </w:p>
        </w:tc>
      </w:tr>
      <w:tr>
        <w:trPr/>
        <w:tc>
          <w:tcPr>
            <w:tcW w:w="162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January 25, 2024</w:t>
            </w:r>
          </w:p>
        </w:tc>
        <w:tc>
          <w:tcPr>
            <w:tcW w:w="146" w:type="dxa"/>
            <w:tcBorders/>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R. HAACK</w:t>
            </w:r>
          </w:p>
        </w:tc>
      </w:tr>
      <w:tr>
        <w:trPr/>
        <w:tc>
          <w:tcPr>
            <w:tcW w:w="16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jc w:val="center"/>
              <w:rPr>
                <w:rFonts w:ascii="Arial" w:hAnsi="Arial"/>
                <w:color w:val="000000"/>
                <w:sz w:val="20"/>
              </w:rPr>
            </w:pPr>
            <w:r>
              <w:rPr>
                <w:rFonts w:ascii="Arial" w:hAnsi="Arial"/>
                <w:color w:val="000000"/>
                <w:sz w:val="20"/>
              </w:rPr>
              <w:t>Michael R. Haack</w:t>
            </w:r>
          </w:p>
          <w:p>
            <w:pPr>
              <w:pStyle w:val="TableContents"/>
              <w:bidi w:val="0"/>
              <w:jc w:val="center"/>
              <w:rPr>
                <w:rFonts w:ascii="Arial" w:hAnsi="Arial"/>
                <w:color w:val="000000"/>
                <w:sz w:val="20"/>
              </w:rPr>
            </w:pPr>
            <w:r>
              <w:rPr>
                <w:rFonts w:ascii="Arial" w:hAnsi="Arial"/>
                <w:color w:val="000000"/>
                <w:sz w:val="20"/>
              </w:rPr>
              <w:t>President and Chief Executive Officer</w:t>
            </w:r>
          </w:p>
          <w:p>
            <w:pPr>
              <w:pStyle w:val="TableContents"/>
              <w:bidi w:val="0"/>
              <w:spacing w:before="0" w:after="20"/>
              <w:jc w:val="center"/>
              <w:rPr>
                <w:rFonts w:ascii="Arial" w:hAnsi="Arial"/>
                <w:color w:val="000000"/>
                <w:sz w:val="20"/>
              </w:rPr>
            </w:pPr>
            <w:r>
              <w:rPr>
                <w:rFonts w:ascii="Arial" w:hAnsi="Arial"/>
                <w:color w:val="000000"/>
                <w:sz w:val="20"/>
              </w:rPr>
              <w:t>(principal executive officer)</w:t>
            </w:r>
          </w:p>
        </w:tc>
      </w:tr>
      <w:tr>
        <w:trPr/>
        <w:tc>
          <w:tcPr>
            <w:tcW w:w="1621" w:type="dxa"/>
            <w:tcBorders/>
            <w:vAlign w:val="center"/>
          </w:tcPr>
          <w:p>
            <w:pPr>
              <w:pStyle w:val="TableContents"/>
              <w:bidi w:val="0"/>
              <w:spacing w:before="0" w:after="283"/>
              <w:jc w:val="left"/>
              <w:rPr/>
            </w:pPr>
            <w:r>
              <w:rPr/>
              <w:t> </w:t>
            </w:r>
          </w:p>
        </w:tc>
        <w:tc>
          <w:tcPr>
            <w:tcW w:w="3912" w:type="dxa"/>
            <w:gridSpan w:val="2"/>
            <w:tcBorders/>
            <w:vAlign w:val="center"/>
          </w:tcPr>
          <w:p>
            <w:pPr>
              <w:pStyle w:val="TableContents"/>
              <w:bidi w:val="0"/>
              <w:spacing w:before="0" w:after="283"/>
              <w:jc w:val="left"/>
              <w:rPr/>
            </w:pPr>
            <w:r>
              <w:rPr/>
              <w:t> </w:t>
            </w:r>
          </w:p>
        </w:tc>
      </w:tr>
      <w:tr>
        <w:trPr/>
        <w:tc>
          <w:tcPr>
            <w:tcW w:w="162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January 25, 2024</w:t>
            </w:r>
          </w:p>
        </w:tc>
        <w:tc>
          <w:tcPr>
            <w:tcW w:w="146" w:type="dxa"/>
            <w:tcBorders/>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D. CRAIG KESLER</w:t>
            </w:r>
          </w:p>
        </w:tc>
      </w:tr>
      <w:tr>
        <w:trPr/>
        <w:tc>
          <w:tcPr>
            <w:tcW w:w="16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jc w:val="center"/>
              <w:rPr>
                <w:rFonts w:ascii="Arial" w:hAnsi="Arial"/>
                <w:color w:val="000000"/>
                <w:sz w:val="20"/>
              </w:rPr>
            </w:pPr>
            <w:r>
              <w:rPr>
                <w:rFonts w:ascii="Arial" w:hAnsi="Arial"/>
                <w:color w:val="000000"/>
                <w:sz w:val="20"/>
              </w:rPr>
              <w:t>D. Craig Kesler</w:t>
            </w:r>
          </w:p>
          <w:p>
            <w:pPr>
              <w:pStyle w:val="TableContents"/>
              <w:bidi w:val="0"/>
              <w:jc w:val="center"/>
              <w:rPr>
                <w:rFonts w:ascii="Arial" w:hAnsi="Arial"/>
                <w:color w:val="000000"/>
                <w:sz w:val="20"/>
              </w:rPr>
            </w:pPr>
            <w:r>
              <w:rPr>
                <w:rFonts w:ascii="Arial" w:hAnsi="Arial"/>
                <w:color w:val="000000"/>
                <w:sz w:val="20"/>
              </w:rPr>
              <w:t>Executive Vice President – Finance and</w:t>
            </w:r>
          </w:p>
          <w:p>
            <w:pPr>
              <w:pStyle w:val="TableContents"/>
              <w:bidi w:val="0"/>
              <w:jc w:val="center"/>
              <w:rPr>
                <w:rFonts w:ascii="Arial" w:hAnsi="Arial"/>
                <w:color w:val="000000"/>
                <w:sz w:val="20"/>
              </w:rPr>
            </w:pPr>
            <w:r>
              <w:rPr>
                <w:rFonts w:ascii="Arial" w:hAnsi="Arial"/>
                <w:color w:val="000000"/>
                <w:sz w:val="20"/>
              </w:rPr>
              <w:t>Administration and Chief Financial Officer</w:t>
            </w:r>
          </w:p>
          <w:p>
            <w:pPr>
              <w:pStyle w:val="TableContents"/>
              <w:bidi w:val="0"/>
              <w:spacing w:before="0" w:after="20"/>
              <w:jc w:val="center"/>
              <w:rPr>
                <w:rFonts w:ascii="Arial" w:hAnsi="Arial"/>
                <w:color w:val="000000"/>
                <w:sz w:val="20"/>
              </w:rPr>
            </w:pPr>
            <w:r>
              <w:rPr>
                <w:rFonts w:ascii="Arial" w:hAnsi="Arial"/>
                <w:color w:val="000000"/>
                <w:sz w:val="20"/>
              </w:rPr>
              <w:t>(principal financial officer)</w:t>
            </w:r>
          </w:p>
        </w:tc>
      </w:tr>
    </w:tbl>
    <w:tbl>
      <w:tblPr>
        <w:tblW w:w="5196" w:type="dxa"/>
        <w:jc w:val="left"/>
        <w:tblInd w:w="0" w:type="dxa"/>
        <w:tblLayout w:type="fixed"/>
        <w:tblCellMar>
          <w:top w:w="28" w:type="dxa"/>
          <w:left w:w="28" w:type="dxa"/>
          <w:bottom w:w="28" w:type="dxa"/>
          <w:right w:w="28" w:type="dxa"/>
        </w:tblCellMar>
      </w:tblPr>
      <w:tblGrid>
        <w:gridCol w:w="1621"/>
        <w:gridCol w:w="109"/>
        <w:gridCol w:w="3466"/>
      </w:tblGrid>
      <w:tr>
        <w:trPr/>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January 25,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WILLIAM R. DEVLIN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William R. Devlin</w:t>
            </w:r>
          </w:p>
          <w:p>
            <w:pPr>
              <w:pStyle w:val="TableContents"/>
              <w:bidi w:val="0"/>
              <w:jc w:val="center"/>
              <w:rPr>
                <w:rFonts w:ascii="Arial" w:hAnsi="Arial"/>
                <w:color w:val="000000"/>
                <w:sz w:val="20"/>
              </w:rPr>
            </w:pPr>
            <w:r>
              <w:rPr>
                <w:rFonts w:ascii="Arial" w:hAnsi="Arial"/>
                <w:color w:val="000000"/>
                <w:sz w:val="20"/>
              </w:rPr>
              <w:t>Senior Vice President – Controller and</w:t>
            </w:r>
          </w:p>
          <w:p>
            <w:pPr>
              <w:pStyle w:val="TableContents"/>
              <w:bidi w:val="0"/>
              <w:jc w:val="center"/>
              <w:rPr>
                <w:rFonts w:ascii="Arial" w:hAnsi="Arial"/>
                <w:color w:val="000000"/>
                <w:sz w:val="20"/>
              </w:rPr>
            </w:pPr>
            <w:r>
              <w:rPr>
                <w:rFonts w:ascii="Arial" w:hAnsi="Arial"/>
                <w:color w:val="000000"/>
                <w:sz w:val="20"/>
              </w:rPr>
              <w:t>Chief Accounting Officer</w:t>
            </w:r>
          </w:p>
          <w:p>
            <w:pPr>
              <w:pStyle w:val="TableContents"/>
              <w:bidi w:val="0"/>
              <w:spacing w:before="0" w:after="20"/>
              <w:jc w:val="center"/>
              <w:rPr>
                <w:rFonts w:ascii="Arial" w:hAnsi="Arial"/>
                <w:color w:val="000000"/>
                <w:sz w:val="20"/>
              </w:rPr>
            </w:pPr>
            <w:r>
              <w:rPr>
                <w:rFonts w:ascii="Arial" w:hAnsi="Arial"/>
                <w:color w:val="000000"/>
                <w:sz w:val="20"/>
              </w:rPr>
              <w:t>(principal accounting officer)</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exp-ex31_1.htm"/>
      <w:bookmarkStart w:id="20" w:name="ksexpex31_1"/>
      <w:bookmarkEnd w:id="19"/>
      <w:bookmarkEnd w:id="2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Periodic Report Pursuant to Section 302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Michael R. Haack,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I have reviewed this report on Form 10-Q of Eagle Materials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January 25, 2024</w:t>
      </w:r>
    </w:p>
    <w:p>
      <w:pPr>
        <w:pStyle w:val="TextBody"/>
        <w:bidi w:val="0"/>
        <w:jc w:val="left"/>
        <w:rPr/>
      </w:pPr>
      <w:r>
        <w:rPr/>
        <w:t> </w:t>
      </w:r>
    </w:p>
    <w:tbl>
      <w:tblPr>
        <w:tblW w:w="3681" w:type="dxa"/>
        <w:jc w:val="left"/>
        <w:tblInd w:w="0" w:type="dxa"/>
        <w:tblLayout w:type="fixed"/>
        <w:tblCellMar>
          <w:top w:w="28" w:type="dxa"/>
          <w:left w:w="28" w:type="dxa"/>
          <w:bottom w:w="28" w:type="dxa"/>
          <w:right w:w="28" w:type="dxa"/>
        </w:tblCellMar>
      </w:tblPr>
      <w:tblGrid>
        <w:gridCol w:w="361"/>
        <w:gridCol w:w="109"/>
        <w:gridCol w:w="3211"/>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R. Haack</w:t>
            </w:r>
          </w:p>
        </w:tc>
      </w:tr>
      <w:tr>
        <w:trPr/>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Michael R. Haack</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exp-ex31_2.htm"/>
      <w:bookmarkStart w:id="22" w:name="ksexpex31_2"/>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Periodic Report Pursuant to Section 302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D. Craig Kesler,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I have reviewed this report on Form 10-Q of Eagle Materials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January 25, 2024</w:t>
      </w:r>
    </w:p>
    <w:tbl>
      <w:tblPr>
        <w:tblW w:w="2886" w:type="dxa"/>
        <w:jc w:val="left"/>
        <w:tblInd w:w="0" w:type="dxa"/>
        <w:tblLayout w:type="fixed"/>
        <w:tblCellMar>
          <w:top w:w="28" w:type="dxa"/>
          <w:left w:w="28" w:type="dxa"/>
          <w:bottom w:w="28" w:type="dxa"/>
          <w:right w:w="28" w:type="dxa"/>
        </w:tblCellMar>
      </w:tblPr>
      <w:tblGrid>
        <w:gridCol w:w="361"/>
        <w:gridCol w:w="109"/>
        <w:gridCol w:w="2416"/>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 Craig Kesler</w:t>
            </w:r>
          </w:p>
        </w:tc>
      </w:tr>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D. Craig Kesler</w:t>
            </w:r>
          </w:p>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exp-ex32_1.htm"/>
      <w:bookmarkStart w:id="24" w:name="ksexpex32_1"/>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Periodic Report Pursuant to Section 906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Quarterly Report of Eagle Materials Inc. and subsidiaries (the “Company”) on Form 10-Q for the period ended December 31, 2023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January 25, 2024</w:t>
      </w:r>
    </w:p>
    <w:tbl>
      <w:tblPr>
        <w:tblW w:w="3681" w:type="dxa"/>
        <w:jc w:val="left"/>
        <w:tblInd w:w="0" w:type="dxa"/>
        <w:tblLayout w:type="fixed"/>
        <w:tblCellMar>
          <w:top w:w="28" w:type="dxa"/>
          <w:left w:w="28" w:type="dxa"/>
          <w:bottom w:w="28" w:type="dxa"/>
          <w:right w:w="28" w:type="dxa"/>
        </w:tblCellMar>
      </w:tblPr>
      <w:tblGrid>
        <w:gridCol w:w="361"/>
        <w:gridCol w:w="109"/>
        <w:gridCol w:w="3211"/>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R. Haack</w:t>
            </w:r>
          </w:p>
        </w:tc>
      </w:tr>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Michael R. Haack</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exp-ex32_2.htm"/>
      <w:bookmarkStart w:id="26" w:name="ksexpex32_2"/>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Periodic Report Pursuant to Section 906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Quarterly Report of Eagle Materials Inc. and subsidiaries (the “Company”) on Form 10-Q for the period ended December 31, 2023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January 25, 2024</w:t>
      </w:r>
    </w:p>
    <w:tbl>
      <w:tblPr>
        <w:tblW w:w="2886" w:type="dxa"/>
        <w:jc w:val="left"/>
        <w:tblInd w:w="0" w:type="dxa"/>
        <w:tblLayout w:type="fixed"/>
        <w:tblCellMar>
          <w:top w:w="28" w:type="dxa"/>
          <w:left w:w="28" w:type="dxa"/>
          <w:bottom w:w="28" w:type="dxa"/>
          <w:right w:w="28" w:type="dxa"/>
        </w:tblCellMar>
      </w:tblPr>
      <w:tblGrid>
        <w:gridCol w:w="361"/>
        <w:gridCol w:w="109"/>
        <w:gridCol w:w="2416"/>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 Craig Kesler</w:t>
            </w:r>
          </w:p>
        </w:tc>
      </w:tr>
      <w:tr>
        <w:trPr/>
        <w:tc>
          <w:tcPr>
            <w:tcW w:w="36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D. Craig Kesler</w:t>
            </w:r>
          </w:p>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hyperlink w:anchor="exp-ex95.htm">
        <w:bookmarkStart w:id="27" w:name="exp-ex95.htm"/>
        <w:bookmarkStart w:id="28" w:name="ksexpex95"/>
        <w:bookmarkEnd w:id="27"/>
        <w:bookmarkEnd w:id="28"/>
        <w:r>
          <w:rPr>
            <w:rStyle w:val="InternetLink"/>
            <w:rFonts w:ascii="Times New Roman" w:hAnsi="Times New Roman"/>
            <w:b/>
            <w:i/>
            <w:color w:val="0000FF"/>
            <w:sz w:val="20"/>
            <w:u w:val="single"/>
            <w:bdr w:val="single" w:sz="4" w:space="1" w:color="000000"/>
          </w:rPr>
          <w:t>EX-95</w:t>
        </w:r>
      </w:hyperlink>
      <w:r>
        <w:rPr>
          <w:rFonts w:ascii="Times New Roman" w:hAnsi="Times New Roman"/>
          <w:b/>
          <w:i/>
          <w:color w:val="000000"/>
          <w:sz w:val="20"/>
          <w:bdr w:val="single" w:sz="4" w:space="1" w:color="000000"/>
        </w:rPr>
        <w:t>Exhibit 95</w:t>
      </w:r>
      <w:r>
        <w:rPr>
          <w:rFonts w:ascii="Times New Roman" w:hAnsi="Times New Roman"/>
          <w:color w:val="000000"/>
          <w:sz w:val="20"/>
          <w:bdr w:val="single" w:sz="4" w:space="1" w:color="000000"/>
        </w:rPr>
        <w:t xml:space="preserve"> </w:t>
      </w:r>
      <w:r>
        <w:br w:type="page"/>
      </w:r>
    </w:p>
    <w:p>
      <w:pPr>
        <w:pStyle w:val="TextBody"/>
        <w:bidi w:val="0"/>
        <w:jc w:val="center"/>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MINE SAFETY DISCLOSURE</w:t>
      </w:r>
    </w:p>
    <w:p>
      <w:pPr>
        <w:pStyle w:val="TextBody"/>
        <w:bidi w:val="0"/>
        <w:jc w:val="right"/>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00"/>
              <w:jc w:val="left"/>
              <w:rPr>
                <w:rFonts w:ascii="Times New Roman" w:hAnsi="Times New Roman"/>
                <w:color w:val="000000"/>
                <w:sz w:val="18"/>
              </w:rPr>
            </w:pPr>
            <w:r>
              <w:rPr>
                <w:rFonts w:ascii="Times New Roman" w:hAnsi="Times New Roman"/>
                <w:color w:val="000000"/>
                <w:sz w:val="18"/>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three-month period ended December 31, 2023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tc>
      </w:tr>
    </w:tbl>
    <w:p>
      <w:pPr>
        <w:pStyle w:val="TextBody"/>
        <w:bidi w:val="0"/>
        <w:spacing w:before="0" w:after="200"/>
        <w:jc w:val="left"/>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1149"/>
        <w:gridCol w:w="731"/>
        <w:gridCol w:w="637"/>
        <w:gridCol w:w="657"/>
        <w:gridCol w:w="647"/>
        <w:gridCol w:w="637"/>
        <w:gridCol w:w="1003"/>
        <w:gridCol w:w="755"/>
        <w:gridCol w:w="887"/>
        <w:gridCol w:w="820"/>
        <w:gridCol w:w="733"/>
        <w:gridCol w:w="719"/>
        <w:gridCol w:w="830"/>
      </w:tblGrid>
      <w:tr>
        <w:trPr/>
        <w:tc>
          <w:tcPr>
            <w:tcW w:w="11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14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Mine or Operating Name/MSHA </w:t>
              <w:br/>
              <w:t>Identification Number</w:t>
            </w:r>
          </w:p>
        </w:tc>
        <w:tc>
          <w:tcPr>
            <w:tcW w:w="7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104 S&amp;S Citations</w:t>
            </w:r>
          </w:p>
        </w:tc>
        <w:tc>
          <w:tcPr>
            <w:tcW w:w="63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104(b) Orders</w:t>
            </w:r>
          </w:p>
        </w:tc>
        <w:tc>
          <w:tcPr>
            <w:tcW w:w="65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104(d) Citations and Orders</w:t>
            </w:r>
          </w:p>
        </w:tc>
        <w:tc>
          <w:tcPr>
            <w:tcW w:w="64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110(b)(2) Violations</w:t>
            </w:r>
          </w:p>
        </w:tc>
        <w:tc>
          <w:tcPr>
            <w:tcW w:w="63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107(a) Orders</w:t>
            </w:r>
          </w:p>
        </w:tc>
        <w:tc>
          <w:tcPr>
            <w:tcW w:w="100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Dollar Value of MSHA Assessments Proposed</w:t>
            </w:r>
          </w:p>
        </w:tc>
        <w:tc>
          <w:tcPr>
            <w:tcW w:w="75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Number of Mining Related Fatalities</w:t>
            </w:r>
          </w:p>
        </w:tc>
        <w:tc>
          <w:tcPr>
            <w:tcW w:w="88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Received Notice of Pattern of Violations Under Section 104(e)</w:t>
              <w:br/>
              <w:t xml:space="preserve">(yes/no) </w:t>
            </w:r>
          </w:p>
        </w:tc>
        <w:tc>
          <w:tcPr>
            <w:tcW w:w="82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Received Notice of Potential to Have Pattern Under Section 104(e)</w:t>
              <w:br/>
              <w:t>(yes/no)</w:t>
            </w:r>
          </w:p>
        </w:tc>
        <w:tc>
          <w:tcPr>
            <w:tcW w:w="73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Legal Actions Pending as of Last Day of Period</w:t>
            </w:r>
          </w:p>
        </w:tc>
        <w:tc>
          <w:tcPr>
            <w:tcW w:w="71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Legal Actions Initiated During Period</w:t>
            </w:r>
          </w:p>
        </w:tc>
        <w:tc>
          <w:tcPr>
            <w:tcW w:w="83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Legal Actions Resolved During Period</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3D Concrete LLC</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Lander, NV (2602434)</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3D Concrete LLC</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Lyon, Nevada (2602412)</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American Gypsum Company LLC</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Albuquerque, NM (2900181)</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American Gypsum Company LLC</w:t>
              <w:br/>
              <w:t>Duke, OK (3400256)</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American Gypsum Company LLC</w:t>
              <w:br/>
              <w:t>Eagle, CO (0503997)</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sz w:val="16"/>
              </w:rPr>
            </w:pPr>
            <w:r>
              <w:rPr>
                <w:rFonts w:ascii="Times New Roman" w:hAnsi="Times New Roman"/>
                <w:color w:val="000000"/>
                <w:sz w:val="16"/>
              </w:rPr>
              <w:t>Battletown Quarry</w:t>
            </w:r>
            <w:r>
              <w:rPr>
                <w:rFonts w:ascii="Times New Roman" w:hAnsi="Times New Roman"/>
                <w:color w:val="000000"/>
                <w:sz w:val="11"/>
              </w:rPr>
              <w:t>2</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Battletown, KY (1500040)</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Centex Materials LLC</w:t>
              <w:br/>
              <w:t>Buda, TX (4102241)</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FFFFFF"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Central Plains Cement Company LLC</w:t>
              <w:br/>
              <w:t>Sugar Creek, MO (2302171)</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$34,202</w:t>
            </w:r>
          </w:p>
        </w:tc>
        <w:tc>
          <w:tcPr>
            <w:tcW w:w="755"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w:t>
            </w:r>
            <w:r>
              <w:rPr>
                <w:rFonts w:ascii="Times New Roman" w:hAnsi="Times New Roman"/>
                <w:color w:val="000000"/>
                <w:sz w:val="11"/>
              </w:rPr>
              <w:t>(1)</w:t>
            </w:r>
          </w:p>
        </w:tc>
        <w:tc>
          <w:tcPr>
            <w:tcW w:w="719"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Central Plains Cement Company LLC, Tulsa, OK (3400026)</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$ 9,055</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FFFFFF"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Fairborn Cement Company LLC</w:t>
              <w:br/>
              <w:t>Greene County, OH (3300161)</w:t>
            </w:r>
          </w:p>
        </w:tc>
        <w:tc>
          <w:tcPr>
            <w:tcW w:w="73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Illinois Cement Company LLC</w:t>
              <w:br/>
              <w:t>LaSalle, IL (1100003)</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$35,692</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FFFFFF" w:val="clear"/>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Kosmos Cement Company LLC</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Jefferson, KY (1504469)</w:t>
            </w:r>
          </w:p>
        </w:tc>
        <w:tc>
          <w:tcPr>
            <w:tcW w:w="73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w:t>
            </w:r>
          </w:p>
        </w:tc>
        <w:tc>
          <w:tcPr>
            <w:tcW w:w="63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Mountain Cement Company LLC</w:t>
              <w:br/>
              <w:t>Laramie, WY (4800007)</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FFFFFF"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Nevada Cement Company LLC</w:t>
              <w:br/>
              <w:t>Fernley, NV (2600015)</w:t>
            </w:r>
          </w:p>
        </w:tc>
        <w:tc>
          <w:tcPr>
            <w:tcW w:w="73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Seguin Sand</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Guadalupe, TX (4105665)</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FFFFFF" w:val="clear"/>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Texas Lehigh Cement Company LP</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Buda, TX (4102781)</w:t>
            </w:r>
          </w:p>
        </w:tc>
        <w:tc>
          <w:tcPr>
            <w:tcW w:w="73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$ 0</w:t>
            </w:r>
          </w:p>
        </w:tc>
        <w:tc>
          <w:tcPr>
            <w:tcW w:w="755"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w:t>
            </w:r>
            <w:r>
              <w:rPr>
                <w:rFonts w:ascii="Times New Roman" w:hAnsi="Times New Roman"/>
                <w:color w:val="000000"/>
                <w:sz w:val="11"/>
              </w:rPr>
              <w:t>(1)</w:t>
            </w:r>
          </w:p>
        </w:tc>
        <w:tc>
          <w:tcPr>
            <w:tcW w:w="719"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bl>
    <w:p>
      <w:pPr>
        <w:pStyle w:val="TextBody"/>
        <w:bidi w:val="0"/>
        <w:spacing w:before="0" w:after="0"/>
        <w:ind w:left="720" w:right="0" w:hanging="0"/>
        <w:jc w:val="left"/>
        <w:rPr>
          <w:rFonts w:ascii="Times New Roman" w:hAnsi="Times New Roman"/>
          <w:color w:val="000000"/>
          <w:sz w:val="16"/>
          <w:bdr w:val="single" w:sz="4" w:space="1" w:color="000000"/>
        </w:rPr>
      </w:pPr>
      <w:r>
        <w:rPr>
          <w:rFonts w:ascii="Times New Roman" w:hAnsi="Times New Roman"/>
          <w:color w:val="000000"/>
          <w:sz w:val="16"/>
          <w:bdr w:val="single" w:sz="4" w:space="1" w:color="000000"/>
        </w:rPr>
        <w:t>(1)</w:t>
      </w:r>
    </w:p>
    <w:p>
      <w:pPr>
        <w:pStyle w:val="TextBody"/>
        <w:bidi w:val="0"/>
        <w:spacing w:before="0" w:after="0"/>
        <w:jc w:val="left"/>
        <w:rPr>
          <w:rFonts w:ascii="Times New Roman" w:hAnsi="Times New Roman"/>
          <w:color w:val="000000"/>
          <w:sz w:val="16"/>
          <w:bdr w:val="single" w:sz="4" w:space="1" w:color="000000"/>
        </w:rPr>
      </w:pPr>
      <w:r>
        <w:rPr>
          <w:rFonts w:ascii="Times New Roman" w:hAnsi="Times New Roman"/>
          <w:color w:val="000000"/>
          <w:sz w:val="16"/>
          <w:bdr w:val="single" w:sz="4" w:space="1" w:color="000000"/>
        </w:rPr>
        <w:t xml:space="preserve">All legal actions were penalty contests. </w:t>
      </w:r>
    </w:p>
    <w:p>
      <w:pPr>
        <w:pStyle w:val="TextBody"/>
        <w:bidi w:val="0"/>
        <w:spacing w:before="0" w:after="0"/>
        <w:ind w:left="720" w:right="0" w:hanging="0"/>
        <w:jc w:val="left"/>
        <w:rPr>
          <w:rFonts w:ascii="Times New Roman" w:hAnsi="Times New Roman"/>
          <w:color w:val="000000"/>
          <w:sz w:val="16"/>
          <w:bdr w:val="single" w:sz="4" w:space="1" w:color="000000"/>
        </w:rPr>
      </w:pPr>
      <w:r>
        <w:rPr>
          <w:rFonts w:ascii="Times New Roman" w:hAnsi="Times New Roman"/>
          <w:color w:val="000000"/>
          <w:sz w:val="16"/>
          <w:bdr w:val="single" w:sz="4" w:space="1" w:color="000000"/>
        </w:rPr>
        <w:t>(2)</w:t>
      </w:r>
    </w:p>
    <w:p>
      <w:pPr>
        <w:pStyle w:val="TextBody"/>
        <w:bidi w:val="0"/>
        <w:jc w:val="left"/>
        <w:rPr>
          <w:rFonts w:ascii="Times New Roman" w:hAnsi="Times New Roman"/>
          <w:color w:val="000000"/>
          <w:sz w:val="16"/>
          <w:bdr w:val="single" w:sz="4" w:space="1" w:color="000000"/>
        </w:rPr>
      </w:pPr>
      <w:r>
        <w:rPr>
          <w:rFonts w:ascii="Times New Roman" w:hAnsi="Times New Roman"/>
          <w:color w:val="000000"/>
          <w:sz w:val="16"/>
          <w:bdr w:val="single" w:sz="4" w:space="1" w:color="000000"/>
        </w:rPr>
        <w:t>Battletown Quarry was acquired on 3/31/2023 by Eagle Materials Inc. - Operator is Battletown Materials LLC.</w:t>
      </w:r>
    </w:p>
    <w:p>
      <w:pPr>
        <w:pStyle w:val="TextBody"/>
        <w:bidi w:val="0"/>
        <w:ind w:left="1440" w:right="0" w:hanging="0"/>
        <w:jc w:val="left"/>
        <w:rPr>
          <w:bdr w:val="single" w:sz="4" w:space="1" w:color="000000"/>
        </w:rPr>
      </w:pPr>
      <w:r>
        <w:rPr>
          <w:bdr w:val="single" w:sz="4" w:space="1" w:color="000000"/>
        </w:rPr>
        <w:t> </w:t>
      </w:r>
    </w:p>
    <w:p>
      <w:pPr>
        <w:pStyle w:val="TextBody"/>
        <w:bidi w:val="0"/>
        <w:jc w:val="left"/>
        <w:rPr>
          <w:bdr w:val="single" w:sz="4" w:space="1" w:color="000000"/>
        </w:rPr>
      </w:pPr>
      <w:r>
        <w:rPr>
          <w:bdr w:val="single" w:sz="4" w:space="1" w:color="000000"/>
        </w:rPr>
        <w:t> </w:t>
      </w:r>
    </w:p>
    <w:p>
      <w:pPr>
        <w:pStyle w:val="TextBody"/>
        <w:bidi w:val="0"/>
        <w:jc w:val="center"/>
        <w:rPr>
          <w:bdr w:val="single" w:sz="4" w:space="1" w:color="000000"/>
        </w:rPr>
      </w:pPr>
      <w:r>
        <w:rPr>
          <w:bdr w:val="single" w:sz="4" w:space="1" w:color="000000"/>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18698</Words>
  <Characters>102304</Characters>
  <CharactersWithSpaces>122521</CharactersWithSpaces>
  <Paragraphs>7413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