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-629920</wp:posOffset>
            </wp:positionV>
            <wp:extent cx="58420" cy="64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748665</wp:posOffset>
            </wp:positionV>
            <wp:extent cx="6992620" cy="5543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43550"/>
                    </a:xfrm>
                    <a:prstGeom prst="rect">
                      <a:avLst/>
                    </a:prstGeom>
                    <a:noFill/>
                  </pic:spPr>
                </pic:pic>
              </a:graphicData>
            </a:graphic>
          </wp:anchor>
        </w:drawing>
      </w:r>
    </w:p>
    <w:p>
      <w:pPr>
        <w:spacing w:after="0" w:line="125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Cribbs Eric</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5960 BERKSHIRE LN</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9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EAGLE MATERIALS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6" w:right="620" w:hanging="6"/>
        <w:spacing w:after="0" w:line="260"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6"/>
        <w:spacing w:after="0"/>
        <w:tabs>
          <w:tab w:leader="none" w:pos="208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26"/>
        <w:spacing w:after="0"/>
        <w:tabs>
          <w:tab w:leader="none" w:pos="208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46"/>
        <w:spacing w:after="0"/>
        <w:rPr>
          <w:sz w:val="20"/>
          <w:szCs w:val="20"/>
          <w:color w:val="auto"/>
        </w:rPr>
      </w:pPr>
      <w:r>
        <w:rPr>
          <w:rFonts w:ascii="Times New Roman" w:cs="Times New Roman" w:eastAsia="Times New Roman" w:hAnsi="Times New Roman"/>
          <w:sz w:val="17"/>
          <w:szCs w:val="17"/>
          <w:color w:val="0000FF"/>
        </w:rPr>
        <w:t>President (American Gypsum)</w:t>
      </w:r>
    </w:p>
    <w:p>
      <w:pPr>
        <w:spacing w:after="0" w:line="400" w:lineRule="exact"/>
        <w:rPr>
          <w:sz w:val="24"/>
          <w:szCs w:val="24"/>
          <w:color w:val="auto"/>
        </w:rPr>
      </w:pPr>
    </w:p>
    <w:p>
      <w:pPr>
        <w:sectPr>
          <w:pgSz w:w="11900" w:h="16838" w:orient="portrait"/>
          <w:cols w:equalWidth="0" w:num="3">
            <w:col w:w="3180" w:space="720"/>
            <w:col w:w="3114" w:space="720"/>
            <w:col w:w="334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75225</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05/22/2026</w:t>
            </w: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589</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199.13</w:t>
            </w:r>
            <w:r>
              <w:rPr>
                <w:rFonts w:ascii="Times New Roman" w:cs="Times New Roman" w:eastAsia="Times New Roman" w:hAnsi="Times New Roman"/>
                <w:sz w:val="21"/>
                <w:szCs w:val="21"/>
                <w:color w:val="008000"/>
                <w:w w:val="99"/>
                <w:vertAlign w:val="superscript"/>
              </w:rPr>
              <w:t>(1)</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13,345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05/22/2026</w:t>
            </w: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232</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199.13</w:t>
            </w:r>
            <w:r>
              <w:rPr>
                <w:rFonts w:ascii="Times New Roman" w:cs="Times New Roman" w:eastAsia="Times New Roman" w:hAnsi="Times New Roman"/>
                <w:sz w:val="21"/>
                <w:szCs w:val="21"/>
                <w:color w:val="008000"/>
                <w:w w:val="99"/>
                <w:vertAlign w:val="superscript"/>
              </w:rPr>
              <w:t>(1)</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13,113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2,009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ind w:right="132"/>
              <w:spacing w:after="0" w:line="130" w:lineRule="exact"/>
              <w:rPr>
                <w:sz w:val="20"/>
                <w:szCs w:val="20"/>
                <w:color w:val="auto"/>
              </w:rPr>
            </w:pPr>
            <w:r>
              <w:rPr>
                <w:rFonts w:ascii="Times New Roman" w:cs="Times New Roman" w:eastAsia="Times New Roman" w:hAnsi="Times New Roman"/>
                <w:sz w:val="13"/>
                <w:szCs w:val="13"/>
                <w:color w:val="0000FF"/>
              </w:rPr>
              <w:t>05/21/2026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34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2,009</w:t>
            </w:r>
          </w:p>
        </w:tc>
        <w:tc>
          <w:tcPr>
            <w:tcW w:w="3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0000FF"/>
              </w:rPr>
              <w:t>2,009</w:t>
            </w:r>
          </w:p>
        </w:tc>
        <w:tc>
          <w:tcPr>
            <w:tcW w:w="28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589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05/22/2026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589</w:t>
            </w: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right"/>
              <w:ind w:right="102"/>
              <w:spacing w:after="0" w:line="143" w:lineRule="exact"/>
              <w:rPr>
                <w:sz w:val="20"/>
                <w:szCs w:val="20"/>
                <w:color w:val="auto"/>
              </w:rPr>
            </w:pPr>
            <w:r>
              <w:rPr>
                <w:rFonts w:ascii="Times New Roman" w:cs="Times New Roman" w:eastAsia="Times New Roman" w:hAnsi="Times New Roman"/>
                <w:sz w:val="13"/>
                <w:szCs w:val="13"/>
                <w:color w:val="0000FF"/>
              </w:rPr>
              <w:t>1,174.8463</w:t>
            </w: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-2458085</wp:posOffset>
            </wp:positionV>
            <wp:extent cx="29210" cy="2463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631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issuer's 2023 Equity Incentive Plan, this price represents the closing price per share of Common Stock on the previous trading day.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EXP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any accrued dividend equivalent RSUs) vest ratably in three installments on the first anniversary of the date of award; on March 31, 2028; and on March 31, 2029.</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22, 2025, the reporting person was granted 1,756 restricted stock units. The restricted stock units (and any accrued dividend equivalent RSUs) vest ratably in three installments on the first anniverary of the date of award; on March 31, 2027; and on March 31, 2028.</w:t>
      </w:r>
    </w:p>
    <w:p>
      <w:pPr>
        <w:spacing w:after="0" w:line="4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Scott M. Wilson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-8255</wp:posOffset>
            </wp:positionV>
            <wp:extent cx="944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Eric</w:t>
      </w:r>
      <w:r>
        <w:rPr>
          <w:sz w:val="20"/>
          <w:szCs w:val="20"/>
          <w:color w:val="auto"/>
        </w:rPr>
        <w:tab/>
      </w:r>
      <w:r>
        <w:rPr>
          <w:rFonts w:ascii="Times New Roman" w:cs="Times New Roman" w:eastAsia="Times New Roman" w:hAnsi="Times New Roman"/>
          <w:sz w:val="16"/>
          <w:szCs w:val="16"/>
          <w:color w:val="0000FF"/>
        </w:rPr>
        <w:t>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-15240</wp:posOffset>
            </wp:positionV>
            <wp:extent cx="1887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Cribbs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-15240</wp:posOffset>
            </wp:positionV>
            <wp:extent cx="285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5115" cy="8255"/>
                    </a:xfrm>
                    <a:prstGeom prst="rect">
                      <a:avLst/>
                    </a:prstGeom>
                    <a:noFill/>
                  </pic:spPr>
                </pic:pic>
              </a:graphicData>
            </a:graphic>
          </wp:anchor>
        </w:drawing>
      </w:r>
    </w:p>
    <w:p>
      <w:pPr>
        <w:spacing w:after="0" w:line="3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1583" TargetMode="External"/><Relationship Id="rId14" Type="http://schemas.openxmlformats.org/officeDocument/2006/relationships/hyperlink" Target="http://www.sec.gov/cgi-bin/browse-edgar?action=getcompany&amp;CIK=00009186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2026-05-26T15:31:53Z</dcterms:created>
  <dcterms:modified xsi:type="dcterms:W3CDTF">2026-05-26T15:31:53Z</dcterms:modified>
</cp:coreProperties>
</file>