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Fiscal Year Ended</w:t>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March 31, 2026</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No.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3"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EAGLE MATERIALS INC.</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Delaware </w:t>
      </w:r>
      <w:r>
        <w:rPr>
          <w:rFonts w:ascii="Arial" w:cs="Arial" w:eastAsia="Arial" w:hAnsi="Arial"/>
          <w:sz w:val="14"/>
          <w:szCs w:val="14"/>
          <w:color w:val="auto"/>
        </w:rPr>
        <w:t>(State of Incorporation)</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75-2520779 </w:t>
      </w:r>
      <w:r>
        <w:rPr>
          <w:rFonts w:ascii="Arial" w:cs="Arial" w:eastAsia="Arial" w:hAnsi="Arial"/>
          <w:sz w:val="14"/>
          <w:szCs w:val="14"/>
          <w:color w:val="auto"/>
        </w:rPr>
        <w:t>(I.R.S. Employer Identification No.)</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5960 Berkshire Lane, Suite 900, Dallas, Texas 75225 </w:t>
      </w:r>
      <w:r>
        <w:rPr>
          <w:rFonts w:ascii="Arial" w:cs="Arial" w:eastAsia="Arial" w:hAnsi="Arial"/>
          <w:sz w:val="14"/>
          <w:szCs w:val="14"/>
          <w:color w:val="auto"/>
        </w:rPr>
        <w:t>(Address of principal executive offices)</w:t>
      </w:r>
    </w:p>
    <w:p>
      <w:pPr>
        <w:spacing w:after="0" w:line="39" w:lineRule="exact"/>
        <w:rPr>
          <w:sz w:val="24"/>
          <w:szCs w:val="24"/>
          <w:color w:val="auto"/>
        </w:rPr>
      </w:pPr>
    </w:p>
    <w:p>
      <w:pPr>
        <w:ind w:left="4420" w:hanging="420"/>
        <w:spacing w:after="0"/>
        <w:tabs>
          <w:tab w:leader="none" w:pos="4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432-2000 </w:t>
      </w:r>
      <w:r>
        <w:rPr>
          <w:rFonts w:ascii="Arial" w:cs="Arial" w:eastAsia="Arial" w:hAnsi="Arial"/>
          <w:sz w:val="14"/>
          <w:szCs w:val="14"/>
          <w:color w:val="auto"/>
        </w:rPr>
        <w:t>(Registrant’s telephone number)</w:t>
      </w:r>
    </w:p>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7"/>
                <w:szCs w:val="17"/>
                <w:color w:val="auto"/>
              </w:rPr>
            </w:pPr>
          </w:p>
        </w:tc>
        <w:tc>
          <w:tcPr>
            <w:tcW w:w="4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46"/>
        </w:trPr>
        <w:tc>
          <w:tcPr>
            <w:tcW w:w="4500" w:type="dxa"/>
            <w:vAlign w:val="bottom"/>
          </w:tcPr>
          <w:p>
            <w:pPr>
              <w:jc w:val="center"/>
              <w:spacing w:after="0" w:line="147" w:lineRule="exact"/>
              <w:rPr>
                <w:sz w:val="20"/>
                <w:szCs w:val="20"/>
                <w:color w:val="auto"/>
              </w:rPr>
            </w:pPr>
            <w:r>
              <w:rPr>
                <w:rFonts w:ascii="Arial" w:cs="Arial" w:eastAsia="Arial" w:hAnsi="Arial"/>
                <w:sz w:val="14"/>
                <w:szCs w:val="14"/>
                <w:color w:val="auto"/>
              </w:rPr>
              <w:t>Common Stock (par value $.01 per share)</w:t>
            </w:r>
          </w:p>
        </w:tc>
        <w:tc>
          <w:tcPr>
            <w:tcW w:w="120" w:type="dxa"/>
            <w:vAlign w:val="bottom"/>
          </w:tcPr>
          <w:p>
            <w:pPr>
              <w:spacing w:after="0"/>
              <w:rPr>
                <w:sz w:val="12"/>
                <w:szCs w:val="12"/>
                <w:color w:val="auto"/>
              </w:rPr>
            </w:pPr>
          </w:p>
        </w:tc>
        <w:tc>
          <w:tcPr>
            <w:tcW w:w="2020" w:type="dxa"/>
            <w:vAlign w:val="bottom"/>
          </w:tcPr>
          <w:p>
            <w:pPr>
              <w:jc w:val="center"/>
              <w:spacing w:after="0" w:line="147" w:lineRule="exact"/>
              <w:rPr>
                <w:sz w:val="20"/>
                <w:szCs w:val="20"/>
                <w:color w:val="auto"/>
              </w:rPr>
            </w:pPr>
            <w:r>
              <w:rPr>
                <w:rFonts w:ascii="Arial" w:cs="Arial" w:eastAsia="Arial" w:hAnsi="Arial"/>
                <w:sz w:val="14"/>
                <w:szCs w:val="14"/>
                <w:color w:val="auto"/>
                <w:w w:val="99"/>
              </w:rPr>
              <w:t>EXP</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20" w:type="dxa"/>
            <w:vAlign w:val="bottom"/>
          </w:tcPr>
          <w:p>
            <w:pPr>
              <w:jc w:val="center"/>
              <w:ind w:right="1288"/>
              <w:spacing w:after="0" w:line="147" w:lineRule="exact"/>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0"/>
        </w:trPr>
        <w:tc>
          <w:tcPr>
            <w:tcW w:w="4500" w:type="dxa"/>
            <w:vAlign w:val="bottom"/>
          </w:tcPr>
          <w:p>
            <w:pPr>
              <w:jc w:val="center"/>
              <w:spacing w:after="0"/>
              <w:rPr>
                <w:sz w:val="20"/>
                <w:szCs w:val="20"/>
                <w:color w:val="auto"/>
              </w:rPr>
            </w:pPr>
            <w:r>
              <w:rPr>
                <w:rFonts w:ascii="Arial" w:cs="Arial" w:eastAsia="Arial" w:hAnsi="Arial"/>
                <w:sz w:val="14"/>
                <w:szCs w:val="14"/>
                <w:color w:val="auto"/>
              </w:rPr>
              <w:t>Common Stock (par value $.01 per share)</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9"/>
              </w:rPr>
              <w:t>EXP</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20" w:type="dxa"/>
            <w:vAlign w:val="bottom"/>
          </w:tcPr>
          <w:p>
            <w:pPr>
              <w:jc w:val="center"/>
              <w:ind w:right="1288"/>
              <w:spacing w:after="0"/>
              <w:rPr>
                <w:sz w:val="20"/>
                <w:szCs w:val="20"/>
                <w:color w:val="auto"/>
              </w:rPr>
            </w:pPr>
            <w:r>
              <w:rPr>
                <w:rFonts w:ascii="Arial" w:cs="Arial" w:eastAsia="Arial" w:hAnsi="Arial"/>
                <w:sz w:val="14"/>
                <w:szCs w:val="14"/>
                <w:color w:val="auto"/>
              </w:rPr>
              <w:t>NYSE Texas, Inc.</w:t>
            </w:r>
          </w:p>
        </w:tc>
        <w:tc>
          <w:tcPr>
            <w:tcW w:w="0" w:type="dxa"/>
            <w:vAlign w:val="bottom"/>
          </w:tcPr>
          <w:p>
            <w:pPr>
              <w:spacing w:after="0"/>
              <w:rPr>
                <w:sz w:val="1"/>
                <w:szCs w:val="1"/>
                <w:color w:val="auto"/>
              </w:rPr>
            </w:pPr>
          </w:p>
        </w:tc>
      </w:tr>
      <w:tr>
        <w:trPr>
          <w:trHeight w:val="338"/>
        </w:trPr>
        <w:tc>
          <w:tcPr>
            <w:tcW w:w="8120" w:type="dxa"/>
            <w:vAlign w:val="bottom"/>
            <w:gridSpan w:val="6"/>
          </w:tcPr>
          <w:p>
            <w:pPr>
              <w:ind w:left="316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2260" w:type="dxa"/>
            <w:vAlign w:val="bottom"/>
            <w:tcBorders>
              <w:bottom w:val="single" w:sz="8" w:color="auto"/>
            </w:tcBorders>
            <w:gridSpan w:val="3"/>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120" w:type="dxa"/>
            <w:vAlign w:val="bottom"/>
            <w:vMerge w:val="restart"/>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0"/>
        </w:trPr>
        <w:tc>
          <w:tcPr>
            <w:tcW w:w="754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580" w:type="dxa"/>
            <w:vAlign w:val="bottom"/>
            <w:vMerge w:val="continue"/>
          </w:tcPr>
          <w:p>
            <w:pPr>
              <w:spacing w:after="0"/>
              <w:rPr>
                <w:sz w:val="24"/>
                <w:szCs w:val="24"/>
                <w:color w:val="auto"/>
              </w:rPr>
            </w:pPr>
          </w:p>
        </w:tc>
        <w:tc>
          <w:tcPr>
            <w:tcW w:w="3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54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58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120" w:type="dxa"/>
            <w:vAlign w:val="bottom"/>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00"/>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9"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See definition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25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88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42"/>
        </w:trPr>
        <w:tc>
          <w:tcPr>
            <w:tcW w:w="382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3780" w:type="dxa"/>
            <w:vAlign w:val="bottom"/>
          </w:tcPr>
          <w:p>
            <w:pPr>
              <w:spacing w:after="0"/>
              <w:rPr>
                <w:sz w:val="21"/>
                <w:szCs w:val="21"/>
                <w:color w:val="auto"/>
              </w:rPr>
            </w:pPr>
          </w:p>
        </w:tc>
      </w:tr>
    </w:tbl>
    <w:p>
      <w:pPr>
        <w:spacing w:after="0" w:line="19"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ind w:right="180"/>
        <w:spacing w:after="0" w:line="281" w:lineRule="auto"/>
        <w:rPr>
          <w:sz w:val="20"/>
          <w:szCs w:val="20"/>
          <w:color w:val="auto"/>
        </w:rPr>
      </w:pPr>
      <w:r>
        <w:rPr>
          <w:rFonts w:ascii="Arial" w:cs="Arial" w:eastAsia="Arial" w:hAnsi="Arial"/>
          <w:sz w:val="14"/>
          <w:szCs w:val="14"/>
          <w:color w:val="auto"/>
        </w:rPr>
        <w:t>The aggregate market value of the voting stock held by nonaffiliates of the Company at September 30, 2025 (the last business day of the registrant’s most recently completed second fiscal quarter) was approximately $7.7 billion.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May 15, 2026, the number of outstanding shares of common stock was:</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Class</w:t>
            </w:r>
          </w:p>
        </w:tc>
        <w:tc>
          <w:tcPr>
            <w:tcW w:w="220" w:type="dxa"/>
            <w:vAlign w:val="bottom"/>
          </w:tcPr>
          <w:p>
            <w:pPr>
              <w:spacing w:after="0"/>
              <w:rPr>
                <w:sz w:val="13"/>
                <w:szCs w:val="13"/>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Outstanding Shares</w:t>
            </w:r>
          </w:p>
        </w:tc>
      </w:tr>
      <w:tr>
        <w:trPr>
          <w:trHeight w:val="184"/>
        </w:trPr>
        <w:tc>
          <w:tcPr>
            <w:tcW w:w="5520" w:type="dxa"/>
            <w:vAlign w:val="bottom"/>
          </w:tcPr>
          <w:p>
            <w:pPr>
              <w:jc w:val="center"/>
              <w:spacing w:after="0"/>
              <w:rPr>
                <w:sz w:val="20"/>
                <w:szCs w:val="20"/>
                <w:color w:val="auto"/>
              </w:rPr>
            </w:pPr>
            <w:r>
              <w:rPr>
                <w:rFonts w:ascii="Arial" w:cs="Arial" w:eastAsia="Arial" w:hAnsi="Arial"/>
                <w:sz w:val="14"/>
                <w:szCs w:val="14"/>
                <w:color w:val="auto"/>
              </w:rPr>
              <w:t>Common Stock, $.01 Par Value</w:t>
            </w:r>
          </w:p>
        </w:tc>
        <w:tc>
          <w:tcPr>
            <w:tcW w:w="220" w:type="dxa"/>
            <w:vAlign w:val="bottom"/>
          </w:tcPr>
          <w:p>
            <w:pPr>
              <w:spacing w:after="0"/>
              <w:rPr>
                <w:sz w:val="15"/>
                <w:szCs w:val="15"/>
                <w:color w:val="auto"/>
              </w:rPr>
            </w:pPr>
          </w:p>
        </w:tc>
        <w:tc>
          <w:tcPr>
            <w:tcW w:w="5500" w:type="dxa"/>
            <w:vAlign w:val="bottom"/>
          </w:tcPr>
          <w:p>
            <w:pPr>
              <w:jc w:val="right"/>
              <w:ind w:right="2333"/>
              <w:spacing w:after="0"/>
              <w:rPr>
                <w:sz w:val="20"/>
                <w:szCs w:val="20"/>
                <w:color w:val="auto"/>
              </w:rPr>
            </w:pPr>
            <w:r>
              <w:rPr>
                <w:rFonts w:ascii="Arial" w:cs="Arial" w:eastAsia="Arial" w:hAnsi="Arial"/>
                <w:sz w:val="14"/>
                <w:szCs w:val="14"/>
                <w:color w:val="auto"/>
              </w:rPr>
              <w:t>30,948,147</w:t>
            </w:r>
          </w:p>
        </w:tc>
      </w:tr>
    </w:tbl>
    <w:p>
      <w:pPr>
        <w:spacing w:after="0" w:line="13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4" w:lineRule="exact"/>
        <w:rPr>
          <w:sz w:val="24"/>
          <w:szCs w:val="24"/>
          <w:color w:val="auto"/>
        </w:rPr>
      </w:pPr>
    </w:p>
    <w:p>
      <w:pPr>
        <w:ind w:right="480"/>
        <w:spacing w:after="0" w:line="285" w:lineRule="auto"/>
        <w:rPr>
          <w:sz w:val="20"/>
          <w:szCs w:val="20"/>
          <w:color w:val="auto"/>
        </w:rPr>
      </w:pPr>
      <w:r>
        <w:rPr>
          <w:rFonts w:ascii="Arial" w:cs="Arial" w:eastAsia="Arial" w:hAnsi="Arial"/>
          <w:sz w:val="14"/>
          <w:szCs w:val="14"/>
          <w:color w:val="auto"/>
        </w:rPr>
        <w:t>Portions of the Proxy Statement for the Annual Meeting of Stockholders of Eagle Materials Inc. to be held on July 30, 2026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92"/>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7"/>
              </w:rPr>
              <w:t>PART I</w:t>
            </w:r>
          </w:p>
        </w:tc>
        <w:tc>
          <w:tcPr>
            <w:tcW w:w="66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320" w:type="dxa"/>
            <w:vAlign w:val="bottom"/>
            <w:gridSpan w:val="6"/>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30"/>
          </w:tcPr>
          <w:p>
            <w:pPr>
              <w:spacing w:after="0"/>
              <w:rPr>
                <w:sz w:val="20"/>
                <w:szCs w:val="20"/>
                <w:color w:val="auto"/>
              </w:rPr>
            </w:pPr>
            <w:r>
              <w:rPr>
                <w:rFonts w:ascii="Arial" w:cs="Arial" w:eastAsia="Arial" w:hAnsi="Arial"/>
                <w:sz w:val="18"/>
                <w:szCs w:val="18"/>
                <w:color w:val="auto"/>
              </w:rPr>
              <w:t>Business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8"/>
              </w:rPr>
              <w:t>Overview</w:t>
            </w:r>
          </w:p>
        </w:tc>
        <w:tc>
          <w:tcPr>
            <w:tcW w:w="8260" w:type="dxa"/>
            <w:vAlign w:val="bottom"/>
            <w:gridSpan w:val="24"/>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20" w:type="dxa"/>
            <w:vAlign w:val="bottom"/>
            <w:gridSpan w:val="29"/>
          </w:tcPr>
          <w:p>
            <w:pPr>
              <w:spacing w:after="0" w:line="182" w:lineRule="exact"/>
              <w:rPr>
                <w:sz w:val="20"/>
                <w:szCs w:val="20"/>
                <w:color w:val="auto"/>
              </w:rPr>
            </w:pPr>
            <w:r>
              <w:rPr>
                <w:rFonts w:ascii="Arial" w:cs="Arial" w:eastAsia="Arial" w:hAnsi="Arial"/>
                <w:sz w:val="18"/>
                <w:szCs w:val="18"/>
                <w:color w:val="auto"/>
              </w:rPr>
              <w:t>Fiscal 2026 Highlights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auto"/>
                <w:w w:val="99"/>
              </w:rPr>
              <w:t>Human Capital</w:t>
            </w:r>
          </w:p>
        </w:tc>
        <w:tc>
          <w:tcPr>
            <w:tcW w:w="56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20" w:type="dxa"/>
            <w:vAlign w:val="bottom"/>
            <w:gridSpan w:val="29"/>
          </w:tcPr>
          <w:p>
            <w:pPr>
              <w:spacing w:after="0" w:line="182" w:lineRule="exact"/>
              <w:rPr>
                <w:sz w:val="20"/>
                <w:szCs w:val="20"/>
                <w:color w:val="auto"/>
              </w:rPr>
            </w:pPr>
            <w:r>
              <w:rPr>
                <w:rFonts w:ascii="Arial" w:cs="Arial" w:eastAsia="Arial" w:hAnsi="Arial"/>
                <w:sz w:val="18"/>
                <w:szCs w:val="18"/>
                <w:color w:val="auto"/>
              </w:rPr>
              <w:t>Industry Segment Information</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tcBorders>
              <w:top w:val="single" w:sz="8" w:color="0000EE"/>
              <w:bottom w:val="single" w:sz="8" w:color="0000EE"/>
            </w:tcBorders>
            <w:gridSpan w:val="16"/>
          </w:tcPr>
          <w:p>
            <w:pPr>
              <w:spacing w:after="0" w:line="182" w:lineRule="exact"/>
              <w:rPr>
                <w:sz w:val="20"/>
                <w:szCs w:val="20"/>
                <w:color w:val="auto"/>
              </w:rPr>
            </w:pPr>
            <w:r>
              <w:rPr>
                <w:rFonts w:ascii="Arial" w:cs="Arial" w:eastAsia="Arial" w:hAnsi="Arial"/>
                <w:sz w:val="18"/>
                <w:szCs w:val="18"/>
                <w:color w:val="auto"/>
              </w:rPr>
              <w:t>Where You Can Find More</w:t>
            </w:r>
          </w:p>
        </w:tc>
        <w:tc>
          <w:tcPr>
            <w:tcW w:w="74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79"/>
              </w:rPr>
              <w:t>Information</w:t>
            </w:r>
          </w:p>
        </w:tc>
        <w:tc>
          <w:tcPr>
            <w:tcW w:w="5920" w:type="dxa"/>
            <w:vAlign w:val="bottom"/>
            <w:gridSpan w:val="11"/>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1A.</w:t>
            </w:r>
          </w:p>
        </w:tc>
        <w:tc>
          <w:tcPr>
            <w:tcW w:w="3300" w:type="dxa"/>
            <w:vAlign w:val="bottom"/>
            <w:gridSpan w:val="19"/>
          </w:tcPr>
          <w:p>
            <w:pPr>
              <w:spacing w:after="0" w:line="182" w:lineRule="exact"/>
              <w:rPr>
                <w:sz w:val="20"/>
                <w:szCs w:val="20"/>
                <w:color w:val="auto"/>
              </w:rPr>
            </w:pPr>
            <w:r>
              <w:rPr>
                <w:rFonts w:ascii="Arial" w:cs="Arial" w:eastAsia="Arial" w:hAnsi="Arial"/>
                <w:sz w:val="18"/>
                <w:szCs w:val="18"/>
                <w:color w:val="auto"/>
              </w:rPr>
              <w:t>Risk Factors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auto"/>
              </w:rPr>
              <w:t>Unresolved</w:t>
            </w:r>
          </w:p>
        </w:tc>
        <w:tc>
          <w:tcPr>
            <w:tcW w:w="8220" w:type="dxa"/>
            <w:vAlign w:val="bottom"/>
            <w:gridSpan w:val="23"/>
          </w:tcPr>
          <w:p>
            <w:pPr>
              <w:spacing w:after="0" w:line="182" w:lineRule="exact"/>
              <w:rPr>
                <w:sz w:val="20"/>
                <w:szCs w:val="20"/>
                <w:color w:val="auto"/>
              </w:rPr>
            </w:pPr>
            <w:r>
              <w:rPr>
                <w:rFonts w:ascii="Arial" w:cs="Arial" w:eastAsia="Arial" w:hAnsi="Arial"/>
                <w:sz w:val="18"/>
                <w:szCs w:val="18"/>
                <w:color w:val="auto"/>
              </w:rPr>
              <w:t>Staff Comments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1C.</w:t>
            </w:r>
          </w:p>
        </w:tc>
        <w:tc>
          <w:tcPr>
            <w:tcW w:w="22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auto"/>
              </w:rPr>
              <w:t>Cybersecurity</w:t>
            </w:r>
          </w:p>
        </w:tc>
        <w:tc>
          <w:tcPr>
            <w:tcW w:w="92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7"/>
              </w:rPr>
              <w:t>Properties</w:t>
            </w:r>
          </w:p>
        </w:tc>
        <w:tc>
          <w:tcPr>
            <w:tcW w:w="280" w:type="dxa"/>
            <w:vAlign w:val="bottom"/>
            <w:tcBorders>
              <w:top w:val="single" w:sz="8" w:color="0000EE"/>
            </w:tcBorders>
            <w:gridSpan w:val="3"/>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3.</w:t>
            </w:r>
          </w:p>
        </w:tc>
        <w:tc>
          <w:tcPr>
            <w:tcW w:w="9220" w:type="dxa"/>
            <w:vAlign w:val="bottom"/>
            <w:gridSpan w:val="30"/>
          </w:tcPr>
          <w:p>
            <w:pPr>
              <w:spacing w:after="0" w:line="182" w:lineRule="exact"/>
              <w:rPr>
                <w:sz w:val="20"/>
                <w:szCs w:val="20"/>
                <w:color w:val="auto"/>
              </w:rPr>
            </w:pPr>
            <w:r>
              <w:rPr>
                <w:rFonts w:ascii="Arial" w:cs="Arial" w:eastAsia="Arial" w:hAnsi="Arial"/>
                <w:sz w:val="18"/>
                <w:szCs w:val="18"/>
                <w:color w:val="auto"/>
              </w:rPr>
              <w:t>Legal Proceedings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3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Item 4.</w:t>
            </w: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83"/>
        </w:trPr>
        <w:tc>
          <w:tcPr>
            <w:tcW w:w="1320" w:type="dxa"/>
            <w:vAlign w:val="bottom"/>
            <w:gridSpan w:val="6"/>
            <w:vMerge w:val="continue"/>
          </w:tcPr>
          <w:p>
            <w:pPr>
              <w:spacing w:after="0"/>
              <w:rPr>
                <w:sz w:val="15"/>
                <w:szCs w:val="15"/>
                <w:color w:val="auto"/>
              </w:rPr>
            </w:pPr>
          </w:p>
        </w:tc>
        <w:tc>
          <w:tcPr>
            <w:tcW w:w="9220" w:type="dxa"/>
            <w:vAlign w:val="bottom"/>
            <w:gridSpan w:val="30"/>
          </w:tcPr>
          <w:p>
            <w:pPr>
              <w:spacing w:after="0" w:line="182" w:lineRule="exact"/>
              <w:rPr>
                <w:sz w:val="20"/>
                <w:szCs w:val="20"/>
                <w:color w:val="auto"/>
              </w:rPr>
            </w:pPr>
            <w:r>
              <w:rPr>
                <w:rFonts w:ascii="Arial" w:cs="Arial" w:eastAsia="Arial" w:hAnsi="Arial"/>
                <w:sz w:val="18"/>
                <w:szCs w:val="18"/>
                <w:color w:val="auto"/>
              </w:rPr>
              <w:t>Mine Safety Disclosures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PART II</w:t>
            </w: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5.</w:t>
            </w:r>
          </w:p>
        </w:tc>
        <w:tc>
          <w:tcPr>
            <w:tcW w:w="680" w:type="dxa"/>
            <w:vAlign w:val="bottom"/>
            <w:gridSpan w:val="5"/>
          </w:tcPr>
          <w:p>
            <w:pPr>
              <w:spacing w:after="0"/>
              <w:rPr>
                <w:sz w:val="24"/>
                <w:szCs w:val="24"/>
                <w:color w:val="auto"/>
              </w:rPr>
            </w:pPr>
          </w:p>
        </w:tc>
        <w:tc>
          <w:tcPr>
            <w:tcW w:w="9220" w:type="dxa"/>
            <w:vAlign w:val="bottom"/>
            <w:gridSpan w:val="30"/>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6.</w:t>
            </w:r>
          </w:p>
        </w:tc>
        <w:tc>
          <w:tcPr>
            <w:tcW w:w="894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color w:val="auto"/>
              </w:rPr>
              <w:t>Reserved</w:t>
            </w:r>
          </w:p>
        </w:tc>
        <w:tc>
          <w:tcPr>
            <w:tcW w:w="28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3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Item 7.</w:t>
            </w: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83"/>
        </w:trPr>
        <w:tc>
          <w:tcPr>
            <w:tcW w:w="1320" w:type="dxa"/>
            <w:vAlign w:val="bottom"/>
            <w:gridSpan w:val="6"/>
            <w:vMerge w:val="continue"/>
          </w:tcPr>
          <w:p>
            <w:pPr>
              <w:spacing w:after="0"/>
              <w:rPr>
                <w:sz w:val="15"/>
                <w:szCs w:val="15"/>
                <w:color w:val="auto"/>
              </w:rPr>
            </w:pPr>
          </w:p>
        </w:tc>
        <w:tc>
          <w:tcPr>
            <w:tcW w:w="9220" w:type="dxa"/>
            <w:vAlign w:val="bottom"/>
            <w:gridSpan w:val="30"/>
          </w:tcPr>
          <w:p>
            <w:pPr>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8.</w:t>
            </w:r>
          </w:p>
        </w:tc>
        <w:tc>
          <w:tcPr>
            <w:tcW w:w="47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auto"/>
              </w:rPr>
              <w:t>Financial Statements and Supplementary Data</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9.</w:t>
            </w:r>
          </w:p>
        </w:tc>
        <w:tc>
          <w:tcPr>
            <w:tcW w:w="372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auto"/>
                <w:w w:val="94"/>
              </w:rPr>
              <w:t>Changes in and Disagreements with Accountants</w:t>
            </w:r>
          </w:p>
        </w:tc>
        <w:tc>
          <w:tcPr>
            <w:tcW w:w="5500" w:type="dxa"/>
            <w:vAlign w:val="bottom"/>
            <w:gridSpan w:val="9"/>
          </w:tcPr>
          <w:p>
            <w:pPr>
              <w:ind w:left="260"/>
              <w:spacing w:after="0" w:line="182" w:lineRule="exact"/>
              <w:rPr>
                <w:sz w:val="20"/>
                <w:szCs w:val="20"/>
                <w:color w:val="auto"/>
              </w:rPr>
            </w:pPr>
            <w:r>
              <w:rPr>
                <w:rFonts w:ascii="Arial" w:cs="Arial" w:eastAsia="Arial" w:hAnsi="Arial"/>
                <w:sz w:val="18"/>
                <w:szCs w:val="18"/>
                <w:color w:val="auto"/>
              </w:rPr>
              <w:t>on Accounting and Financial Disclosure</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auto"/>
              </w:rPr>
              <w:t>Controls and Procedures</w:t>
            </w:r>
          </w:p>
        </w:tc>
        <w:tc>
          <w:tcPr>
            <w:tcW w:w="88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auto"/>
                <w:w w:val="98"/>
              </w:rPr>
              <w:t>Other Information</w:t>
            </w:r>
          </w:p>
        </w:tc>
        <w:tc>
          <w:tcPr>
            <w:tcW w:w="58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96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122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9C.</w:t>
            </w:r>
          </w:p>
        </w:tc>
        <w:tc>
          <w:tcPr>
            <w:tcW w:w="9220" w:type="dxa"/>
            <w:vAlign w:val="bottom"/>
            <w:gridSpan w:val="30"/>
          </w:tcPr>
          <w:p>
            <w:pPr>
              <w:spacing w:after="0" w:line="182" w:lineRule="exact"/>
              <w:rPr>
                <w:sz w:val="20"/>
                <w:szCs w:val="20"/>
                <w:color w:val="auto"/>
              </w:rPr>
            </w:pPr>
            <w:r>
              <w:rPr>
                <w:rFonts w:ascii="Arial" w:cs="Arial" w:eastAsia="Arial" w:hAnsi="Arial"/>
                <w:sz w:val="18"/>
                <w:szCs w:val="18"/>
                <w:color w:val="auto"/>
              </w:rPr>
              <w:t>Disclosure Regarding Foreign Jurisdictions That Prevent Inspections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85"/>
        </w:trPr>
        <w:tc>
          <w:tcPr>
            <w:tcW w:w="7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auto"/>
                <w:w w:val="98"/>
              </w:rPr>
              <w:t>PART III</w:t>
            </w:r>
          </w:p>
        </w:tc>
        <w:tc>
          <w:tcPr>
            <w:tcW w:w="620" w:type="dxa"/>
            <w:vAlign w:val="bottom"/>
            <w:gridSpan w:val="3"/>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2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9220" w:type="dxa"/>
            <w:vAlign w:val="bottom"/>
            <w:gridSpan w:val="30"/>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11.</w:t>
            </w:r>
          </w:p>
        </w:tc>
        <w:tc>
          <w:tcPr>
            <w:tcW w:w="200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auto"/>
                <w:w w:val="99"/>
              </w:rPr>
              <w:t>Executive Compensation</w:t>
            </w:r>
          </w:p>
        </w:tc>
        <w:tc>
          <w:tcPr>
            <w:tcW w:w="2500" w:type="dxa"/>
            <w:vAlign w:val="bottom"/>
            <w:tcBorders>
              <w:top w:val="single" w:sz="8" w:color="0000EE"/>
            </w:tcBorders>
            <w:gridSpan w:val="7"/>
          </w:tcPr>
          <w:p>
            <w:pPr>
              <w:spacing w:after="0"/>
              <w:rPr>
                <w:sz w:val="15"/>
                <w:szCs w:val="15"/>
                <w:color w:val="auto"/>
              </w:rPr>
            </w:pPr>
          </w:p>
        </w:tc>
        <w:tc>
          <w:tcPr>
            <w:tcW w:w="1580" w:type="dxa"/>
            <w:vAlign w:val="bottom"/>
            <w:gridSpan w:val="3"/>
          </w:tcPr>
          <w:p>
            <w:pPr>
              <w:spacing w:after="0"/>
              <w:rPr>
                <w:sz w:val="15"/>
                <w:szCs w:val="15"/>
                <w:color w:val="auto"/>
              </w:rPr>
            </w:pPr>
          </w:p>
        </w:tc>
        <w:tc>
          <w:tcPr>
            <w:tcW w:w="1920" w:type="dxa"/>
            <w:vAlign w:val="bottom"/>
            <w:gridSpan w:val="3"/>
          </w:tcPr>
          <w:p>
            <w:pPr>
              <w:spacing w:after="0"/>
              <w:rPr>
                <w:sz w:val="15"/>
                <w:szCs w:val="15"/>
                <w:color w:val="auto"/>
              </w:rPr>
            </w:pPr>
          </w:p>
        </w:tc>
        <w:tc>
          <w:tcPr>
            <w:tcW w:w="122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12.</w:t>
            </w:r>
          </w:p>
        </w:tc>
        <w:tc>
          <w:tcPr>
            <w:tcW w:w="9220" w:type="dxa"/>
            <w:vAlign w:val="bottom"/>
            <w:gridSpan w:val="30"/>
          </w:tcPr>
          <w:p>
            <w:pPr>
              <w:spacing w:after="0" w:line="18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22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1320" w:type="dxa"/>
            <w:vAlign w:val="bottom"/>
            <w:gridSpan w:val="6"/>
          </w:tcPr>
          <w:p>
            <w:pPr>
              <w:spacing w:after="0" w:line="182" w:lineRule="exact"/>
              <w:rPr>
                <w:sz w:val="20"/>
                <w:szCs w:val="20"/>
                <w:color w:val="auto"/>
              </w:rPr>
            </w:pPr>
            <w:r>
              <w:rPr>
                <w:rFonts w:ascii="Arial" w:cs="Arial" w:eastAsia="Arial" w:hAnsi="Arial"/>
                <w:sz w:val="18"/>
                <w:szCs w:val="18"/>
                <w:color w:val="auto"/>
              </w:rPr>
              <w:t>Item 14.</w:t>
            </w:r>
          </w:p>
        </w:tc>
        <w:tc>
          <w:tcPr>
            <w:tcW w:w="608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auto"/>
              </w:rPr>
              <w:t>Principal Accounting Fees and Services</w:t>
            </w:r>
          </w:p>
        </w:tc>
        <w:tc>
          <w:tcPr>
            <w:tcW w:w="3140" w:type="dxa"/>
            <w:vAlign w:val="bottom"/>
            <w:gridSpan w:val="5"/>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85"/>
        </w:trPr>
        <w:tc>
          <w:tcPr>
            <w:tcW w:w="7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auto"/>
                <w:w w:val="98"/>
              </w:rPr>
              <w:t>PART IV</w:t>
            </w:r>
          </w:p>
        </w:tc>
        <w:tc>
          <w:tcPr>
            <w:tcW w:w="600" w:type="dxa"/>
            <w:vAlign w:val="bottom"/>
            <w:gridSpan w:val="2"/>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32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9220" w:type="dxa"/>
            <w:vAlign w:val="bottom"/>
            <w:gridSpan w:val="30"/>
          </w:tcPr>
          <w:p>
            <w:pPr>
              <w:spacing w:after="0"/>
              <w:rPr>
                <w:sz w:val="20"/>
                <w:szCs w:val="20"/>
                <w:color w:val="auto"/>
              </w:rPr>
            </w:pPr>
            <w:r>
              <w:rPr>
                <w:rFonts w:ascii="Arial" w:cs="Arial" w:eastAsia="Arial" w:hAnsi="Arial"/>
                <w:sz w:val="18"/>
                <w:szCs w:val="18"/>
                <w:color w:val="auto"/>
              </w:rPr>
              <w:t>Exhibits and Financial Statement Schedules</w:t>
            </w: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1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1840" w:type="dxa"/>
            <w:vAlign w:val="bottom"/>
            <w:gridSpan w:val="9"/>
            <w:shd w:val="clear" w:color="auto" w:fill="0000EE"/>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auto"/>
                <w:w w:val="99"/>
              </w:rPr>
              <w:t>INDEX TO EXHIBITS</w:t>
            </w:r>
          </w:p>
        </w:tc>
        <w:tc>
          <w:tcPr>
            <w:tcW w:w="8800" w:type="dxa"/>
            <w:vAlign w:val="bottom"/>
            <w:gridSpan w:val="2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85"/>
        </w:trPr>
        <w:tc>
          <w:tcPr>
            <w:tcW w:w="132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9220" w:type="dxa"/>
            <w:vAlign w:val="bottom"/>
            <w:gridSpan w:val="30"/>
          </w:tcPr>
          <w:p>
            <w:pPr>
              <w:spacing w:after="0"/>
              <w:rPr>
                <w:sz w:val="20"/>
                <w:szCs w:val="20"/>
                <w:color w:val="auto"/>
              </w:rPr>
            </w:pPr>
            <w:r>
              <w:rPr>
                <w:rFonts w:ascii="Arial" w:cs="Arial" w:eastAsia="Arial" w:hAnsi="Arial"/>
                <w:sz w:val="18"/>
                <w:szCs w:val="18"/>
                <w:color w:val="auto"/>
              </w:rPr>
              <w:t>Form 10-K Summary</w:t>
            </w: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85"/>
        </w:trPr>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SIGNATURES</w:t>
            </w: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202"/>
        </w:trPr>
        <w:tc>
          <w:tcPr>
            <w:tcW w:w="6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 w:name="page3"/>
    <w:bookmarkEnd w:id="2"/>
    <w:p>
      <w:pPr>
        <w:spacing w:after="0"/>
        <w:rPr>
          <w:sz w:val="20"/>
          <w:szCs w:val="20"/>
          <w:color w:val="auto"/>
        </w:rPr>
      </w:pPr>
      <w:r>
        <w:rPr>
          <w:rFonts w:ascii="Arial" w:cs="Arial" w:eastAsia="Arial" w:hAnsi="Arial"/>
          <w:sz w:val="23"/>
          <w:szCs w:val="23"/>
          <w:b w:val="1"/>
          <w:bCs w:val="1"/>
          <w:color w:val="auto"/>
        </w:rPr>
        <w:t>PART I</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OVERVIEW</w:t>
      </w:r>
    </w:p>
    <w:p>
      <w:pPr>
        <w:spacing w:after="0" w:line="104" w:lineRule="exact"/>
        <w:rPr>
          <w:sz w:val="20"/>
          <w:szCs w:val="20"/>
          <w:color w:val="auto"/>
        </w:rPr>
      </w:pPr>
    </w:p>
    <w:p>
      <w:pPr>
        <w:jc w:val="both"/>
        <w:ind w:right="180"/>
        <w:spacing w:after="0" w:line="244" w:lineRule="auto"/>
        <w:rPr>
          <w:sz w:val="20"/>
          <w:szCs w:val="20"/>
          <w:color w:val="auto"/>
        </w:rPr>
      </w:pPr>
      <w:r>
        <w:rPr>
          <w:rFonts w:ascii="Arial" w:cs="Arial" w:eastAsia="Arial" w:hAnsi="Arial"/>
          <w:sz w:val="18"/>
          <w:szCs w:val="18"/>
          <w:color w:val="auto"/>
        </w:rPr>
        <w:t>Eagle Materials Inc., through its subsidiaries (the Company, which may be referred to as we, our, or us), is a leading U.S. manufacturer of heavy construction products and light building materials. Our primary products,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was founded in 1963 as a subsidiary of Centex Corporation (Centex). It operated as a public company under the name Centex Construction Products, Inc. from April 19, 1994, to January 30, 2004, at which time Centex completed a tax-free distribution of its shares to its shareholders, and the Company was renamed Eagle Materials Inc. (NYSE: EXP).</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Competitive Strengths</w:t>
      </w:r>
    </w:p>
    <w:p>
      <w:pPr>
        <w:spacing w:after="0" w:line="9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benefit from several competitive strengths that have enabled us to deliver consistently strong operating results and profitable growth through economic cycles.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004483"/>
        </w:rPr>
        <w:t>Strategically located plant network</w:t>
      </w:r>
    </w:p>
    <w:p>
      <w:pPr>
        <w:spacing w:after="0" w:line="9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O</w:t>
      </w:r>
      <w:r>
        <w:rPr>
          <w:rFonts w:ascii="Arial" w:cs="Arial" w:eastAsia="Arial" w:hAnsi="Arial"/>
          <w:sz w:val="17"/>
          <w:szCs w:val="17"/>
          <w:color w:val="auto"/>
        </w:rPr>
        <w:t>ur plants are located near both our raw material reserves and customers in high-growth U.S. markets. The proximity to raw materials and</w:t>
      </w:r>
      <w:r>
        <w:rPr>
          <w:rFonts w:ascii="Arial" w:cs="Arial" w:eastAsia="Arial" w:hAnsi="Arial"/>
          <w:sz w:val="20"/>
          <w:szCs w:val="20"/>
          <w:color w:val="auto"/>
        </w:rPr>
        <w:t xml:space="preserve"> </w:t>
      </w:r>
      <w:r>
        <w:rPr>
          <w:rFonts w:ascii="Arial" w:cs="Arial" w:eastAsia="Arial" w:hAnsi="Arial"/>
          <w:sz w:val="17"/>
          <w:szCs w:val="17"/>
          <w:color w:val="auto"/>
        </w:rPr>
        <w:t>customers helps us manage our transportation and input costs. Our presence in several U.S. markets with higher-than-average population growth enables us to take advantage of long-term demand growth for construction and building materials, while reducing our exposure to individual regional construction cycles. The integrated nature of our cement and wallboard plant network enables us to minimize freight costs, move product between different plants in our network as needed, and supply customers from more than one plant when desirable.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004483"/>
        </w:rPr>
        <w:t>Decentralized operating structure with network-wide coordination</w:t>
      </w:r>
    </w:p>
    <w:p>
      <w:pPr>
        <w:spacing w:after="0" w:line="9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Company operates a decentralized but coordinated plant network: day-to-day operations are managed by strong local operating teams, and products are separately branded and marketed by our individual companies. This regional-market strategy provides several benefits, including increased familiarity with our customers, higher brand recognition, and lower transportation costs, which is a meaningful advantage in the construction materials industry. Across the plant network, corporate level managers coordinate strategy and other important facets of our operations, like finance, procurement, and safety, to ensure consistent application of best practices across all business lines and uninterrupted product supply for customers, even during planned and unplanned maintenance outages.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04483"/>
        </w:rPr>
        <w:t>Substantial owned raw material reserves and resources</w:t>
      </w:r>
    </w:p>
    <w:p>
      <w:pPr>
        <w:spacing w:after="0" w:line="97"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auto"/>
        </w:rPr>
        <w:t>We own, or control, at least 25 years of primary raw material reserves and resources (and in many instances, more than 50 years) for each of our cement and wallboard facilities, providing certainty of supply and enhancing our ability to control the cost of our primary raw materials.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 w:name="page4"/>
    <w:bookmarkEnd w:id="3"/>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004483"/>
        </w:rPr>
        <w:t>Production flexibility</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manage our production lines and work shifts both within each plant and across the entire plant network to enable us to operate our plants at high utilization levels generally, while providing optimal production flexibility. Accordingly, we can quickly adjust to changes in economic conditions.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004483"/>
        </w:rPr>
        <w:t>Low-cost producer position</w:t>
      </w:r>
    </w:p>
    <w:p>
      <w:pPr>
        <w:spacing w:after="0" w:line="97"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Our modern production lines, consistent maintenance programs, access to low-cost raw materials, and focus on continuous efficiency improvement help us minimize production costs across the network.</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004483"/>
        </w:rPr>
        <w:t>Proven management</w:t>
      </w:r>
    </w:p>
    <w:p>
      <w:pPr>
        <w:spacing w:after="0" w:line="9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current management team has significant and valuable expertise, with average industry experience of more than 20 years, spanning several business cycles. Management’s conservative balance sheet strategy focuses on maintaining prudent levels of leverage and liquidity through business cycles to protect the balance sheet through downturns and enable us to take advantage of growth opportunities, whether organic or through acquisitions.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Strategy</w:t>
      </w:r>
    </w:p>
    <w:p>
      <w:pPr>
        <w:spacing w:after="0" w:line="99"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We consistently pursue the following strategic objectives that we believe differentiate us from our competitors and contribute to our margin performance and growth: positioning our business for steady performance through economic cycles, maintaining our position as a low-cost producer in all our markets, operating primarily in the United States in regionally diverse and demographically attractive markets, achieving profitable growth through both strategic acquisitions and the organic development of our asset network, and operating in a socially and environmentally responsible manner.</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004483"/>
        </w:rPr>
        <w:t>Maintain rigorous cycle management</w:t>
      </w:r>
    </w:p>
    <w:p>
      <w:pPr>
        <w:spacing w:after="0" w:line="9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aim to maintain profitability and create value consistently through shifting economic cycles. Our goal is to increase earnings through cycles and maintain peak-to-trough resiliency of our assets. The cornerstones of our effective cycle management include keeping our plants well-maintained, operating at standard-setting efficiency and safety levels, and maintaining a healthy balance sheet to enable us to capitalize on growth opportunities, continue enhancing our assets, and return excess capital to shareholders. Acquisition opportunities and ongoing investments in our businesses must meet rigorous financial and strategic return criteria and position our assets for peak performance in both favorable and challenging market conditions.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004483"/>
        </w:rPr>
        <w:t>Continuously innovate to advance our low-cost position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bedrock of our strategy is to be a low-cost producer in each of the markets in which we compete. We have right-sized capacity to service the markets we participate in, and we focus diligently on reducing costs and making our operations more efficient to manage free cash flow through economic cycles. Maintaining our low-cost position provides meaningful competitive, financial, and environmental benefits. The products we make are basic necessities, and competition is often based largely on price, with consistent quality and customer service also being important considerations. Thus, being a low-cost producer is a competitive advantage and can lead to higher margins, better returns, and stronger free cash flow generation. Being a low-cost producer is key to our commercial success and also aligns with our commitment to sustainable environmental practices. To maintain our low-cost producer position, we are always innovating our production processes with the aim of using fewer resources to make the same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products. We regularly invest in technologies at our facilities to control emissions and to modify the fuels that we burn.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004483"/>
        </w:rPr>
        <w:t>Operate in regionally diverse and attractive markets</w:t>
      </w:r>
    </w:p>
    <w:p>
      <w:pPr>
        <w:spacing w:after="0" w:line="9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Demand for our products depends on construction activity, which tends to correlate with population growth. While the Company’s markets include most of the United States, except the Northeast, approximately 65% of our total revenue, including our proportional share from our joint venture, is generated in 10 states: Colorado, Illinois, Kansas, Kentucky, Missouri, Nevada, North Carolina, Ohio, Oklahoma, and Texas. Population growth is a major driver of demand for construction products and building materials. The population in these ten states is expected to increase approximately 16% between the 2020 census and 2050, compared with 12% for the United States as a whole, according to the latest update in July 2024 by the University of Virginia, Weldon Cooper Center for Public Service.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004483"/>
        </w:rPr>
        <w:t>Achieve profitable growth through acquisition and organic development</w:t>
      </w:r>
    </w:p>
    <w:p>
      <w:pPr>
        <w:spacing w:after="0" w:line="9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seek to grow the Company through prudent acquisitions and the organic development of our asset network. Since 2012, we have invested approximately $3.0 billion to expand the Heavy Materials business. These investments have more than doubled our U.S. cement capacity, and expanded our aggregates production capacity by more than 50%.</w:t>
      </w:r>
    </w:p>
    <w:p>
      <w:pPr>
        <w:spacing w:after="0" w:line="61" w:lineRule="exact"/>
        <w:rPr>
          <w:sz w:val="20"/>
          <w:szCs w:val="20"/>
          <w:color w:val="auto"/>
        </w:rPr>
      </w:pPr>
    </w:p>
    <w:p>
      <w:pPr>
        <w:ind w:right="460"/>
        <w:spacing w:after="0" w:line="244" w:lineRule="auto"/>
        <w:rPr>
          <w:sz w:val="20"/>
          <w:szCs w:val="20"/>
          <w:color w:val="auto"/>
        </w:rPr>
      </w:pPr>
      <w:r>
        <w:rPr>
          <w:rFonts w:ascii="Arial" w:cs="Arial" w:eastAsia="Arial" w:hAnsi="Arial"/>
          <w:sz w:val="18"/>
          <w:szCs w:val="18"/>
          <w:color w:val="auto"/>
        </w:rPr>
        <w:t>Growth in the Heavy Materials sector has been achieved mainly through acquisitions, which have expanded our geographic footprint, resulting in a contiguous and integrated cement system from northern California to western Pennsylvania and south to Texas. We have completed additional bolt-on acquisitions in aggregates, which also contribute to our expanded geographic footprint. We are currently investing over $400 million to modernize and expand our cement plant in Laramie, Wyoming, which will expand that plant's production capacity by 50% to 1.2 million tons and reduce its operating costs by 25%.</w:t>
      </w:r>
    </w:p>
    <w:p>
      <w:pPr>
        <w:spacing w:after="0" w:line="6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 has grown its Light Materials sector through organic growth investments. In fiscal 2020, we completed an expansion at our Recycled Paperboard plant that increased capacity by approximately 15% and provided cost savings. Our $330.0 million project to modernize and expand our Gypsum Wallboard facility in Oklahoma is currently under way. This project will increase capacity by 25% to 1.5 billion square feet (bsf) of production, lower the plant's operating costs, and take advantage of our nearby, low-cost natural gypsum reserves. We expect to complete the project in the second half of calendar 2027.</w:t>
      </w:r>
    </w:p>
    <w:p>
      <w:pPr>
        <w:spacing w:after="0" w:line="68"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The Company will continue to proactively pursue acquisition opportunities and organic growth investments. Our free cash flow and balance sheet strength enable us to consider acquisitions and organic growth opportunities that align with our stringent return-on-investment criteria and advance our strategic priorities.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04483"/>
        </w:rPr>
        <w:t>Operate in a socially and environmentally responsible manner</w:t>
      </w:r>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aim to conduct all our operations in a way that enhances the returns and the sustainability of our business, ensures the health and safety of our employees, and minimizes negative environmental effects. We have defined our environmental and social responsibility priorities and developed a roadmap for pursuing them. Our initiatives encompass land use, water, emissions, the reduction of the carbon impacts of our products, human resources, and governance practices, which are all areas we view as essential to our success.</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Management is responsible for implementing these initiatives, and our Board of Directors, or Board, is committed to overseeing and ensuring progress across our sustainability initiatives. In particular, pursuant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8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to its charter, the Board's Corporate Governance, Nominating and Sustainability Committee has formal responsibility for leading the Board's oversight of these matters in coordination with management and other Board committees as appropriate. Management submits quarterly progress reports to the Board, and sustainability is a topic of discussion at every quarterly Board meeting. Compensation for key executives is linked, in part, to the achievement of specific sustainability goals.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Capital Allocation Priorities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capital allocation priorities are intended to enhance shareholder value and are as follows:</w:t>
      </w:r>
    </w:p>
    <w:p>
      <w:pPr>
        <w:spacing w:after="0" w:line="104"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investing in growth opportunities that meet our strict financial return standards and are consistent with our strategic focus</w:t>
      </w:r>
    </w:p>
    <w:p>
      <w:pPr>
        <w:spacing w:after="0" w:line="103"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operating capital investments to maintain and strengthen our low-cost producer position</w:t>
      </w:r>
    </w:p>
    <w:p>
      <w:pPr>
        <w:spacing w:after="0" w:line="103"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returning excess cash to shareholders through our share repurchase program and dividends.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past five years, we have invested $388.4 million in acquisitions, $905.0 million in organic capital expenditures, and approximately $2.2 billion in share repurchases and dividends. Since becoming a public company in 1994, our share count is down approximately 55%, and we have returned approximately $4.3 billion to our shareholders through a combination of share repurchases and dividends.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FISCAL 2026 EVENTS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Financial Highlights</w:t>
      </w:r>
    </w:p>
    <w:p>
      <w:pPr>
        <w:spacing w:after="0" w:line="99"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Fiscal 2026 was a strong year for the Company, with increased earnings in our Cement, Concrete and Aggregates, and Recycled Paperboard segments. Financial highlights for fiscal 2026 compared with fiscal 2025 include:</w:t>
      </w:r>
    </w:p>
    <w:p>
      <w:pPr>
        <w:spacing w:after="0" w:line="46"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Revenue of $2.3 billion, up 2% from prior year</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of $423.8 million, down 9%</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of $13.16, down 4%</w:t>
      </w:r>
    </w:p>
    <w:p>
      <w:pPr>
        <w:spacing w:after="0" w:line="103" w:lineRule="exact"/>
        <w:rPr>
          <w:rFonts w:ascii="Arial" w:cs="Arial" w:eastAsia="Arial" w:hAnsi="Arial"/>
          <w:sz w:val="18"/>
          <w:szCs w:val="18"/>
          <w:color w:val="auto"/>
        </w:rPr>
      </w:pPr>
    </w:p>
    <w:p>
      <w:pPr>
        <w:ind w:left="240" w:right="20" w:hanging="232"/>
        <w:spacing w:after="0" w:line="271"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approximately 1.7 million shares of our Common Stock for $381.8 million, returning a total of $414.2 million to shareholders through share repurchases and dividends</w:t>
      </w:r>
    </w:p>
    <w:p>
      <w:pPr>
        <w:spacing w:after="0" w:line="45"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Issued $750.0 million of 10-year senior notes with an interest rate of 5.000%, extending debt maturity schedule and increasing liquidity</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Strategic Highlights</w:t>
      </w:r>
    </w:p>
    <w:p>
      <w:pPr>
        <w:spacing w:after="0" w:line="9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During fiscal 2026, we executed the following strategic actions that extended our integrated plant network, advanced our low-cost position, and expanded our ability to meet increasing demand in high-growth markets.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004483"/>
        </w:rPr>
        <w:t>Modernization and Expansion of our Laramie, Wyoming Cement Plant</w:t>
      </w:r>
    </w:p>
    <w:p>
      <w:pPr>
        <w:spacing w:after="0" w:line="9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Construction on the modernization and expansion of our Mountain Cement facility in Laramie, Wyoming continued during fiscal 2026. The modernized plant and the construction of an additional cement distribution facility in northern Colorado will employ state-of-the-art technology, which will maximize operating efficiencies and further strengthen our low-cost producer position. Upon completion of the project, the plant's manufacturing capacity will increase by nearly 50% to approximately 1.2 million tons of</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p>
      <w:pPr>
        <w:spacing w:after="0" w:line="8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cement, and it is expected that manufacturing costs will be reduced by approximately 25%. We expect start-up of the new facility in late calendar 2026.</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004483"/>
        </w:rPr>
        <w:t>Modernization and Expansion of our Duke, Oklahoma Gypsum Wallboard Plant</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began construction and made good progress on our $330.0 million project to modernize and expand our Gypsum Wallboard facility in Oklahoma. This project will increase capacity by 25% to 1.5 billion square feet (bsf) of production, lower the plant's operating costs, and take advantage of our nearby, low-cost natural gypsum reserves. We expect to complete the project in the second half of calendar 2027.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HUMAN CAPITAL</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March 31, 2026, the Company had approximately 2,800 employees, of which approximately 800 are salaried, and approximately 2,000 are hourly. Approximately 780 of the hourly employees are employed under collective bargaining agreements and various supplemental agreements with local unions.</w:t>
      </w:r>
    </w:p>
    <w:p>
      <w:pPr>
        <w:spacing w:after="0" w:line="6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Recruiting, developing, and retaining qualified employees is essential to implement our strategy and maintain our low-cost position. The health and safety of our employees is the highest priority of management. We have comprehensive safety and wellness processes and policies and all our employees are provided with the training necessary to safely and effectively perform their responsibilities. In all our businesses we have implemented initiatives to improve workplace safety. We hold an annual safety conference during which we review our safety performance, assess the effectiveness of our programs, and determine improvement actions. Specific areas of review include training programs, best practices, and leading indicators such as near-miss reporting and root cause analysis of all lost-time injuries. We also engage outside parties to advise on safety trends and ways to mitigate identified risks.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a variety of safety metrics, including leading and lagging indicators, and the business units give corporate management monthly updates. During fiscal 2026, our total recordable incident rate, or TRIR, was below the industry average for our combined businesses.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INDUSTRY SEGMENT INFORMATION</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The primary end market for our Cement and Concrete and Aggregates segments is infrastructure. The primary end market for our Gypsum Wallboard and Recycled Paperboard segments is 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62230</wp:posOffset>
            </wp:positionV>
            <wp:extent cx="5263515" cy="255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6351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For information about the financial results of our business segments, including revenue, average net sales prices, sales volume, and operating earnings, please see Item 7.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86191"/>
        </w:rPr>
        <w:t>Heavy Materials</w:t>
      </w:r>
    </w:p>
    <w:p>
      <w:pPr>
        <w:spacing w:after="0" w:line="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Heavy Materials sector provides cement and concrete and aggregates for use in public infrastructure, private nonresidential, and residential construction. This sector comprises the Cement and Concrete and Aggregates segments. In calendar 2025, cement consumption in the United States, as stated by the American Cement Association (ACA), was 112.3 million short tons, which was approximately 2% lower than calendar 2024 consumption levels; whereas, our fiscal 2026 cement sales volume was up 8%. Our outperformance is due to our regional markets outperforming the national average and our fiscal year being a slightly different time period. Importantly, the U.S. consumes more cement than can be produced domestically. Imported cement consumption represented nearly 23% of total U.S. sales in both calendar 2025 and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CEMENT</w:t>
      </w:r>
    </w:p>
    <w:p>
      <w:pPr>
        <w:spacing w:after="0" w:line="10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Cement is the basic binding agent for concrete, a primary construction material. The principal sources of demand for cement are public infrastructure, private nonresidential construction, and residential construction, with public infrastructure accounting for approximately 50% of cement demand. The U.S. cement industry comprises numerous regional markets rather than a single national market. Cement consumption is affected by the time of year and prevalent weather conditions. Cement sales are generally greatest from spring through the middle of autumn.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manufacturing process for cement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080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We also produce and market other cementitious products, including slag cement. Slag granules are obtained from steel companies and ground in our grinding facilities in Illinois and Texas. Slag is used in concrete mix designs to improve the durability of concrete and reduce future maintenance costs.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Limestone Mining Operations</w:t>
      </w:r>
    </w:p>
    <w:p>
      <w:pPr>
        <w:spacing w:after="0" w:line="104"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We mine primarily limestone at our quarry operations serving each of our cement plants. The limestone mined at our quarries is then converted to cement, as outlined above. Each of our cement plants has its own dedicated limestone quarries, all of which have adequate access to highways and/or waterways. For more information about our limestone mining properties, including estimates of limestone resources and reserves, see Item 2. Properties.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Cement Plants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operate eight modern cement plants, and two slag grinding facilities (one cement plant and one slag grinding facility are operated through a joint venture). Our clinker capacity is approximately 6.7 million tons, which is approximately 6% of total U.S. clinker capacity. Clinker is the intermediary product before it is ground into cement powder (see production process graphic above). All of our cement plants use dry-process technology, and approximately 80% of our clinker capacity is produced from preheater or preheater/pre-calciner kilns, which are generally more energy-efficient kiln types. In addition to production facilities, we also operate over 30 cement storage and distribution terminals.</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cement companies focus on the U.S. heartland and operate as an integrated network selling product mainly in Colorado, Illinois, Kansas, Kentucky, Indiana, Iowa, Missouri, Nebraska, Nevada, Ohio, Oklahoma, Tennessee, and Texas. Our Joint Venture (as defined below) includes a minority interest in an import terminal in Houston, Texas, from which we can purchase up to 495,000 tons of cement annually. Our slag facilities are located near Chicago, Illinois and Houston, Texas. Both slag facilities have 500,000 tons annual grinding capacity.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cement plants at March 31, 2026 (tons are in thousands of short tons).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520" w:type="dxa"/>
            <w:vAlign w:val="bottom"/>
          </w:tcPr>
          <w:p>
            <w:pPr>
              <w:jc w:val="right"/>
              <w:ind w:right="32"/>
              <w:spacing w:after="0"/>
              <w:rPr>
                <w:sz w:val="20"/>
                <w:szCs w:val="20"/>
                <w:color w:val="auto"/>
              </w:rPr>
            </w:pPr>
            <w:r>
              <w:rPr>
                <w:rFonts w:ascii="Arial" w:cs="Arial" w:eastAsia="Arial" w:hAnsi="Arial"/>
                <w:sz w:val="16"/>
                <w:szCs w:val="16"/>
                <w:b w:val="1"/>
                <w:bCs w:val="1"/>
                <w:color w:val="auto"/>
              </w:rPr>
              <w:t>Rated Annual</w:t>
            </w:r>
          </w:p>
        </w:tc>
        <w:tc>
          <w:tcPr>
            <w:tcW w:w="12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Annual</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ind w:left="260"/>
              <w:spacing w:after="0"/>
              <w:rPr>
                <w:sz w:val="20"/>
                <w:szCs w:val="20"/>
                <w:color w:val="auto"/>
              </w:rPr>
            </w:pPr>
            <w:r>
              <w:rPr>
                <w:rFonts w:ascii="Arial" w:cs="Arial" w:eastAsia="Arial" w:hAnsi="Arial"/>
                <w:sz w:val="16"/>
                <w:szCs w:val="16"/>
                <w:b w:val="1"/>
                <w:bCs w:val="1"/>
                <w:color w:val="auto"/>
              </w:rPr>
              <w:t>Kiln</w:t>
            </w:r>
          </w:p>
        </w:tc>
      </w:tr>
      <w:tr>
        <w:trPr>
          <w:trHeight w:val="163"/>
        </w:trPr>
        <w:tc>
          <w:tcPr>
            <w:tcW w:w="2180" w:type="dxa"/>
            <w:vAlign w:val="bottom"/>
          </w:tcPr>
          <w:p>
            <w:pPr>
              <w:spacing w:after="0"/>
              <w:rPr>
                <w:sz w:val="14"/>
                <w:szCs w:val="14"/>
                <w:color w:val="auto"/>
              </w:rPr>
            </w:pPr>
          </w:p>
        </w:tc>
        <w:tc>
          <w:tcPr>
            <w:tcW w:w="1520" w:type="dxa"/>
            <w:vAlign w:val="bottom"/>
          </w:tcPr>
          <w:p>
            <w:pPr>
              <w:jc w:val="right"/>
              <w:ind w:right="32"/>
              <w:spacing w:after="0" w:line="163" w:lineRule="exact"/>
              <w:rPr>
                <w:sz w:val="20"/>
                <w:szCs w:val="20"/>
                <w:color w:val="auto"/>
              </w:rPr>
            </w:pPr>
            <w:r>
              <w:rPr>
                <w:rFonts w:ascii="Arial" w:cs="Arial" w:eastAsia="Arial" w:hAnsi="Arial"/>
                <w:sz w:val="16"/>
                <w:szCs w:val="16"/>
                <w:b w:val="1"/>
                <w:bCs w:val="1"/>
                <w:color w:val="auto"/>
              </w:rPr>
              <w:t>Clinker</w:t>
            </w:r>
          </w:p>
        </w:tc>
        <w:tc>
          <w:tcPr>
            <w:tcW w:w="120" w:type="dxa"/>
            <w:vAlign w:val="bottom"/>
          </w:tcPr>
          <w:p>
            <w:pPr>
              <w:spacing w:after="0"/>
              <w:rPr>
                <w:sz w:val="14"/>
                <w:szCs w:val="14"/>
                <w:color w:val="auto"/>
              </w:rPr>
            </w:pPr>
          </w:p>
        </w:tc>
        <w:tc>
          <w:tcPr>
            <w:tcW w:w="1300" w:type="dxa"/>
            <w:vAlign w:val="bottom"/>
          </w:tcPr>
          <w:p>
            <w:pPr>
              <w:jc w:val="right"/>
              <w:ind w:right="39"/>
              <w:spacing w:after="0" w:line="163" w:lineRule="exact"/>
              <w:rPr>
                <w:sz w:val="20"/>
                <w:szCs w:val="20"/>
                <w:color w:val="auto"/>
              </w:rPr>
            </w:pPr>
            <w:r>
              <w:rPr>
                <w:rFonts w:ascii="Arial" w:cs="Arial" w:eastAsia="Arial" w:hAnsi="Arial"/>
                <w:sz w:val="16"/>
                <w:szCs w:val="16"/>
                <w:b w:val="1"/>
                <w:bCs w:val="1"/>
                <w:color w:val="auto"/>
              </w:rPr>
              <w:t>Grinding</w:t>
            </w:r>
          </w:p>
        </w:tc>
        <w:tc>
          <w:tcPr>
            <w:tcW w:w="3520" w:type="dxa"/>
            <w:vAlign w:val="bottom"/>
            <w:gridSpan w:val="2"/>
          </w:tcPr>
          <w:p>
            <w:pPr>
              <w:ind w:left="180"/>
              <w:spacing w:after="0" w:line="163" w:lineRule="exact"/>
              <w:rPr>
                <w:sz w:val="20"/>
                <w:szCs w:val="20"/>
                <w:color w:val="auto"/>
              </w:rPr>
            </w:pPr>
            <w:r>
              <w:rPr>
                <w:rFonts w:ascii="Arial" w:cs="Arial" w:eastAsia="Arial" w:hAnsi="Arial"/>
                <w:sz w:val="16"/>
                <w:szCs w:val="16"/>
                <w:b w:val="1"/>
                <w:bCs w:val="1"/>
                <w:color w:val="auto"/>
              </w:rPr>
              <w:t>Manufacturing</w:t>
            </w:r>
          </w:p>
        </w:tc>
        <w:tc>
          <w:tcPr>
            <w:tcW w:w="1240" w:type="dxa"/>
            <w:vAlign w:val="bottom"/>
          </w:tcPr>
          <w:p>
            <w:pPr>
              <w:ind w:left="380"/>
              <w:spacing w:after="0" w:line="163" w:lineRule="exact"/>
              <w:rPr>
                <w:sz w:val="20"/>
                <w:szCs w:val="20"/>
                <w:color w:val="auto"/>
              </w:rPr>
            </w:pPr>
            <w:r>
              <w:rPr>
                <w:rFonts w:ascii="Arial" w:cs="Arial" w:eastAsia="Arial" w:hAnsi="Arial"/>
                <w:sz w:val="16"/>
                <w:szCs w:val="16"/>
                <w:b w:val="1"/>
                <w:bCs w:val="1"/>
                <w:color w:val="auto"/>
              </w:rPr>
              <w:t>Number</w:t>
            </w:r>
          </w:p>
        </w:tc>
        <w:tc>
          <w:tcPr>
            <w:tcW w:w="1360" w:type="dxa"/>
            <w:vAlign w:val="bottom"/>
          </w:tcPr>
          <w:p>
            <w:pPr>
              <w:ind w:left="260"/>
              <w:spacing w:after="0" w:line="163" w:lineRule="exact"/>
              <w:rPr>
                <w:sz w:val="20"/>
                <w:szCs w:val="20"/>
                <w:color w:val="auto"/>
              </w:rPr>
            </w:pPr>
            <w:r>
              <w:rPr>
                <w:rFonts w:ascii="Arial" w:cs="Arial" w:eastAsia="Arial" w:hAnsi="Arial"/>
                <w:sz w:val="16"/>
                <w:szCs w:val="16"/>
                <w:b w:val="1"/>
                <w:bCs w:val="1"/>
                <w:color w:val="auto"/>
              </w:rPr>
              <w:t>Dedication</w:t>
            </w:r>
          </w:p>
        </w:tc>
      </w:tr>
      <w:tr>
        <w:trPr>
          <w:trHeight w:val="264"/>
        </w:trPr>
        <w:tc>
          <w:tcPr>
            <w:tcW w:w="2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Plant Location</w:t>
            </w: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 xml:space="preserve">Capacity </w:t>
            </w:r>
            <w:r>
              <w:rPr>
                <w:rFonts w:ascii="Arial" w:cs="Arial" w:eastAsia="Arial" w:hAnsi="Arial"/>
                <w:sz w:val="21"/>
                <w:szCs w:val="21"/>
                <w:b w:val="1"/>
                <w:bCs w:val="1"/>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Capacity</w:t>
            </w:r>
          </w:p>
        </w:tc>
        <w:tc>
          <w:tcPr>
            <w:tcW w:w="35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Process</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of Kilns</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Date</w:t>
            </w:r>
          </w:p>
        </w:tc>
      </w:tr>
      <w:tr>
        <w:trPr>
          <w:trHeight w:val="338"/>
        </w:trPr>
        <w:tc>
          <w:tcPr>
            <w:tcW w:w="218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3983C5"/>
              </w:rPr>
              <w:t xml:space="preserve">Buda, TX </w:t>
            </w:r>
            <w:r>
              <w:rPr>
                <w:rFonts w:ascii="Arial" w:cs="Arial" w:eastAsia="Arial" w:hAnsi="Arial"/>
                <w:sz w:val="24"/>
                <w:szCs w:val="24"/>
                <w:b w:val="1"/>
                <w:bCs w:val="1"/>
                <w:color w:val="3983C5"/>
                <w:vertAlign w:val="superscript"/>
              </w:rPr>
              <w:t>(2)</w:t>
            </w:r>
          </w:p>
        </w:tc>
        <w:tc>
          <w:tcPr>
            <w:tcW w:w="1520" w:type="dxa"/>
            <w:vAlign w:val="bottom"/>
            <w:tcBorders>
              <w:bottom w:val="single" w:sz="8" w:color="A6A6A6"/>
            </w:tcBorders>
          </w:tcPr>
          <w:p>
            <w:pPr>
              <w:jc w:val="right"/>
              <w:ind w:right="32"/>
              <w:spacing w:after="0"/>
              <w:rPr>
                <w:sz w:val="20"/>
                <w:szCs w:val="20"/>
                <w:color w:val="auto"/>
              </w:rPr>
            </w:pPr>
            <w:r>
              <w:rPr>
                <w:rFonts w:ascii="Arial" w:cs="Arial" w:eastAsia="Arial" w:hAnsi="Arial"/>
                <w:sz w:val="18"/>
                <w:szCs w:val="18"/>
                <w:color w:val="auto"/>
              </w:rPr>
              <w:t>1,300</w:t>
            </w:r>
          </w:p>
        </w:tc>
        <w:tc>
          <w:tcPr>
            <w:tcW w:w="1420" w:type="dxa"/>
            <w:vAlign w:val="bottom"/>
            <w:tcBorders>
              <w:bottom w:val="single" w:sz="8" w:color="A6A6A6"/>
            </w:tcBorders>
            <w:gridSpan w:val="2"/>
          </w:tcPr>
          <w:p>
            <w:pPr>
              <w:jc w:val="right"/>
              <w:ind w:right="39"/>
              <w:spacing w:after="0"/>
              <w:rPr>
                <w:sz w:val="20"/>
                <w:szCs w:val="20"/>
                <w:color w:val="auto"/>
              </w:rPr>
            </w:pPr>
            <w:r>
              <w:rPr>
                <w:rFonts w:ascii="Arial" w:cs="Arial" w:eastAsia="Arial" w:hAnsi="Arial"/>
                <w:sz w:val="18"/>
                <w:szCs w:val="18"/>
                <w:color w:val="auto"/>
              </w:rPr>
              <w:t>1,435</w:t>
            </w:r>
          </w:p>
        </w:tc>
        <w:tc>
          <w:tcPr>
            <w:tcW w:w="3520" w:type="dxa"/>
            <w:vAlign w:val="bottom"/>
            <w:tcBorders>
              <w:bottom w:val="single" w:sz="8" w:color="A6A6A6"/>
            </w:tcBorders>
            <w:gridSpan w:val="2"/>
          </w:tcPr>
          <w:p>
            <w:pPr>
              <w:ind w:left="180"/>
              <w:spacing w:after="0"/>
              <w:rPr>
                <w:sz w:val="20"/>
                <w:szCs w:val="20"/>
                <w:color w:val="auto"/>
              </w:rPr>
            </w:pPr>
            <w:r>
              <w:rPr>
                <w:rFonts w:ascii="Arial" w:cs="Arial" w:eastAsia="Arial" w:hAnsi="Arial"/>
                <w:sz w:val="18"/>
                <w:szCs w:val="18"/>
                <w:color w:val="auto"/>
              </w:rPr>
              <w:t>Dry – 4 Stage Preheater/Pre-calciner</w:t>
            </w:r>
          </w:p>
        </w:tc>
        <w:tc>
          <w:tcPr>
            <w:tcW w:w="1240" w:type="dxa"/>
            <w:vAlign w:val="bottom"/>
            <w:tcBorders>
              <w:bottom w:val="single" w:sz="8" w:color="A6A6A6"/>
            </w:tcBorders>
          </w:tcPr>
          <w:p>
            <w:pPr>
              <w:ind w:left="38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6A6A6"/>
            </w:tcBorders>
          </w:tcPr>
          <w:p>
            <w:pPr>
              <w:ind w:left="260"/>
              <w:spacing w:after="0"/>
              <w:rPr>
                <w:sz w:val="20"/>
                <w:szCs w:val="20"/>
                <w:color w:val="auto"/>
              </w:rPr>
            </w:pPr>
            <w:r>
              <w:rPr>
                <w:rFonts w:ascii="Arial" w:cs="Arial" w:eastAsia="Arial" w:hAnsi="Arial"/>
                <w:sz w:val="18"/>
                <w:szCs w:val="18"/>
                <w:color w:val="auto"/>
              </w:rPr>
              <w:t>1983</w:t>
            </w:r>
          </w:p>
        </w:tc>
      </w:tr>
      <w:tr>
        <w:trPr>
          <w:trHeight w:val="289"/>
        </w:trPr>
        <w:tc>
          <w:tcPr>
            <w:tcW w:w="2180" w:type="dxa"/>
            <w:vAlign w:val="bottom"/>
          </w:tcPr>
          <w:p>
            <w:pPr>
              <w:spacing w:after="0"/>
              <w:rPr>
                <w:sz w:val="20"/>
                <w:szCs w:val="20"/>
                <w:color w:val="auto"/>
              </w:rPr>
            </w:pPr>
            <w:r>
              <w:rPr>
                <w:rFonts w:ascii="Arial" w:cs="Arial" w:eastAsia="Arial" w:hAnsi="Arial"/>
                <w:sz w:val="18"/>
                <w:szCs w:val="18"/>
                <w:b w:val="1"/>
                <w:bCs w:val="1"/>
                <w:color w:val="3983C5"/>
              </w:rPr>
              <w:t>LaSalle, IL</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color w:val="auto"/>
              </w:rPr>
              <w:t>1,100</w:t>
            </w: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Dry – 5 Stage Preheater/Pre-calciner</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42"/>
        </w:trPr>
        <w:tc>
          <w:tcPr>
            <w:tcW w:w="218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3520" w:type="dxa"/>
            <w:vAlign w:val="bottom"/>
            <w:tcBorders>
              <w:bottom w:val="single" w:sz="8" w:color="A6A6A6"/>
            </w:tcBorders>
            <w:gridSpan w:val="2"/>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r>
      <w:tr>
        <w:trPr>
          <w:trHeight w:val="289"/>
        </w:trPr>
        <w:tc>
          <w:tcPr>
            <w:tcW w:w="2180" w:type="dxa"/>
            <w:vAlign w:val="bottom"/>
          </w:tcPr>
          <w:p>
            <w:pPr>
              <w:spacing w:after="0"/>
              <w:rPr>
                <w:sz w:val="20"/>
                <w:szCs w:val="20"/>
                <w:color w:val="auto"/>
              </w:rPr>
            </w:pPr>
            <w:r>
              <w:rPr>
                <w:rFonts w:ascii="Arial" w:cs="Arial" w:eastAsia="Arial" w:hAnsi="Arial"/>
                <w:sz w:val="18"/>
                <w:szCs w:val="18"/>
                <w:b w:val="1"/>
                <w:bCs w:val="1"/>
                <w:color w:val="3983C5"/>
              </w:rPr>
              <w:t>Sugar Creek, MO</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color w:val="auto"/>
              </w:rPr>
              <w:t>1,300</w:t>
            </w: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Dry – 5 Stage Preheater/Pre-calciner</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2002</w:t>
            </w:r>
          </w:p>
        </w:tc>
      </w:tr>
      <w:tr>
        <w:trPr>
          <w:trHeight w:val="42"/>
        </w:trPr>
        <w:tc>
          <w:tcPr>
            <w:tcW w:w="218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274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r>
      <w:tr>
        <w:trPr>
          <w:trHeight w:val="289"/>
        </w:trPr>
        <w:tc>
          <w:tcPr>
            <w:tcW w:w="2180" w:type="dxa"/>
            <w:vAlign w:val="bottom"/>
          </w:tcPr>
          <w:p>
            <w:pPr>
              <w:spacing w:after="0"/>
              <w:rPr>
                <w:sz w:val="20"/>
                <w:szCs w:val="20"/>
                <w:color w:val="auto"/>
              </w:rPr>
            </w:pPr>
            <w:r>
              <w:rPr>
                <w:rFonts w:ascii="Arial" w:cs="Arial" w:eastAsia="Arial" w:hAnsi="Arial"/>
                <w:sz w:val="18"/>
                <w:szCs w:val="18"/>
                <w:b w:val="1"/>
                <w:bCs w:val="1"/>
                <w:color w:val="3983C5"/>
              </w:rPr>
              <w:t>Laramie, WY</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650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color w:val="auto"/>
              </w:rPr>
              <w:t>800</w:t>
            </w:r>
          </w:p>
        </w:tc>
        <w:tc>
          <w:tcPr>
            <w:tcW w:w="780" w:type="dxa"/>
            <w:vAlign w:val="bottom"/>
          </w:tcPr>
          <w:p>
            <w:pPr>
              <w:ind w:left="180"/>
              <w:spacing w:after="0"/>
              <w:rPr>
                <w:sz w:val="20"/>
                <w:szCs w:val="20"/>
                <w:color w:val="auto"/>
              </w:rPr>
            </w:pPr>
            <w:r>
              <w:rPr>
                <w:rFonts w:ascii="Arial" w:cs="Arial" w:eastAsia="Arial" w:hAnsi="Arial"/>
                <w:sz w:val="18"/>
                <w:szCs w:val="18"/>
                <w:color w:val="auto"/>
                <w:w w:val="99"/>
              </w:rPr>
              <w:t>Dry – 2</w:t>
            </w:r>
          </w:p>
        </w:tc>
        <w:tc>
          <w:tcPr>
            <w:tcW w:w="2740" w:type="dxa"/>
            <w:vAlign w:val="bottom"/>
          </w:tcPr>
          <w:p>
            <w:pPr>
              <w:ind w:left="40"/>
              <w:spacing w:after="0"/>
              <w:rPr>
                <w:sz w:val="20"/>
                <w:szCs w:val="20"/>
                <w:color w:val="auto"/>
              </w:rPr>
            </w:pPr>
            <w:r>
              <w:rPr>
                <w:rFonts w:ascii="Arial" w:cs="Arial" w:eastAsia="Arial" w:hAnsi="Arial"/>
                <w:sz w:val="18"/>
                <w:szCs w:val="18"/>
                <w:color w:val="auto"/>
              </w:rPr>
              <w:t>Stage Preheater</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1988</w:t>
            </w:r>
          </w:p>
        </w:tc>
      </w:tr>
      <w:tr>
        <w:trPr>
          <w:trHeight w:val="42"/>
        </w:trPr>
        <w:tc>
          <w:tcPr>
            <w:tcW w:w="2180" w:type="dxa"/>
            <w:vAlign w:val="bottom"/>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3520" w:type="dxa"/>
            <w:vAlign w:val="bottom"/>
            <w:tcBorders>
              <w:bottom w:val="single" w:sz="8" w:color="A6A6A6"/>
            </w:tcBorders>
            <w:gridSpan w:val="2"/>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r>
      <w:tr>
        <w:trPr>
          <w:trHeight w:val="281"/>
        </w:trPr>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Dry – Long Dry Kiln</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1996</w:t>
            </w:r>
          </w:p>
        </w:tc>
      </w:tr>
      <w:tr>
        <w:trPr>
          <w:trHeight w:val="50"/>
        </w:trPr>
        <w:tc>
          <w:tcPr>
            <w:tcW w:w="218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300" w:type="dxa"/>
            <w:vAlign w:val="bottom"/>
            <w:tcBorders>
              <w:bottom w:val="single" w:sz="8" w:color="A6A6A6"/>
            </w:tcBorders>
          </w:tcPr>
          <w:p>
            <w:pPr>
              <w:spacing w:after="0"/>
              <w:rPr>
                <w:sz w:val="4"/>
                <w:szCs w:val="4"/>
                <w:color w:val="auto"/>
              </w:rPr>
            </w:pPr>
          </w:p>
        </w:tc>
        <w:tc>
          <w:tcPr>
            <w:tcW w:w="3520" w:type="dxa"/>
            <w:vAlign w:val="bottom"/>
            <w:tcBorders>
              <w:bottom w:val="single" w:sz="8" w:color="A6A6A6"/>
            </w:tcBorders>
            <w:gridSpan w:val="2"/>
          </w:tcPr>
          <w:p>
            <w:pPr>
              <w:spacing w:after="0"/>
              <w:rPr>
                <w:sz w:val="4"/>
                <w:szCs w:val="4"/>
                <w:color w:val="auto"/>
              </w:rPr>
            </w:pPr>
          </w:p>
        </w:tc>
        <w:tc>
          <w:tcPr>
            <w:tcW w:w="124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89"/>
        </w:trPr>
        <w:tc>
          <w:tcPr>
            <w:tcW w:w="2180" w:type="dxa"/>
            <w:vAlign w:val="bottom"/>
          </w:tcPr>
          <w:p>
            <w:pPr>
              <w:spacing w:after="0"/>
              <w:rPr>
                <w:sz w:val="20"/>
                <w:szCs w:val="20"/>
                <w:color w:val="auto"/>
              </w:rPr>
            </w:pPr>
            <w:r>
              <w:rPr>
                <w:rFonts w:ascii="Arial" w:cs="Arial" w:eastAsia="Arial" w:hAnsi="Arial"/>
                <w:sz w:val="18"/>
                <w:szCs w:val="18"/>
                <w:b w:val="1"/>
                <w:bCs w:val="1"/>
                <w:color w:val="3983C5"/>
              </w:rPr>
              <w:t>Tulsa, OK</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color w:val="auto"/>
              </w:rPr>
              <w:t>900</w:t>
            </w: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Dry – Long Dry Kiln</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1961</w:t>
            </w:r>
          </w:p>
        </w:tc>
      </w:tr>
      <w:tr>
        <w:trPr>
          <w:trHeight w:val="42"/>
        </w:trPr>
        <w:tc>
          <w:tcPr>
            <w:tcW w:w="2180" w:type="dxa"/>
            <w:vAlign w:val="bottom"/>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3520" w:type="dxa"/>
            <w:vAlign w:val="bottom"/>
            <w:tcBorders>
              <w:bottom w:val="single" w:sz="8" w:color="A6A6A6"/>
            </w:tcBorders>
            <w:gridSpan w:val="2"/>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r>
      <w:tr>
        <w:trPr>
          <w:trHeight w:val="305"/>
        </w:trPr>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Dry ‒ Long Dry Kiln</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1964</w:t>
            </w:r>
          </w:p>
        </w:tc>
      </w:tr>
      <w:tr>
        <w:trPr>
          <w:trHeight w:val="26"/>
        </w:trPr>
        <w:tc>
          <w:tcPr>
            <w:tcW w:w="2180" w:type="dxa"/>
            <w:vAlign w:val="bottom"/>
            <w:tcBorders>
              <w:bottom w:val="single" w:sz="8" w:color="A6A6A6"/>
            </w:tcBorders>
          </w:tcPr>
          <w:p>
            <w:pPr>
              <w:spacing w:after="0"/>
              <w:rPr>
                <w:sz w:val="2"/>
                <w:szCs w:val="2"/>
                <w:color w:val="auto"/>
              </w:rPr>
            </w:pPr>
          </w:p>
        </w:tc>
        <w:tc>
          <w:tcPr>
            <w:tcW w:w="152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300" w:type="dxa"/>
            <w:vAlign w:val="bottom"/>
            <w:tcBorders>
              <w:bottom w:val="single" w:sz="8" w:color="A6A6A6"/>
            </w:tcBorders>
          </w:tcPr>
          <w:p>
            <w:pPr>
              <w:spacing w:after="0"/>
              <w:rPr>
                <w:sz w:val="2"/>
                <w:szCs w:val="2"/>
                <w:color w:val="auto"/>
              </w:rPr>
            </w:pPr>
          </w:p>
        </w:tc>
        <w:tc>
          <w:tcPr>
            <w:tcW w:w="3520" w:type="dxa"/>
            <w:vAlign w:val="bottom"/>
            <w:tcBorders>
              <w:bottom w:val="single" w:sz="8" w:color="A6A6A6"/>
            </w:tcBorders>
            <w:gridSpan w:val="2"/>
          </w:tcPr>
          <w:p>
            <w:pPr>
              <w:spacing w:after="0"/>
              <w:rPr>
                <w:sz w:val="2"/>
                <w:szCs w:val="2"/>
                <w:color w:val="auto"/>
              </w:rPr>
            </w:pPr>
          </w:p>
        </w:tc>
        <w:tc>
          <w:tcPr>
            <w:tcW w:w="1240" w:type="dxa"/>
            <w:vAlign w:val="bottom"/>
            <w:tcBorders>
              <w:bottom w:val="single" w:sz="8" w:color="A6A6A6"/>
            </w:tcBorders>
          </w:tcPr>
          <w:p>
            <w:pPr>
              <w:spacing w:after="0"/>
              <w:rPr>
                <w:sz w:val="2"/>
                <w:szCs w:val="2"/>
                <w:color w:val="auto"/>
              </w:rPr>
            </w:pPr>
          </w:p>
        </w:tc>
        <w:tc>
          <w:tcPr>
            <w:tcW w:w="1360" w:type="dxa"/>
            <w:vAlign w:val="bottom"/>
            <w:tcBorders>
              <w:bottom w:val="single" w:sz="8" w:color="A6A6A6"/>
            </w:tcBorders>
          </w:tcPr>
          <w:p>
            <w:pPr>
              <w:spacing w:after="0"/>
              <w:rPr>
                <w:sz w:val="2"/>
                <w:szCs w:val="2"/>
                <w:color w:val="auto"/>
              </w:rPr>
            </w:pPr>
          </w:p>
        </w:tc>
      </w:tr>
      <w:tr>
        <w:trPr>
          <w:trHeight w:val="289"/>
        </w:trPr>
        <w:tc>
          <w:tcPr>
            <w:tcW w:w="2180" w:type="dxa"/>
            <w:vAlign w:val="bottom"/>
          </w:tcPr>
          <w:p>
            <w:pPr>
              <w:spacing w:after="0"/>
              <w:rPr>
                <w:sz w:val="20"/>
                <w:szCs w:val="20"/>
                <w:color w:val="auto"/>
              </w:rPr>
            </w:pPr>
            <w:r>
              <w:rPr>
                <w:rFonts w:ascii="Arial" w:cs="Arial" w:eastAsia="Arial" w:hAnsi="Arial"/>
                <w:sz w:val="18"/>
                <w:szCs w:val="18"/>
                <w:b w:val="1"/>
                <w:bCs w:val="1"/>
                <w:color w:val="3983C5"/>
              </w:rPr>
              <w:t>Fernley, NV</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color w:val="auto"/>
              </w:rPr>
              <w:t>550</w:t>
            </w: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Dry – Long Dry Kiln</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1964</w:t>
            </w:r>
          </w:p>
        </w:tc>
      </w:tr>
      <w:tr>
        <w:trPr>
          <w:trHeight w:val="42"/>
        </w:trPr>
        <w:tc>
          <w:tcPr>
            <w:tcW w:w="2180" w:type="dxa"/>
            <w:vAlign w:val="bottom"/>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274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r>
      <w:tr>
        <w:trPr>
          <w:trHeight w:val="281"/>
        </w:trPr>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w w:val="99"/>
              </w:rPr>
              <w:t>Dry – 1</w:t>
            </w:r>
          </w:p>
        </w:tc>
        <w:tc>
          <w:tcPr>
            <w:tcW w:w="2740" w:type="dxa"/>
            <w:vAlign w:val="bottom"/>
          </w:tcPr>
          <w:p>
            <w:pPr>
              <w:ind w:left="40"/>
              <w:spacing w:after="0"/>
              <w:rPr>
                <w:sz w:val="20"/>
                <w:szCs w:val="20"/>
                <w:color w:val="auto"/>
              </w:rPr>
            </w:pPr>
            <w:r>
              <w:rPr>
                <w:rFonts w:ascii="Arial" w:cs="Arial" w:eastAsia="Arial" w:hAnsi="Arial"/>
                <w:sz w:val="18"/>
                <w:szCs w:val="18"/>
                <w:color w:val="auto"/>
              </w:rPr>
              <w:t>Stage Preheater</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1969</w:t>
            </w:r>
          </w:p>
        </w:tc>
      </w:tr>
      <w:tr>
        <w:trPr>
          <w:trHeight w:val="50"/>
        </w:trPr>
        <w:tc>
          <w:tcPr>
            <w:tcW w:w="2180" w:type="dxa"/>
            <w:vAlign w:val="bottom"/>
            <w:tcBorders>
              <w:bottom w:val="single" w:sz="8" w:color="A6A6A6"/>
            </w:tcBorders>
          </w:tcPr>
          <w:p>
            <w:pPr>
              <w:spacing w:after="0"/>
              <w:rPr>
                <w:sz w:val="4"/>
                <w:szCs w:val="4"/>
                <w:color w:val="auto"/>
              </w:rPr>
            </w:pPr>
          </w:p>
        </w:tc>
        <w:tc>
          <w:tcPr>
            <w:tcW w:w="15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30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2740" w:type="dxa"/>
            <w:vAlign w:val="bottom"/>
            <w:tcBorders>
              <w:bottom w:val="single" w:sz="8" w:color="A6A6A6"/>
            </w:tcBorders>
          </w:tcPr>
          <w:p>
            <w:pPr>
              <w:spacing w:after="0"/>
              <w:rPr>
                <w:sz w:val="4"/>
                <w:szCs w:val="4"/>
                <w:color w:val="auto"/>
              </w:rPr>
            </w:pPr>
          </w:p>
        </w:tc>
        <w:tc>
          <w:tcPr>
            <w:tcW w:w="1240" w:type="dxa"/>
            <w:vAlign w:val="bottom"/>
            <w:tcBorders>
              <w:bottom w:val="single" w:sz="8" w:color="A6A6A6"/>
            </w:tcBorders>
          </w:tcPr>
          <w:p>
            <w:pPr>
              <w:spacing w:after="0"/>
              <w:rPr>
                <w:sz w:val="4"/>
                <w:szCs w:val="4"/>
                <w:color w:val="auto"/>
              </w:rPr>
            </w:pPr>
          </w:p>
        </w:tc>
        <w:tc>
          <w:tcPr>
            <w:tcW w:w="1360" w:type="dxa"/>
            <w:vAlign w:val="bottom"/>
            <w:tcBorders>
              <w:bottom w:val="single" w:sz="8" w:color="A6A6A6"/>
            </w:tcBorders>
          </w:tcPr>
          <w:p>
            <w:pPr>
              <w:spacing w:after="0"/>
              <w:rPr>
                <w:sz w:val="4"/>
                <w:szCs w:val="4"/>
                <w:color w:val="auto"/>
              </w:rPr>
            </w:pPr>
          </w:p>
        </w:tc>
      </w:tr>
      <w:tr>
        <w:trPr>
          <w:trHeight w:val="289"/>
        </w:trPr>
        <w:tc>
          <w:tcPr>
            <w:tcW w:w="2180" w:type="dxa"/>
            <w:vAlign w:val="bottom"/>
          </w:tcPr>
          <w:p>
            <w:pPr>
              <w:spacing w:after="0"/>
              <w:rPr>
                <w:sz w:val="20"/>
                <w:szCs w:val="20"/>
                <w:color w:val="auto"/>
              </w:rPr>
            </w:pPr>
            <w:r>
              <w:rPr>
                <w:rFonts w:ascii="Arial" w:cs="Arial" w:eastAsia="Arial" w:hAnsi="Arial"/>
                <w:sz w:val="18"/>
                <w:szCs w:val="18"/>
                <w:b w:val="1"/>
                <w:bCs w:val="1"/>
                <w:color w:val="3983C5"/>
              </w:rPr>
              <w:t>Louisville, KY</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1,550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color w:val="auto"/>
              </w:rPr>
              <w:t>1,800</w:t>
            </w:r>
          </w:p>
        </w:tc>
        <w:tc>
          <w:tcPr>
            <w:tcW w:w="780" w:type="dxa"/>
            <w:vAlign w:val="bottom"/>
          </w:tcPr>
          <w:p>
            <w:pPr>
              <w:ind w:left="180"/>
              <w:spacing w:after="0"/>
              <w:rPr>
                <w:sz w:val="20"/>
                <w:szCs w:val="20"/>
                <w:color w:val="auto"/>
              </w:rPr>
            </w:pPr>
            <w:r>
              <w:rPr>
                <w:rFonts w:ascii="Arial" w:cs="Arial" w:eastAsia="Arial" w:hAnsi="Arial"/>
                <w:sz w:val="18"/>
                <w:szCs w:val="18"/>
                <w:color w:val="auto"/>
                <w:w w:val="99"/>
              </w:rPr>
              <w:t>Dry – 4</w:t>
            </w:r>
          </w:p>
        </w:tc>
        <w:tc>
          <w:tcPr>
            <w:tcW w:w="2740" w:type="dxa"/>
            <w:vAlign w:val="bottom"/>
          </w:tcPr>
          <w:p>
            <w:pPr>
              <w:ind w:left="40"/>
              <w:spacing w:after="0"/>
              <w:rPr>
                <w:sz w:val="20"/>
                <w:szCs w:val="20"/>
                <w:color w:val="auto"/>
              </w:rPr>
            </w:pPr>
            <w:r>
              <w:rPr>
                <w:rFonts w:ascii="Arial" w:cs="Arial" w:eastAsia="Arial" w:hAnsi="Arial"/>
                <w:sz w:val="18"/>
                <w:szCs w:val="18"/>
                <w:color w:val="auto"/>
              </w:rPr>
              <w:t>Stage Preheater/Pre-calciner</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1999</w:t>
            </w:r>
          </w:p>
        </w:tc>
      </w:tr>
      <w:tr>
        <w:trPr>
          <w:trHeight w:val="42"/>
        </w:trPr>
        <w:tc>
          <w:tcPr>
            <w:tcW w:w="218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780" w:type="dxa"/>
            <w:vAlign w:val="bottom"/>
            <w:tcBorders>
              <w:bottom w:val="single" w:sz="8" w:color="A6A6A6"/>
            </w:tcBorders>
          </w:tcPr>
          <w:p>
            <w:pPr>
              <w:spacing w:after="0"/>
              <w:rPr>
                <w:sz w:val="3"/>
                <w:szCs w:val="3"/>
                <w:color w:val="auto"/>
              </w:rPr>
            </w:pPr>
          </w:p>
        </w:tc>
        <w:tc>
          <w:tcPr>
            <w:tcW w:w="274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r>
      <w:tr>
        <w:trPr>
          <w:trHeight w:val="289"/>
        </w:trPr>
        <w:tc>
          <w:tcPr>
            <w:tcW w:w="2180" w:type="dxa"/>
            <w:vAlign w:val="bottom"/>
          </w:tcPr>
          <w:p>
            <w:pPr>
              <w:spacing w:after="0"/>
              <w:rPr>
                <w:sz w:val="20"/>
                <w:szCs w:val="20"/>
                <w:color w:val="auto"/>
              </w:rPr>
            </w:pPr>
            <w:r>
              <w:rPr>
                <w:rFonts w:ascii="Arial" w:cs="Arial" w:eastAsia="Arial" w:hAnsi="Arial"/>
                <w:sz w:val="18"/>
                <w:szCs w:val="18"/>
                <w:b w:val="1"/>
                <w:bCs w:val="1"/>
                <w:color w:val="3983C5"/>
              </w:rPr>
              <w:t>Fairborn, OH</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730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color w:val="auto"/>
              </w:rPr>
              <w:t>980</w:t>
            </w:r>
          </w:p>
        </w:tc>
        <w:tc>
          <w:tcPr>
            <w:tcW w:w="780" w:type="dxa"/>
            <w:vAlign w:val="bottom"/>
          </w:tcPr>
          <w:p>
            <w:pPr>
              <w:ind w:left="180"/>
              <w:spacing w:after="0"/>
              <w:rPr>
                <w:sz w:val="20"/>
                <w:szCs w:val="20"/>
                <w:color w:val="auto"/>
              </w:rPr>
            </w:pPr>
            <w:r>
              <w:rPr>
                <w:rFonts w:ascii="Arial" w:cs="Arial" w:eastAsia="Arial" w:hAnsi="Arial"/>
                <w:sz w:val="18"/>
                <w:szCs w:val="18"/>
                <w:color w:val="auto"/>
                <w:w w:val="99"/>
              </w:rPr>
              <w:t>Dry – 4</w:t>
            </w:r>
          </w:p>
        </w:tc>
        <w:tc>
          <w:tcPr>
            <w:tcW w:w="2740" w:type="dxa"/>
            <w:vAlign w:val="bottom"/>
          </w:tcPr>
          <w:p>
            <w:pPr>
              <w:ind w:left="40"/>
              <w:spacing w:after="0"/>
              <w:rPr>
                <w:sz w:val="20"/>
                <w:szCs w:val="20"/>
                <w:color w:val="auto"/>
              </w:rPr>
            </w:pPr>
            <w:r>
              <w:rPr>
                <w:rFonts w:ascii="Arial" w:cs="Arial" w:eastAsia="Arial" w:hAnsi="Arial"/>
                <w:sz w:val="18"/>
                <w:szCs w:val="18"/>
                <w:color w:val="auto"/>
              </w:rPr>
              <w:t>Stage Preheater</w:t>
            </w:r>
          </w:p>
        </w:tc>
        <w:tc>
          <w:tcPr>
            <w:tcW w:w="1240" w:type="dxa"/>
            <w:vAlign w:val="bottom"/>
          </w:tcPr>
          <w:p>
            <w:pPr>
              <w:ind w:left="380"/>
              <w:spacing w:after="0"/>
              <w:rPr>
                <w:sz w:val="20"/>
                <w:szCs w:val="20"/>
                <w:color w:val="auto"/>
              </w:rPr>
            </w:pPr>
            <w:r>
              <w:rPr>
                <w:rFonts w:ascii="Arial" w:cs="Arial" w:eastAsia="Arial" w:hAnsi="Arial"/>
                <w:sz w:val="18"/>
                <w:szCs w:val="18"/>
                <w:color w:val="auto"/>
              </w:rPr>
              <w:t>1</w:t>
            </w:r>
          </w:p>
        </w:tc>
        <w:tc>
          <w:tcPr>
            <w:tcW w:w="1360" w:type="dxa"/>
            <w:vAlign w:val="bottom"/>
          </w:tcPr>
          <w:p>
            <w:pPr>
              <w:ind w:left="260"/>
              <w:spacing w:after="0"/>
              <w:rPr>
                <w:sz w:val="20"/>
                <w:szCs w:val="20"/>
                <w:color w:val="auto"/>
              </w:rPr>
            </w:pPr>
            <w:r>
              <w:rPr>
                <w:rFonts w:ascii="Arial" w:cs="Arial" w:eastAsia="Arial" w:hAnsi="Arial"/>
                <w:sz w:val="18"/>
                <w:szCs w:val="18"/>
                <w:color w:val="auto"/>
              </w:rPr>
              <w:t>1974</w:t>
            </w:r>
          </w:p>
        </w:tc>
      </w:tr>
      <w:tr>
        <w:trPr>
          <w:trHeight w:val="69"/>
        </w:trPr>
        <w:tc>
          <w:tcPr>
            <w:tcW w:w="2180" w:type="dxa"/>
            <w:vAlign w:val="bottom"/>
            <w:tcBorders>
              <w:bottom w:val="single" w:sz="8" w:color="A6A6A6"/>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80" w:type="dxa"/>
            <w:vAlign w:val="bottom"/>
            <w:tcBorders>
              <w:bottom w:val="single" w:sz="8" w:color="A6A6A6"/>
            </w:tcBorders>
          </w:tcPr>
          <w:p>
            <w:pPr>
              <w:spacing w:after="0"/>
              <w:rPr>
                <w:sz w:val="6"/>
                <w:szCs w:val="6"/>
                <w:color w:val="auto"/>
              </w:rPr>
            </w:pPr>
          </w:p>
        </w:tc>
        <w:tc>
          <w:tcPr>
            <w:tcW w:w="2740" w:type="dxa"/>
            <w:vAlign w:val="bottom"/>
            <w:tcBorders>
              <w:bottom w:val="single" w:sz="8" w:color="A6A6A6"/>
            </w:tcBorders>
          </w:tcPr>
          <w:p>
            <w:pPr>
              <w:spacing w:after="0"/>
              <w:rPr>
                <w:sz w:val="6"/>
                <w:szCs w:val="6"/>
                <w:color w:val="auto"/>
              </w:rPr>
            </w:pPr>
          </w:p>
        </w:tc>
        <w:tc>
          <w:tcPr>
            <w:tcW w:w="1240" w:type="dxa"/>
            <w:vAlign w:val="bottom"/>
            <w:tcBorders>
              <w:bottom w:val="single" w:sz="8" w:color="A6A6A6"/>
            </w:tcBorders>
          </w:tcPr>
          <w:p>
            <w:pPr>
              <w:spacing w:after="0"/>
              <w:rPr>
                <w:sz w:val="6"/>
                <w:szCs w:val="6"/>
                <w:color w:val="auto"/>
              </w:rPr>
            </w:pPr>
          </w:p>
        </w:tc>
        <w:tc>
          <w:tcPr>
            <w:tcW w:w="1360" w:type="dxa"/>
            <w:vAlign w:val="bottom"/>
            <w:tcBorders>
              <w:bottom w:val="single" w:sz="8" w:color="A6A6A6"/>
            </w:tcBorders>
          </w:tcPr>
          <w:p>
            <w:pPr>
              <w:spacing w:after="0"/>
              <w:rPr>
                <w:sz w:val="6"/>
                <w:szCs w:val="6"/>
                <w:color w:val="auto"/>
              </w:rPr>
            </w:pPr>
          </w:p>
        </w:tc>
      </w:tr>
      <w:tr>
        <w:trPr>
          <w:trHeight w:val="289"/>
        </w:trPr>
        <w:tc>
          <w:tcPr>
            <w:tcW w:w="2180" w:type="dxa"/>
            <w:vAlign w:val="bottom"/>
          </w:tcPr>
          <w:p>
            <w:pPr>
              <w:spacing w:after="0"/>
              <w:rPr>
                <w:sz w:val="20"/>
                <w:szCs w:val="20"/>
                <w:color w:val="auto"/>
              </w:rPr>
            </w:pPr>
            <w:r>
              <w:rPr>
                <w:rFonts w:ascii="Arial" w:cs="Arial" w:eastAsia="Arial" w:hAnsi="Arial"/>
                <w:sz w:val="18"/>
                <w:szCs w:val="18"/>
                <w:b w:val="1"/>
                <w:bCs w:val="1"/>
                <w:color w:val="3983C5"/>
              </w:rPr>
              <w:t>Total Gross</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7,330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color w:val="auto"/>
              </w:rPr>
              <w:t>8,865</w:t>
            </w: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9"/>
        </w:trPr>
        <w:tc>
          <w:tcPr>
            <w:tcW w:w="2180" w:type="dxa"/>
            <w:vAlign w:val="bottom"/>
            <w:tcBorders>
              <w:bottom w:val="single" w:sz="8" w:color="A6A6A6"/>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80" w:type="dxa"/>
            <w:vAlign w:val="bottom"/>
            <w:tcBorders>
              <w:bottom w:val="single" w:sz="8" w:color="A6A6A6"/>
            </w:tcBorders>
          </w:tcPr>
          <w:p>
            <w:pPr>
              <w:spacing w:after="0"/>
              <w:rPr>
                <w:sz w:val="6"/>
                <w:szCs w:val="6"/>
                <w:color w:val="auto"/>
              </w:rPr>
            </w:pPr>
          </w:p>
        </w:tc>
        <w:tc>
          <w:tcPr>
            <w:tcW w:w="2740" w:type="dxa"/>
            <w:vAlign w:val="bottom"/>
            <w:tcBorders>
              <w:bottom w:val="single" w:sz="8" w:color="A6A6A6"/>
            </w:tcBorders>
          </w:tcPr>
          <w:p>
            <w:pPr>
              <w:spacing w:after="0"/>
              <w:rPr>
                <w:sz w:val="6"/>
                <w:szCs w:val="6"/>
                <w:color w:val="auto"/>
              </w:rPr>
            </w:pPr>
          </w:p>
        </w:tc>
        <w:tc>
          <w:tcPr>
            <w:tcW w:w="1240" w:type="dxa"/>
            <w:vAlign w:val="bottom"/>
            <w:tcBorders>
              <w:bottom w:val="single" w:sz="8" w:color="A6A6A6"/>
            </w:tcBorders>
          </w:tcPr>
          <w:p>
            <w:pPr>
              <w:spacing w:after="0"/>
              <w:rPr>
                <w:sz w:val="6"/>
                <w:szCs w:val="6"/>
                <w:color w:val="auto"/>
              </w:rPr>
            </w:pPr>
          </w:p>
        </w:tc>
        <w:tc>
          <w:tcPr>
            <w:tcW w:w="1360" w:type="dxa"/>
            <w:vAlign w:val="bottom"/>
            <w:tcBorders>
              <w:bottom w:val="single" w:sz="8" w:color="A6A6A6"/>
            </w:tcBorders>
          </w:tcPr>
          <w:p>
            <w:pPr>
              <w:spacing w:after="0"/>
              <w:rPr>
                <w:sz w:val="6"/>
                <w:szCs w:val="6"/>
                <w:color w:val="auto"/>
              </w:rPr>
            </w:pPr>
          </w:p>
        </w:tc>
      </w:tr>
      <w:tr>
        <w:trPr>
          <w:trHeight w:val="331"/>
        </w:trPr>
        <w:tc>
          <w:tcPr>
            <w:tcW w:w="2180" w:type="dxa"/>
            <w:vAlign w:val="bottom"/>
          </w:tcPr>
          <w:p>
            <w:pPr>
              <w:spacing w:after="0"/>
              <w:rPr>
                <w:sz w:val="20"/>
                <w:szCs w:val="20"/>
                <w:color w:val="auto"/>
              </w:rPr>
            </w:pPr>
            <w:r>
              <w:rPr>
                <w:rFonts w:ascii="Arial" w:cs="Arial" w:eastAsia="Arial" w:hAnsi="Arial"/>
                <w:sz w:val="18"/>
                <w:szCs w:val="18"/>
                <w:b w:val="1"/>
                <w:bCs w:val="1"/>
                <w:color w:val="3983C5"/>
              </w:rPr>
              <w:t xml:space="preserve">Total Net </w:t>
            </w:r>
            <w:r>
              <w:rPr>
                <w:rFonts w:ascii="Arial" w:cs="Arial" w:eastAsia="Arial" w:hAnsi="Arial"/>
                <w:sz w:val="24"/>
                <w:szCs w:val="24"/>
                <w:b w:val="1"/>
                <w:bCs w:val="1"/>
                <w:color w:val="3983C5"/>
                <w:vertAlign w:val="superscript"/>
              </w:rPr>
              <w:t>(3)</w:t>
            </w:r>
          </w:p>
        </w:tc>
        <w:tc>
          <w:tcPr>
            <w:tcW w:w="1520" w:type="dxa"/>
            <w:vAlign w:val="bottom"/>
          </w:tcPr>
          <w:p>
            <w:pPr>
              <w:jc w:val="right"/>
              <w:ind w:right="32"/>
              <w:spacing w:after="0"/>
              <w:rPr>
                <w:sz w:val="20"/>
                <w:szCs w:val="20"/>
                <w:color w:val="auto"/>
              </w:rPr>
            </w:pPr>
            <w:r>
              <w:rPr>
                <w:rFonts w:ascii="Arial" w:cs="Arial" w:eastAsia="Arial" w:hAnsi="Arial"/>
                <w:sz w:val="18"/>
                <w:szCs w:val="18"/>
                <w:b w:val="1"/>
                <w:bCs w:val="1"/>
                <w:color w:val="auto"/>
              </w:rPr>
              <w:t>6,680</w:t>
            </w:r>
          </w:p>
        </w:tc>
        <w:tc>
          <w:tcPr>
            <w:tcW w:w="14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8,150</w:t>
            </w: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2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56"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One short ton equals 2,000 pounds.</w:t>
      </w:r>
    </w:p>
    <w:p>
      <w:pPr>
        <w:ind w:left="180" w:hanging="172"/>
        <w:spacing w:after="0" w:line="187" w:lineRule="auto"/>
        <w:tabs>
          <w:tab w:leader="none" w:pos="1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amount shown represents 100% of plant capacity. This plant is owned by the Joint Venture in which the Company has a 50% interest.</w:t>
      </w:r>
    </w:p>
    <w:p>
      <w:pPr>
        <w:ind w:left="180" w:hanging="172"/>
        <w:spacing w:after="0" w:line="193" w:lineRule="auto"/>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Net of partner’s 50% interest in the Buda, Texas plant.</w:t>
      </w:r>
    </w:p>
    <w:p>
      <w:pPr>
        <w:spacing w:after="0" w:line="7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All our cement subsidiaries are wholly owned except the Buda, Texas plant, which is owned by Texas Lehigh Cement Company LP, a limited partnership joint venture owned 50% by us, and 50% by HM Southeast Cement LLC, a subsidiary of Heidelberg Materials (our Joint Venture Partner).</w:t>
      </w:r>
    </w:p>
    <w:p>
      <w:pPr>
        <w:spacing w:after="0" w:line="61"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Our cement production, including our 50% share of the cement Joint Venture production, totaled 6.9 million short tons and 6.0 million short tons for fiscal 2026 and fiscal 2025, respectively. Total net Cement sales, including our 50% share of cement sales from the Joint Venture, were 7.5 million short tons and 6.9 million short tons in fiscal 2026, and fiscal 2025, respectively. Total net Cement sales exceed production primarily because of imports through the Houston and Stockton import terminals.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Demand, Sales, and Distribution</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principal sources of demand for cement and slag are public infrastructure, private nonresidential construction, and residential construction, with public infrastructure comprising nearly 50% of total demand. Cement consumption in the U.S. decreased approximately 2% during calendar 2025, and the ACA forecasts cement consumption will decline approximately 2.5% in calendar 2026. Demand for cement is seasonal, particularly in northern states where inclement winter weather often affects construction activity. Cement sales are generally highest from spring through the middle of autumn.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Demand for slag has increased as the availability of fly ash has decreased due to the reduction in the use of coal to generate power.</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Because of cement’s low value-to-weight ratio, the relative cost of transporting cement on land is high and limits the geographic area in which each company can profitably market its products. The low value-to-weight ratio generally limits shipments by truck to a 150-mile radius from each plant, up to 300 miles by rail, and further by barge. No single cement company has a plant network extensive enough to serve all geographic areas, so profitability is sensitive to shifts in the balance between regional supply and demand.</w:t>
      </w:r>
    </w:p>
    <w:p>
      <w:pPr>
        <w:spacing w:after="0" w:line="6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Environmental and zoning regulations have made it increasingly difficult for the U.S. cement industry to expand existing facilities and to build new cement facilities. Although we cannot predict which policies federal, state, and local government bodies will enact in the future, we anticipate that zoning and permitting of new capacity additions will remain difficult. This could potentially enhance the value of our existing facilities. Furthermore, cost-efficient alternatives to cement are currently limited, and the availability of some alternatives is diminishing. For example, the availability of fly ash, a cement replacement, has decreased because of the retirement of coal-fired power plants and the conversion of power plants from coal to natural gas and other forms of energy.</w:t>
      </w:r>
    </w:p>
    <w:p>
      <w:pPr>
        <w:spacing w:after="0" w:line="7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difficulty in adding cement capacity, coupled with limited alternatives, leads to high U.S. cement manufacturing utilization rates, as well as the need for imported cement when demand levels are high. Cement imports into the U.S. occur mostly to supplement domestic cement production or to supply a particular region. Cement is typically imported into deep water ports along the coasts or on the Great Lakes or transported on the Mississippi River system near major population centers. Our position in the U.S. heartland, away from most import terminals, provides a degree of insulation from coastal imports, given the expense of transporting cement from deep water ports into the heartland regions. This geographic position further enhances the value of our plant network.</w:t>
      </w:r>
    </w:p>
    <w:p>
      <w:pPr>
        <w:spacing w:after="0" w:line="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ACA estimates that imports represented approximately 23% of cement used in the U.S. during calendar 2025, similar to the amount used in calendar 2024. Based on the historical distribution of cement into the market, we believe that no less than approximately 5% to 10% of total U.S. consumption will consistently be served by imported cement.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 shows the geographic areas served by each of our cement and slag plants and the location of our distribution terminals in each area. We have over 30 cement storage and distribution terminals, which are strategically located to extend the sales areas of our plants.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540" w:type="dxa"/>
            <w:vAlign w:val="bottom"/>
            <w:shd w:val="clear" w:color="auto" w:fill="386191"/>
          </w:tcPr>
          <w:p>
            <w:pPr>
              <w:spacing w:after="0"/>
              <w:rPr>
                <w:sz w:val="21"/>
                <w:szCs w:val="21"/>
                <w:color w:val="auto"/>
              </w:rPr>
            </w:pPr>
          </w:p>
        </w:tc>
        <w:tc>
          <w:tcPr>
            <w:tcW w:w="940" w:type="dxa"/>
            <w:vAlign w:val="bottom"/>
            <w:shd w:val="clear" w:color="auto" w:fill="386191"/>
          </w:tcPr>
          <w:p>
            <w:pPr>
              <w:ind w:left="120"/>
              <w:spacing w:after="0"/>
              <w:rPr>
                <w:sz w:val="20"/>
                <w:szCs w:val="20"/>
                <w:color w:val="auto"/>
              </w:rPr>
            </w:pPr>
            <w:r>
              <w:rPr>
                <w:rFonts w:ascii="Arial" w:cs="Arial" w:eastAsia="Arial" w:hAnsi="Arial"/>
                <w:sz w:val="16"/>
                <w:szCs w:val="16"/>
                <w:b w:val="1"/>
                <w:bCs w:val="1"/>
                <w:color w:val="FFFFFF"/>
              </w:rPr>
              <w:t>Type of</w:t>
            </w:r>
          </w:p>
        </w:tc>
        <w:tc>
          <w:tcPr>
            <w:tcW w:w="2340" w:type="dxa"/>
            <w:vAlign w:val="bottom"/>
            <w:shd w:val="clear" w:color="auto" w:fill="386191"/>
          </w:tcPr>
          <w:p>
            <w:pPr>
              <w:spacing w:after="0"/>
              <w:rPr>
                <w:sz w:val="21"/>
                <w:szCs w:val="21"/>
                <w:color w:val="auto"/>
              </w:rPr>
            </w:pPr>
          </w:p>
        </w:tc>
        <w:tc>
          <w:tcPr>
            <w:tcW w:w="2320" w:type="dxa"/>
            <w:vAlign w:val="bottom"/>
            <w:shd w:val="clear" w:color="auto" w:fill="386191"/>
          </w:tcPr>
          <w:p>
            <w:pPr>
              <w:spacing w:after="0"/>
              <w:rPr>
                <w:sz w:val="21"/>
                <w:szCs w:val="21"/>
                <w:color w:val="auto"/>
              </w:rPr>
            </w:pPr>
          </w:p>
        </w:tc>
        <w:tc>
          <w:tcPr>
            <w:tcW w:w="4100" w:type="dxa"/>
            <w:vAlign w:val="bottom"/>
            <w:vMerge w:val="restart"/>
            <w:shd w:val="clear" w:color="auto" w:fill="386191"/>
          </w:tcPr>
          <w:p>
            <w:pPr>
              <w:ind w:left="100"/>
              <w:spacing w:after="0"/>
              <w:rPr>
                <w:sz w:val="20"/>
                <w:szCs w:val="20"/>
                <w:color w:val="auto"/>
              </w:rPr>
            </w:pPr>
            <w:r>
              <w:rPr>
                <w:rFonts w:ascii="Arial" w:cs="Arial" w:eastAsia="Arial" w:hAnsi="Arial"/>
                <w:sz w:val="16"/>
                <w:szCs w:val="16"/>
                <w:b w:val="1"/>
                <w:bCs w:val="1"/>
                <w:color w:val="FFFFFF"/>
              </w:rPr>
              <w:t xml:space="preserve">Distribution Terminals </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03"/>
        </w:trPr>
        <w:tc>
          <w:tcPr>
            <w:tcW w:w="1540" w:type="dxa"/>
            <w:vAlign w:val="bottom"/>
            <w:shd w:val="clear" w:color="auto" w:fill="386191"/>
          </w:tcPr>
          <w:p>
            <w:pPr>
              <w:ind w:left="20"/>
              <w:spacing w:after="0"/>
              <w:rPr>
                <w:sz w:val="20"/>
                <w:szCs w:val="20"/>
                <w:color w:val="auto"/>
              </w:rPr>
            </w:pPr>
            <w:r>
              <w:rPr>
                <w:rFonts w:ascii="Arial" w:cs="Arial" w:eastAsia="Arial" w:hAnsi="Arial"/>
                <w:sz w:val="16"/>
                <w:szCs w:val="16"/>
                <w:b w:val="1"/>
                <w:bCs w:val="1"/>
                <w:color w:val="FFFFFF"/>
              </w:rPr>
              <w:t>Plant Location</w:t>
            </w:r>
          </w:p>
        </w:tc>
        <w:tc>
          <w:tcPr>
            <w:tcW w:w="940" w:type="dxa"/>
            <w:vAlign w:val="bottom"/>
            <w:shd w:val="clear" w:color="auto" w:fill="386191"/>
          </w:tcPr>
          <w:p>
            <w:pPr>
              <w:ind w:left="120"/>
              <w:spacing w:after="0"/>
              <w:rPr>
                <w:sz w:val="20"/>
                <w:szCs w:val="20"/>
                <w:color w:val="auto"/>
              </w:rPr>
            </w:pPr>
            <w:r>
              <w:rPr>
                <w:rFonts w:ascii="Arial" w:cs="Arial" w:eastAsia="Arial" w:hAnsi="Arial"/>
                <w:sz w:val="16"/>
                <w:szCs w:val="16"/>
                <w:b w:val="1"/>
                <w:bCs w:val="1"/>
                <w:color w:val="FFFFFF"/>
              </w:rPr>
              <w:t>Plant</w:t>
            </w:r>
          </w:p>
        </w:tc>
        <w:tc>
          <w:tcPr>
            <w:tcW w:w="2340" w:type="dxa"/>
            <w:vAlign w:val="bottom"/>
            <w:shd w:val="clear" w:color="auto" w:fill="386191"/>
          </w:tcPr>
          <w:p>
            <w:pPr>
              <w:ind w:left="200"/>
              <w:spacing w:after="0"/>
              <w:rPr>
                <w:sz w:val="20"/>
                <w:szCs w:val="20"/>
                <w:color w:val="auto"/>
              </w:rPr>
            </w:pPr>
            <w:r>
              <w:rPr>
                <w:rFonts w:ascii="Arial" w:cs="Arial" w:eastAsia="Arial" w:hAnsi="Arial"/>
                <w:sz w:val="16"/>
                <w:szCs w:val="16"/>
                <w:b w:val="1"/>
                <w:bCs w:val="1"/>
                <w:color w:val="FFFFFF"/>
              </w:rPr>
              <w:t>Operating Company Name</w:t>
            </w:r>
          </w:p>
        </w:tc>
        <w:tc>
          <w:tcPr>
            <w:tcW w:w="2320" w:type="dxa"/>
            <w:vAlign w:val="bottom"/>
            <w:shd w:val="clear" w:color="auto" w:fill="386191"/>
          </w:tcPr>
          <w:p>
            <w:pPr>
              <w:ind w:left="80"/>
              <w:spacing w:after="0"/>
              <w:rPr>
                <w:sz w:val="20"/>
                <w:szCs w:val="20"/>
                <w:color w:val="auto"/>
              </w:rPr>
            </w:pPr>
            <w:r>
              <w:rPr>
                <w:rFonts w:ascii="Arial" w:cs="Arial" w:eastAsia="Arial" w:hAnsi="Arial"/>
                <w:sz w:val="16"/>
                <w:szCs w:val="16"/>
                <w:b w:val="1"/>
                <w:bCs w:val="1"/>
                <w:color w:val="FFFFFF"/>
              </w:rPr>
              <w:t>Principal Geographic Areas</w:t>
            </w:r>
          </w:p>
        </w:tc>
        <w:tc>
          <w:tcPr>
            <w:tcW w:w="4100" w:type="dxa"/>
            <w:vAlign w:val="bottom"/>
            <w:vMerge w:val="continue"/>
            <w:shd w:val="clear" w:color="auto" w:fill="386191"/>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386191"/>
          </w:tcPr>
          <w:p>
            <w:pPr>
              <w:spacing w:after="0"/>
              <w:rPr>
                <w:sz w:val="5"/>
                <w:szCs w:val="5"/>
                <w:color w:val="auto"/>
              </w:rPr>
            </w:pPr>
          </w:p>
        </w:tc>
        <w:tc>
          <w:tcPr>
            <w:tcW w:w="940" w:type="dxa"/>
            <w:vAlign w:val="bottom"/>
            <w:shd w:val="clear" w:color="auto" w:fill="386191"/>
          </w:tcPr>
          <w:p>
            <w:pPr>
              <w:spacing w:after="0"/>
              <w:rPr>
                <w:sz w:val="5"/>
                <w:szCs w:val="5"/>
                <w:color w:val="auto"/>
              </w:rPr>
            </w:pPr>
          </w:p>
        </w:tc>
        <w:tc>
          <w:tcPr>
            <w:tcW w:w="2340" w:type="dxa"/>
            <w:vAlign w:val="bottom"/>
            <w:shd w:val="clear" w:color="auto" w:fill="386191"/>
          </w:tcPr>
          <w:p>
            <w:pPr>
              <w:spacing w:after="0"/>
              <w:rPr>
                <w:sz w:val="5"/>
                <w:szCs w:val="5"/>
                <w:color w:val="auto"/>
              </w:rPr>
            </w:pPr>
          </w:p>
        </w:tc>
        <w:tc>
          <w:tcPr>
            <w:tcW w:w="2320" w:type="dxa"/>
            <w:vAlign w:val="bottom"/>
            <w:shd w:val="clear" w:color="auto" w:fill="386191"/>
          </w:tcPr>
          <w:p>
            <w:pPr>
              <w:spacing w:after="0"/>
              <w:rPr>
                <w:sz w:val="5"/>
                <w:szCs w:val="5"/>
                <w:color w:val="auto"/>
              </w:rPr>
            </w:pPr>
          </w:p>
        </w:tc>
        <w:tc>
          <w:tcPr>
            <w:tcW w:w="4100" w:type="dxa"/>
            <w:vAlign w:val="bottom"/>
            <w:shd w:val="clear" w:color="auto" w:fill="386191"/>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Buda,</w:t>
            </w:r>
          </w:p>
        </w:tc>
        <w:tc>
          <w:tcPr>
            <w:tcW w:w="940" w:type="dxa"/>
            <w:vAlign w:val="bottom"/>
          </w:tcPr>
          <w:p>
            <w:pPr>
              <w:ind w:left="120"/>
              <w:spacing w:after="0"/>
              <w:rPr>
                <w:sz w:val="20"/>
                <w:szCs w:val="20"/>
                <w:color w:val="auto"/>
              </w:rPr>
            </w:pPr>
            <w:r>
              <w:rPr>
                <w:rFonts w:ascii="Arial" w:cs="Arial" w:eastAsia="Arial" w:hAnsi="Arial"/>
                <w:sz w:val="17"/>
                <w:szCs w:val="17"/>
                <w:color w:val="auto"/>
              </w:rPr>
              <w:t>Cement</w:t>
            </w:r>
          </w:p>
        </w:tc>
        <w:tc>
          <w:tcPr>
            <w:tcW w:w="2340" w:type="dxa"/>
            <w:vAlign w:val="bottom"/>
          </w:tcPr>
          <w:p>
            <w:pPr>
              <w:ind w:left="200"/>
              <w:spacing w:after="0"/>
              <w:rPr>
                <w:sz w:val="20"/>
                <w:szCs w:val="20"/>
                <w:color w:val="auto"/>
              </w:rPr>
            </w:pPr>
            <w:r>
              <w:rPr>
                <w:rFonts w:ascii="Arial" w:cs="Arial" w:eastAsia="Arial" w:hAnsi="Arial"/>
                <w:sz w:val="17"/>
                <w:szCs w:val="17"/>
                <w:color w:val="auto"/>
              </w:rPr>
              <w:t>Texas Lehigh Cement</w:t>
            </w:r>
          </w:p>
        </w:tc>
        <w:tc>
          <w:tcPr>
            <w:tcW w:w="2320" w:type="dxa"/>
            <w:vAlign w:val="bottom"/>
          </w:tcPr>
          <w:p>
            <w:pPr>
              <w:ind w:left="80"/>
              <w:spacing w:after="0"/>
              <w:rPr>
                <w:sz w:val="20"/>
                <w:szCs w:val="20"/>
                <w:color w:val="auto"/>
              </w:rPr>
            </w:pPr>
            <w:r>
              <w:rPr>
                <w:rFonts w:ascii="Arial" w:cs="Arial" w:eastAsia="Arial" w:hAnsi="Arial"/>
                <w:sz w:val="17"/>
                <w:szCs w:val="17"/>
                <w:color w:val="auto"/>
              </w:rPr>
              <w:t>Texas and western</w:t>
            </w:r>
          </w:p>
        </w:tc>
        <w:tc>
          <w:tcPr>
            <w:tcW w:w="4100" w:type="dxa"/>
            <w:vAlign w:val="bottom"/>
          </w:tcPr>
          <w:p>
            <w:pPr>
              <w:ind w:left="100"/>
              <w:spacing w:after="0"/>
              <w:rPr>
                <w:sz w:val="20"/>
                <w:szCs w:val="20"/>
                <w:color w:val="auto"/>
              </w:rPr>
            </w:pPr>
            <w:r>
              <w:rPr>
                <w:rFonts w:ascii="Arial" w:cs="Arial" w:eastAsia="Arial" w:hAnsi="Arial"/>
                <w:sz w:val="17"/>
                <w:szCs w:val="17"/>
                <w:color w:val="auto"/>
              </w:rPr>
              <w:t>Corpus Christi, Texas; Houston, Texas;</w:t>
            </w:r>
          </w:p>
        </w:tc>
        <w:tc>
          <w:tcPr>
            <w:tcW w:w="0" w:type="dxa"/>
            <w:vAlign w:val="bottom"/>
          </w:tcPr>
          <w:p>
            <w:pPr>
              <w:spacing w:after="0"/>
              <w:rPr>
                <w:sz w:val="1"/>
                <w:szCs w:val="1"/>
                <w:color w:val="auto"/>
              </w:rPr>
            </w:pPr>
          </w:p>
        </w:tc>
      </w:tr>
      <w:tr>
        <w:trPr>
          <w:trHeight w:val="198"/>
        </w:trPr>
        <w:tc>
          <w:tcPr>
            <w:tcW w:w="1540" w:type="dxa"/>
            <w:vAlign w:val="bottom"/>
          </w:tcPr>
          <w:p>
            <w:pPr>
              <w:ind w:left="20"/>
              <w:spacing w:after="0" w:line="198" w:lineRule="exact"/>
              <w:rPr>
                <w:sz w:val="20"/>
                <w:szCs w:val="20"/>
                <w:color w:val="auto"/>
              </w:rPr>
            </w:pPr>
            <w:r>
              <w:rPr>
                <w:rFonts w:ascii="Arial" w:cs="Arial" w:eastAsia="Arial" w:hAnsi="Arial"/>
                <w:sz w:val="18"/>
                <w:szCs w:val="18"/>
                <w:b w:val="1"/>
                <w:bCs w:val="1"/>
                <w:color w:val="3983C5"/>
              </w:rPr>
              <w:t>Texas</w:t>
            </w:r>
          </w:p>
        </w:tc>
        <w:tc>
          <w:tcPr>
            <w:tcW w:w="940" w:type="dxa"/>
            <w:vAlign w:val="bottom"/>
          </w:tcPr>
          <w:p>
            <w:pPr>
              <w:spacing w:after="0"/>
              <w:rPr>
                <w:sz w:val="17"/>
                <w:szCs w:val="17"/>
                <w:color w:val="auto"/>
              </w:rPr>
            </w:pPr>
          </w:p>
        </w:tc>
        <w:tc>
          <w:tcPr>
            <w:tcW w:w="2340" w:type="dxa"/>
            <w:vAlign w:val="bottom"/>
          </w:tcPr>
          <w:p>
            <w:pPr>
              <w:ind w:left="200"/>
              <w:spacing w:after="0"/>
              <w:rPr>
                <w:sz w:val="20"/>
                <w:szCs w:val="20"/>
                <w:color w:val="auto"/>
              </w:rPr>
            </w:pPr>
            <w:r>
              <w:rPr>
                <w:rFonts w:ascii="Arial" w:cs="Arial" w:eastAsia="Arial" w:hAnsi="Arial"/>
                <w:sz w:val="17"/>
                <w:szCs w:val="17"/>
                <w:color w:val="auto"/>
              </w:rPr>
              <w:t>Company LP (the Joint</w:t>
            </w:r>
          </w:p>
        </w:tc>
        <w:tc>
          <w:tcPr>
            <w:tcW w:w="2320" w:type="dxa"/>
            <w:vAlign w:val="bottom"/>
          </w:tcPr>
          <w:p>
            <w:pPr>
              <w:ind w:left="80"/>
              <w:spacing w:after="0"/>
              <w:rPr>
                <w:sz w:val="20"/>
                <w:szCs w:val="20"/>
                <w:color w:val="auto"/>
              </w:rPr>
            </w:pPr>
            <w:r>
              <w:rPr>
                <w:rFonts w:ascii="Arial" w:cs="Arial" w:eastAsia="Arial" w:hAnsi="Arial"/>
                <w:sz w:val="17"/>
                <w:szCs w:val="17"/>
                <w:color w:val="auto"/>
              </w:rPr>
              <w:t>Louisiana</w:t>
            </w:r>
          </w:p>
        </w:tc>
        <w:tc>
          <w:tcPr>
            <w:tcW w:w="4100" w:type="dxa"/>
            <w:vAlign w:val="bottom"/>
          </w:tcPr>
          <w:p>
            <w:pPr>
              <w:ind w:left="100"/>
              <w:spacing w:after="0"/>
              <w:rPr>
                <w:sz w:val="20"/>
                <w:szCs w:val="20"/>
                <w:color w:val="auto"/>
              </w:rPr>
            </w:pPr>
            <w:r>
              <w:rPr>
                <w:rFonts w:ascii="Arial" w:cs="Arial" w:eastAsia="Arial" w:hAnsi="Arial"/>
                <w:sz w:val="17"/>
                <w:szCs w:val="17"/>
                <w:color w:val="auto"/>
              </w:rPr>
              <w:t>Roanoke (Fort Worth), Texas; Waco,</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40" w:type="dxa"/>
            <w:vAlign w:val="bottom"/>
          </w:tcPr>
          <w:p>
            <w:pPr>
              <w:ind w:left="200"/>
              <w:spacing w:after="0" w:line="180" w:lineRule="exact"/>
              <w:rPr>
                <w:sz w:val="20"/>
                <w:szCs w:val="20"/>
                <w:color w:val="auto"/>
              </w:rPr>
            </w:pPr>
            <w:r>
              <w:rPr>
                <w:rFonts w:ascii="Arial" w:cs="Arial" w:eastAsia="Arial" w:hAnsi="Arial"/>
                <w:sz w:val="17"/>
                <w:szCs w:val="17"/>
                <w:color w:val="auto"/>
              </w:rPr>
              <w:t>Venture)</w:t>
            </w:r>
          </w:p>
        </w:tc>
        <w:tc>
          <w:tcPr>
            <w:tcW w:w="2320" w:type="dxa"/>
            <w:vAlign w:val="bottom"/>
          </w:tcPr>
          <w:p>
            <w:pPr>
              <w:spacing w:after="0"/>
              <w:rPr>
                <w:sz w:val="15"/>
                <w:szCs w:val="15"/>
                <w:color w:val="auto"/>
              </w:rPr>
            </w:pPr>
          </w:p>
        </w:tc>
        <w:tc>
          <w:tcPr>
            <w:tcW w:w="4100" w:type="dxa"/>
            <w:vAlign w:val="bottom"/>
          </w:tcPr>
          <w:p>
            <w:pPr>
              <w:ind w:left="100"/>
              <w:spacing w:after="0" w:line="180" w:lineRule="exact"/>
              <w:rPr>
                <w:sz w:val="20"/>
                <w:szCs w:val="20"/>
                <w:color w:val="auto"/>
              </w:rPr>
            </w:pPr>
            <w:r>
              <w:rPr>
                <w:rFonts w:ascii="Arial" w:cs="Arial" w:eastAsia="Arial" w:hAnsi="Arial"/>
                <w:sz w:val="17"/>
                <w:szCs w:val="17"/>
                <w:color w:val="auto"/>
              </w:rPr>
              <w:t>Texas; Houston Cement Company</w:t>
            </w: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7"/>
                <w:szCs w:val="17"/>
                <w:color w:val="auto"/>
              </w:rPr>
              <w:t>(Joint Venture), Houston, Texas</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6A6A6"/>
            </w:tcBorders>
          </w:tcPr>
          <w:p>
            <w:pPr>
              <w:spacing w:after="0"/>
              <w:rPr>
                <w:sz w:val="4"/>
                <w:szCs w:val="4"/>
                <w:color w:val="auto"/>
              </w:rPr>
            </w:pPr>
          </w:p>
        </w:tc>
        <w:tc>
          <w:tcPr>
            <w:tcW w:w="940" w:type="dxa"/>
            <w:vAlign w:val="bottom"/>
            <w:tcBorders>
              <w:bottom w:val="single" w:sz="8" w:color="A6A6A6"/>
            </w:tcBorders>
          </w:tcPr>
          <w:p>
            <w:pPr>
              <w:spacing w:after="0"/>
              <w:rPr>
                <w:sz w:val="4"/>
                <w:szCs w:val="4"/>
                <w:color w:val="auto"/>
              </w:rPr>
            </w:pPr>
          </w:p>
        </w:tc>
        <w:tc>
          <w:tcPr>
            <w:tcW w:w="2340" w:type="dxa"/>
            <w:vAlign w:val="bottom"/>
            <w:tcBorders>
              <w:bottom w:val="single" w:sz="8" w:color="A6A6A6"/>
            </w:tcBorders>
          </w:tcPr>
          <w:p>
            <w:pPr>
              <w:spacing w:after="0"/>
              <w:rPr>
                <w:sz w:val="4"/>
                <w:szCs w:val="4"/>
                <w:color w:val="auto"/>
              </w:rPr>
            </w:pPr>
          </w:p>
        </w:tc>
        <w:tc>
          <w:tcPr>
            <w:tcW w:w="2320" w:type="dxa"/>
            <w:vAlign w:val="bottom"/>
            <w:tcBorders>
              <w:bottom w:val="single" w:sz="8" w:color="A6A6A6"/>
            </w:tcBorders>
          </w:tcPr>
          <w:p>
            <w:pPr>
              <w:spacing w:after="0"/>
              <w:rPr>
                <w:sz w:val="4"/>
                <w:szCs w:val="4"/>
                <w:color w:val="auto"/>
              </w:rPr>
            </w:pPr>
          </w:p>
        </w:tc>
        <w:tc>
          <w:tcPr>
            <w:tcW w:w="410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LaSalle,</w:t>
            </w:r>
          </w:p>
        </w:tc>
        <w:tc>
          <w:tcPr>
            <w:tcW w:w="940" w:type="dxa"/>
            <w:vAlign w:val="bottom"/>
          </w:tcPr>
          <w:p>
            <w:pPr>
              <w:ind w:left="120"/>
              <w:spacing w:after="0"/>
              <w:rPr>
                <w:sz w:val="20"/>
                <w:szCs w:val="20"/>
                <w:color w:val="auto"/>
              </w:rPr>
            </w:pPr>
            <w:r>
              <w:rPr>
                <w:rFonts w:ascii="Arial" w:cs="Arial" w:eastAsia="Arial" w:hAnsi="Arial"/>
                <w:sz w:val="17"/>
                <w:szCs w:val="17"/>
                <w:color w:val="auto"/>
              </w:rPr>
              <w:t>Cement</w:t>
            </w:r>
          </w:p>
        </w:tc>
        <w:tc>
          <w:tcPr>
            <w:tcW w:w="2340" w:type="dxa"/>
            <w:vAlign w:val="bottom"/>
          </w:tcPr>
          <w:p>
            <w:pPr>
              <w:ind w:left="200"/>
              <w:spacing w:after="0"/>
              <w:rPr>
                <w:sz w:val="20"/>
                <w:szCs w:val="20"/>
                <w:color w:val="auto"/>
              </w:rPr>
            </w:pPr>
            <w:r>
              <w:rPr>
                <w:rFonts w:ascii="Arial" w:cs="Arial" w:eastAsia="Arial" w:hAnsi="Arial"/>
                <w:sz w:val="17"/>
                <w:szCs w:val="17"/>
                <w:color w:val="auto"/>
              </w:rPr>
              <w:t>Illinois Cement Company</w:t>
            </w:r>
          </w:p>
        </w:tc>
        <w:tc>
          <w:tcPr>
            <w:tcW w:w="2320" w:type="dxa"/>
            <w:vAlign w:val="bottom"/>
          </w:tcPr>
          <w:p>
            <w:pPr>
              <w:ind w:left="80"/>
              <w:spacing w:after="0"/>
              <w:rPr>
                <w:sz w:val="20"/>
                <w:szCs w:val="20"/>
                <w:color w:val="auto"/>
              </w:rPr>
            </w:pPr>
            <w:r>
              <w:rPr>
                <w:rFonts w:ascii="Arial" w:cs="Arial" w:eastAsia="Arial" w:hAnsi="Arial"/>
                <w:sz w:val="17"/>
                <w:szCs w:val="17"/>
                <w:color w:val="auto"/>
              </w:rPr>
              <w:t>Illinois, Michigan, and</w:t>
            </w:r>
          </w:p>
        </w:tc>
        <w:tc>
          <w:tcPr>
            <w:tcW w:w="4100" w:type="dxa"/>
            <w:vAlign w:val="bottom"/>
          </w:tcPr>
          <w:p>
            <w:pPr>
              <w:ind w:left="100"/>
              <w:spacing w:after="0"/>
              <w:rPr>
                <w:sz w:val="20"/>
                <w:szCs w:val="20"/>
                <w:color w:val="auto"/>
              </w:rPr>
            </w:pPr>
            <w:r>
              <w:rPr>
                <w:rFonts w:ascii="Arial" w:cs="Arial" w:eastAsia="Arial" w:hAnsi="Arial"/>
                <w:sz w:val="17"/>
                <w:szCs w:val="17"/>
                <w:color w:val="auto"/>
              </w:rPr>
              <w:t>Hartland, Wisconsin; South Beloit, Illinois;</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Illinois</w:t>
            </w:r>
          </w:p>
        </w:tc>
        <w:tc>
          <w:tcPr>
            <w:tcW w:w="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320" w:type="dxa"/>
            <w:vAlign w:val="bottom"/>
          </w:tcPr>
          <w:p>
            <w:pPr>
              <w:ind w:left="80"/>
              <w:spacing w:after="0"/>
              <w:rPr>
                <w:sz w:val="20"/>
                <w:szCs w:val="20"/>
                <w:color w:val="auto"/>
              </w:rPr>
            </w:pPr>
            <w:r>
              <w:rPr>
                <w:rFonts w:ascii="Arial" w:cs="Arial" w:eastAsia="Arial" w:hAnsi="Arial"/>
                <w:sz w:val="17"/>
                <w:szCs w:val="17"/>
                <w:color w:val="auto"/>
              </w:rPr>
              <w:t>southern Wisconsin</w:t>
            </w:r>
          </w:p>
        </w:tc>
        <w:tc>
          <w:tcPr>
            <w:tcW w:w="4100" w:type="dxa"/>
            <w:vAlign w:val="bottom"/>
          </w:tcPr>
          <w:p>
            <w:pPr>
              <w:ind w:left="100"/>
              <w:spacing w:after="0"/>
              <w:rPr>
                <w:sz w:val="20"/>
                <w:szCs w:val="20"/>
                <w:color w:val="auto"/>
              </w:rPr>
            </w:pPr>
            <w:r>
              <w:rPr>
                <w:rFonts w:ascii="Arial" w:cs="Arial" w:eastAsia="Arial" w:hAnsi="Arial"/>
                <w:sz w:val="17"/>
                <w:szCs w:val="17"/>
                <w:color w:val="auto"/>
              </w:rPr>
              <w:t>Ottawa, Illinois</w:t>
            </w:r>
          </w:p>
        </w:tc>
        <w:tc>
          <w:tcPr>
            <w:tcW w:w="0" w:type="dxa"/>
            <w:vAlign w:val="bottom"/>
          </w:tcPr>
          <w:p>
            <w:pPr>
              <w:spacing w:after="0"/>
              <w:rPr>
                <w:sz w:val="1"/>
                <w:szCs w:val="1"/>
                <w:color w:val="auto"/>
              </w:rPr>
            </w:pPr>
          </w:p>
        </w:tc>
      </w:tr>
      <w:tr>
        <w:trPr>
          <w:trHeight w:val="42"/>
        </w:trPr>
        <w:tc>
          <w:tcPr>
            <w:tcW w:w="15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c>
          <w:tcPr>
            <w:tcW w:w="2320" w:type="dxa"/>
            <w:vAlign w:val="bottom"/>
            <w:tcBorders>
              <w:bottom w:val="single" w:sz="8" w:color="A6A6A6"/>
            </w:tcBorders>
          </w:tcPr>
          <w:p>
            <w:pPr>
              <w:spacing w:after="0"/>
              <w:rPr>
                <w:sz w:val="3"/>
                <w:szCs w:val="3"/>
                <w:color w:val="auto"/>
              </w:rPr>
            </w:pPr>
          </w:p>
        </w:tc>
        <w:tc>
          <w:tcPr>
            <w:tcW w:w="41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Sugar Creek,</w:t>
            </w:r>
          </w:p>
        </w:tc>
        <w:tc>
          <w:tcPr>
            <w:tcW w:w="940" w:type="dxa"/>
            <w:vAlign w:val="bottom"/>
          </w:tcPr>
          <w:p>
            <w:pPr>
              <w:ind w:left="120"/>
              <w:spacing w:after="0"/>
              <w:rPr>
                <w:sz w:val="20"/>
                <w:szCs w:val="20"/>
                <w:color w:val="auto"/>
              </w:rPr>
            </w:pPr>
            <w:r>
              <w:rPr>
                <w:rFonts w:ascii="Arial" w:cs="Arial" w:eastAsia="Arial" w:hAnsi="Arial"/>
                <w:sz w:val="17"/>
                <w:szCs w:val="17"/>
                <w:color w:val="auto"/>
              </w:rPr>
              <w:t>Cement</w:t>
            </w:r>
          </w:p>
        </w:tc>
        <w:tc>
          <w:tcPr>
            <w:tcW w:w="2340" w:type="dxa"/>
            <w:vAlign w:val="bottom"/>
          </w:tcPr>
          <w:p>
            <w:pPr>
              <w:ind w:left="200"/>
              <w:spacing w:after="0"/>
              <w:rPr>
                <w:sz w:val="20"/>
                <w:szCs w:val="20"/>
                <w:color w:val="auto"/>
              </w:rPr>
            </w:pPr>
            <w:r>
              <w:rPr>
                <w:rFonts w:ascii="Arial" w:cs="Arial" w:eastAsia="Arial" w:hAnsi="Arial"/>
                <w:sz w:val="17"/>
                <w:szCs w:val="17"/>
                <w:color w:val="auto"/>
              </w:rPr>
              <w:t>Central Plains Cement</w:t>
            </w:r>
          </w:p>
        </w:tc>
        <w:tc>
          <w:tcPr>
            <w:tcW w:w="2320" w:type="dxa"/>
            <w:vAlign w:val="bottom"/>
          </w:tcPr>
          <w:p>
            <w:pPr>
              <w:ind w:left="80"/>
              <w:spacing w:after="0"/>
              <w:rPr>
                <w:sz w:val="20"/>
                <w:szCs w:val="20"/>
                <w:color w:val="auto"/>
              </w:rPr>
            </w:pPr>
            <w:r>
              <w:rPr>
                <w:rFonts w:ascii="Arial" w:cs="Arial" w:eastAsia="Arial" w:hAnsi="Arial"/>
                <w:sz w:val="17"/>
                <w:szCs w:val="17"/>
                <w:color w:val="auto"/>
              </w:rPr>
              <w:t>Western Missouri, eastern</w:t>
            </w:r>
          </w:p>
        </w:tc>
        <w:tc>
          <w:tcPr>
            <w:tcW w:w="4100" w:type="dxa"/>
            <w:vAlign w:val="bottom"/>
          </w:tcPr>
          <w:p>
            <w:pPr>
              <w:ind w:left="100"/>
              <w:spacing w:after="0"/>
              <w:rPr>
                <w:sz w:val="20"/>
                <w:szCs w:val="20"/>
                <w:color w:val="auto"/>
              </w:rPr>
            </w:pPr>
            <w:r>
              <w:rPr>
                <w:rFonts w:ascii="Arial" w:cs="Arial" w:eastAsia="Arial" w:hAnsi="Arial"/>
                <w:sz w:val="17"/>
                <w:szCs w:val="17"/>
                <w:color w:val="auto"/>
              </w:rPr>
              <w:t>Sugar Creek, Missouri; Wichita, Kansas;</w:t>
            </w:r>
          </w:p>
        </w:tc>
        <w:tc>
          <w:tcPr>
            <w:tcW w:w="0" w:type="dxa"/>
            <w:vAlign w:val="bottom"/>
          </w:tcPr>
          <w:p>
            <w:pPr>
              <w:spacing w:after="0"/>
              <w:rPr>
                <w:sz w:val="1"/>
                <w:szCs w:val="1"/>
                <w:color w:val="auto"/>
              </w:rPr>
            </w:pPr>
          </w:p>
        </w:tc>
      </w:tr>
      <w:tr>
        <w:trPr>
          <w:trHeight w:val="198"/>
        </w:trPr>
        <w:tc>
          <w:tcPr>
            <w:tcW w:w="1540" w:type="dxa"/>
            <w:vAlign w:val="bottom"/>
          </w:tcPr>
          <w:p>
            <w:pPr>
              <w:ind w:left="20"/>
              <w:spacing w:after="0" w:line="198" w:lineRule="exact"/>
              <w:rPr>
                <w:sz w:val="20"/>
                <w:szCs w:val="20"/>
                <w:color w:val="auto"/>
              </w:rPr>
            </w:pPr>
            <w:r>
              <w:rPr>
                <w:rFonts w:ascii="Arial" w:cs="Arial" w:eastAsia="Arial" w:hAnsi="Arial"/>
                <w:sz w:val="18"/>
                <w:szCs w:val="18"/>
                <w:b w:val="1"/>
                <w:bCs w:val="1"/>
                <w:color w:val="3983C5"/>
              </w:rPr>
              <w:t>Missouri</w:t>
            </w:r>
          </w:p>
        </w:tc>
        <w:tc>
          <w:tcPr>
            <w:tcW w:w="940" w:type="dxa"/>
            <w:vAlign w:val="bottom"/>
          </w:tcPr>
          <w:p>
            <w:pPr>
              <w:spacing w:after="0"/>
              <w:rPr>
                <w:sz w:val="17"/>
                <w:szCs w:val="17"/>
                <w:color w:val="auto"/>
              </w:rPr>
            </w:pPr>
          </w:p>
        </w:tc>
        <w:tc>
          <w:tcPr>
            <w:tcW w:w="2340" w:type="dxa"/>
            <w:vAlign w:val="bottom"/>
          </w:tcPr>
          <w:p>
            <w:pPr>
              <w:ind w:left="200"/>
              <w:spacing w:after="0"/>
              <w:rPr>
                <w:sz w:val="20"/>
                <w:szCs w:val="20"/>
                <w:color w:val="auto"/>
              </w:rPr>
            </w:pPr>
            <w:r>
              <w:rPr>
                <w:rFonts w:ascii="Arial" w:cs="Arial" w:eastAsia="Arial" w:hAnsi="Arial"/>
                <w:sz w:val="17"/>
                <w:szCs w:val="17"/>
                <w:color w:val="auto"/>
              </w:rPr>
              <w:t>Company</w:t>
            </w:r>
          </w:p>
        </w:tc>
        <w:tc>
          <w:tcPr>
            <w:tcW w:w="2320" w:type="dxa"/>
            <w:vAlign w:val="bottom"/>
          </w:tcPr>
          <w:p>
            <w:pPr>
              <w:ind w:left="80"/>
              <w:spacing w:after="0"/>
              <w:rPr>
                <w:sz w:val="20"/>
                <w:szCs w:val="20"/>
                <w:color w:val="auto"/>
              </w:rPr>
            </w:pPr>
            <w:r>
              <w:rPr>
                <w:rFonts w:ascii="Arial" w:cs="Arial" w:eastAsia="Arial" w:hAnsi="Arial"/>
                <w:sz w:val="17"/>
                <w:szCs w:val="17"/>
                <w:color w:val="auto"/>
              </w:rPr>
              <w:t>Kansas, eastern Nebraska,</w:t>
            </w:r>
          </w:p>
        </w:tc>
        <w:tc>
          <w:tcPr>
            <w:tcW w:w="4100" w:type="dxa"/>
            <w:vAlign w:val="bottom"/>
          </w:tcPr>
          <w:p>
            <w:pPr>
              <w:ind w:left="100"/>
              <w:spacing w:after="0"/>
              <w:rPr>
                <w:sz w:val="20"/>
                <w:szCs w:val="20"/>
                <w:color w:val="auto"/>
              </w:rPr>
            </w:pPr>
            <w:r>
              <w:rPr>
                <w:rFonts w:ascii="Arial" w:cs="Arial" w:eastAsia="Arial" w:hAnsi="Arial"/>
                <w:sz w:val="17"/>
                <w:szCs w:val="17"/>
                <w:color w:val="auto"/>
              </w:rPr>
              <w:t>Omaha, Nebraska; Altoona, Iowa</w:t>
            </w: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20" w:type="dxa"/>
            <w:vAlign w:val="bottom"/>
          </w:tcPr>
          <w:p>
            <w:pPr>
              <w:ind w:left="80"/>
              <w:spacing w:after="0"/>
              <w:rPr>
                <w:sz w:val="20"/>
                <w:szCs w:val="20"/>
                <w:color w:val="auto"/>
              </w:rPr>
            </w:pPr>
            <w:r>
              <w:rPr>
                <w:rFonts w:ascii="Arial" w:cs="Arial" w:eastAsia="Arial" w:hAnsi="Arial"/>
                <w:sz w:val="17"/>
                <w:szCs w:val="17"/>
                <w:color w:val="auto"/>
              </w:rPr>
              <w:t>and Iowa</w:t>
            </w: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5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c>
          <w:tcPr>
            <w:tcW w:w="2320" w:type="dxa"/>
            <w:vAlign w:val="bottom"/>
            <w:tcBorders>
              <w:bottom w:val="single" w:sz="8" w:color="A6A6A6"/>
            </w:tcBorders>
          </w:tcPr>
          <w:p>
            <w:pPr>
              <w:spacing w:after="0"/>
              <w:rPr>
                <w:sz w:val="3"/>
                <w:szCs w:val="3"/>
                <w:color w:val="auto"/>
              </w:rPr>
            </w:pPr>
          </w:p>
        </w:tc>
        <w:tc>
          <w:tcPr>
            <w:tcW w:w="41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Tulsa,</w:t>
            </w:r>
          </w:p>
        </w:tc>
        <w:tc>
          <w:tcPr>
            <w:tcW w:w="940" w:type="dxa"/>
            <w:vAlign w:val="bottom"/>
          </w:tcPr>
          <w:p>
            <w:pPr>
              <w:ind w:left="120"/>
              <w:spacing w:after="0"/>
              <w:rPr>
                <w:sz w:val="20"/>
                <w:szCs w:val="20"/>
                <w:color w:val="auto"/>
              </w:rPr>
            </w:pPr>
            <w:r>
              <w:rPr>
                <w:rFonts w:ascii="Arial" w:cs="Arial" w:eastAsia="Arial" w:hAnsi="Arial"/>
                <w:sz w:val="17"/>
                <w:szCs w:val="17"/>
                <w:color w:val="auto"/>
              </w:rPr>
              <w:t>Cement</w:t>
            </w:r>
          </w:p>
        </w:tc>
        <w:tc>
          <w:tcPr>
            <w:tcW w:w="2340" w:type="dxa"/>
            <w:vAlign w:val="bottom"/>
          </w:tcPr>
          <w:p>
            <w:pPr>
              <w:ind w:left="200"/>
              <w:spacing w:after="0"/>
              <w:rPr>
                <w:sz w:val="20"/>
                <w:szCs w:val="20"/>
                <w:color w:val="auto"/>
              </w:rPr>
            </w:pPr>
            <w:r>
              <w:rPr>
                <w:rFonts w:ascii="Arial" w:cs="Arial" w:eastAsia="Arial" w:hAnsi="Arial"/>
                <w:sz w:val="17"/>
                <w:szCs w:val="17"/>
                <w:color w:val="auto"/>
              </w:rPr>
              <w:t>Central Plains Cement</w:t>
            </w:r>
          </w:p>
        </w:tc>
        <w:tc>
          <w:tcPr>
            <w:tcW w:w="2320" w:type="dxa"/>
            <w:vAlign w:val="bottom"/>
          </w:tcPr>
          <w:p>
            <w:pPr>
              <w:ind w:left="80"/>
              <w:spacing w:after="0"/>
              <w:rPr>
                <w:sz w:val="20"/>
                <w:szCs w:val="20"/>
                <w:color w:val="auto"/>
              </w:rPr>
            </w:pPr>
            <w:r>
              <w:rPr>
                <w:rFonts w:ascii="Arial" w:cs="Arial" w:eastAsia="Arial" w:hAnsi="Arial"/>
                <w:sz w:val="17"/>
                <w:szCs w:val="17"/>
                <w:color w:val="auto"/>
              </w:rPr>
              <w:t>Oklahoma, western</w:t>
            </w:r>
          </w:p>
        </w:tc>
        <w:tc>
          <w:tcPr>
            <w:tcW w:w="4100" w:type="dxa"/>
            <w:vAlign w:val="bottom"/>
          </w:tcPr>
          <w:p>
            <w:pPr>
              <w:ind w:left="100"/>
              <w:spacing w:after="0"/>
              <w:rPr>
                <w:sz w:val="20"/>
                <w:szCs w:val="20"/>
                <w:color w:val="auto"/>
              </w:rPr>
            </w:pPr>
            <w:r>
              <w:rPr>
                <w:rFonts w:ascii="Arial" w:cs="Arial" w:eastAsia="Arial" w:hAnsi="Arial"/>
                <w:sz w:val="17"/>
                <w:szCs w:val="17"/>
                <w:color w:val="auto"/>
              </w:rPr>
              <w:t>Oklahoma City, Oklahoma;</w:t>
            </w:r>
          </w:p>
        </w:tc>
        <w:tc>
          <w:tcPr>
            <w:tcW w:w="0" w:type="dxa"/>
            <w:vAlign w:val="bottom"/>
          </w:tcPr>
          <w:p>
            <w:pPr>
              <w:spacing w:after="0"/>
              <w:rPr>
                <w:sz w:val="1"/>
                <w:szCs w:val="1"/>
                <w:color w:val="auto"/>
              </w:rPr>
            </w:pPr>
          </w:p>
        </w:tc>
      </w:tr>
      <w:tr>
        <w:trPr>
          <w:trHeight w:val="198"/>
        </w:trPr>
        <w:tc>
          <w:tcPr>
            <w:tcW w:w="1540" w:type="dxa"/>
            <w:vAlign w:val="bottom"/>
          </w:tcPr>
          <w:p>
            <w:pPr>
              <w:ind w:left="20"/>
              <w:spacing w:after="0" w:line="198" w:lineRule="exact"/>
              <w:rPr>
                <w:sz w:val="20"/>
                <w:szCs w:val="20"/>
                <w:color w:val="auto"/>
              </w:rPr>
            </w:pPr>
            <w:r>
              <w:rPr>
                <w:rFonts w:ascii="Arial" w:cs="Arial" w:eastAsia="Arial" w:hAnsi="Arial"/>
                <w:sz w:val="18"/>
                <w:szCs w:val="18"/>
                <w:b w:val="1"/>
                <w:bCs w:val="1"/>
                <w:color w:val="3983C5"/>
              </w:rPr>
              <w:t>Oklahoma</w:t>
            </w:r>
          </w:p>
        </w:tc>
        <w:tc>
          <w:tcPr>
            <w:tcW w:w="940" w:type="dxa"/>
            <w:vAlign w:val="bottom"/>
          </w:tcPr>
          <w:p>
            <w:pPr>
              <w:spacing w:after="0"/>
              <w:rPr>
                <w:sz w:val="17"/>
                <w:szCs w:val="17"/>
                <w:color w:val="auto"/>
              </w:rPr>
            </w:pPr>
          </w:p>
        </w:tc>
        <w:tc>
          <w:tcPr>
            <w:tcW w:w="2340" w:type="dxa"/>
            <w:vAlign w:val="bottom"/>
          </w:tcPr>
          <w:p>
            <w:pPr>
              <w:ind w:left="200"/>
              <w:spacing w:after="0"/>
              <w:rPr>
                <w:sz w:val="20"/>
                <w:szCs w:val="20"/>
                <w:color w:val="auto"/>
              </w:rPr>
            </w:pPr>
            <w:r>
              <w:rPr>
                <w:rFonts w:ascii="Arial" w:cs="Arial" w:eastAsia="Arial" w:hAnsi="Arial"/>
                <w:sz w:val="17"/>
                <w:szCs w:val="17"/>
                <w:color w:val="auto"/>
              </w:rPr>
              <w:t>Company</w:t>
            </w:r>
          </w:p>
        </w:tc>
        <w:tc>
          <w:tcPr>
            <w:tcW w:w="2320" w:type="dxa"/>
            <w:vAlign w:val="bottom"/>
          </w:tcPr>
          <w:p>
            <w:pPr>
              <w:ind w:left="80"/>
              <w:spacing w:after="0"/>
              <w:rPr>
                <w:sz w:val="20"/>
                <w:szCs w:val="20"/>
                <w:color w:val="auto"/>
              </w:rPr>
            </w:pPr>
            <w:r>
              <w:rPr>
                <w:rFonts w:ascii="Arial" w:cs="Arial" w:eastAsia="Arial" w:hAnsi="Arial"/>
                <w:sz w:val="17"/>
                <w:szCs w:val="17"/>
                <w:color w:val="auto"/>
              </w:rPr>
              <w:t>Arkansas, and southern</w:t>
            </w:r>
          </w:p>
        </w:tc>
        <w:tc>
          <w:tcPr>
            <w:tcW w:w="4100" w:type="dxa"/>
            <w:vAlign w:val="bottom"/>
          </w:tcPr>
          <w:p>
            <w:pPr>
              <w:ind w:left="100"/>
              <w:spacing w:after="0"/>
              <w:rPr>
                <w:sz w:val="20"/>
                <w:szCs w:val="20"/>
                <w:color w:val="auto"/>
              </w:rPr>
            </w:pPr>
            <w:r>
              <w:rPr>
                <w:rFonts w:ascii="Arial" w:cs="Arial" w:eastAsia="Arial" w:hAnsi="Arial"/>
                <w:sz w:val="17"/>
                <w:szCs w:val="17"/>
                <w:color w:val="auto"/>
              </w:rPr>
              <w:t>Springfield, Missouri</w:t>
            </w: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20" w:type="dxa"/>
            <w:vAlign w:val="bottom"/>
          </w:tcPr>
          <w:p>
            <w:pPr>
              <w:ind w:left="80"/>
              <w:spacing w:after="0"/>
              <w:rPr>
                <w:sz w:val="20"/>
                <w:szCs w:val="20"/>
                <w:color w:val="auto"/>
              </w:rPr>
            </w:pPr>
            <w:r>
              <w:rPr>
                <w:rFonts w:ascii="Arial" w:cs="Arial" w:eastAsia="Arial" w:hAnsi="Arial"/>
                <w:sz w:val="17"/>
                <w:szCs w:val="17"/>
                <w:color w:val="auto"/>
              </w:rPr>
              <w:t>Missouri</w:t>
            </w: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5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c>
          <w:tcPr>
            <w:tcW w:w="2320" w:type="dxa"/>
            <w:vAlign w:val="bottom"/>
            <w:tcBorders>
              <w:bottom w:val="single" w:sz="8" w:color="A6A6A6"/>
            </w:tcBorders>
          </w:tcPr>
          <w:p>
            <w:pPr>
              <w:spacing w:after="0"/>
              <w:rPr>
                <w:sz w:val="3"/>
                <w:szCs w:val="3"/>
                <w:color w:val="auto"/>
              </w:rPr>
            </w:pPr>
          </w:p>
        </w:tc>
        <w:tc>
          <w:tcPr>
            <w:tcW w:w="41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Laramie,</w:t>
            </w:r>
          </w:p>
        </w:tc>
        <w:tc>
          <w:tcPr>
            <w:tcW w:w="940" w:type="dxa"/>
            <w:vAlign w:val="bottom"/>
          </w:tcPr>
          <w:p>
            <w:pPr>
              <w:ind w:left="120"/>
              <w:spacing w:after="0"/>
              <w:rPr>
                <w:sz w:val="20"/>
                <w:szCs w:val="20"/>
                <w:color w:val="auto"/>
              </w:rPr>
            </w:pPr>
            <w:r>
              <w:rPr>
                <w:rFonts w:ascii="Arial" w:cs="Arial" w:eastAsia="Arial" w:hAnsi="Arial"/>
                <w:sz w:val="17"/>
                <w:szCs w:val="17"/>
                <w:color w:val="auto"/>
              </w:rPr>
              <w:t>Cement</w:t>
            </w:r>
          </w:p>
        </w:tc>
        <w:tc>
          <w:tcPr>
            <w:tcW w:w="2340" w:type="dxa"/>
            <w:vAlign w:val="bottom"/>
          </w:tcPr>
          <w:p>
            <w:pPr>
              <w:ind w:left="200"/>
              <w:spacing w:after="0"/>
              <w:rPr>
                <w:sz w:val="20"/>
                <w:szCs w:val="20"/>
                <w:color w:val="auto"/>
              </w:rPr>
            </w:pPr>
            <w:r>
              <w:rPr>
                <w:rFonts w:ascii="Arial" w:cs="Arial" w:eastAsia="Arial" w:hAnsi="Arial"/>
                <w:sz w:val="17"/>
                <w:szCs w:val="17"/>
                <w:color w:val="auto"/>
              </w:rPr>
              <w:t>Mountain Cement</w:t>
            </w:r>
          </w:p>
        </w:tc>
        <w:tc>
          <w:tcPr>
            <w:tcW w:w="2320" w:type="dxa"/>
            <w:vAlign w:val="bottom"/>
          </w:tcPr>
          <w:p>
            <w:pPr>
              <w:ind w:left="80"/>
              <w:spacing w:after="0"/>
              <w:rPr>
                <w:sz w:val="20"/>
                <w:szCs w:val="20"/>
                <w:color w:val="auto"/>
              </w:rPr>
            </w:pPr>
            <w:r>
              <w:rPr>
                <w:rFonts w:ascii="Arial" w:cs="Arial" w:eastAsia="Arial" w:hAnsi="Arial"/>
                <w:sz w:val="17"/>
                <w:szCs w:val="17"/>
                <w:color w:val="auto"/>
              </w:rPr>
              <w:t>Wyoming, Utah, Colorado,</w:t>
            </w:r>
          </w:p>
        </w:tc>
        <w:tc>
          <w:tcPr>
            <w:tcW w:w="4100" w:type="dxa"/>
            <w:vAlign w:val="bottom"/>
          </w:tcPr>
          <w:p>
            <w:pPr>
              <w:ind w:left="100"/>
              <w:spacing w:after="0"/>
              <w:rPr>
                <w:sz w:val="20"/>
                <w:szCs w:val="20"/>
                <w:color w:val="auto"/>
              </w:rPr>
            </w:pPr>
            <w:r>
              <w:rPr>
                <w:rFonts w:ascii="Arial" w:cs="Arial" w:eastAsia="Arial" w:hAnsi="Arial"/>
                <w:sz w:val="17"/>
                <w:szCs w:val="17"/>
                <w:color w:val="auto"/>
              </w:rPr>
              <w:t>Salt Lake City, Utah; Denver, Colorado;</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Wyoming</w:t>
            </w:r>
          </w:p>
        </w:tc>
        <w:tc>
          <w:tcPr>
            <w:tcW w:w="940" w:type="dxa"/>
            <w:vAlign w:val="bottom"/>
          </w:tcPr>
          <w:p>
            <w:pPr>
              <w:spacing w:after="0"/>
              <w:rPr>
                <w:sz w:val="22"/>
                <w:szCs w:val="22"/>
                <w:color w:val="auto"/>
              </w:rPr>
            </w:pPr>
          </w:p>
        </w:tc>
        <w:tc>
          <w:tcPr>
            <w:tcW w:w="2340" w:type="dxa"/>
            <w:vAlign w:val="bottom"/>
          </w:tcPr>
          <w:p>
            <w:pPr>
              <w:ind w:left="200"/>
              <w:spacing w:after="0"/>
              <w:rPr>
                <w:sz w:val="20"/>
                <w:szCs w:val="20"/>
                <w:color w:val="auto"/>
              </w:rPr>
            </w:pPr>
            <w:r>
              <w:rPr>
                <w:rFonts w:ascii="Arial" w:cs="Arial" w:eastAsia="Arial" w:hAnsi="Arial"/>
                <w:sz w:val="17"/>
                <w:szCs w:val="17"/>
                <w:color w:val="auto"/>
              </w:rPr>
              <w:t>Company</w:t>
            </w:r>
          </w:p>
        </w:tc>
        <w:tc>
          <w:tcPr>
            <w:tcW w:w="2320" w:type="dxa"/>
            <w:vAlign w:val="bottom"/>
          </w:tcPr>
          <w:p>
            <w:pPr>
              <w:ind w:left="80"/>
              <w:spacing w:after="0"/>
              <w:rPr>
                <w:sz w:val="20"/>
                <w:szCs w:val="20"/>
                <w:color w:val="auto"/>
              </w:rPr>
            </w:pPr>
            <w:r>
              <w:rPr>
                <w:rFonts w:ascii="Arial" w:cs="Arial" w:eastAsia="Arial" w:hAnsi="Arial"/>
                <w:sz w:val="17"/>
                <w:szCs w:val="17"/>
                <w:color w:val="auto"/>
              </w:rPr>
              <w:t>and western Nebraska</w:t>
            </w:r>
          </w:p>
        </w:tc>
        <w:tc>
          <w:tcPr>
            <w:tcW w:w="4100" w:type="dxa"/>
            <w:vAlign w:val="bottom"/>
          </w:tcPr>
          <w:p>
            <w:pPr>
              <w:ind w:left="100"/>
              <w:spacing w:after="0"/>
              <w:rPr>
                <w:sz w:val="20"/>
                <w:szCs w:val="20"/>
                <w:color w:val="auto"/>
              </w:rPr>
            </w:pPr>
            <w:r>
              <w:rPr>
                <w:rFonts w:ascii="Arial" w:cs="Arial" w:eastAsia="Arial" w:hAnsi="Arial"/>
                <w:sz w:val="17"/>
                <w:szCs w:val="17"/>
                <w:color w:val="auto"/>
              </w:rPr>
              <w:t>North Platte, Nebraska</w:t>
            </w:r>
          </w:p>
        </w:tc>
        <w:tc>
          <w:tcPr>
            <w:tcW w:w="0" w:type="dxa"/>
            <w:vAlign w:val="bottom"/>
          </w:tcPr>
          <w:p>
            <w:pPr>
              <w:spacing w:after="0"/>
              <w:rPr>
                <w:sz w:val="1"/>
                <w:szCs w:val="1"/>
                <w:color w:val="auto"/>
              </w:rPr>
            </w:pPr>
          </w:p>
        </w:tc>
      </w:tr>
      <w:tr>
        <w:trPr>
          <w:trHeight w:val="42"/>
        </w:trPr>
        <w:tc>
          <w:tcPr>
            <w:tcW w:w="15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c>
          <w:tcPr>
            <w:tcW w:w="2320" w:type="dxa"/>
            <w:vAlign w:val="bottom"/>
            <w:tcBorders>
              <w:bottom w:val="single" w:sz="8" w:color="A6A6A6"/>
            </w:tcBorders>
          </w:tcPr>
          <w:p>
            <w:pPr>
              <w:spacing w:after="0"/>
              <w:rPr>
                <w:sz w:val="3"/>
                <w:szCs w:val="3"/>
                <w:color w:val="auto"/>
              </w:rPr>
            </w:pPr>
          </w:p>
        </w:tc>
        <w:tc>
          <w:tcPr>
            <w:tcW w:w="41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Fernley,</w:t>
            </w:r>
          </w:p>
        </w:tc>
        <w:tc>
          <w:tcPr>
            <w:tcW w:w="940" w:type="dxa"/>
            <w:vAlign w:val="bottom"/>
          </w:tcPr>
          <w:p>
            <w:pPr>
              <w:ind w:left="120"/>
              <w:spacing w:after="0"/>
              <w:rPr>
                <w:sz w:val="20"/>
                <w:szCs w:val="20"/>
                <w:color w:val="auto"/>
              </w:rPr>
            </w:pPr>
            <w:r>
              <w:rPr>
                <w:rFonts w:ascii="Arial" w:cs="Arial" w:eastAsia="Arial" w:hAnsi="Arial"/>
                <w:sz w:val="17"/>
                <w:szCs w:val="17"/>
                <w:color w:val="auto"/>
              </w:rPr>
              <w:t>Cement</w:t>
            </w:r>
          </w:p>
        </w:tc>
        <w:tc>
          <w:tcPr>
            <w:tcW w:w="2340" w:type="dxa"/>
            <w:vAlign w:val="bottom"/>
          </w:tcPr>
          <w:p>
            <w:pPr>
              <w:ind w:left="200"/>
              <w:spacing w:after="0"/>
              <w:rPr>
                <w:sz w:val="20"/>
                <w:szCs w:val="20"/>
                <w:color w:val="auto"/>
              </w:rPr>
            </w:pPr>
            <w:r>
              <w:rPr>
                <w:rFonts w:ascii="Arial" w:cs="Arial" w:eastAsia="Arial" w:hAnsi="Arial"/>
                <w:sz w:val="17"/>
                <w:szCs w:val="17"/>
                <w:color w:val="auto"/>
              </w:rPr>
              <w:t>Nevada Cement Company</w:t>
            </w:r>
          </w:p>
        </w:tc>
        <w:tc>
          <w:tcPr>
            <w:tcW w:w="2320" w:type="dxa"/>
            <w:vAlign w:val="bottom"/>
          </w:tcPr>
          <w:p>
            <w:pPr>
              <w:ind w:left="80"/>
              <w:spacing w:after="0"/>
              <w:rPr>
                <w:sz w:val="20"/>
                <w:szCs w:val="20"/>
                <w:color w:val="auto"/>
              </w:rPr>
            </w:pPr>
            <w:r>
              <w:rPr>
                <w:rFonts w:ascii="Arial" w:cs="Arial" w:eastAsia="Arial" w:hAnsi="Arial"/>
                <w:sz w:val="17"/>
                <w:szCs w:val="17"/>
                <w:color w:val="auto"/>
              </w:rPr>
              <w:t>Northern Nevada and</w:t>
            </w:r>
          </w:p>
        </w:tc>
        <w:tc>
          <w:tcPr>
            <w:tcW w:w="4100" w:type="dxa"/>
            <w:vAlign w:val="bottom"/>
          </w:tcPr>
          <w:p>
            <w:pPr>
              <w:ind w:left="100"/>
              <w:spacing w:after="0" w:line="223" w:lineRule="exact"/>
              <w:rPr>
                <w:sz w:val="20"/>
                <w:szCs w:val="20"/>
                <w:color w:val="auto"/>
              </w:rPr>
            </w:pPr>
            <w:r>
              <w:rPr>
                <w:rFonts w:ascii="Arial" w:cs="Arial" w:eastAsia="Arial" w:hAnsi="Arial"/>
                <w:sz w:val="17"/>
                <w:szCs w:val="17"/>
                <w:color w:val="auto"/>
              </w:rPr>
              <w:t xml:space="preserve">Sacramento, California; Stockton, California; </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308"/>
        </w:trPr>
        <w:tc>
          <w:tcPr>
            <w:tcW w:w="1540" w:type="dxa"/>
            <w:vAlign w:val="bottom"/>
            <w:tcBorders>
              <w:bottom w:val="single" w:sz="8" w:color="A6A6A6"/>
            </w:tcBorders>
          </w:tcPr>
          <w:p>
            <w:pPr>
              <w:ind w:left="20"/>
              <w:spacing w:after="0"/>
              <w:rPr>
                <w:sz w:val="20"/>
                <w:szCs w:val="20"/>
                <w:color w:val="auto"/>
              </w:rPr>
            </w:pPr>
            <w:r>
              <w:rPr>
                <w:rFonts w:ascii="Arial" w:cs="Arial" w:eastAsia="Arial" w:hAnsi="Arial"/>
                <w:sz w:val="18"/>
                <w:szCs w:val="18"/>
                <w:b w:val="1"/>
                <w:bCs w:val="1"/>
                <w:color w:val="3983C5"/>
              </w:rPr>
              <w:t>Nevada</w:t>
            </w:r>
          </w:p>
        </w:tc>
        <w:tc>
          <w:tcPr>
            <w:tcW w:w="940" w:type="dxa"/>
            <w:vAlign w:val="bottom"/>
            <w:tcBorders>
              <w:bottom w:val="single" w:sz="8" w:color="A6A6A6"/>
            </w:tcBorders>
          </w:tcPr>
          <w:p>
            <w:pPr>
              <w:spacing w:after="0"/>
              <w:rPr>
                <w:sz w:val="24"/>
                <w:szCs w:val="24"/>
                <w:color w:val="auto"/>
              </w:rPr>
            </w:pPr>
          </w:p>
        </w:tc>
        <w:tc>
          <w:tcPr>
            <w:tcW w:w="2340" w:type="dxa"/>
            <w:vAlign w:val="bottom"/>
            <w:tcBorders>
              <w:bottom w:val="single" w:sz="8" w:color="A6A6A6"/>
            </w:tcBorders>
          </w:tcPr>
          <w:p>
            <w:pPr>
              <w:spacing w:after="0"/>
              <w:rPr>
                <w:sz w:val="24"/>
                <w:szCs w:val="24"/>
                <w:color w:val="auto"/>
              </w:rPr>
            </w:pPr>
          </w:p>
        </w:tc>
        <w:tc>
          <w:tcPr>
            <w:tcW w:w="2320" w:type="dxa"/>
            <w:vAlign w:val="bottom"/>
            <w:tcBorders>
              <w:bottom w:val="single" w:sz="8" w:color="A6A6A6"/>
            </w:tcBorders>
          </w:tcPr>
          <w:p>
            <w:pPr>
              <w:ind w:left="80"/>
              <w:spacing w:after="0"/>
              <w:rPr>
                <w:sz w:val="20"/>
                <w:szCs w:val="20"/>
                <w:color w:val="auto"/>
              </w:rPr>
            </w:pPr>
            <w:r>
              <w:rPr>
                <w:rFonts w:ascii="Arial" w:cs="Arial" w:eastAsia="Arial" w:hAnsi="Arial"/>
                <w:sz w:val="17"/>
                <w:szCs w:val="17"/>
                <w:color w:val="auto"/>
              </w:rPr>
              <w:t>northern California</w:t>
            </w:r>
          </w:p>
        </w:tc>
        <w:tc>
          <w:tcPr>
            <w:tcW w:w="4100" w:type="dxa"/>
            <w:vAlign w:val="bottom"/>
            <w:tcBorders>
              <w:bottom w:val="single" w:sz="8" w:color="A6A6A6"/>
            </w:tcBorders>
          </w:tcPr>
          <w:p>
            <w:pPr>
              <w:ind w:left="100"/>
              <w:spacing w:after="0"/>
              <w:rPr>
                <w:sz w:val="20"/>
                <w:szCs w:val="20"/>
                <w:color w:val="auto"/>
              </w:rPr>
            </w:pPr>
            <w:r>
              <w:rPr>
                <w:rFonts w:ascii="Arial" w:cs="Arial" w:eastAsia="Arial" w:hAnsi="Arial"/>
                <w:sz w:val="17"/>
                <w:szCs w:val="17"/>
                <w:color w:val="auto"/>
              </w:rPr>
              <w:t xml:space="preserve">Redwood City, California </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26"/>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Louisville,</w:t>
            </w:r>
          </w:p>
        </w:tc>
        <w:tc>
          <w:tcPr>
            <w:tcW w:w="940" w:type="dxa"/>
            <w:vAlign w:val="bottom"/>
          </w:tcPr>
          <w:p>
            <w:pPr>
              <w:ind w:left="120"/>
              <w:spacing w:after="0"/>
              <w:rPr>
                <w:sz w:val="20"/>
                <w:szCs w:val="20"/>
                <w:color w:val="auto"/>
              </w:rPr>
            </w:pPr>
            <w:r>
              <w:rPr>
                <w:rFonts w:ascii="Arial" w:cs="Arial" w:eastAsia="Arial" w:hAnsi="Arial"/>
                <w:sz w:val="17"/>
                <w:szCs w:val="17"/>
                <w:color w:val="auto"/>
              </w:rPr>
              <w:t>Cement</w:t>
            </w:r>
          </w:p>
        </w:tc>
        <w:tc>
          <w:tcPr>
            <w:tcW w:w="2340" w:type="dxa"/>
            <w:vAlign w:val="bottom"/>
          </w:tcPr>
          <w:p>
            <w:pPr>
              <w:ind w:left="200"/>
              <w:spacing w:after="0"/>
              <w:rPr>
                <w:sz w:val="20"/>
                <w:szCs w:val="20"/>
                <w:color w:val="auto"/>
              </w:rPr>
            </w:pPr>
            <w:r>
              <w:rPr>
                <w:rFonts w:ascii="Arial" w:cs="Arial" w:eastAsia="Arial" w:hAnsi="Arial"/>
                <w:sz w:val="17"/>
                <w:szCs w:val="17"/>
                <w:color w:val="auto"/>
              </w:rPr>
              <w:t>Kosmos Cement Company</w:t>
            </w:r>
          </w:p>
        </w:tc>
        <w:tc>
          <w:tcPr>
            <w:tcW w:w="2320" w:type="dxa"/>
            <w:vAlign w:val="bottom"/>
          </w:tcPr>
          <w:p>
            <w:pPr>
              <w:ind w:left="80"/>
              <w:spacing w:after="0"/>
              <w:rPr>
                <w:sz w:val="20"/>
                <w:szCs w:val="20"/>
                <w:color w:val="auto"/>
              </w:rPr>
            </w:pPr>
            <w:r>
              <w:rPr>
                <w:rFonts w:ascii="Arial" w:cs="Arial" w:eastAsia="Arial" w:hAnsi="Arial"/>
                <w:sz w:val="17"/>
                <w:szCs w:val="17"/>
                <w:color w:val="auto"/>
              </w:rPr>
              <w:t>Kentucky, Ohio, Indiana,</w:t>
            </w:r>
          </w:p>
        </w:tc>
        <w:tc>
          <w:tcPr>
            <w:tcW w:w="4100" w:type="dxa"/>
            <w:vAlign w:val="bottom"/>
          </w:tcPr>
          <w:p>
            <w:pPr>
              <w:ind w:left="100"/>
              <w:spacing w:after="0"/>
              <w:rPr>
                <w:sz w:val="20"/>
                <w:szCs w:val="20"/>
                <w:color w:val="auto"/>
              </w:rPr>
            </w:pPr>
            <w:r>
              <w:rPr>
                <w:rFonts w:ascii="Arial" w:cs="Arial" w:eastAsia="Arial" w:hAnsi="Arial"/>
                <w:sz w:val="17"/>
                <w:szCs w:val="17"/>
                <w:color w:val="auto"/>
              </w:rPr>
              <w:t>Indianapolis, Indiana; Ceredo, West Virginia;</w:t>
            </w:r>
          </w:p>
        </w:tc>
        <w:tc>
          <w:tcPr>
            <w:tcW w:w="0" w:type="dxa"/>
            <w:vAlign w:val="bottom"/>
          </w:tcPr>
          <w:p>
            <w:pPr>
              <w:spacing w:after="0"/>
              <w:rPr>
                <w:sz w:val="1"/>
                <w:szCs w:val="1"/>
                <w:color w:val="auto"/>
              </w:rPr>
            </w:pPr>
          </w:p>
        </w:tc>
      </w:tr>
      <w:tr>
        <w:trPr>
          <w:trHeight w:val="203"/>
        </w:trPr>
        <w:tc>
          <w:tcPr>
            <w:tcW w:w="1540" w:type="dxa"/>
            <w:vAlign w:val="bottom"/>
          </w:tcPr>
          <w:p>
            <w:pPr>
              <w:ind w:left="20"/>
              <w:spacing w:after="0" w:line="202" w:lineRule="exact"/>
              <w:rPr>
                <w:sz w:val="20"/>
                <w:szCs w:val="20"/>
                <w:color w:val="auto"/>
              </w:rPr>
            </w:pPr>
            <w:r>
              <w:rPr>
                <w:rFonts w:ascii="Arial" w:cs="Arial" w:eastAsia="Arial" w:hAnsi="Arial"/>
                <w:sz w:val="18"/>
                <w:szCs w:val="18"/>
                <w:b w:val="1"/>
                <w:bCs w:val="1"/>
                <w:color w:val="3983C5"/>
              </w:rPr>
              <w:t>Kentucky</w:t>
            </w: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7"/>
                <w:szCs w:val="17"/>
                <w:color w:val="auto"/>
              </w:rPr>
              <w:t>West Virginia, eastern</w:t>
            </w:r>
          </w:p>
        </w:tc>
        <w:tc>
          <w:tcPr>
            <w:tcW w:w="4100" w:type="dxa"/>
            <w:vAlign w:val="bottom"/>
          </w:tcPr>
          <w:p>
            <w:pPr>
              <w:ind w:left="100"/>
              <w:spacing w:after="0" w:line="203" w:lineRule="exact"/>
              <w:rPr>
                <w:sz w:val="20"/>
                <w:szCs w:val="20"/>
                <w:color w:val="auto"/>
              </w:rPr>
            </w:pPr>
            <w:r>
              <w:rPr>
                <w:rFonts w:ascii="Arial" w:cs="Arial" w:eastAsia="Arial" w:hAnsi="Arial"/>
                <w:sz w:val="17"/>
                <w:szCs w:val="17"/>
                <w:color w:val="auto"/>
              </w:rPr>
              <w:t xml:space="preserve">Lexington, Kentucky </w:t>
            </w:r>
            <w:r>
              <w:rPr>
                <w:rFonts w:ascii="Arial" w:cs="Arial" w:eastAsia="Arial" w:hAnsi="Arial"/>
                <w:sz w:val="22"/>
                <w:szCs w:val="22"/>
                <w:color w:val="auto"/>
                <w:vertAlign w:val="superscript"/>
              </w:rPr>
              <w:t>(2)</w:t>
            </w:r>
            <w:r>
              <w:rPr>
                <w:rFonts w:ascii="Arial" w:cs="Arial" w:eastAsia="Arial" w:hAnsi="Arial"/>
                <w:sz w:val="17"/>
                <w:szCs w:val="17"/>
                <w:color w:val="auto"/>
              </w:rPr>
              <w:t>; Cincinnati, Ohio;</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320" w:type="dxa"/>
            <w:vAlign w:val="bottom"/>
          </w:tcPr>
          <w:p>
            <w:pPr>
              <w:ind w:left="80"/>
              <w:spacing w:after="0" w:line="180" w:lineRule="exact"/>
              <w:rPr>
                <w:sz w:val="20"/>
                <w:szCs w:val="20"/>
                <w:color w:val="auto"/>
              </w:rPr>
            </w:pPr>
            <w:r>
              <w:rPr>
                <w:rFonts w:ascii="Arial" w:cs="Arial" w:eastAsia="Arial" w:hAnsi="Arial"/>
                <w:sz w:val="17"/>
                <w:szCs w:val="17"/>
                <w:color w:val="auto"/>
              </w:rPr>
              <w:t>Illinois, western</w:t>
            </w:r>
          </w:p>
        </w:tc>
        <w:tc>
          <w:tcPr>
            <w:tcW w:w="4100" w:type="dxa"/>
            <w:vAlign w:val="bottom"/>
          </w:tcPr>
          <w:p>
            <w:pPr>
              <w:ind w:left="100"/>
              <w:spacing w:after="0" w:line="180" w:lineRule="exact"/>
              <w:rPr>
                <w:sz w:val="20"/>
                <w:szCs w:val="20"/>
                <w:color w:val="auto"/>
              </w:rPr>
            </w:pPr>
            <w:r>
              <w:rPr>
                <w:rFonts w:ascii="Arial" w:cs="Arial" w:eastAsia="Arial" w:hAnsi="Arial"/>
                <w:sz w:val="17"/>
                <w:szCs w:val="17"/>
                <w:color w:val="auto"/>
              </w:rPr>
              <w:t>Pittsburgh, Pennsylvania; Nashville,</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320" w:type="dxa"/>
            <w:vAlign w:val="bottom"/>
          </w:tcPr>
          <w:p>
            <w:pPr>
              <w:ind w:left="80"/>
              <w:spacing w:after="0" w:line="171" w:lineRule="exact"/>
              <w:rPr>
                <w:sz w:val="20"/>
                <w:szCs w:val="20"/>
                <w:color w:val="auto"/>
              </w:rPr>
            </w:pPr>
            <w:r>
              <w:rPr>
                <w:rFonts w:ascii="Arial" w:cs="Arial" w:eastAsia="Arial" w:hAnsi="Arial"/>
                <w:sz w:val="17"/>
                <w:szCs w:val="17"/>
                <w:color w:val="auto"/>
              </w:rPr>
              <w:t>Pennsylvania, and northern</w:t>
            </w:r>
          </w:p>
        </w:tc>
        <w:tc>
          <w:tcPr>
            <w:tcW w:w="4100" w:type="dxa"/>
            <w:vAlign w:val="bottom"/>
          </w:tcPr>
          <w:p>
            <w:pPr>
              <w:ind w:left="100"/>
              <w:spacing w:after="0" w:line="171" w:lineRule="exact"/>
              <w:rPr>
                <w:sz w:val="20"/>
                <w:szCs w:val="20"/>
                <w:color w:val="auto"/>
              </w:rPr>
            </w:pPr>
            <w:r>
              <w:rPr>
                <w:rFonts w:ascii="Arial" w:cs="Arial" w:eastAsia="Arial" w:hAnsi="Arial"/>
                <w:sz w:val="17"/>
                <w:szCs w:val="17"/>
                <w:color w:val="auto"/>
              </w:rPr>
              <w:t>Tennessee; Charleston, West Virginia;</w:t>
            </w:r>
          </w:p>
        </w:tc>
        <w:tc>
          <w:tcPr>
            <w:tcW w:w="0" w:type="dxa"/>
            <w:vAlign w:val="bottom"/>
          </w:tcPr>
          <w:p>
            <w:pPr>
              <w:spacing w:after="0"/>
              <w:rPr>
                <w:sz w:val="1"/>
                <w:szCs w:val="1"/>
                <w:color w:val="auto"/>
              </w:rPr>
            </w:pPr>
          </w:p>
        </w:tc>
      </w:tr>
      <w:tr>
        <w:trPr>
          <w:trHeight w:val="297"/>
        </w:trPr>
        <w:tc>
          <w:tcPr>
            <w:tcW w:w="154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spacing w:after="0"/>
              <w:rPr>
                <w:sz w:val="24"/>
                <w:szCs w:val="24"/>
                <w:color w:val="auto"/>
              </w:rPr>
            </w:pPr>
          </w:p>
        </w:tc>
        <w:tc>
          <w:tcPr>
            <w:tcW w:w="2340" w:type="dxa"/>
            <w:vAlign w:val="bottom"/>
            <w:tcBorders>
              <w:bottom w:val="single" w:sz="8" w:color="A6A6A6"/>
            </w:tcBorders>
          </w:tcPr>
          <w:p>
            <w:pPr>
              <w:spacing w:after="0"/>
              <w:rPr>
                <w:sz w:val="24"/>
                <w:szCs w:val="24"/>
                <w:color w:val="auto"/>
              </w:rPr>
            </w:pPr>
          </w:p>
        </w:tc>
        <w:tc>
          <w:tcPr>
            <w:tcW w:w="2320" w:type="dxa"/>
            <w:vAlign w:val="bottom"/>
            <w:tcBorders>
              <w:bottom w:val="single" w:sz="8" w:color="A6A6A6"/>
            </w:tcBorders>
          </w:tcPr>
          <w:p>
            <w:pPr>
              <w:ind w:left="80"/>
              <w:spacing w:after="0"/>
              <w:rPr>
                <w:sz w:val="20"/>
                <w:szCs w:val="20"/>
                <w:color w:val="auto"/>
              </w:rPr>
            </w:pPr>
            <w:r>
              <w:rPr>
                <w:rFonts w:ascii="Arial" w:cs="Arial" w:eastAsia="Arial" w:hAnsi="Arial"/>
                <w:sz w:val="17"/>
                <w:szCs w:val="17"/>
                <w:color w:val="auto"/>
              </w:rPr>
              <w:t>Tennessee</w:t>
            </w:r>
          </w:p>
        </w:tc>
        <w:tc>
          <w:tcPr>
            <w:tcW w:w="4100" w:type="dxa"/>
            <w:vAlign w:val="bottom"/>
            <w:tcBorders>
              <w:bottom w:val="single" w:sz="8" w:color="A6A6A6"/>
            </w:tcBorders>
          </w:tcPr>
          <w:p>
            <w:pPr>
              <w:ind w:left="100"/>
              <w:spacing w:after="0"/>
              <w:rPr>
                <w:sz w:val="20"/>
                <w:szCs w:val="20"/>
                <w:color w:val="auto"/>
              </w:rPr>
            </w:pPr>
            <w:r>
              <w:rPr>
                <w:rFonts w:ascii="Arial" w:cs="Arial" w:eastAsia="Arial" w:hAnsi="Arial"/>
                <w:sz w:val="17"/>
                <w:szCs w:val="17"/>
                <w:color w:val="auto"/>
              </w:rPr>
              <w:t xml:space="preserve">Mount Vernon, Indiana </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Fairborn,</w:t>
            </w:r>
          </w:p>
        </w:tc>
        <w:tc>
          <w:tcPr>
            <w:tcW w:w="940" w:type="dxa"/>
            <w:vAlign w:val="bottom"/>
          </w:tcPr>
          <w:p>
            <w:pPr>
              <w:ind w:left="120"/>
              <w:spacing w:after="0"/>
              <w:rPr>
                <w:sz w:val="20"/>
                <w:szCs w:val="20"/>
                <w:color w:val="auto"/>
              </w:rPr>
            </w:pPr>
            <w:r>
              <w:rPr>
                <w:rFonts w:ascii="Arial" w:cs="Arial" w:eastAsia="Arial" w:hAnsi="Arial"/>
                <w:sz w:val="17"/>
                <w:szCs w:val="17"/>
                <w:color w:val="auto"/>
              </w:rPr>
              <w:t>Cement</w:t>
            </w:r>
          </w:p>
        </w:tc>
        <w:tc>
          <w:tcPr>
            <w:tcW w:w="2340" w:type="dxa"/>
            <w:vAlign w:val="bottom"/>
          </w:tcPr>
          <w:p>
            <w:pPr>
              <w:ind w:left="200"/>
              <w:spacing w:after="0"/>
              <w:rPr>
                <w:sz w:val="20"/>
                <w:szCs w:val="20"/>
                <w:color w:val="auto"/>
              </w:rPr>
            </w:pPr>
            <w:r>
              <w:rPr>
                <w:rFonts w:ascii="Arial" w:cs="Arial" w:eastAsia="Arial" w:hAnsi="Arial"/>
                <w:sz w:val="17"/>
                <w:szCs w:val="17"/>
                <w:color w:val="auto"/>
              </w:rPr>
              <w:t>Fairborn Cement Company</w:t>
            </w:r>
          </w:p>
        </w:tc>
        <w:tc>
          <w:tcPr>
            <w:tcW w:w="2320" w:type="dxa"/>
            <w:vAlign w:val="bottom"/>
          </w:tcPr>
          <w:p>
            <w:pPr>
              <w:ind w:left="80"/>
              <w:spacing w:after="0"/>
              <w:rPr>
                <w:sz w:val="20"/>
                <w:szCs w:val="20"/>
                <w:color w:val="auto"/>
              </w:rPr>
            </w:pPr>
            <w:r>
              <w:rPr>
                <w:rFonts w:ascii="Arial" w:cs="Arial" w:eastAsia="Arial" w:hAnsi="Arial"/>
                <w:sz w:val="17"/>
                <w:szCs w:val="17"/>
                <w:color w:val="auto"/>
              </w:rPr>
              <w:t>Ohio, eastern Indiana, and</w:t>
            </w:r>
          </w:p>
        </w:tc>
        <w:tc>
          <w:tcPr>
            <w:tcW w:w="4100" w:type="dxa"/>
            <w:vAlign w:val="bottom"/>
          </w:tcPr>
          <w:p>
            <w:pPr>
              <w:ind w:left="100"/>
              <w:spacing w:after="0"/>
              <w:rPr>
                <w:sz w:val="20"/>
                <w:szCs w:val="20"/>
                <w:color w:val="auto"/>
              </w:rPr>
            </w:pPr>
            <w:r>
              <w:rPr>
                <w:rFonts w:ascii="Arial" w:cs="Arial" w:eastAsia="Arial" w:hAnsi="Arial"/>
                <w:sz w:val="17"/>
                <w:szCs w:val="17"/>
                <w:color w:val="auto"/>
              </w:rPr>
              <w:t>Columbus, Ohio</w:t>
            </w:r>
          </w:p>
        </w:tc>
        <w:tc>
          <w:tcPr>
            <w:tcW w:w="0" w:type="dxa"/>
            <w:vAlign w:val="bottom"/>
          </w:tcPr>
          <w:p>
            <w:pPr>
              <w:spacing w:after="0"/>
              <w:rPr>
                <w:sz w:val="1"/>
                <w:szCs w:val="1"/>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Ohio</w:t>
            </w:r>
          </w:p>
        </w:tc>
        <w:tc>
          <w:tcPr>
            <w:tcW w:w="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320" w:type="dxa"/>
            <w:vAlign w:val="bottom"/>
          </w:tcPr>
          <w:p>
            <w:pPr>
              <w:ind w:left="80"/>
              <w:spacing w:after="0"/>
              <w:rPr>
                <w:sz w:val="20"/>
                <w:szCs w:val="20"/>
                <w:color w:val="auto"/>
              </w:rPr>
            </w:pPr>
            <w:r>
              <w:rPr>
                <w:rFonts w:ascii="Arial" w:cs="Arial" w:eastAsia="Arial" w:hAnsi="Arial"/>
                <w:sz w:val="17"/>
                <w:szCs w:val="17"/>
                <w:color w:val="auto"/>
              </w:rPr>
              <w:t>northern Kentucky</w:t>
            </w: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15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c>
          <w:tcPr>
            <w:tcW w:w="2320" w:type="dxa"/>
            <w:vAlign w:val="bottom"/>
            <w:tcBorders>
              <w:bottom w:val="single" w:sz="8" w:color="A6A6A6"/>
            </w:tcBorders>
          </w:tcPr>
          <w:p>
            <w:pPr>
              <w:spacing w:after="0"/>
              <w:rPr>
                <w:sz w:val="3"/>
                <w:szCs w:val="3"/>
                <w:color w:val="auto"/>
              </w:rPr>
            </w:pPr>
          </w:p>
        </w:tc>
        <w:tc>
          <w:tcPr>
            <w:tcW w:w="41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Chicago,</w:t>
            </w:r>
          </w:p>
        </w:tc>
        <w:tc>
          <w:tcPr>
            <w:tcW w:w="940" w:type="dxa"/>
            <w:vAlign w:val="bottom"/>
          </w:tcPr>
          <w:p>
            <w:pPr>
              <w:ind w:left="120"/>
              <w:spacing w:after="0"/>
              <w:rPr>
                <w:sz w:val="20"/>
                <w:szCs w:val="20"/>
                <w:color w:val="auto"/>
              </w:rPr>
            </w:pPr>
            <w:r>
              <w:rPr>
                <w:rFonts w:ascii="Arial" w:cs="Arial" w:eastAsia="Arial" w:hAnsi="Arial"/>
                <w:sz w:val="17"/>
                <w:szCs w:val="17"/>
                <w:color w:val="auto"/>
              </w:rPr>
              <w:t>Slag</w:t>
            </w:r>
          </w:p>
        </w:tc>
        <w:tc>
          <w:tcPr>
            <w:tcW w:w="2340" w:type="dxa"/>
            <w:vAlign w:val="bottom"/>
          </w:tcPr>
          <w:p>
            <w:pPr>
              <w:ind w:left="200"/>
              <w:spacing w:after="0"/>
              <w:rPr>
                <w:sz w:val="20"/>
                <w:szCs w:val="20"/>
                <w:color w:val="auto"/>
              </w:rPr>
            </w:pPr>
            <w:r>
              <w:rPr>
                <w:rFonts w:ascii="Arial" w:cs="Arial" w:eastAsia="Arial" w:hAnsi="Arial"/>
                <w:sz w:val="17"/>
                <w:szCs w:val="17"/>
                <w:color w:val="auto"/>
              </w:rPr>
              <w:t>Skyway Cement Company</w:t>
            </w:r>
          </w:p>
        </w:tc>
        <w:tc>
          <w:tcPr>
            <w:tcW w:w="2320" w:type="dxa"/>
            <w:vAlign w:val="bottom"/>
          </w:tcPr>
          <w:p>
            <w:pPr>
              <w:ind w:left="80"/>
              <w:spacing w:after="0"/>
              <w:rPr>
                <w:sz w:val="20"/>
                <w:szCs w:val="20"/>
                <w:color w:val="auto"/>
              </w:rPr>
            </w:pPr>
            <w:r>
              <w:rPr>
                <w:rFonts w:ascii="Arial" w:cs="Arial" w:eastAsia="Arial" w:hAnsi="Arial"/>
                <w:sz w:val="17"/>
                <w:szCs w:val="17"/>
                <w:color w:val="auto"/>
              </w:rPr>
              <w:t>Illinois, Pennsylvania,</w:t>
            </w:r>
          </w:p>
        </w:tc>
        <w:tc>
          <w:tcPr>
            <w:tcW w:w="4100" w:type="dxa"/>
            <w:vAlign w:val="bottom"/>
          </w:tcPr>
          <w:p>
            <w:pPr>
              <w:ind w:left="100"/>
              <w:spacing w:after="0"/>
              <w:rPr>
                <w:sz w:val="20"/>
                <w:szCs w:val="20"/>
                <w:color w:val="auto"/>
              </w:rPr>
            </w:pPr>
            <w:r>
              <w:rPr>
                <w:rFonts w:ascii="Arial" w:cs="Arial" w:eastAsia="Arial" w:hAnsi="Arial"/>
                <w:sz w:val="17"/>
                <w:szCs w:val="17"/>
                <w:color w:val="auto"/>
              </w:rPr>
              <w:t>Kansas City, Missouri; Etna, Pennsylvania</w:t>
            </w:r>
          </w:p>
        </w:tc>
        <w:tc>
          <w:tcPr>
            <w:tcW w:w="0" w:type="dxa"/>
            <w:vAlign w:val="bottom"/>
          </w:tcPr>
          <w:p>
            <w:pPr>
              <w:spacing w:after="0"/>
              <w:rPr>
                <w:sz w:val="1"/>
                <w:szCs w:val="1"/>
                <w:color w:val="auto"/>
              </w:rPr>
            </w:pPr>
          </w:p>
        </w:tc>
      </w:tr>
      <w:tr>
        <w:trPr>
          <w:trHeight w:val="198"/>
        </w:trPr>
        <w:tc>
          <w:tcPr>
            <w:tcW w:w="1540" w:type="dxa"/>
            <w:vAlign w:val="bottom"/>
          </w:tcPr>
          <w:p>
            <w:pPr>
              <w:ind w:left="20"/>
              <w:spacing w:after="0" w:line="198" w:lineRule="exact"/>
              <w:rPr>
                <w:sz w:val="20"/>
                <w:szCs w:val="20"/>
                <w:color w:val="auto"/>
              </w:rPr>
            </w:pPr>
            <w:r>
              <w:rPr>
                <w:rFonts w:ascii="Arial" w:cs="Arial" w:eastAsia="Arial" w:hAnsi="Arial"/>
                <w:sz w:val="18"/>
                <w:szCs w:val="18"/>
                <w:b w:val="1"/>
                <w:bCs w:val="1"/>
                <w:color w:val="3983C5"/>
              </w:rPr>
              <w:t>Illinois</w:t>
            </w:r>
          </w:p>
        </w:tc>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7"/>
                <w:szCs w:val="17"/>
                <w:color w:val="auto"/>
              </w:rPr>
              <w:t>Iowa, Ohio, Minnesota,</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20" w:type="dxa"/>
            <w:vAlign w:val="bottom"/>
          </w:tcPr>
          <w:p>
            <w:pPr>
              <w:ind w:left="80"/>
              <w:spacing w:after="0"/>
              <w:rPr>
                <w:sz w:val="20"/>
                <w:szCs w:val="20"/>
                <w:color w:val="auto"/>
              </w:rPr>
            </w:pPr>
            <w:r>
              <w:rPr>
                <w:rFonts w:ascii="Arial" w:cs="Arial" w:eastAsia="Arial" w:hAnsi="Arial"/>
                <w:sz w:val="17"/>
                <w:szCs w:val="17"/>
                <w:color w:val="auto"/>
              </w:rPr>
              <w:t>Missouri, and Kansas</w:t>
            </w: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5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c>
          <w:tcPr>
            <w:tcW w:w="2320" w:type="dxa"/>
            <w:vAlign w:val="bottom"/>
            <w:tcBorders>
              <w:bottom w:val="single" w:sz="8" w:color="A6A6A6"/>
            </w:tcBorders>
          </w:tcPr>
          <w:p>
            <w:pPr>
              <w:spacing w:after="0"/>
              <w:rPr>
                <w:sz w:val="3"/>
                <w:szCs w:val="3"/>
                <w:color w:val="auto"/>
              </w:rPr>
            </w:pPr>
          </w:p>
        </w:tc>
        <w:tc>
          <w:tcPr>
            <w:tcW w:w="41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Arial" w:cs="Arial" w:eastAsia="Arial" w:hAnsi="Arial"/>
                <w:sz w:val="18"/>
                <w:szCs w:val="18"/>
                <w:b w:val="1"/>
                <w:bCs w:val="1"/>
                <w:color w:val="3983C5"/>
              </w:rPr>
              <w:t>Houston,</w:t>
            </w:r>
          </w:p>
        </w:tc>
        <w:tc>
          <w:tcPr>
            <w:tcW w:w="940" w:type="dxa"/>
            <w:vAlign w:val="bottom"/>
          </w:tcPr>
          <w:p>
            <w:pPr>
              <w:ind w:left="120"/>
              <w:spacing w:after="0"/>
              <w:rPr>
                <w:sz w:val="20"/>
                <w:szCs w:val="20"/>
                <w:color w:val="auto"/>
              </w:rPr>
            </w:pPr>
            <w:r>
              <w:rPr>
                <w:rFonts w:ascii="Arial" w:cs="Arial" w:eastAsia="Arial" w:hAnsi="Arial"/>
                <w:sz w:val="17"/>
                <w:szCs w:val="17"/>
                <w:color w:val="auto"/>
              </w:rPr>
              <w:t>Slag</w:t>
            </w:r>
          </w:p>
        </w:tc>
        <w:tc>
          <w:tcPr>
            <w:tcW w:w="2340" w:type="dxa"/>
            <w:vAlign w:val="bottom"/>
          </w:tcPr>
          <w:p>
            <w:pPr>
              <w:ind w:left="200"/>
              <w:spacing w:after="0"/>
              <w:rPr>
                <w:sz w:val="20"/>
                <w:szCs w:val="20"/>
                <w:color w:val="auto"/>
              </w:rPr>
            </w:pPr>
            <w:r>
              <w:rPr>
                <w:rFonts w:ascii="Arial" w:cs="Arial" w:eastAsia="Arial" w:hAnsi="Arial"/>
                <w:sz w:val="17"/>
                <w:szCs w:val="17"/>
                <w:color w:val="auto"/>
              </w:rPr>
              <w:t>Texas Lehigh Cement</w:t>
            </w:r>
          </w:p>
        </w:tc>
        <w:tc>
          <w:tcPr>
            <w:tcW w:w="2320" w:type="dxa"/>
            <w:vAlign w:val="bottom"/>
          </w:tcPr>
          <w:p>
            <w:pPr>
              <w:ind w:left="80"/>
              <w:spacing w:after="0"/>
              <w:rPr>
                <w:sz w:val="20"/>
                <w:szCs w:val="20"/>
                <w:color w:val="auto"/>
              </w:rPr>
            </w:pPr>
            <w:r>
              <w:rPr>
                <w:rFonts w:ascii="Arial" w:cs="Arial" w:eastAsia="Arial" w:hAnsi="Arial"/>
                <w:sz w:val="17"/>
                <w:szCs w:val="17"/>
                <w:color w:val="auto"/>
              </w:rPr>
              <w:t>Texas, Louisiana</w:t>
            </w:r>
          </w:p>
        </w:tc>
        <w:tc>
          <w:tcPr>
            <w:tcW w:w="4100" w:type="dxa"/>
            <w:vAlign w:val="bottom"/>
          </w:tcPr>
          <w:p>
            <w:pPr>
              <w:ind w:left="100"/>
              <w:spacing w:after="0"/>
              <w:rPr>
                <w:sz w:val="20"/>
                <w:szCs w:val="20"/>
                <w:color w:val="auto"/>
              </w:rPr>
            </w:pPr>
            <w:r>
              <w:rPr>
                <w:rFonts w:ascii="Arial" w:cs="Arial" w:eastAsia="Arial" w:hAnsi="Arial"/>
                <w:sz w:val="17"/>
                <w:szCs w:val="17"/>
                <w:color w:val="auto"/>
              </w:rPr>
              <w:t>Houston, Texas</w:t>
            </w:r>
          </w:p>
        </w:tc>
        <w:tc>
          <w:tcPr>
            <w:tcW w:w="0" w:type="dxa"/>
            <w:vAlign w:val="bottom"/>
          </w:tcPr>
          <w:p>
            <w:pPr>
              <w:spacing w:after="0"/>
              <w:rPr>
                <w:sz w:val="1"/>
                <w:szCs w:val="1"/>
                <w:color w:val="auto"/>
              </w:rPr>
            </w:pPr>
          </w:p>
        </w:tc>
      </w:tr>
      <w:tr>
        <w:trPr>
          <w:trHeight w:val="198"/>
        </w:trPr>
        <w:tc>
          <w:tcPr>
            <w:tcW w:w="1540" w:type="dxa"/>
            <w:vAlign w:val="bottom"/>
          </w:tcPr>
          <w:p>
            <w:pPr>
              <w:ind w:left="20"/>
              <w:spacing w:after="0" w:line="198" w:lineRule="exact"/>
              <w:rPr>
                <w:sz w:val="20"/>
                <w:szCs w:val="20"/>
                <w:color w:val="auto"/>
              </w:rPr>
            </w:pPr>
            <w:r>
              <w:rPr>
                <w:rFonts w:ascii="Arial" w:cs="Arial" w:eastAsia="Arial" w:hAnsi="Arial"/>
                <w:sz w:val="18"/>
                <w:szCs w:val="18"/>
                <w:b w:val="1"/>
                <w:bCs w:val="1"/>
                <w:color w:val="3983C5"/>
              </w:rPr>
              <w:t>Texas</w:t>
            </w:r>
          </w:p>
        </w:tc>
        <w:tc>
          <w:tcPr>
            <w:tcW w:w="940" w:type="dxa"/>
            <w:vAlign w:val="bottom"/>
          </w:tcPr>
          <w:p>
            <w:pPr>
              <w:spacing w:after="0"/>
              <w:rPr>
                <w:sz w:val="17"/>
                <w:szCs w:val="17"/>
                <w:color w:val="auto"/>
              </w:rPr>
            </w:pPr>
          </w:p>
        </w:tc>
        <w:tc>
          <w:tcPr>
            <w:tcW w:w="2340" w:type="dxa"/>
            <w:vAlign w:val="bottom"/>
          </w:tcPr>
          <w:p>
            <w:pPr>
              <w:ind w:left="200"/>
              <w:spacing w:after="0"/>
              <w:rPr>
                <w:sz w:val="20"/>
                <w:szCs w:val="20"/>
                <w:color w:val="auto"/>
              </w:rPr>
            </w:pPr>
            <w:r>
              <w:rPr>
                <w:rFonts w:ascii="Arial" w:cs="Arial" w:eastAsia="Arial" w:hAnsi="Arial"/>
                <w:sz w:val="17"/>
                <w:szCs w:val="17"/>
                <w:color w:val="auto"/>
              </w:rPr>
              <w:t>Company LP (the Joint</w:t>
            </w:r>
          </w:p>
        </w:tc>
        <w:tc>
          <w:tcPr>
            <w:tcW w:w="23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7"/>
                <w:szCs w:val="17"/>
                <w:color w:val="auto"/>
              </w:rPr>
              <w:t>Venture)</w:t>
            </w:r>
          </w:p>
        </w:tc>
        <w:tc>
          <w:tcPr>
            <w:tcW w:w="2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5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c>
          <w:tcPr>
            <w:tcW w:w="2320" w:type="dxa"/>
            <w:vAlign w:val="bottom"/>
            <w:tcBorders>
              <w:bottom w:val="single" w:sz="8" w:color="A6A6A6"/>
            </w:tcBorders>
          </w:tcPr>
          <w:p>
            <w:pPr>
              <w:spacing w:after="0"/>
              <w:rPr>
                <w:sz w:val="3"/>
                <w:szCs w:val="3"/>
                <w:color w:val="auto"/>
              </w:rPr>
            </w:pPr>
          </w:p>
        </w:tc>
        <w:tc>
          <w:tcPr>
            <w:tcW w:w="41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Each distribution terminal listed in this table is capable of handling cement and/or slag.</w:t>
      </w:r>
    </w:p>
    <w:p>
      <w:pPr>
        <w:ind w:left="180" w:hanging="172"/>
        <w:spacing w:after="0" w:line="193" w:lineRule="auto"/>
        <w:tabs>
          <w:tab w:leader="none" w:pos="1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These facilities are being leased.</w:t>
      </w:r>
    </w:p>
    <w:p>
      <w:pPr>
        <w:spacing w:after="0" w:line="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terminal in Lexington, Kentucky was originally leased under an initial term of five years, and we are currently operating the terminal on a year-to-year lease. The terminal in Mt. Vernon, Indiana is leased through fiscal 2031 and contains options that will allow the renewal of this lease for an additional twenty years.</w:t>
      </w:r>
    </w:p>
    <w:p>
      <w:pPr>
        <w:spacing w:after="0" w:line="6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Cement and slag are distributed directly to our customers mostly through customer pickup and by common carriers from our plants or distribution terminals. We transport cement and slag by truck, barge, and rail to our storage and distribution terminals.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No single customer accounted for more than 10% of our Cement segment sales during fiscal 2026. We do not typically enter into long-term cement sales contracts or have a significant level of order backlog.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Raw Materials and Fuel Supplies</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principal raw material used in the production of cement is calcium carbonate in the form of limestone. Limestone is obtained mainly through mining and extraction operations conducted at mines and quarries that we own or lease and that are located in close proximity to our plants. We believe the estimated recoverable limestone reserves and resources we own or lease will permit each of our plants to operate at our present production capacity for at least 25 years. We are actively seeking to upgrade our extensive high-quality resource base at existing properties to reserves, or to acquire additional limestone reserves close to our plants. We believe we will be able to acquire more reserves in the future. Most of our existing properties have additional resources that have potential with further engineering and evaluation to be upgraded to reserves. Other raw materials used in significantly smaller quantities than limestone are sand, clay, iron ore, and gypsum. These materials are readily available and can be obtained from reserves owned or leased by the Company or purchased from outside suppliers.</w:t>
      </w:r>
    </w:p>
    <w:p>
      <w:pPr>
        <w:spacing w:after="0" w:line="7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use coal, petroleum coke, natural gas, and alternative fuels to power our cement plants. The cost of fuel decreased throughout fiscal 2026, compared with fiscal 2025, primarily because of lower market prices and transportation costs for solid fuels such as coal and petroleum coke. We expect the cost of fuel to remain relatively stable in fiscal 2027. In keeping with our commitment to sustainability and cost management, we continue to expand the use of alternative fuels at our cement facilities.</w:t>
      </w:r>
    </w:p>
    <w:p>
      <w:pPr>
        <w:spacing w:after="0" w:line="6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slag facility in Illinois has an agreement with a steel manufacturer to supply granules necessary for grinding slag. Subject to certain conditions, this agreement requires us to purchase up to 550,000 tons of granules meeting certain product specifications, which the steel manufacturer makes available each year. Electric power is also a major cost component in the manufacturing process for both cement and slag, and we have sought to diminish overall power costs by adopting interruptible power supply agreements at certain locations. These agreements may expose us to some production interruptions during periods of power curtailment. Historically, these interruptions, when they occur, have not had a significant effect on our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Environmental Matters</w:t>
      </w:r>
    </w:p>
    <w:p>
      <w:pPr>
        <w:spacing w:after="0" w:line="1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cement operations are subject to numerous federal, state, and local laws and regulations pertaining to health, safety, and the environment. Some of these laws, such as the federal Clean Air Act (CAA) and the federal Clean Water Act (CWA) (and analogous state laws) impose environmental-permitting requirements and govern the nature and amount of emissions that may be generated when conducting particular operations. Other laws, such as the federal Comprehensive Environmental Response, Compensation and Liability Act (CERCLA) (and analogous state laws) impose obligations to clean up or remediate spills of hazardous materials into the environment. Still other laws require us to reclaim certain land upon completion of extraction and mining operations in our quarries. We believe that we currently hold all the material environmental permits that are necessary to conduct our operations. We further believe that we are conducting our operations in substantial compliance with these permits. In addition, none of our manufacturing sites are listed as a CERCLA Superfund site.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environmental issues involving the cement manufacturing industry deserve special mention.</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Cement Kiln Dust </w:t>
      </w:r>
      <w:r>
        <w:rPr>
          <w:rFonts w:ascii="Arial" w:cs="Arial" w:eastAsia="Arial" w:hAnsi="Arial"/>
          <w:sz w:val="18"/>
          <w:szCs w:val="18"/>
          <w:color w:val="auto"/>
        </w:rPr>
        <w:t>– Our cement operations generate Cement Kiln Dust (CKD) as a byproduct. Because much of this CKD is unreacted raw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it is often returned to the production process. Substantially all CKD produced in connection with our ongoing operations is recycled. However, CKD was historically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collected and is currently stored on-site at our Nevada, Missouri, Oklahoma and Wyoming cement plants and at a former plant site in Corpus Christi, Texas, which is no longer producing cement. Currently, CKD waste is generally excluded from the definition of hazardous waste under the federal regulations. However, CKD that comes in contact with water might produce a leachate with an alkalinity high enough to be classified as hazardous and might also leach certain hazardous trace metals therein. Since 2002, the U.S. Environmental Protection Agency (EPA) has been evaluating the regulatory status of CKD under the Resource Conservation and Recovery Act (RCRA). To date, the EPA has not changed the applicable regulatory framework or related definitions. If either the EPA or the states decide in the future to reclassify or impose new management standards on CKD, we could incur additional costs to comply with those requirements with respect to our historically collected CKD.</w:t>
      </w:r>
    </w:p>
    <w:p>
      <w:pPr>
        <w:spacing w:after="0" w:line="7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Potential Greenhouse Gas Regulation </w:t>
      </w:r>
      <w:r>
        <w:rPr>
          <w:rFonts w:ascii="Arial" w:cs="Arial" w:eastAsia="Arial" w:hAnsi="Arial"/>
          <w:sz w:val="18"/>
          <w:szCs w:val="18"/>
          <w:color w:val="auto"/>
        </w:rPr>
        <w:t>– Our operations generate certain greenhouse gases (GHGs), including carbon dioxide.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the cement manufacturing process requires the combustion of large amounts of fuel to generate very high kiln temperatures. In addition, the production of carbon dioxide is a byproduct of the calcination process, in which carbon dioxide is removed from calcium carbonate to produce calcium oxide. We are actively monitoring any new regulation of GHGs that could materially affect our cement operations. Several states have implemented or are considering measures to reduce emissions of GHGs, primarily through the planned development of GHG inventories or registries, or regional GHG cap and trade programs. In general, it is not possible to predict whether any future legislation or regulations will be enacted or adopted to address GHG emissions or how any such legislation or regulations would affect our business. However, any imposition of raw materials or production limitations, fuel-use or carbon taxes, or emission limitations or reductions could have a significant impact on the cement manufacturing industry and a material adverse effect on our operations.</w:t>
      </w:r>
    </w:p>
    <w:p>
      <w:pPr>
        <w:spacing w:after="0" w:line="7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i w:val="1"/>
          <w:iCs w:val="1"/>
          <w:color w:val="auto"/>
        </w:rPr>
        <w:t xml:space="preserve">Solid Waste Incineration Regulations </w:t>
      </w:r>
      <w:r>
        <w:rPr>
          <w:rFonts w:ascii="Arial" w:cs="Arial" w:eastAsia="Arial" w:hAnsi="Arial"/>
          <w:sz w:val="18"/>
          <w:szCs w:val="18"/>
          <w:color w:val="auto"/>
        </w:rPr>
        <w:t>– The EPA has promulgated revised regulations for Commercial and Industrial Solid Waste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Incineration (CISWI) units pursuant to Section 129 of the CAA. The EPA has approved several states’ implementation plans under this rule, and finalized a federal plan in December 2024 that applies in states that have not submitted and received approval for a state plan. Compared to the Portland Cement Manufacturing Industry National Emission Standards for Hazardous Air Pollutants (PC NESHAP), the CISWI regulations apply to a broader range of pollutants, and impose somewhat more stringent requirements related to dioxin/furans for existing and new sources.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Air Quality Standards </w:t>
      </w:r>
      <w:r>
        <w:rPr>
          <w:rFonts w:ascii="Arial" w:cs="Arial" w:eastAsia="Arial" w:hAnsi="Arial"/>
          <w:sz w:val="18"/>
          <w:szCs w:val="18"/>
          <w:color w:val="auto"/>
        </w:rPr>
        <w:t>–</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NAAQS for Ozone</w:t>
      </w:r>
      <w:r>
        <w:rPr>
          <w:rFonts w:ascii="Arial" w:cs="Arial" w:eastAsia="Arial" w:hAnsi="Arial"/>
          <w:sz w:val="18"/>
          <w:szCs w:val="18"/>
          <w:color w:val="auto"/>
        </w:rPr>
        <w:t>. The EPA is engaged in an ongoing review and implementation of the national ambient air quality standards (NAAQS) for</w:t>
      </w:r>
      <w:r>
        <w:rPr>
          <w:rFonts w:ascii="Arial" w:cs="Arial" w:eastAsia="Arial" w:hAnsi="Arial"/>
          <w:sz w:val="18"/>
          <w:szCs w:val="18"/>
          <w:i w:val="1"/>
          <w:iCs w:val="1"/>
          <w:color w:val="auto"/>
        </w:rPr>
        <w:t xml:space="preserve"> </w:t>
      </w:r>
      <w:r>
        <w:rPr>
          <w:rFonts w:ascii="Arial" w:cs="Arial" w:eastAsia="Arial" w:hAnsi="Arial"/>
          <w:sz w:val="18"/>
          <w:szCs w:val="18"/>
          <w:color w:val="auto"/>
        </w:rPr>
        <w:t>ozone. The CAA requires the EPA to review and, if necessary, revise the NAAQS every five years. The EPA initiated its updated review of the NAAQS in 2024 under the Biden Administration, which the agency indicated it plans to complete by 2030. The Trump Administration has not taken further action on this review to date.</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current 2015 ozone NAAQS (interstate transport requirements) required States to submit State Implementation Plans (SIPs) addressing the emissions that significantly contribute to nonattainment, or interference with maintenance, in downwind states. In February 2023, the EPA published a final rule disapproving in whole or in part the SIPs for twenty-one states, including Illinois, Kentucky, Missouri, Nevada, Ohio, Oklahoma, and Texas (all of which are relevant to our cement operations). The EPA is currently reconsidering many of these SIP disapprovals, including those for Kentucky, Missouri, Nevada, and Oklahoma, and anticipates completing the reconsideration action by the end of 2026.</w:t>
      </w:r>
    </w:p>
    <w:p>
      <w:pPr>
        <w:spacing w:after="0" w:line="7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 March 2023, the EPA finalized a Federal Implementation Plan (FIP), also known as the "Good Neighbor Plan," which addresses interstate transport obligations for 23 states, including the states subject to a SIP disapproval. The FIP establishes ozone season nitrogen oxide (NOx) emissions limitations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beginning in 2026 for kilns used in cement and cement product manufacturing in 20 states, including all the above-listed states relevant to our cement operations. As a result of legal challenges, the FIP is currently subject to a nationwide stay, as described in more detail below. The EPA is currently reconsidering certain requirements under the Good Neighbor Plan, and anticipates completing this reconsideration action by the end of 2026.</w:t>
      </w:r>
    </w:p>
    <w:p>
      <w:pPr>
        <w:spacing w:after="0" w:line="66"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Our facilities that are most directly affected by the SIP disapprovals and Good Neighbor FIP are our cement plants located in Nevada, Oklahoma, and Texas. We reached an agreement with the EPA in July 2024 to install additional NOx controls (low NOx burners) at our Nevada cement facility, which requires certain capital expenditures and may impact operating costs.</w:t>
      </w:r>
    </w:p>
    <w:p>
      <w:pPr>
        <w:spacing w:after="0" w:line="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Various legal challenges have been filed against the EPA’s SIP disapprovals for several states and against the Good Neighbor Plan. We joined this litigation as a plaintiff in April 2023 in response to the SIP disapprovals. In the course of these challenges, petitioners obtained a stay of the SIP disapprovals for Nevada, Oklahoma, and Texas, as well as the Good Neighbor Plan, which has halted implementation of the FIP. Only two courts have issued a final ruling on the validity of the SIP disapprovals — a decision in December 2024 by the Sixth Circuit overturning the EPA’s disapproval of Kentucky’s SIP and a revised decision in March 2026 by Fifth Circuit overturning the EPA’s disapproval of Texas’s SIP. We are unable to predict the likely outcome of the legal challenges that remain pending. An adverse outcome could require us to incur significant capital expenditures related to the installation of additional controls and additional operating costs at the affected facilities or, if the installation of controls proves impracticable, to modify or curtail our operations at such facilities, which could have a material adverse effect on their profitability.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NAAQS for Fine Particulate Matter. </w:t>
      </w:r>
      <w:r>
        <w:rPr>
          <w:rFonts w:ascii="Arial" w:cs="Arial" w:eastAsia="Arial" w:hAnsi="Arial"/>
          <w:sz w:val="18"/>
          <w:szCs w:val="18"/>
          <w:color w:val="auto"/>
        </w:rPr>
        <w:t>In 2024, the EPA issued a final rule revising the NAAQS for fine particulate matter (PM</w:t>
      </w:r>
      <w:r>
        <w:rPr>
          <w:rFonts w:ascii="Arial" w:cs="Arial" w:eastAsia="Arial" w:hAnsi="Arial"/>
          <w:sz w:val="24"/>
          <w:szCs w:val="24"/>
          <w:color w:val="auto"/>
          <w:vertAlign w:val="subscript"/>
        </w:rPr>
        <w:t>2.5</w:t>
      </w:r>
      <w:r>
        <w:rPr>
          <w:rFonts w:ascii="Arial" w:cs="Arial" w:eastAsia="Arial" w:hAnsi="Arial"/>
          <w:sz w:val="18"/>
          <w:szCs w:val="18"/>
          <w:color w:val="auto"/>
        </w:rPr>
        <w:t>) or soot. The</w:t>
      </w:r>
    </w:p>
    <w:p>
      <w:pPr>
        <w:spacing w:after="0" w:line="3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final rule lowers the level of the primary (health-based) annual standards and modifies related monitoring requirements. All other existing PM standards were retained. The final rule has been challenged by various parties. In addition, the EPA is currently reconsidering these requirements. In November 2025, the EPA requested that the D.C. Circuit vacate the revised standards but the court has not yet acted on this request. The timing and outcome of these legal challenges and the EPA’s reconsideration are unknown at this time. The anticipated impacts of the new PM</w:t>
      </w:r>
      <w:r>
        <w:rPr>
          <w:rFonts w:ascii="Arial" w:cs="Arial" w:eastAsia="Arial" w:hAnsi="Arial"/>
          <w:sz w:val="23"/>
          <w:szCs w:val="23"/>
          <w:color w:val="auto"/>
          <w:vertAlign w:val="subscript"/>
        </w:rPr>
        <w:t>2.5</w:t>
      </w:r>
      <w:r>
        <w:rPr>
          <w:rFonts w:ascii="Arial" w:cs="Arial" w:eastAsia="Arial" w:hAnsi="Arial"/>
          <w:sz w:val="17"/>
          <w:szCs w:val="17"/>
          <w:color w:val="auto"/>
        </w:rPr>
        <w:t xml:space="preserve"> NAAQS are similar to those for the ozone NAAQS, discussed above, and would result in a potential increase in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and operating expenses and make permitting more difficult.</w:t>
      </w:r>
    </w:p>
    <w:p>
      <w:pPr>
        <w:spacing w:after="0" w:line="8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 xml:space="preserve">Hazardous Air Pollutants </w:t>
      </w:r>
      <w:r>
        <w:rPr>
          <w:rFonts w:ascii="Arial" w:cs="Arial" w:eastAsia="Arial" w:hAnsi="Arial"/>
          <w:sz w:val="18"/>
          <w:szCs w:val="18"/>
          <w:color w:val="auto"/>
        </w:rPr>
        <w:t>– Eagle’s cement kilns are subject to National Emissions Standards for Hazardous Air Pollutants (NESHAPs),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codified at 40 CFR Part 63 Subparts EEE and LLL. The EPA is conducting rulemakings that would revise Subparts EEE and LLL, such that kilns may be subject to additional emissions limitations, monitoring requirements and/or reporting obligations. The EPA issued a proposed rule in November 2025, which would establish emission limits and work practice standards for hydrogen fluoride and hydrogen cyanide emissions from cement kilns. To date, the EPA has not proposed updates to Subpart LLL standards.</w:t>
      </w:r>
    </w:p>
    <w:p>
      <w:pPr>
        <w:spacing w:after="0" w:line="68"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 We believe that our current procedures and practices in our operations, including those for handling and managing hazardous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are consistent with industry standards and are in substantial compliance with applicable environmental laws and regulations. Nevertheless, because of the complexity of our operations and the environmental laws to which we are subject, there can be no assurance that past or future operations will not result in violations, remediation costs, or other liabilities or claims. Moreover, we cannot predict what environmental laws will be enacted or adopted in the future or how such future environmental laws or regulations will be administered or interpreted. Compliance with more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stringent environmental laws, or stricter interpretation of existing environmental laws, could necessitate significant capital outlays.</w:t>
      </w:r>
    </w:p>
    <w:p>
      <w:pPr>
        <w:spacing w:after="0" w:line="10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 fiscal 2026, we had $11.1 million of capital expenditures related to compliance with environmental regulations applicable to our Cement operations. We anticipate spending $7.3 million during fiscal 2027.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AND AGGREGATES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aggregates business consists of mining, extracting, producing, and selling crushed stone, sand, and gravel. Aggregates are a granular material consisting of crushed stone, sand, and gravel, manufactured to specific sizes, grades, and chemistry for use primarily in construction applications.</w:t>
      </w:r>
    </w:p>
    <w:p>
      <w:pPr>
        <w:spacing w:after="0" w:line="6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Readymix concrete is a versatile, low-cost building material used in almost all construction. The production of readymix concrete involves mixing cement, sand, gravel or crushed stone, and water to form concrete, which is then sold and distributed to numerous construction contractors. Concrete is produced in batch plants and transported to customers’ job sites in mixer trucks.</w:t>
      </w:r>
    </w:p>
    <w:p>
      <w:pPr>
        <w:spacing w:after="0" w:line="6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During fiscal 2025, we acquired an aggregates operation in Northern Kentucky near our Battletown Materials plant, as well as an aggregates operation in Western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Aggregate Mining Operations</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Aggregates are obtained principally by mining and extracting from quarries owned or leased by the Company. For more information about our aggregates mining properties, including estimates of resources and reserves, see Item 2. Properties.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aggregates facilities at March 31,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860" w:type="dxa"/>
            <w:vAlign w:val="bottom"/>
          </w:tcPr>
          <w:p>
            <w:pPr>
              <w:jc w:val="right"/>
              <w:ind w:right="33"/>
              <w:spacing w:after="0"/>
              <w:rPr>
                <w:sz w:val="20"/>
                <w:szCs w:val="20"/>
                <w:color w:val="auto"/>
              </w:rPr>
            </w:pPr>
            <w:r>
              <w:rPr>
                <w:rFonts w:ascii="Arial" w:cs="Arial" w:eastAsia="Arial" w:hAnsi="Arial"/>
                <w:sz w:val="16"/>
                <w:szCs w:val="16"/>
                <w:b w:val="1"/>
                <w:bCs w:val="1"/>
                <w:color w:val="auto"/>
              </w:rPr>
              <w:t>Estimated Annual</w:t>
            </w:r>
          </w:p>
        </w:tc>
      </w:tr>
      <w:tr>
        <w:trPr>
          <w:trHeight w:val="189"/>
        </w:trPr>
        <w:tc>
          <w:tcPr>
            <w:tcW w:w="45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860" w:type="dxa"/>
            <w:vAlign w:val="bottom"/>
          </w:tcPr>
          <w:p>
            <w:pPr>
              <w:jc w:val="right"/>
              <w:ind w:right="33"/>
              <w:spacing w:after="0"/>
              <w:rPr>
                <w:sz w:val="20"/>
                <w:szCs w:val="20"/>
                <w:color w:val="auto"/>
              </w:rPr>
            </w:pPr>
            <w:r>
              <w:rPr>
                <w:rFonts w:ascii="Arial" w:cs="Arial" w:eastAsia="Arial" w:hAnsi="Arial"/>
                <w:sz w:val="16"/>
                <w:szCs w:val="16"/>
                <w:b w:val="1"/>
                <w:bCs w:val="1"/>
                <w:color w:val="auto"/>
              </w:rPr>
              <w:t>Production</w:t>
            </w:r>
          </w:p>
        </w:tc>
      </w:tr>
      <w:tr>
        <w:trPr>
          <w:trHeight w:val="189"/>
        </w:trPr>
        <w:tc>
          <w:tcPr>
            <w:tcW w:w="4500" w:type="dxa"/>
            <w:vAlign w:val="bottom"/>
          </w:tcPr>
          <w:p>
            <w:pPr>
              <w:spacing w:after="0"/>
              <w:rPr>
                <w:sz w:val="16"/>
                <w:szCs w:val="16"/>
                <w:color w:val="auto"/>
              </w:rPr>
            </w:pPr>
          </w:p>
        </w:tc>
        <w:tc>
          <w:tcPr>
            <w:tcW w:w="4880" w:type="dxa"/>
            <w:vAlign w:val="bottom"/>
          </w:tcPr>
          <w:p>
            <w:pPr>
              <w:ind w:left="2600"/>
              <w:spacing w:after="0"/>
              <w:rPr>
                <w:sz w:val="20"/>
                <w:szCs w:val="20"/>
                <w:color w:val="auto"/>
              </w:rPr>
            </w:pPr>
            <w:r>
              <w:rPr>
                <w:rFonts w:ascii="Arial" w:cs="Arial" w:eastAsia="Arial" w:hAnsi="Arial"/>
                <w:sz w:val="16"/>
                <w:szCs w:val="16"/>
                <w:b w:val="1"/>
                <w:bCs w:val="1"/>
                <w:color w:val="auto"/>
              </w:rPr>
              <w:t>Types</w:t>
            </w:r>
          </w:p>
        </w:tc>
        <w:tc>
          <w:tcPr>
            <w:tcW w:w="1860" w:type="dxa"/>
            <w:vAlign w:val="bottom"/>
          </w:tcPr>
          <w:p>
            <w:pPr>
              <w:jc w:val="right"/>
              <w:ind w:right="33"/>
              <w:spacing w:after="0"/>
              <w:rPr>
                <w:sz w:val="20"/>
                <w:szCs w:val="20"/>
                <w:color w:val="auto"/>
              </w:rPr>
            </w:pPr>
            <w:r>
              <w:rPr>
                <w:rFonts w:ascii="Arial" w:cs="Arial" w:eastAsia="Arial" w:hAnsi="Arial"/>
                <w:sz w:val="16"/>
                <w:szCs w:val="16"/>
                <w:b w:val="1"/>
                <w:bCs w:val="1"/>
                <w:color w:val="auto"/>
              </w:rPr>
              <w:t>Capacity</w:t>
            </w:r>
          </w:p>
        </w:tc>
      </w:tr>
      <w:tr>
        <w:trPr>
          <w:trHeight w:val="237"/>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4880" w:type="dxa"/>
            <w:vAlign w:val="bottom"/>
            <w:tcBorders>
              <w:bottom w:val="single" w:sz="8" w:color="auto"/>
            </w:tcBorders>
          </w:tcPr>
          <w:p>
            <w:pPr>
              <w:ind w:left="2600"/>
              <w:spacing w:after="0"/>
              <w:rPr>
                <w:sz w:val="20"/>
                <w:szCs w:val="20"/>
                <w:color w:val="auto"/>
              </w:rPr>
            </w:pPr>
            <w:r>
              <w:rPr>
                <w:rFonts w:ascii="Arial" w:cs="Arial" w:eastAsia="Arial" w:hAnsi="Arial"/>
                <w:sz w:val="16"/>
                <w:szCs w:val="16"/>
                <w:b w:val="1"/>
                <w:bCs w:val="1"/>
                <w:color w:val="auto"/>
              </w:rPr>
              <w:t>of Aggregates</w:t>
            </w:r>
          </w:p>
        </w:tc>
        <w:tc>
          <w:tcPr>
            <w:tcW w:w="18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(thousand tons)</w:t>
            </w:r>
          </w:p>
        </w:tc>
      </w:tr>
      <w:tr>
        <w:trPr>
          <w:trHeight w:val="295"/>
        </w:trPr>
        <w:tc>
          <w:tcPr>
            <w:tcW w:w="4500" w:type="dxa"/>
            <w:vAlign w:val="bottom"/>
          </w:tcPr>
          <w:p>
            <w:pPr>
              <w:spacing w:after="0"/>
              <w:rPr>
                <w:sz w:val="20"/>
                <w:szCs w:val="20"/>
                <w:color w:val="auto"/>
              </w:rPr>
            </w:pPr>
            <w:r>
              <w:rPr>
                <w:rFonts w:ascii="Arial" w:cs="Arial" w:eastAsia="Arial" w:hAnsi="Arial"/>
                <w:sz w:val="18"/>
                <w:szCs w:val="18"/>
                <w:b w:val="1"/>
                <w:bCs w:val="1"/>
                <w:color w:val="00AAC6"/>
              </w:rPr>
              <w:t>Central Texas</w:t>
            </w:r>
          </w:p>
        </w:tc>
        <w:tc>
          <w:tcPr>
            <w:tcW w:w="4880" w:type="dxa"/>
            <w:vAlign w:val="bottom"/>
          </w:tcPr>
          <w:p>
            <w:pPr>
              <w:ind w:left="2600"/>
              <w:spacing w:after="0"/>
              <w:rPr>
                <w:sz w:val="20"/>
                <w:szCs w:val="20"/>
                <w:color w:val="auto"/>
              </w:rPr>
            </w:pPr>
            <w:r>
              <w:rPr>
                <w:rFonts w:ascii="Arial" w:cs="Arial" w:eastAsia="Arial" w:hAnsi="Arial"/>
                <w:sz w:val="18"/>
                <w:szCs w:val="18"/>
                <w:color w:val="auto"/>
              </w:rPr>
              <w:t>Limestone and Gravel</w:t>
            </w: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2,500</w:t>
            </w:r>
          </w:p>
        </w:tc>
      </w:tr>
      <w:tr>
        <w:trPr>
          <w:trHeight w:val="42"/>
        </w:trPr>
        <w:tc>
          <w:tcPr>
            <w:tcW w:w="4500" w:type="dxa"/>
            <w:vAlign w:val="bottom"/>
            <w:tcBorders>
              <w:bottom w:val="single" w:sz="8" w:color="A6A6A6"/>
            </w:tcBorders>
          </w:tcPr>
          <w:p>
            <w:pPr>
              <w:spacing w:after="0"/>
              <w:rPr>
                <w:sz w:val="3"/>
                <w:szCs w:val="3"/>
                <w:color w:val="auto"/>
              </w:rPr>
            </w:pPr>
          </w:p>
        </w:tc>
        <w:tc>
          <w:tcPr>
            <w:tcW w:w="488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331"/>
        </w:trPr>
        <w:tc>
          <w:tcPr>
            <w:tcW w:w="45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AAC6"/>
              </w:rPr>
              <w:t xml:space="preserve">Kansas City Area </w:t>
            </w:r>
            <w:r>
              <w:rPr>
                <w:rFonts w:ascii="Arial" w:cs="Arial" w:eastAsia="Arial" w:hAnsi="Arial"/>
                <w:sz w:val="24"/>
                <w:szCs w:val="24"/>
                <w:b w:val="1"/>
                <w:bCs w:val="1"/>
                <w:color w:val="00AAC6"/>
                <w:vertAlign w:val="superscript"/>
              </w:rPr>
              <w:t>(1)</w:t>
            </w:r>
          </w:p>
        </w:tc>
        <w:tc>
          <w:tcPr>
            <w:tcW w:w="4880" w:type="dxa"/>
            <w:vAlign w:val="bottom"/>
            <w:tcBorders>
              <w:bottom w:val="single" w:sz="8" w:color="A6A6A6"/>
            </w:tcBorders>
          </w:tcPr>
          <w:p>
            <w:pPr>
              <w:ind w:left="2600"/>
              <w:spacing w:after="0"/>
              <w:rPr>
                <w:sz w:val="20"/>
                <w:szCs w:val="20"/>
                <w:color w:val="auto"/>
              </w:rPr>
            </w:pPr>
            <w:r>
              <w:rPr>
                <w:rFonts w:ascii="Arial" w:cs="Arial" w:eastAsia="Arial" w:hAnsi="Arial"/>
                <w:sz w:val="18"/>
                <w:szCs w:val="18"/>
                <w:color w:val="auto"/>
              </w:rPr>
              <w:t>Limestone</w:t>
            </w:r>
          </w:p>
        </w:tc>
        <w:tc>
          <w:tcPr>
            <w:tcW w:w="1860" w:type="dxa"/>
            <w:vAlign w:val="bottom"/>
            <w:tcBorders>
              <w:bottom w:val="single" w:sz="8" w:color="A6A6A6"/>
            </w:tcBorders>
          </w:tcPr>
          <w:p>
            <w:pPr>
              <w:jc w:val="right"/>
              <w:ind w:right="33"/>
              <w:spacing w:after="0"/>
              <w:rPr>
                <w:sz w:val="20"/>
                <w:szCs w:val="20"/>
                <w:color w:val="auto"/>
              </w:rPr>
            </w:pPr>
            <w:r>
              <w:rPr>
                <w:rFonts w:ascii="Arial" w:cs="Arial" w:eastAsia="Arial" w:hAnsi="Arial"/>
                <w:sz w:val="18"/>
                <w:szCs w:val="18"/>
                <w:color w:val="auto"/>
              </w:rPr>
              <w:t>—</w:t>
            </w:r>
          </w:p>
        </w:tc>
      </w:tr>
      <w:tr>
        <w:trPr>
          <w:trHeight w:val="289"/>
        </w:trPr>
        <w:tc>
          <w:tcPr>
            <w:tcW w:w="4500" w:type="dxa"/>
            <w:vAlign w:val="bottom"/>
          </w:tcPr>
          <w:p>
            <w:pPr>
              <w:spacing w:after="0"/>
              <w:rPr>
                <w:sz w:val="20"/>
                <w:szCs w:val="20"/>
                <w:color w:val="auto"/>
              </w:rPr>
            </w:pPr>
            <w:r>
              <w:rPr>
                <w:rFonts w:ascii="Arial" w:cs="Arial" w:eastAsia="Arial" w:hAnsi="Arial"/>
                <w:sz w:val="18"/>
                <w:szCs w:val="18"/>
                <w:b w:val="1"/>
                <w:bCs w:val="1"/>
                <w:color w:val="00AAC6"/>
              </w:rPr>
              <w:t>Northern Colorado</w:t>
            </w:r>
          </w:p>
        </w:tc>
        <w:tc>
          <w:tcPr>
            <w:tcW w:w="4880" w:type="dxa"/>
            <w:vAlign w:val="bottom"/>
          </w:tcPr>
          <w:p>
            <w:pPr>
              <w:ind w:left="2600"/>
              <w:spacing w:after="0"/>
              <w:rPr>
                <w:sz w:val="20"/>
                <w:szCs w:val="20"/>
                <w:color w:val="auto"/>
              </w:rPr>
            </w:pPr>
            <w:r>
              <w:rPr>
                <w:rFonts w:ascii="Arial" w:cs="Arial" w:eastAsia="Arial" w:hAnsi="Arial"/>
                <w:sz w:val="18"/>
                <w:szCs w:val="18"/>
                <w:color w:val="auto"/>
              </w:rPr>
              <w:t>Sand and Gravel</w:t>
            </w: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1,700</w:t>
            </w:r>
          </w:p>
        </w:tc>
      </w:tr>
      <w:tr>
        <w:trPr>
          <w:trHeight w:val="42"/>
        </w:trPr>
        <w:tc>
          <w:tcPr>
            <w:tcW w:w="4500" w:type="dxa"/>
            <w:vAlign w:val="bottom"/>
            <w:tcBorders>
              <w:bottom w:val="single" w:sz="8" w:color="A6A6A6"/>
            </w:tcBorders>
          </w:tcPr>
          <w:p>
            <w:pPr>
              <w:spacing w:after="0"/>
              <w:rPr>
                <w:sz w:val="3"/>
                <w:szCs w:val="3"/>
                <w:color w:val="auto"/>
              </w:rPr>
            </w:pPr>
          </w:p>
        </w:tc>
        <w:tc>
          <w:tcPr>
            <w:tcW w:w="488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4500" w:type="dxa"/>
            <w:vAlign w:val="bottom"/>
          </w:tcPr>
          <w:p>
            <w:pPr>
              <w:spacing w:after="0"/>
              <w:rPr>
                <w:sz w:val="20"/>
                <w:szCs w:val="20"/>
                <w:color w:val="auto"/>
              </w:rPr>
            </w:pPr>
            <w:r>
              <w:rPr>
                <w:rFonts w:ascii="Arial" w:cs="Arial" w:eastAsia="Arial" w:hAnsi="Arial"/>
                <w:sz w:val="18"/>
                <w:szCs w:val="18"/>
                <w:b w:val="1"/>
                <w:bCs w:val="1"/>
                <w:color w:val="00AAC6"/>
              </w:rPr>
              <w:t>Northern Kentucky</w:t>
            </w:r>
          </w:p>
        </w:tc>
        <w:tc>
          <w:tcPr>
            <w:tcW w:w="4880" w:type="dxa"/>
            <w:vAlign w:val="bottom"/>
          </w:tcPr>
          <w:p>
            <w:pPr>
              <w:ind w:left="2600"/>
              <w:spacing w:after="0"/>
              <w:rPr>
                <w:sz w:val="20"/>
                <w:szCs w:val="20"/>
                <w:color w:val="auto"/>
              </w:rPr>
            </w:pPr>
            <w:r>
              <w:rPr>
                <w:rFonts w:ascii="Arial" w:cs="Arial" w:eastAsia="Arial" w:hAnsi="Arial"/>
                <w:sz w:val="18"/>
                <w:szCs w:val="18"/>
                <w:color w:val="auto"/>
              </w:rPr>
              <w:t>Limestone</w:t>
            </w: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2,200</w:t>
            </w:r>
          </w:p>
        </w:tc>
      </w:tr>
      <w:tr>
        <w:trPr>
          <w:trHeight w:val="42"/>
        </w:trPr>
        <w:tc>
          <w:tcPr>
            <w:tcW w:w="4500" w:type="dxa"/>
            <w:vAlign w:val="bottom"/>
            <w:tcBorders>
              <w:bottom w:val="single" w:sz="8" w:color="A6A6A6"/>
            </w:tcBorders>
          </w:tcPr>
          <w:p>
            <w:pPr>
              <w:spacing w:after="0"/>
              <w:rPr>
                <w:sz w:val="3"/>
                <w:szCs w:val="3"/>
                <w:color w:val="auto"/>
              </w:rPr>
            </w:pPr>
          </w:p>
        </w:tc>
        <w:tc>
          <w:tcPr>
            <w:tcW w:w="488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4500" w:type="dxa"/>
            <w:vAlign w:val="bottom"/>
          </w:tcPr>
          <w:p>
            <w:pPr>
              <w:spacing w:after="0"/>
              <w:rPr>
                <w:sz w:val="20"/>
                <w:szCs w:val="20"/>
                <w:color w:val="auto"/>
              </w:rPr>
            </w:pPr>
            <w:r>
              <w:rPr>
                <w:rFonts w:ascii="Arial" w:cs="Arial" w:eastAsia="Arial" w:hAnsi="Arial"/>
                <w:sz w:val="18"/>
                <w:szCs w:val="18"/>
                <w:b w:val="1"/>
                <w:bCs w:val="1"/>
                <w:color w:val="00AAC6"/>
              </w:rPr>
              <w:t>Northern Nevada</w:t>
            </w:r>
          </w:p>
        </w:tc>
        <w:tc>
          <w:tcPr>
            <w:tcW w:w="4880" w:type="dxa"/>
            <w:vAlign w:val="bottom"/>
          </w:tcPr>
          <w:p>
            <w:pPr>
              <w:ind w:left="2600"/>
              <w:spacing w:after="0"/>
              <w:rPr>
                <w:sz w:val="20"/>
                <w:szCs w:val="20"/>
                <w:color w:val="auto"/>
              </w:rPr>
            </w:pPr>
            <w:r>
              <w:rPr>
                <w:rFonts w:ascii="Arial" w:cs="Arial" w:eastAsia="Arial" w:hAnsi="Arial"/>
                <w:sz w:val="18"/>
                <w:szCs w:val="18"/>
                <w:color w:val="auto"/>
              </w:rPr>
              <w:t>Sand and Gravel</w:t>
            </w: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850</w:t>
            </w:r>
          </w:p>
        </w:tc>
      </w:tr>
      <w:tr>
        <w:trPr>
          <w:trHeight w:val="42"/>
        </w:trPr>
        <w:tc>
          <w:tcPr>
            <w:tcW w:w="4500" w:type="dxa"/>
            <w:vAlign w:val="bottom"/>
            <w:tcBorders>
              <w:bottom w:val="single" w:sz="8" w:color="A6A6A6"/>
            </w:tcBorders>
          </w:tcPr>
          <w:p>
            <w:pPr>
              <w:spacing w:after="0"/>
              <w:rPr>
                <w:sz w:val="3"/>
                <w:szCs w:val="3"/>
                <w:color w:val="auto"/>
              </w:rPr>
            </w:pPr>
          </w:p>
        </w:tc>
        <w:tc>
          <w:tcPr>
            <w:tcW w:w="488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4500" w:type="dxa"/>
            <w:vAlign w:val="bottom"/>
          </w:tcPr>
          <w:p>
            <w:pPr>
              <w:spacing w:after="0"/>
              <w:rPr>
                <w:sz w:val="20"/>
                <w:szCs w:val="20"/>
                <w:color w:val="auto"/>
              </w:rPr>
            </w:pPr>
            <w:r>
              <w:rPr>
                <w:rFonts w:ascii="Arial" w:cs="Arial" w:eastAsia="Arial" w:hAnsi="Arial"/>
                <w:sz w:val="18"/>
                <w:szCs w:val="18"/>
                <w:b w:val="1"/>
                <w:bCs w:val="1"/>
                <w:color w:val="00AAC6"/>
              </w:rPr>
              <w:t>Western Pennsylvania</w:t>
            </w:r>
          </w:p>
        </w:tc>
        <w:tc>
          <w:tcPr>
            <w:tcW w:w="4880" w:type="dxa"/>
            <w:vAlign w:val="bottom"/>
          </w:tcPr>
          <w:p>
            <w:pPr>
              <w:ind w:left="2600"/>
              <w:spacing w:after="0"/>
              <w:rPr>
                <w:sz w:val="20"/>
                <w:szCs w:val="20"/>
                <w:color w:val="auto"/>
              </w:rPr>
            </w:pPr>
            <w:r>
              <w:rPr>
                <w:rFonts w:ascii="Arial" w:cs="Arial" w:eastAsia="Arial" w:hAnsi="Arial"/>
                <w:sz w:val="18"/>
                <w:szCs w:val="18"/>
                <w:color w:val="auto"/>
              </w:rPr>
              <w:t>Limestone</w:t>
            </w: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1,800</w:t>
            </w:r>
          </w:p>
        </w:tc>
      </w:tr>
      <w:tr>
        <w:trPr>
          <w:trHeight w:val="69"/>
        </w:trPr>
        <w:tc>
          <w:tcPr>
            <w:tcW w:w="4500" w:type="dxa"/>
            <w:vAlign w:val="bottom"/>
            <w:tcBorders>
              <w:bottom w:val="single" w:sz="8" w:color="A6A6A6"/>
            </w:tcBorders>
          </w:tcPr>
          <w:p>
            <w:pPr>
              <w:spacing w:after="0"/>
              <w:rPr>
                <w:sz w:val="6"/>
                <w:szCs w:val="6"/>
                <w:color w:val="auto"/>
              </w:rPr>
            </w:pPr>
          </w:p>
        </w:tc>
        <w:tc>
          <w:tcPr>
            <w:tcW w:w="4880" w:type="dxa"/>
            <w:vAlign w:val="bottom"/>
            <w:tcBorders>
              <w:bottom w:val="single" w:sz="8" w:color="A6A6A6"/>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89"/>
        </w:trPr>
        <w:tc>
          <w:tcPr>
            <w:tcW w:w="4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b w:val="1"/>
                <w:bCs w:val="1"/>
                <w:color w:val="auto"/>
              </w:rPr>
              <w:t>9,050</w:t>
            </w:r>
          </w:p>
        </w:tc>
      </w:tr>
      <w:tr>
        <w:trPr>
          <w:trHeight w:val="42"/>
        </w:trPr>
        <w:tc>
          <w:tcPr>
            <w:tcW w:w="45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0"/>
        </w:trPr>
        <w:tc>
          <w:tcPr>
            <w:tcW w:w="4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The Company is currently not operating its aggregates plant in the Kansas City Area.</w:t>
      </w:r>
    </w:p>
    <w:p>
      <w:pPr>
        <w:spacing w:after="0" w:line="8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total net Aggregates sales (excluding intercompany tons sold) were 6.4 million tons in fiscal 2026, and 3.8 million tons in fiscal 2025. Total Aggregates production related to third party sales was 6.4 million tons in fiscal 2026, and 4.2 million tons in fiscal 2025. A portion of our total Aggregates production is used internally by our readymix Concrete operations in Texas, northern Colorado, and northern Nevada and by our Cement operations in northern Kentucky. In fiscal 2025, we made two aggregates related acquisitions, which contributed to the increases in fiscal 2026.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Plants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produce and distribute readymix concrete from company-owned sites in central Texas, the greater Kansas City area, northern Colorado, and northern Nevada. The following table sets forth information regarding these operations as of March 31,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23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Number of Plants</w:t>
            </w:r>
          </w:p>
        </w:tc>
      </w:tr>
      <w:tr>
        <w:trPr>
          <w:trHeight w:val="295"/>
        </w:trPr>
        <w:tc>
          <w:tcPr>
            <w:tcW w:w="8900" w:type="dxa"/>
            <w:vAlign w:val="bottom"/>
          </w:tcPr>
          <w:p>
            <w:pPr>
              <w:spacing w:after="0"/>
              <w:rPr>
                <w:sz w:val="20"/>
                <w:szCs w:val="20"/>
                <w:color w:val="auto"/>
              </w:rPr>
            </w:pPr>
            <w:r>
              <w:rPr>
                <w:rFonts w:ascii="Arial" w:cs="Arial" w:eastAsia="Arial" w:hAnsi="Arial"/>
                <w:sz w:val="18"/>
                <w:szCs w:val="18"/>
                <w:b w:val="1"/>
                <w:bCs w:val="1"/>
                <w:color w:val="00AAC6"/>
              </w:rPr>
              <w:t>Central Texas</w:t>
            </w:r>
          </w:p>
        </w:tc>
        <w:tc>
          <w:tcPr>
            <w:tcW w:w="2340" w:type="dxa"/>
            <w:vAlign w:val="bottom"/>
          </w:tcPr>
          <w:p>
            <w:pPr>
              <w:jc w:val="right"/>
              <w:ind w:right="32"/>
              <w:spacing w:after="0"/>
              <w:rPr>
                <w:sz w:val="20"/>
                <w:szCs w:val="20"/>
                <w:color w:val="auto"/>
              </w:rPr>
            </w:pPr>
            <w:r>
              <w:rPr>
                <w:rFonts w:ascii="Arial" w:cs="Arial" w:eastAsia="Arial" w:hAnsi="Arial"/>
                <w:sz w:val="18"/>
                <w:szCs w:val="18"/>
                <w:color w:val="auto"/>
              </w:rPr>
              <w:t>11</w:t>
            </w:r>
          </w:p>
        </w:tc>
      </w:tr>
      <w:tr>
        <w:trPr>
          <w:trHeight w:val="42"/>
        </w:trPr>
        <w:tc>
          <w:tcPr>
            <w:tcW w:w="890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r>
      <w:tr>
        <w:trPr>
          <w:trHeight w:val="289"/>
        </w:trPr>
        <w:tc>
          <w:tcPr>
            <w:tcW w:w="8900" w:type="dxa"/>
            <w:vAlign w:val="bottom"/>
          </w:tcPr>
          <w:p>
            <w:pPr>
              <w:spacing w:after="0"/>
              <w:rPr>
                <w:sz w:val="20"/>
                <w:szCs w:val="20"/>
                <w:color w:val="auto"/>
              </w:rPr>
            </w:pPr>
            <w:r>
              <w:rPr>
                <w:rFonts w:ascii="Arial" w:cs="Arial" w:eastAsia="Arial" w:hAnsi="Arial"/>
                <w:sz w:val="18"/>
                <w:szCs w:val="18"/>
                <w:b w:val="1"/>
                <w:bCs w:val="1"/>
                <w:color w:val="00AAC6"/>
              </w:rPr>
              <w:t>Kansas City Area</w:t>
            </w:r>
          </w:p>
        </w:tc>
        <w:tc>
          <w:tcPr>
            <w:tcW w:w="234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42"/>
        </w:trPr>
        <w:tc>
          <w:tcPr>
            <w:tcW w:w="890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r>
      <w:tr>
        <w:trPr>
          <w:trHeight w:val="289"/>
        </w:trPr>
        <w:tc>
          <w:tcPr>
            <w:tcW w:w="8900" w:type="dxa"/>
            <w:vAlign w:val="bottom"/>
          </w:tcPr>
          <w:p>
            <w:pPr>
              <w:spacing w:after="0"/>
              <w:rPr>
                <w:sz w:val="20"/>
                <w:szCs w:val="20"/>
                <w:color w:val="auto"/>
              </w:rPr>
            </w:pPr>
            <w:r>
              <w:rPr>
                <w:rFonts w:ascii="Arial" w:cs="Arial" w:eastAsia="Arial" w:hAnsi="Arial"/>
                <w:sz w:val="18"/>
                <w:szCs w:val="18"/>
                <w:b w:val="1"/>
                <w:bCs w:val="1"/>
                <w:color w:val="00AAC6"/>
              </w:rPr>
              <w:t>Northern Colorado</w:t>
            </w:r>
          </w:p>
        </w:tc>
        <w:tc>
          <w:tcPr>
            <w:tcW w:w="234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42"/>
        </w:trPr>
        <w:tc>
          <w:tcPr>
            <w:tcW w:w="8900" w:type="dxa"/>
            <w:vAlign w:val="bottom"/>
            <w:tcBorders>
              <w:bottom w:val="single" w:sz="8" w:color="A6A6A6"/>
            </w:tcBorders>
          </w:tcPr>
          <w:p>
            <w:pPr>
              <w:spacing w:after="0"/>
              <w:rPr>
                <w:sz w:val="3"/>
                <w:szCs w:val="3"/>
                <w:color w:val="auto"/>
              </w:rPr>
            </w:pPr>
          </w:p>
        </w:tc>
        <w:tc>
          <w:tcPr>
            <w:tcW w:w="2340" w:type="dxa"/>
            <w:vAlign w:val="bottom"/>
            <w:tcBorders>
              <w:bottom w:val="single" w:sz="8" w:color="A6A6A6"/>
            </w:tcBorders>
          </w:tcPr>
          <w:p>
            <w:pPr>
              <w:spacing w:after="0"/>
              <w:rPr>
                <w:sz w:val="3"/>
                <w:szCs w:val="3"/>
                <w:color w:val="auto"/>
              </w:rPr>
            </w:pPr>
          </w:p>
        </w:tc>
      </w:tr>
      <w:tr>
        <w:trPr>
          <w:trHeight w:val="289"/>
        </w:trPr>
        <w:tc>
          <w:tcPr>
            <w:tcW w:w="8900" w:type="dxa"/>
            <w:vAlign w:val="bottom"/>
          </w:tcPr>
          <w:p>
            <w:pPr>
              <w:spacing w:after="0"/>
              <w:rPr>
                <w:sz w:val="20"/>
                <w:szCs w:val="20"/>
                <w:color w:val="auto"/>
              </w:rPr>
            </w:pPr>
            <w:r>
              <w:rPr>
                <w:rFonts w:ascii="Arial" w:cs="Arial" w:eastAsia="Arial" w:hAnsi="Arial"/>
                <w:sz w:val="18"/>
                <w:szCs w:val="18"/>
                <w:b w:val="1"/>
                <w:bCs w:val="1"/>
                <w:color w:val="00AAC6"/>
              </w:rPr>
              <w:t>Northern Nevada</w:t>
            </w:r>
          </w:p>
        </w:tc>
        <w:tc>
          <w:tcPr>
            <w:tcW w:w="2340" w:type="dxa"/>
            <w:vAlign w:val="bottom"/>
          </w:tcPr>
          <w:p>
            <w:pPr>
              <w:jc w:val="right"/>
              <w:ind w:right="32"/>
              <w:spacing w:after="0"/>
              <w:rPr>
                <w:sz w:val="20"/>
                <w:szCs w:val="20"/>
                <w:color w:val="auto"/>
              </w:rPr>
            </w:pPr>
            <w:r>
              <w:rPr>
                <w:rFonts w:ascii="Arial" w:cs="Arial" w:eastAsia="Arial" w:hAnsi="Arial"/>
                <w:sz w:val="18"/>
                <w:szCs w:val="18"/>
                <w:color w:val="auto"/>
              </w:rPr>
              <w:t>6</w:t>
            </w:r>
          </w:p>
        </w:tc>
      </w:tr>
      <w:tr>
        <w:trPr>
          <w:trHeight w:val="69"/>
        </w:trPr>
        <w:tc>
          <w:tcPr>
            <w:tcW w:w="8900" w:type="dxa"/>
            <w:vAlign w:val="bottom"/>
            <w:tcBorders>
              <w:bottom w:val="single" w:sz="8" w:color="A6A6A6"/>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r>
      <w:tr>
        <w:trPr>
          <w:trHeight w:val="289"/>
        </w:trPr>
        <w:tc>
          <w:tcPr>
            <w:tcW w:w="89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2340" w:type="dxa"/>
            <w:vAlign w:val="bottom"/>
          </w:tcPr>
          <w:p>
            <w:pPr>
              <w:jc w:val="right"/>
              <w:ind w:right="32"/>
              <w:spacing w:after="0"/>
              <w:rPr>
                <w:sz w:val="20"/>
                <w:szCs w:val="20"/>
                <w:color w:val="auto"/>
              </w:rPr>
            </w:pPr>
            <w:r>
              <w:rPr>
                <w:rFonts w:ascii="Arial" w:cs="Arial" w:eastAsia="Arial" w:hAnsi="Arial"/>
                <w:sz w:val="18"/>
                <w:szCs w:val="18"/>
                <w:b w:val="1"/>
                <w:bCs w:val="1"/>
                <w:color w:val="auto"/>
              </w:rPr>
              <w:t>30</w:t>
            </w:r>
          </w:p>
        </w:tc>
      </w:tr>
      <w:tr>
        <w:trPr>
          <w:trHeight w:val="42"/>
        </w:trPr>
        <w:tc>
          <w:tcPr>
            <w:tcW w:w="890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20"/>
        </w:trPr>
        <w:tc>
          <w:tcPr>
            <w:tcW w:w="89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Demand, Sales, and Distribution</w:t>
      </w:r>
    </w:p>
    <w:p>
      <w:pPr>
        <w:spacing w:after="0" w:line="10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Demand for readymix concrete and aggregates largely depends on local levels of construction activity. Construction activity is subject to weather conditions, the availability of financing at reasonable rates, and overall fluctuations in local economies, and therefore tends to be cyclical. We sell readymix concrete to numerous contractors and other customers in each plant’s marketing area. Our batch plants are strategically located to serve each marketing area. Concrete is delivered from the batch plants primarily by company-owned trucks. We sell aggregates to building contractors and other customers engaged in a wide variety of construction activities. Aggregates are distributed from our plants by common carriers and customer pickup. No single customer accounted for more than 10% of fiscal 2026 segment revenue.</w:t>
      </w:r>
    </w:p>
    <w:p>
      <w:pPr>
        <w:spacing w:after="0" w:line="71" w:lineRule="exact"/>
        <w:rPr>
          <w:sz w:val="20"/>
          <w:szCs w:val="20"/>
          <w:color w:val="auto"/>
        </w:rPr>
      </w:pPr>
    </w:p>
    <w:p>
      <w:pPr>
        <w:jc w:val="both"/>
        <w:ind w:right="200"/>
        <w:spacing w:after="0" w:line="244" w:lineRule="auto"/>
        <w:rPr>
          <w:sz w:val="20"/>
          <w:szCs w:val="20"/>
          <w:color w:val="auto"/>
        </w:rPr>
      </w:pPr>
      <w:r>
        <w:rPr>
          <w:rFonts w:ascii="Arial" w:cs="Arial" w:eastAsia="Arial" w:hAnsi="Arial"/>
          <w:sz w:val="18"/>
          <w:szCs w:val="18"/>
          <w:color w:val="auto"/>
        </w:rPr>
        <w:t>The concrete and aggregates industry is highly fragmented, with numerous participants operating in each local area. Because the cost of transporting concrete and aggregates is very high relative to product values, producers of concrete and aggregates typically can profitably sell their products only in areas within 50 miles of their production facilities. There are high barriers to entry for new aggregates production facilities located near major metropolitan markets, including environmental permitting requirements and zoning of land to permit mining and extraction of aggregates.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Raw Materials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obtain cement and aggregates for our Concrete businesses primarily from related companies, as outlined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408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6"/>
                <w:szCs w:val="16"/>
                <w:b w:val="1"/>
                <w:bCs w:val="1"/>
                <w:color w:val="auto"/>
              </w:rPr>
              <w:t>Percentage of Internally Supplied</w:t>
            </w:r>
          </w:p>
        </w:tc>
      </w:tr>
      <w:tr>
        <w:trPr>
          <w:trHeight w:val="230"/>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24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Cement</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Aggregates</w:t>
            </w:r>
          </w:p>
        </w:tc>
      </w:tr>
      <w:tr>
        <w:trPr>
          <w:trHeight w:val="295"/>
        </w:trPr>
        <w:tc>
          <w:tcPr>
            <w:tcW w:w="7160" w:type="dxa"/>
            <w:vAlign w:val="bottom"/>
          </w:tcPr>
          <w:p>
            <w:pPr>
              <w:spacing w:after="0"/>
              <w:rPr>
                <w:sz w:val="20"/>
                <w:szCs w:val="20"/>
                <w:color w:val="auto"/>
              </w:rPr>
            </w:pPr>
            <w:r>
              <w:rPr>
                <w:rFonts w:ascii="Arial" w:cs="Arial" w:eastAsia="Arial" w:hAnsi="Arial"/>
                <w:sz w:val="18"/>
                <w:szCs w:val="18"/>
                <w:b w:val="1"/>
                <w:bCs w:val="1"/>
                <w:color w:val="00AAC6"/>
              </w:rPr>
              <w:t>Central Texas</w:t>
            </w:r>
          </w:p>
        </w:tc>
        <w:tc>
          <w:tcPr>
            <w:tcW w:w="2440" w:type="dxa"/>
            <w:vAlign w:val="bottom"/>
          </w:tcPr>
          <w:p>
            <w:pPr>
              <w:jc w:val="right"/>
              <w:ind w:right="533"/>
              <w:spacing w:after="0"/>
              <w:rPr>
                <w:sz w:val="20"/>
                <w:szCs w:val="20"/>
                <w:color w:val="auto"/>
              </w:rPr>
            </w:pPr>
            <w:r>
              <w:rPr>
                <w:rFonts w:ascii="Arial" w:cs="Arial" w:eastAsia="Arial" w:hAnsi="Arial"/>
                <w:sz w:val="18"/>
                <w:szCs w:val="18"/>
                <w:color w:val="auto"/>
              </w:rPr>
              <w:t>50%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35%</w:t>
            </w:r>
          </w:p>
        </w:tc>
      </w:tr>
      <w:tr>
        <w:trPr>
          <w:trHeight w:val="42"/>
        </w:trPr>
        <w:tc>
          <w:tcPr>
            <w:tcW w:w="716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r>
      <w:tr>
        <w:trPr>
          <w:trHeight w:val="289"/>
        </w:trPr>
        <w:tc>
          <w:tcPr>
            <w:tcW w:w="7160" w:type="dxa"/>
            <w:vAlign w:val="bottom"/>
          </w:tcPr>
          <w:p>
            <w:pPr>
              <w:spacing w:after="0"/>
              <w:rPr>
                <w:sz w:val="20"/>
                <w:szCs w:val="20"/>
                <w:color w:val="auto"/>
              </w:rPr>
            </w:pPr>
            <w:r>
              <w:rPr>
                <w:rFonts w:ascii="Arial" w:cs="Arial" w:eastAsia="Arial" w:hAnsi="Arial"/>
                <w:sz w:val="18"/>
                <w:szCs w:val="18"/>
                <w:b w:val="1"/>
                <w:bCs w:val="1"/>
                <w:color w:val="00AAC6"/>
              </w:rPr>
              <w:t>Kansas City Area</w:t>
            </w:r>
          </w:p>
        </w:tc>
        <w:tc>
          <w:tcPr>
            <w:tcW w:w="2440" w:type="dxa"/>
            <w:vAlign w:val="bottom"/>
          </w:tcPr>
          <w:p>
            <w:pPr>
              <w:jc w:val="right"/>
              <w:ind w:right="533"/>
              <w:spacing w:after="0"/>
              <w:rPr>
                <w:sz w:val="20"/>
                <w:szCs w:val="20"/>
                <w:color w:val="auto"/>
              </w:rPr>
            </w:pPr>
            <w:r>
              <w:rPr>
                <w:rFonts w:ascii="Arial" w:cs="Arial" w:eastAsia="Arial" w:hAnsi="Arial"/>
                <w:sz w:val="18"/>
                <w:szCs w:val="18"/>
                <w:color w:val="auto"/>
              </w:rPr>
              <w:t>100%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42"/>
        </w:trPr>
        <w:tc>
          <w:tcPr>
            <w:tcW w:w="716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r>
      <w:tr>
        <w:trPr>
          <w:trHeight w:val="289"/>
        </w:trPr>
        <w:tc>
          <w:tcPr>
            <w:tcW w:w="7160" w:type="dxa"/>
            <w:vAlign w:val="bottom"/>
          </w:tcPr>
          <w:p>
            <w:pPr>
              <w:spacing w:after="0"/>
              <w:rPr>
                <w:sz w:val="20"/>
                <w:szCs w:val="20"/>
                <w:color w:val="auto"/>
              </w:rPr>
            </w:pPr>
            <w:r>
              <w:rPr>
                <w:rFonts w:ascii="Arial" w:cs="Arial" w:eastAsia="Arial" w:hAnsi="Arial"/>
                <w:sz w:val="18"/>
                <w:szCs w:val="18"/>
                <w:b w:val="1"/>
                <w:bCs w:val="1"/>
                <w:color w:val="00AAC6"/>
              </w:rPr>
              <w:t>Northern Colorado</w:t>
            </w:r>
          </w:p>
        </w:tc>
        <w:tc>
          <w:tcPr>
            <w:tcW w:w="2440" w:type="dxa"/>
            <w:vAlign w:val="bottom"/>
          </w:tcPr>
          <w:p>
            <w:pPr>
              <w:jc w:val="right"/>
              <w:ind w:right="533"/>
              <w:spacing w:after="0"/>
              <w:rPr>
                <w:sz w:val="20"/>
                <w:szCs w:val="20"/>
                <w:color w:val="auto"/>
              </w:rPr>
            </w:pPr>
            <w:r>
              <w:rPr>
                <w:rFonts w:ascii="Arial" w:cs="Arial" w:eastAsia="Arial" w:hAnsi="Arial"/>
                <w:sz w:val="18"/>
                <w:szCs w:val="18"/>
                <w:color w:val="auto"/>
              </w:rPr>
              <w:t>100%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42"/>
        </w:trPr>
        <w:tc>
          <w:tcPr>
            <w:tcW w:w="716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r>
      <w:tr>
        <w:trPr>
          <w:trHeight w:val="289"/>
        </w:trPr>
        <w:tc>
          <w:tcPr>
            <w:tcW w:w="7160" w:type="dxa"/>
            <w:vAlign w:val="bottom"/>
          </w:tcPr>
          <w:p>
            <w:pPr>
              <w:spacing w:after="0"/>
              <w:rPr>
                <w:sz w:val="20"/>
                <w:szCs w:val="20"/>
                <w:color w:val="auto"/>
              </w:rPr>
            </w:pPr>
            <w:r>
              <w:rPr>
                <w:rFonts w:ascii="Arial" w:cs="Arial" w:eastAsia="Arial" w:hAnsi="Arial"/>
                <w:sz w:val="18"/>
                <w:szCs w:val="18"/>
                <w:b w:val="1"/>
                <w:bCs w:val="1"/>
                <w:color w:val="00AAC6"/>
              </w:rPr>
              <w:t>Northern Nevada</w:t>
            </w:r>
          </w:p>
        </w:tc>
        <w:tc>
          <w:tcPr>
            <w:tcW w:w="2440" w:type="dxa"/>
            <w:vAlign w:val="bottom"/>
          </w:tcPr>
          <w:p>
            <w:pPr>
              <w:jc w:val="right"/>
              <w:ind w:right="533"/>
              <w:spacing w:after="0"/>
              <w:rPr>
                <w:sz w:val="20"/>
                <w:szCs w:val="20"/>
                <w:color w:val="auto"/>
              </w:rPr>
            </w:pPr>
            <w:r>
              <w:rPr>
                <w:rFonts w:ascii="Arial" w:cs="Arial" w:eastAsia="Arial" w:hAnsi="Arial"/>
                <w:sz w:val="18"/>
                <w:szCs w:val="18"/>
                <w:color w:val="auto"/>
              </w:rPr>
              <w:t>100%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60%</w:t>
            </w:r>
          </w:p>
        </w:tc>
      </w:tr>
      <w:tr>
        <w:trPr>
          <w:trHeight w:val="42"/>
        </w:trPr>
        <w:tc>
          <w:tcPr>
            <w:tcW w:w="716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obtain the balance of our cement and aggregates requirements from multiple outside sources in each of these areas.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mine and extract limestone, sand, and gravel, the principal raw materials used in the production of aggregates, from quarries owned or leased by us and located near our plants. On average, our aggregate reserves and resources exceed 25 years based on normalized production levels.</w:t>
      </w:r>
    </w:p>
    <w:p>
      <w:pPr>
        <w:spacing w:after="0" w:line="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Cost of materials and delivery expense are the two biggest expense items for readymix concrete, comprising approximately 62% and 15% of total costs, respectively. In fiscal 2026, cost of materials and delivery expenses decreased by 1% and 13%, respectively, compared with fiscal 2025. We anticipate these costs will increase in fiscal 2027.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Environmental Matters</w:t>
      </w:r>
    </w:p>
    <w:p>
      <w:pPr>
        <w:spacing w:after="0" w:line="10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concrete and aggregates industry is subject to environmental regulations similar to those governing our Cement operations, which are included in the Environmental Matters section in the Cement segment discussion.</w:t>
      </w:r>
    </w:p>
    <w:p>
      <w:pPr>
        <w:spacing w:after="0" w:line="4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We did not have any capital expenditures related to compliance with environmental regulations applicable to our Concrete and Aggregates operations in fiscal 2026, and we do not anticipate any material spending related to compliance with environmental regulations during fiscal 2027.</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1632C"/>
        </w:rPr>
        <w:t>Light Materials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Light Materials sector comprises the Gypsum Wallboard segment, which produces gypsum wallboard used in residential and private nonresidential construction and repair and remodel activities, and the Recycled Paperboard segment, which produces paper primarily used in the manufacture of gypsum wallboard. Our operations in this sector are concentrated in the Sun Belt of the United States, which we define as the lower half of the United States, but not California. Population in the Sun Belt is projected to grow approximately 19% between 2020 and 2050, according to the latest update in July 2024 by University of Virginia, Weldon Cooper Center for Public Service. Population growth is a key long-term driver of demand for gypsum wallboard and recycled paperboard.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Gypsum wallboard is used to finish the interior walls and ceilings in residential, commercial, and industrial structures. Our gypsum wallboard products are marketed under the name American Gypsum.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gypsum wallboard manufacturing process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1543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 Plants and Gypsum Mining Operations</w:t>
      </w:r>
    </w:p>
    <w:p>
      <w:pPr>
        <w:spacing w:after="0" w:line="10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We own and operate five gypsum wallboard plants, shown in the table below. We anticipate running all our facilities at the level required to meet customer demand, up to maximum capacity. Our gypsum wallboard is distributed in the geographic markets nearest to our production facilities.</w:t>
      </w:r>
    </w:p>
    <w:p>
      <w:pPr>
        <w:spacing w:after="0" w:line="6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Four of our five gypsum wallboard plants are supplied with natural gypsum from our nearby gypsum quarries, while our wallboard plant in South Carolina is supplied with gypsum under a long-term supply contract with a third party. For more information about our gypsum mining properties, including estimates of gypsum resources and reserves, see Item 2. Properties.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table shows approximate annual production capacity at each of our gypsum wallboard plants at March 31, 2026.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tcPr>
          <w:p>
            <w:pPr>
              <w:spacing w:after="0"/>
              <w:rPr>
                <w:sz w:val="16"/>
                <w:szCs w:val="16"/>
                <w:color w:val="auto"/>
              </w:rPr>
            </w:pPr>
          </w:p>
        </w:tc>
        <w:tc>
          <w:tcPr>
            <w:tcW w:w="2440" w:type="dxa"/>
            <w:vAlign w:val="bottom"/>
          </w:tcPr>
          <w:p>
            <w:pPr>
              <w:jc w:val="right"/>
              <w:ind w:right="33"/>
              <w:spacing w:after="0"/>
              <w:rPr>
                <w:sz w:val="20"/>
                <w:szCs w:val="20"/>
                <w:color w:val="auto"/>
              </w:rPr>
            </w:pPr>
            <w:r>
              <w:rPr>
                <w:rFonts w:ascii="Arial" w:cs="Arial" w:eastAsia="Arial" w:hAnsi="Arial"/>
                <w:sz w:val="16"/>
                <w:szCs w:val="16"/>
                <w:b w:val="1"/>
                <w:bCs w:val="1"/>
                <w:color w:val="auto"/>
              </w:rPr>
              <w:t>Approximate Annual</w:t>
            </w:r>
          </w:p>
        </w:tc>
      </w:tr>
      <w:tr>
        <w:trPr>
          <w:trHeight w:val="163"/>
        </w:trPr>
        <w:tc>
          <w:tcPr>
            <w:tcW w:w="8800" w:type="dxa"/>
            <w:vAlign w:val="bottom"/>
          </w:tcPr>
          <w:p>
            <w:pPr>
              <w:spacing w:after="0"/>
              <w:rPr>
                <w:sz w:val="14"/>
                <w:szCs w:val="14"/>
                <w:color w:val="auto"/>
              </w:rPr>
            </w:pPr>
          </w:p>
        </w:tc>
        <w:tc>
          <w:tcPr>
            <w:tcW w:w="2440" w:type="dxa"/>
            <w:vAlign w:val="bottom"/>
          </w:tcPr>
          <w:p>
            <w:pPr>
              <w:jc w:val="right"/>
              <w:ind w:right="33"/>
              <w:spacing w:after="0" w:line="163" w:lineRule="exact"/>
              <w:rPr>
                <w:sz w:val="20"/>
                <w:szCs w:val="20"/>
                <w:color w:val="auto"/>
              </w:rPr>
            </w:pPr>
            <w:r>
              <w:rPr>
                <w:rFonts w:ascii="Arial" w:cs="Arial" w:eastAsia="Arial" w:hAnsi="Arial"/>
                <w:sz w:val="16"/>
                <w:szCs w:val="16"/>
                <w:b w:val="1"/>
                <w:bCs w:val="1"/>
                <w:color w:val="auto"/>
              </w:rPr>
              <w:t>Gypsum Wallboard</w:t>
            </w:r>
          </w:p>
        </w:tc>
      </w:tr>
      <w:tr>
        <w:trPr>
          <w:trHeight w:val="263"/>
        </w:trPr>
        <w:tc>
          <w:tcPr>
            <w:tcW w:w="8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24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 xml:space="preserve">Capacity </w:t>
            </w:r>
            <w:r>
              <w:rPr>
                <w:rFonts w:ascii="Arial" w:cs="Arial" w:eastAsia="Arial" w:hAnsi="Arial"/>
                <w:sz w:val="16"/>
                <w:szCs w:val="16"/>
                <w:color w:val="auto"/>
              </w:rPr>
              <w:t>(MMSF)</w:t>
            </w:r>
            <w:r>
              <w:rPr>
                <w:rFonts w:ascii="Arial" w:cs="Arial" w:eastAsia="Arial" w:hAnsi="Arial"/>
                <w:sz w:val="16"/>
                <w:szCs w:val="16"/>
                <w:b w:val="1"/>
                <w:bCs w:val="1"/>
                <w:color w:val="auto"/>
              </w:rPr>
              <w:t xml:space="preserve"> </w:t>
            </w:r>
            <w:r>
              <w:rPr>
                <w:rFonts w:ascii="Arial" w:cs="Arial" w:eastAsia="Arial" w:hAnsi="Arial"/>
                <w:sz w:val="21"/>
                <w:szCs w:val="21"/>
                <w:b w:val="1"/>
                <w:bCs w:val="1"/>
                <w:color w:val="auto"/>
                <w:vertAlign w:val="superscript"/>
              </w:rPr>
              <w:t>(1)</w:t>
            </w:r>
          </w:p>
        </w:tc>
      </w:tr>
      <w:tr>
        <w:trPr>
          <w:trHeight w:val="295"/>
        </w:trPr>
        <w:tc>
          <w:tcPr>
            <w:tcW w:w="8800" w:type="dxa"/>
            <w:vAlign w:val="bottom"/>
          </w:tcPr>
          <w:p>
            <w:pPr>
              <w:spacing w:after="0"/>
              <w:rPr>
                <w:sz w:val="20"/>
                <w:szCs w:val="20"/>
                <w:color w:val="auto"/>
              </w:rPr>
            </w:pPr>
            <w:r>
              <w:rPr>
                <w:rFonts w:ascii="Arial" w:cs="Arial" w:eastAsia="Arial" w:hAnsi="Arial"/>
                <w:sz w:val="18"/>
                <w:szCs w:val="18"/>
                <w:b w:val="1"/>
                <w:bCs w:val="1"/>
                <w:color w:val="77943C"/>
              </w:rPr>
              <w:t>Albuquerque, New Mexico</w:t>
            </w:r>
          </w:p>
        </w:tc>
        <w:tc>
          <w:tcPr>
            <w:tcW w:w="2440" w:type="dxa"/>
            <w:vAlign w:val="bottom"/>
          </w:tcPr>
          <w:p>
            <w:pPr>
              <w:jc w:val="right"/>
              <w:ind w:right="33"/>
              <w:spacing w:after="0"/>
              <w:rPr>
                <w:sz w:val="20"/>
                <w:szCs w:val="20"/>
                <w:color w:val="auto"/>
              </w:rPr>
            </w:pPr>
            <w:r>
              <w:rPr>
                <w:rFonts w:ascii="Arial" w:cs="Arial" w:eastAsia="Arial" w:hAnsi="Arial"/>
                <w:sz w:val="18"/>
                <w:szCs w:val="18"/>
                <w:color w:val="auto"/>
              </w:rPr>
              <w:t>425</w:t>
            </w:r>
          </w:p>
        </w:tc>
      </w:tr>
      <w:tr>
        <w:trPr>
          <w:trHeight w:val="42"/>
        </w:trPr>
        <w:tc>
          <w:tcPr>
            <w:tcW w:w="880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r>
      <w:tr>
        <w:trPr>
          <w:trHeight w:val="289"/>
        </w:trPr>
        <w:tc>
          <w:tcPr>
            <w:tcW w:w="8800" w:type="dxa"/>
            <w:vAlign w:val="bottom"/>
          </w:tcPr>
          <w:p>
            <w:pPr>
              <w:spacing w:after="0"/>
              <w:rPr>
                <w:sz w:val="20"/>
                <w:szCs w:val="20"/>
                <w:color w:val="auto"/>
              </w:rPr>
            </w:pPr>
            <w:r>
              <w:rPr>
                <w:rFonts w:ascii="Arial" w:cs="Arial" w:eastAsia="Arial" w:hAnsi="Arial"/>
                <w:sz w:val="18"/>
                <w:szCs w:val="18"/>
                <w:b w:val="1"/>
                <w:bCs w:val="1"/>
                <w:color w:val="77943C"/>
              </w:rPr>
              <w:t>Bernalillo, New Mexico</w:t>
            </w:r>
          </w:p>
        </w:tc>
        <w:tc>
          <w:tcPr>
            <w:tcW w:w="2440" w:type="dxa"/>
            <w:vAlign w:val="bottom"/>
          </w:tcPr>
          <w:p>
            <w:pPr>
              <w:jc w:val="right"/>
              <w:ind w:right="33"/>
              <w:spacing w:after="0"/>
              <w:rPr>
                <w:sz w:val="20"/>
                <w:szCs w:val="20"/>
                <w:color w:val="auto"/>
              </w:rPr>
            </w:pPr>
            <w:r>
              <w:rPr>
                <w:rFonts w:ascii="Arial" w:cs="Arial" w:eastAsia="Arial" w:hAnsi="Arial"/>
                <w:sz w:val="18"/>
                <w:szCs w:val="18"/>
                <w:color w:val="auto"/>
              </w:rPr>
              <w:t>550</w:t>
            </w:r>
          </w:p>
        </w:tc>
      </w:tr>
      <w:tr>
        <w:trPr>
          <w:trHeight w:val="42"/>
        </w:trPr>
        <w:tc>
          <w:tcPr>
            <w:tcW w:w="880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r>
      <w:tr>
        <w:trPr>
          <w:trHeight w:val="289"/>
        </w:trPr>
        <w:tc>
          <w:tcPr>
            <w:tcW w:w="8800" w:type="dxa"/>
            <w:vAlign w:val="bottom"/>
          </w:tcPr>
          <w:p>
            <w:pPr>
              <w:spacing w:after="0"/>
              <w:rPr>
                <w:sz w:val="20"/>
                <w:szCs w:val="20"/>
                <w:color w:val="auto"/>
              </w:rPr>
            </w:pPr>
            <w:r>
              <w:rPr>
                <w:rFonts w:ascii="Arial" w:cs="Arial" w:eastAsia="Arial" w:hAnsi="Arial"/>
                <w:sz w:val="18"/>
                <w:szCs w:val="18"/>
                <w:b w:val="1"/>
                <w:bCs w:val="1"/>
                <w:color w:val="77943C"/>
              </w:rPr>
              <w:t>Gypsum, Colorado</w:t>
            </w:r>
          </w:p>
        </w:tc>
        <w:tc>
          <w:tcPr>
            <w:tcW w:w="2440" w:type="dxa"/>
            <w:vAlign w:val="bottom"/>
          </w:tcPr>
          <w:p>
            <w:pPr>
              <w:jc w:val="right"/>
              <w:ind w:right="33"/>
              <w:spacing w:after="0"/>
              <w:rPr>
                <w:sz w:val="20"/>
                <w:szCs w:val="20"/>
                <w:color w:val="auto"/>
              </w:rPr>
            </w:pPr>
            <w:r>
              <w:rPr>
                <w:rFonts w:ascii="Arial" w:cs="Arial" w:eastAsia="Arial" w:hAnsi="Arial"/>
                <w:sz w:val="18"/>
                <w:szCs w:val="18"/>
                <w:color w:val="auto"/>
              </w:rPr>
              <w:t>700</w:t>
            </w:r>
          </w:p>
        </w:tc>
      </w:tr>
      <w:tr>
        <w:trPr>
          <w:trHeight w:val="42"/>
        </w:trPr>
        <w:tc>
          <w:tcPr>
            <w:tcW w:w="880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r>
      <w:tr>
        <w:trPr>
          <w:trHeight w:val="289"/>
        </w:trPr>
        <w:tc>
          <w:tcPr>
            <w:tcW w:w="8800" w:type="dxa"/>
            <w:vAlign w:val="bottom"/>
          </w:tcPr>
          <w:p>
            <w:pPr>
              <w:spacing w:after="0"/>
              <w:rPr>
                <w:sz w:val="20"/>
                <w:szCs w:val="20"/>
                <w:color w:val="auto"/>
              </w:rPr>
            </w:pPr>
            <w:r>
              <w:rPr>
                <w:rFonts w:ascii="Arial" w:cs="Arial" w:eastAsia="Arial" w:hAnsi="Arial"/>
                <w:sz w:val="18"/>
                <w:szCs w:val="18"/>
                <w:b w:val="1"/>
                <w:bCs w:val="1"/>
                <w:color w:val="77943C"/>
              </w:rPr>
              <w:t>Duke, Oklahoma</w:t>
            </w:r>
          </w:p>
        </w:tc>
        <w:tc>
          <w:tcPr>
            <w:tcW w:w="2440" w:type="dxa"/>
            <w:vAlign w:val="bottom"/>
          </w:tcPr>
          <w:p>
            <w:pPr>
              <w:jc w:val="right"/>
              <w:ind w:right="33"/>
              <w:spacing w:after="0"/>
              <w:rPr>
                <w:sz w:val="20"/>
                <w:szCs w:val="20"/>
                <w:color w:val="auto"/>
              </w:rPr>
            </w:pPr>
            <w:r>
              <w:rPr>
                <w:rFonts w:ascii="Arial" w:cs="Arial" w:eastAsia="Arial" w:hAnsi="Arial"/>
                <w:sz w:val="18"/>
                <w:szCs w:val="18"/>
                <w:color w:val="auto"/>
              </w:rPr>
              <w:t>1,200</w:t>
            </w:r>
          </w:p>
        </w:tc>
      </w:tr>
      <w:tr>
        <w:trPr>
          <w:trHeight w:val="42"/>
        </w:trPr>
        <w:tc>
          <w:tcPr>
            <w:tcW w:w="880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r>
      <w:tr>
        <w:trPr>
          <w:trHeight w:val="289"/>
        </w:trPr>
        <w:tc>
          <w:tcPr>
            <w:tcW w:w="8800" w:type="dxa"/>
            <w:vAlign w:val="bottom"/>
          </w:tcPr>
          <w:p>
            <w:pPr>
              <w:spacing w:after="0"/>
              <w:rPr>
                <w:sz w:val="20"/>
                <w:szCs w:val="20"/>
                <w:color w:val="auto"/>
              </w:rPr>
            </w:pPr>
            <w:r>
              <w:rPr>
                <w:rFonts w:ascii="Arial" w:cs="Arial" w:eastAsia="Arial" w:hAnsi="Arial"/>
                <w:sz w:val="18"/>
                <w:szCs w:val="18"/>
                <w:b w:val="1"/>
                <w:bCs w:val="1"/>
                <w:color w:val="77943C"/>
              </w:rPr>
              <w:t>Georgetown, South Carolina</w:t>
            </w:r>
          </w:p>
        </w:tc>
        <w:tc>
          <w:tcPr>
            <w:tcW w:w="2440" w:type="dxa"/>
            <w:vAlign w:val="bottom"/>
          </w:tcPr>
          <w:p>
            <w:pPr>
              <w:jc w:val="right"/>
              <w:ind w:right="33"/>
              <w:spacing w:after="0"/>
              <w:rPr>
                <w:sz w:val="20"/>
                <w:szCs w:val="20"/>
                <w:color w:val="auto"/>
              </w:rPr>
            </w:pPr>
            <w:r>
              <w:rPr>
                <w:rFonts w:ascii="Arial" w:cs="Arial" w:eastAsia="Arial" w:hAnsi="Arial"/>
                <w:sz w:val="18"/>
                <w:szCs w:val="18"/>
                <w:color w:val="auto"/>
              </w:rPr>
              <w:t>900</w:t>
            </w:r>
          </w:p>
        </w:tc>
      </w:tr>
      <w:tr>
        <w:trPr>
          <w:trHeight w:val="69"/>
        </w:trPr>
        <w:tc>
          <w:tcPr>
            <w:tcW w:w="8800" w:type="dxa"/>
            <w:vAlign w:val="bottom"/>
            <w:tcBorders>
              <w:bottom w:val="single" w:sz="8" w:color="A6A6A6"/>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r>
      <w:tr>
        <w:trPr>
          <w:trHeight w:val="289"/>
        </w:trPr>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2440" w:type="dxa"/>
            <w:vAlign w:val="bottom"/>
          </w:tcPr>
          <w:p>
            <w:pPr>
              <w:jc w:val="right"/>
              <w:ind w:right="33"/>
              <w:spacing w:after="0"/>
              <w:rPr>
                <w:sz w:val="20"/>
                <w:szCs w:val="20"/>
                <w:color w:val="auto"/>
              </w:rPr>
            </w:pPr>
            <w:r>
              <w:rPr>
                <w:rFonts w:ascii="Arial" w:cs="Arial" w:eastAsia="Arial" w:hAnsi="Arial"/>
                <w:sz w:val="18"/>
                <w:szCs w:val="18"/>
                <w:b w:val="1"/>
                <w:bCs w:val="1"/>
                <w:color w:val="auto"/>
              </w:rPr>
              <w:t>3,775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26670</wp:posOffset>
            </wp:positionV>
            <wp:extent cx="15430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43815</wp:posOffset>
            </wp:positionV>
            <wp:extent cx="15430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74"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Million Square Feet (MMSF) based on anticipated product mix.</w:t>
      </w:r>
    </w:p>
    <w:p>
      <w:pPr>
        <w:spacing w:after="0" w:line="8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Our Gypsum Wallboard production totaled 2,792 MMSF in fiscal 2026, and 3,022 MMSF in fiscal 2025. Total Gypsum Wallboard sales were 2,759 MMSF in fiscal 2026, and 2,968 MMSF in fiscal 2025.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Demand, Sales, and Distribution</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principal sources of demand for gypsum wallboard are residential construction, repair and remodel activities, private nonresidential construction, and other markets such as manufactured housing. According to the Gypsum Association, industry shipments of gypsum wallboard decreased approximately 7% to 25.4 billion square feet in calendar 2025. We estimate that residential construction and repair and remodel accounted for more than 80% of calendar 2025 industry sales.</w:t>
      </w:r>
    </w:p>
    <w:p>
      <w:pPr>
        <w:spacing w:after="0" w:line="6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Demand for gypsum wallboard closely follows construction industry cycles, particularly housing construction. Demand for wallboard can be seasonal and is generally highest from spring through the middle of autumn. Gypsum wallboard is sold on a delivered basis, and delivery is mostly by truck. We generally use third-party common carriers for deliveries. Although gypsum wallboard is distributed principally in local areas, certain industry producers (including the Company) have the ability to ship gypsum wallboard by rail outside their usual regional distribution areas to regions where demand is strong. Our rail distribution capabilities permit us to service customers in markets on both the east and west coasts, except for the Northeast. Less than 5% of our Wallboard volume sold during fiscal 2026 was delivered via rail.</w:t>
      </w:r>
    </w:p>
    <w:p>
      <w:pPr>
        <w:spacing w:after="0" w:line="71"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We sell gypsum wallboard to numerous building-materials dealers, gypsum wallboard specialty distributors, lumber yards, home-center chains, and other customers located throughout the United States, with the exception of the Northeast. Three customers collectively accounted for approximately 64% of our Gypsum Wallboard segment sales during fiscal 2026.</w:t>
      </w:r>
    </w:p>
    <w:p>
      <w:pPr>
        <w:spacing w:after="0" w:line="6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There are currently six manufacturers of gypsum wallboard in the U.S., operating a total of 59 plants with a total of 69 lines, per the Gypsum Association. We estimate that the four largest producers ‒ Knauf, National Gypsum Company, CertainTeed, and Koch Industries ‒ account for approximately 85% of gypsum wallboard sales in the U.S. Total wallboard-rated production capacity in the United States is currently estimated by the Gypsum Association at approximately 32.7 billion square feet per year, on an annual product mix capacity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Raw Materials and Fuel Supplies</w:t>
      </w:r>
    </w:p>
    <w:p>
      <w:pPr>
        <w:spacing w:after="0" w:line="104" w:lineRule="exact"/>
        <w:rPr>
          <w:sz w:val="20"/>
          <w:szCs w:val="20"/>
          <w:color w:val="auto"/>
        </w:rPr>
      </w:pPr>
    </w:p>
    <w:p>
      <w:pPr>
        <w:jc w:val="both"/>
        <w:ind w:right="60"/>
        <w:spacing w:after="0" w:line="241" w:lineRule="auto"/>
        <w:rPr>
          <w:sz w:val="20"/>
          <w:szCs w:val="20"/>
          <w:color w:val="auto"/>
        </w:rPr>
      </w:pPr>
      <w:r>
        <w:rPr>
          <w:rFonts w:ascii="Arial" w:cs="Arial" w:eastAsia="Arial" w:hAnsi="Arial"/>
          <w:sz w:val="18"/>
          <w:szCs w:val="18"/>
          <w:color w:val="auto"/>
        </w:rPr>
        <w:t>We mine and extract natural gypsum, the principal raw material used in the manufacture of gypsum wallboard, from quarries owned, leased, or subject to mining claims owned by the Company and located near our plants. Our New Mexico reserves are under lease with the Pueblo of Zia. Gypsum ore reserves at the Gypsum, Colorado plant are contained within numerous placer claims encompassing 2,300 acres.</w:t>
      </w:r>
    </w:p>
    <w:p>
      <w:pPr>
        <w:spacing w:after="0" w:line="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Included in this are unpatented mining claims, where mineral rights can be developed upon completion of permitting requirements. We entered into a long-term agreement in 2005 with a public utility in South Carolina for synthetic gypsum, which we use at our Georgetown, South Carolina plant. This agreement has an initial term through December 2029, and we have two 20-year extension options that would extend the term through December 2069 should we elect to exercise both of our extension options. If the utility is unable to generate the agreed-upon amount of gypsum, it is responsible for providing gypsum from a third party to fulfill its obligations.</w:t>
      </w:r>
    </w:p>
    <w:p>
      <w:pPr>
        <w:spacing w:after="0" w:line="7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Through our modern low-cost paperboard mill, we manufacture sufficient quantities of paper necessary for our gypsum wallboard production. Paper is a significant cost component in the manufacture of gypsum wallboard, currently representing approximately one-third of our total production cost. Paper costs are expected to be relatively consistent throughout fiscal 2027. See Raw Materials and Fuel Supplies in the Recycled Paperboard section for more information.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8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gypsum wallboard manufacturing operations use natural gas and electrical power. A significant portion of the Company’s natural gas requirements for our gypsum wallboard plants are currently provided by three gas producers under gas-supply agreements. Power for our Gypsum, Colorado facility is generated at the facility by a cogeneration power plant that we own and operate. Currently, the cogeneration power facility supplies power and waste hot gases for drying to the gypsum wallboard plant. We do not sell any power to third parties. Natural gas costs represented approximately 8% of our production costs in fiscal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Environmental Matters</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gypsum wallboard industry is subject to numerous federal, state, and local laws and regulations pertaining to health, safety, and the environment. Some of these laws, such as the federal CAA and the federal CWA and analogous state laws, impose environmental permitting requirements and govern the nature and amount of emissions that may be generated when conducting particular operations. Some laws, such as CERCLA and analogous state laws, impose obligations to clean up or remediate spills of hazardous materials into the environment. Still other laws require us to reclaim certain land upon completion of extraction and mining operations in our quarries. We do not, and have not, used asbestos in any of our gypsum wallboard products.</w:t>
      </w:r>
    </w:p>
    <w:p>
      <w:pPr>
        <w:spacing w:after="0" w:line="7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i w:val="1"/>
          <w:iCs w:val="1"/>
          <w:color w:val="auto"/>
        </w:rPr>
        <w:t xml:space="preserve">RCRA Regulation of CCRs – </w:t>
      </w:r>
      <w:r>
        <w:rPr>
          <w:rFonts w:ascii="Arial" w:cs="Arial" w:eastAsia="Arial" w:hAnsi="Arial"/>
          <w:sz w:val="18"/>
          <w:szCs w:val="18"/>
          <w:color w:val="auto"/>
        </w:rPr>
        <w:t>We use synthetic gypsum in wallboard manufactured at our Georgetown, South Carolina plant. In 2015,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EPA published its final rule addressing the storage, reuse, and disposal of coal combustion products, which include fly ash and flue gas desulfurization gypsum (synthetic gypsum). The rule, which applies only to electric utilities and independent power producers, establishes standards for the management of coal combustion residuals (CCRs) under Subtitle D of the RCRA. In general, under the rule, the EPA has chosen to regulate CCRs under the non-hazardous waste sections of RCRA. The rule imposes requirements addressing CCR surface impoundments and landfills, including location restrictions, design, and operating specifications; groundwater monitoring requirements; corrective action requirements; record keeping and reporting obligations; and closure requirements. Beneficial encapsulated uses of CCRs, including synthetic gypsum, are exempt from regulation. We do not believe that the rule as currently in effect or the currently proposed revisions thereto are likely to have material effects on our business, financial condition, and results of operations.</w:t>
      </w:r>
    </w:p>
    <w:p>
      <w:pPr>
        <w:spacing w:after="0" w:line="75"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 xml:space="preserve">NAAQS for Ozone and Fine Particulate Matter – </w:t>
      </w:r>
      <w:r>
        <w:rPr>
          <w:rFonts w:ascii="Arial" w:cs="Arial" w:eastAsia="Arial" w:hAnsi="Arial"/>
          <w:sz w:val="17"/>
          <w:szCs w:val="17"/>
          <w:color w:val="auto"/>
        </w:rPr>
        <w:t>As discussed in greater detail in the “Environmental Matters” section for Cement,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are impacted by the NAAQS for ozone and fine particulate matter (PM</w:t>
      </w:r>
      <w:r>
        <w:rPr>
          <w:rFonts w:ascii="Arial" w:cs="Arial" w:eastAsia="Arial" w:hAnsi="Arial"/>
          <w:sz w:val="23"/>
          <w:szCs w:val="23"/>
          <w:color w:val="auto"/>
          <w:vertAlign w:val="subscript"/>
        </w:rPr>
        <w:t>2.5</w:t>
      </w:r>
      <w:r>
        <w:rPr>
          <w:rFonts w:ascii="Arial" w:cs="Arial" w:eastAsia="Arial" w:hAnsi="Arial"/>
          <w:sz w:val="17"/>
          <w:szCs w:val="17"/>
          <w:color w:val="auto"/>
        </w:rPr>
        <w:t>) or soot. Either of these regulations could have a material</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impact on our gypsum wallboard business, if areas in or surrounding our operations receive nonattainment designations, or if the EPA chooses to revise and lower the current ozone NAAQS.</w:t>
      </w:r>
    </w:p>
    <w:p>
      <w:pPr>
        <w:spacing w:after="0" w:line="64"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i w:val="1"/>
          <w:iCs w:val="1"/>
          <w:color w:val="auto"/>
        </w:rPr>
        <w:t xml:space="preserve">Potential Greenhouse Gas Regulation </w:t>
      </w:r>
      <w:r>
        <w:rPr>
          <w:rFonts w:ascii="Arial" w:cs="Arial" w:eastAsia="Arial" w:hAnsi="Arial"/>
          <w:sz w:val="18"/>
          <w:szCs w:val="18"/>
          <w:color w:val="auto"/>
        </w:rPr>
        <w:t>– Although our Gypsum Wallboard operations could be adversely affected by federal, regional,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climate change initiatives, at this time, it is not possible to accurately estimate how future laws or regulations addressing GHG emissions would impact our business. However, any imposition of raw materials or production limitations, fuel-use or carbon taxes, or emission limitations or reductions could have a significant impact on the gypsum wallboard manufacturing industry and a material adverse effect on the financial results of our operations.</w:t>
      </w:r>
    </w:p>
    <w:p>
      <w:pPr>
        <w:spacing w:after="0" w:line="6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There were $1.1 million of capital expenditures related to compliance with environmental regulations applicable to our Gypsum Wallboard operations during fiscal 2026. We anticipate spending $0.1 million during fiscal 2027.</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85B271"/>
        </w:rPr>
        <w:t>RECYCLED PAPERBOARD</w:t>
      </w:r>
    </w:p>
    <w:p>
      <w:pPr>
        <w:spacing w:after="0" w:line="104"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Recycled Paperboard manufacturing operation, which we refer to as Republic Paperboard Company, is located in Lawton, Oklahoma and has a technologically advanced paper machine designed primarily for gypsum liner production using 100% recycled paper. The paper’s uniform cross-directional strength and finish characteristics facilitate the efficiencies of new high-speed wallboard manufacturing lines and improve the efficiencies of the slower wallboard manufacturing lines. Although the machine was designed primarily to manufacture gypsum liner products, we are also able to manufacture several alternative products, including containerboard grades and lightweight packaging grades. We currently estimate the annual capacity of our paper mill to be approximately 380,000 tons.</w:t>
      </w:r>
    </w:p>
    <w:p>
      <w:pPr>
        <w:spacing w:after="0" w:line="7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paper machine allows the Recycled Paperboard operation to manufacture high-strength gypsum liner that we believe is lighter in basis weight than what is generally available in the U.S. The low-basis weight product uses less recycled fiber to produce paper that, in turn, requires less energy (natural gas) to evaporate moisture from the board during the gypsum wallboard manufacturing process. The low-basis weight paper also reduces the overall finished board weight, giving our Gypsum Wallboard operations more competitive transportation costs for both the inbound and outbound segments.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85B271"/>
        </w:rPr>
        <w:t>Demand, Sales, and Distribution</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manufactured recycled paperboard products are sold to gypsum wallboard manufacturers and other industrial users. During fiscal 2026, approximately 40% of the recycled paperboard sold by our paper mill was consumed by the Company’s Gypsum Wallboard manufacturing operations. We have contracts with two other gypsum wallboard manufacturers that continue until either party gives two to three years advance notice of termination. These two contracts represent approximately 50% of our total segment revenue, with most of the remaining 10% of volume shipped to other gypsum wallboard manufacturers. The loss of any of these contracts or the termination or reduction of their current production of gypsum wallboard, unless replaced by a commercially similar arrangement, could have a material adverse effect on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5B271"/>
        </w:rPr>
        <w:t>Raw Materials and Fuel Supplies</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principal raw materials in recycled paperboard are recycled paper fiber (recovered wastepaper), water, and specialty paper chemicals. The largest wastepaper source used by the operation is old corrugated containers (known as OCC). A blend of high grades (white paper grades consisting of both printed and unprinted papers such as news blank, manifold white ledger, and other paper grades) is also used in the production of gypsum liner facing paper.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an adequate supply of recycled paper fiber will continue to be available from sources located in reasonable proximity to the paper mill. Although we have the capability to receive rail shipments, the vast majority of the recycled fiber we purchase is delivered via truck. Prices are subject to market fluctuations based on generation of material (supply), demand, and the presence of the export market. Fiber pricing, on average, was lower in fiscal 2026 than in fiscal 2025. Fiber prices are subject to change upon short notice due to factors outside of our control. Current gypsum liner customer contracts include price escalators that partially offset and compensate for changes in raw material fiber prices. The chemicals used in the paper-making operation, including size, retention aids, biocides, and sheet-strength additives, are available from several manufacturers at competitive prices.</w:t>
      </w:r>
    </w:p>
    <w:p>
      <w:pPr>
        <w:spacing w:after="0" w:line="7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production of recycled paperboard involves the use of large volumes of water. We have an agreement with the City of Lawton municipal services to supply water to our manufacturing facility for the next 15 years, and we are improving our ability to recirculate our used water, which should significantly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reduce our consumption of fresh water. Electricity, natural gas, and other utilities are available to us at either contracted rates or standard industrial rates in adequate supplies. These utilities are subject to standard industrial curtailment provisions.</w:t>
      </w:r>
    </w:p>
    <w:p>
      <w:pPr>
        <w:spacing w:after="0" w:line="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Paperboard operations are generally large consumers of energy, mostly natural gas and electricity. Electricity is supplied to the paper mill by Public Service of Oklahoma (PSO), and they have requested a rate increase for fiscal 2027. Oklahoma is a regulated state for electricity services, and all rate change requests must be presented to the Oklahoma Corporation Commission for review and approval before implementation. At this time, we are unable to estimate how much of the increase will be granted by the Oklahoma Corporation Commission. PSO has been moving its fuel source dependency to natural gas and investing in wind energy, which could affect our electricity rates in future years. Natural gas costs in fiscal 2026 were similar to those in fiscal 2025, and they are subject to change upon short notice due to factors beyond our control. We use forward purchase contracts to manage our exposure to future price changes.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85B271"/>
        </w:rPr>
        <w:t>Environmental Matters</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did not have any capital expenditures related to compliance with environmental regulations applicable to our Recycled Paperboard operations during fiscal 2026, and we do not anticipate any capital expenditures related to compliance with environmental regulations during fiscal 2027.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WHERE YOU CAN FIND MORE INFORMATION</w:t>
      </w:r>
    </w:p>
    <w:p>
      <w:pPr>
        <w:spacing w:after="0" w:line="10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 xml:space="preserve">We publish our annual reports on Form 10-K and Form DEF 14A, Annual Proxy Statement; our quarterly reports on Form 10-Q; and current reports on Form 8-K. These reports, along with all amendments to them, are available free of charge through the Investor Relations page of our website, </w:t>
      </w:r>
      <w:r>
        <w:rPr>
          <w:rFonts w:ascii="Arial" w:cs="Arial" w:eastAsia="Arial" w:hAnsi="Arial"/>
          <w:sz w:val="18"/>
          <w:szCs w:val="18"/>
          <w:i w:val="1"/>
          <w:iCs w:val="1"/>
          <w:color w:val="auto"/>
        </w:rPr>
        <w:t>eaglematerials.com</w:t>
      </w:r>
      <w:r>
        <w:rPr>
          <w:rFonts w:ascii="Arial" w:cs="Arial" w:eastAsia="Arial" w:hAnsi="Arial"/>
          <w:sz w:val="18"/>
          <w:szCs w:val="18"/>
          <w:color w:val="auto"/>
        </w:rPr>
        <w:t xml:space="preserve"> as soon as reasonably practicable after they are filed with or furnished to the Securities and Exchange Commission (SEC).</w:t>
      </w:r>
    </w:p>
    <w:p>
      <w:pPr>
        <w:spacing w:after="0" w:line="6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The Company also has a Code of Ethics, Human Rights Policy, Code of Vendor Conduct, and Occupational Health and Safety Policy, which can be accessed on our website, as well. Our Corporate Governance Guidelines and Stock Ownership Guidelines, as well as the charters for the Audit; Compensation; and Corporate Governance, Nominating and Sustainability Committees of the Board are also available on our website. All of these Corporate Governance and Board Committee Charter documents are available at </w:t>
      </w:r>
      <w:r>
        <w:rPr>
          <w:rFonts w:ascii="Arial" w:cs="Arial" w:eastAsia="Arial" w:hAnsi="Arial"/>
          <w:sz w:val="18"/>
          <w:szCs w:val="18"/>
          <w:i w:val="1"/>
          <w:iCs w:val="1"/>
          <w:color w:val="auto"/>
        </w:rPr>
        <w:t>ir.eaglematerials.com/corporate-governance</w:t>
      </w:r>
      <w:r>
        <w:rPr>
          <w:rFonts w:ascii="Arial" w:cs="Arial" w:eastAsia="Arial" w:hAnsi="Arial"/>
          <w:sz w:val="18"/>
          <w:szCs w:val="18"/>
          <w:color w:val="auto"/>
        </w:rPr>
        <w:t>. Our Sustainability Report is available at</w:t>
      </w:r>
      <w:r>
        <w:rPr>
          <w:rFonts w:ascii="Arial" w:cs="Arial" w:eastAsia="Arial" w:hAnsi="Arial"/>
          <w:sz w:val="18"/>
          <w:szCs w:val="18"/>
          <w:i w:val="1"/>
          <w:iCs w:val="1"/>
          <w:color w:val="auto"/>
        </w:rPr>
        <w:t xml:space="preserve"> eaglematerials.com</w:t>
      </w:r>
      <w:r>
        <w:rPr>
          <w:rFonts w:ascii="Arial" w:cs="Arial" w:eastAsia="Arial" w:hAnsi="Arial"/>
          <w:sz w:val="18"/>
          <w:szCs w:val="18"/>
          <w:color w:val="auto"/>
        </w:rPr>
        <w:t>.</w:t>
      </w:r>
    </w:p>
    <w:p>
      <w:pPr>
        <w:spacing w:after="0" w:line="6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These references to our website are intended solely to inform investors where they may obtain additional information; the materials and other information presented on our website are not incorporated in and should not otherwise be considered part of this Report. Additionally, investors may obtain information by contacting our Investor Relations department directly at (214) 432-2000 or by writing to Eagle Materials Inc., Investor Relations, 5960 Berkshire Lane, Suite 900, Dallas, Texas 75225.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8"/>
          <w:szCs w:val="18"/>
          <w:color w:val="004483"/>
        </w:rPr>
        <w:t>The foregoing discussion of our business and operations should be read together with the risk factors set forth below. They describe various risks and uncertainties to which we are or may become subject, many of which are outside of our control. These risks and uncertainties have affected, or may in the future affect, our business, operations, financial condition, and results of operations in a material and adverse manner. Some statements in the following risk factors constitute forward-looking statements. For more information, please see “Forward-Looking Statements” in Item 7. Management’s Discussion and Analysis of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INDUSTRY RISK FACTORS</w:t>
      </w:r>
    </w:p>
    <w:p>
      <w:pPr>
        <w:spacing w:after="0" w:line="96"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i w:val="1"/>
          <w:iCs w:val="1"/>
          <w:color w:val="004483"/>
        </w:rPr>
        <w:t>We are affected by the level of demand in the construction industry and are dependent on funding by federal, state and local governments.</w:t>
      </w:r>
    </w:p>
    <w:p>
      <w:pPr>
        <w:spacing w:after="0" w:line="5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Demand for our construction products and building materials is directly related to the level of activity in the construction industry, which includes residential, commercial, and infrastructure construction. Our products are used in a variety of public infrastructure projects that are funded and financed by federal, state, and local governments, including public construction projects to build, expand and repair roads and highways. Our products are also essential to commercial and residential construction.</w:t>
      </w:r>
    </w:p>
    <w:p>
      <w:pPr>
        <w:spacing w:after="0" w:line="26" w:lineRule="exact"/>
        <w:rPr>
          <w:sz w:val="20"/>
          <w:szCs w:val="20"/>
          <w:color w:val="auto"/>
        </w:rPr>
      </w:pPr>
    </w:p>
    <w:p>
      <w:pPr>
        <w:spacing w:after="0" w:line="215" w:lineRule="exact"/>
        <w:rPr>
          <w:sz w:val="20"/>
          <w:szCs w:val="20"/>
          <w:color w:val="auto"/>
        </w:rPr>
      </w:pPr>
      <w:r>
        <w:rPr>
          <w:rFonts w:ascii="Arial" w:cs="Arial" w:eastAsia="Arial" w:hAnsi="Arial"/>
          <w:sz w:val="18"/>
          <w:szCs w:val="18"/>
          <w:color w:val="auto"/>
        </w:rPr>
        <w:t>A significant portion of our revenue is generated from publicly</w:t>
      </w:r>
      <w:r>
        <w:rPr>
          <w:rFonts w:ascii="MS PGothic" w:cs="MS PGothic" w:eastAsia="MS PGothic" w:hAnsi="MS PGothic"/>
          <w:sz w:val="18"/>
          <w:szCs w:val="18"/>
          <w:color w:val="auto"/>
        </w:rPr>
        <w:t>‑</w:t>
      </w:r>
      <w:r>
        <w:rPr>
          <w:rFonts w:ascii="Arial" w:cs="Arial" w:eastAsia="Arial" w:hAnsi="Arial"/>
          <w:sz w:val="18"/>
          <w:szCs w:val="18"/>
          <w:color w:val="auto"/>
        </w:rPr>
        <w:t>funded construction projects. Under U.S. law, annual funding levels for highways is subject to yearly appropriation reviews. The uncertainties associated with these reviews or other factors could result in states being reluctant to undertake large multi-year highway projects. In general, there can be no assurance as to the amount and timing of appropriations for spending on federal, state, or local projects. A government shutdown, and other similar budgetary impasses or reductions, may contribute to uncertainty regarding government spending and may have adverse effects on the economy. Any decrease in the amount of government funds available for such projects could have a material adverse effect on our business, financial condition, and results of operations.</w:t>
      </w:r>
    </w:p>
    <w:p>
      <w:pPr>
        <w:spacing w:after="0" w:line="7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strength of the construction industry is also substantially affected by macroeconomic and other factors beyond our control. For example, previous rises in inflation and interest rates have negatively affected the construction industry by, among other things, increasing material costs and decreasing demand for some construction products. While we cannot predict the extent to which inflation or interest rates will fluctuate, any increases could result in a reduction in residential or commercial activity, which could have a material adverse effect on our business, financial condition, and results of operations. In addition, demand for our products sold to the residential and commercial construction industries could decline if our customers cannot obtain funding for construction projects or if the costs of obtaining such funding increase, or due to other market factors such as labor shortages and supply chain issues.</w:t>
      </w:r>
    </w:p>
    <w:p>
      <w:pPr>
        <w:spacing w:after="0" w:line="74"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i w:val="1"/>
          <w:iCs w:val="1"/>
          <w:color w:val="004483"/>
        </w:rPr>
        <w:t>Our business is seasonal and subject to the risk of unfavorable weather conditions, as well as other unexpected operational difficulties, which could have a material adverse effect on us.</w:t>
      </w:r>
    </w:p>
    <w:p>
      <w:pPr>
        <w:spacing w:after="0" w:line="5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Unfavorable weather conditions, such as snow, cold weather, tornadoes, hurricanes, tropical storms, and heavy or sustained rainfall or flooding, can reduce construction activity and adversely affect demand for construction products. In addition, severe weather conditions can impair our ability to continue our operations, and even require the closure of certain of our facilities on a temporary or extended basis. Weather conditions also have the potential to increase our costs (including the cost of natural gas and electric power), reduce our production, or impede our ability to transport our products in an efficient and cost-effective manner.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5" w:lineRule="exact"/>
        <w:rPr>
          <w:sz w:val="20"/>
          <w:szCs w:val="20"/>
          <w:color w:val="auto"/>
        </w:rPr>
      </w:pPr>
    </w:p>
    <w:p>
      <w:pPr>
        <w:ind w:right="760"/>
        <w:spacing w:after="0" w:line="253" w:lineRule="auto"/>
        <w:rPr>
          <w:sz w:val="20"/>
          <w:szCs w:val="20"/>
          <w:color w:val="auto"/>
        </w:rPr>
      </w:pPr>
      <w:r>
        <w:rPr>
          <w:rFonts w:ascii="Arial" w:cs="Arial" w:eastAsia="Arial" w:hAnsi="Arial"/>
          <w:sz w:val="18"/>
          <w:szCs w:val="18"/>
          <w:color w:val="auto"/>
        </w:rPr>
        <w:t>Similarly, operational difficulties, such as those resulting from required maintenance, capital improvement projects, loss of power, or pandemics, epidemics, or other public health emergencies can interrupt our business activities, increase our costs and reduce our production.</w:t>
      </w:r>
    </w:p>
    <w:p>
      <w:pPr>
        <w:spacing w:after="0" w:line="6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A majority of our business is seasonal with peak revenue and profits occurring primarily in the months of April through November when the weather in our markets tends to be more favorable for construction activity. Therefore, the effect of these risks can be more pronounced during these months, during which any reduction in demand or production could have a disproportionately large effect on our sales and operating profits. Quarterly results have varied significantly in the past and are likely to vary significantly in the future. Such variations could have a negative impact on our results of operations and the price of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and our customers participate in cyclical industries and regional markets, which are subject to industry downturns.</w:t>
      </w:r>
    </w:p>
    <w:p>
      <w:pPr>
        <w:spacing w:after="0" w:line="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majority of our revenue is from customers who are in industries and businesses that are cyclical in nature and subject to changes in general economic conditions. For example, many of our customers operate in the construction industry, which is affected by a variety of factors, such as general economic conditions, the availability of credit, changes in interest rates, demographic and population shifts, levels of infrastructure spending, consumer confidence, demands, and preferences, and other factors beyond our control. In addition, since our operations are in a variety of geographic markets, our businesses are subject to differing economic conditions in each such geographic market. Economic downturns in the industries to which we sell our products or localized downturns in the regions where we have operations generally have an adverse effect on demand for our products and negatively affect the collectability of our receivables. In general, any downturns in these industries or regions could have a material adverse effect on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Many of our products are commodities, which are subject to significant changes in supply and demand and price fluctuations.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Many of the products sold by us are commodities, and competition among manufacturers is based largely on price. Prices are often subject to material changes in response to relatively minor fluctuations in supply and demand, general economic conditions, and other market conditions beyond our control. Increases in the production capacity of industry participants for products such as gypsum wallboard or cement (including in connection with the increased use of Limestone Cement) or increases in cement imports tend to create an oversupply of such products leading to an imbalance between supply and demand, which can have a negative impact on product prices. Currently, there continues to be significant excess nameplate capacity in the gypsum wallboard industry in the United States. There can be no assurance that prices for products sold by us will not decline in the future or that such declines will not have a material adverse effect on our business, financial condition, and results of operations.</w:t>
      </w:r>
    </w:p>
    <w:p>
      <w:pPr>
        <w:spacing w:after="0" w:line="69"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i w:val="1"/>
          <w:iCs w:val="1"/>
          <w:color w:val="004483"/>
        </w:rPr>
        <w:t>Our businesses operate in highly competitive industries, which contain many competitors and competition from alternative products.</w:t>
      </w:r>
    </w:p>
    <w:p>
      <w:pPr>
        <w:spacing w:after="0" w:line="50"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Our businesses have many domestic and international competitors, some of which are bigger and have more resources than we do. Our results of operations in a particular market are affected by the number of competitors in a market, the production capacity that such market can accommodate, the pricing practices of other competitors, and the entry of new competitors in a market. We also face competition for some of our products from alternative products, new product technologies, modified production and distribution processes, and alternative business models. For example, in the case of alternative products and new product technologies, efforts are underway by our existing competitors and new entrants to, among other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things, increase the usage of cement substitutes (including silicate minerals and calcinated clay) in the production of cement. Our Concrete and Aggregates segment competes with recycled concrete products that can be used in certain applications instead of new products, and our cement operations compete with competitors who import products into the United States from jurisdictions with lower production and regulatory costs. In general, we operate in a competitive market and any significant increase in competition or unfavorable change in competitive circumstances could lead to lower prices or lower sales volumes, which could adversely affect our business, financial condition,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ECONOMIC, POLITICAL, AND LEGAL RISK FACTORS</w:t>
      </w:r>
    </w:p>
    <w:p>
      <w:pPr>
        <w:spacing w:after="0" w:line="9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i w:val="1"/>
          <w:iCs w:val="1"/>
          <w:color w:val="004483"/>
        </w:rPr>
        <w:t>Our and our customers’ operations are subject to extensive governmental regulation, including environmental, health, and safety laws, which can be costly and burdensome.</w:t>
      </w:r>
    </w:p>
    <w:p>
      <w:pPr>
        <w:spacing w:after="0" w:line="5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operations and those of our customers are subject to and affected by federal, state, and local laws and regulations with respect to a wide range of matters, including land usage, street and highway usage, noise level, as well as environmental, health and safety matters. In many instances, various certificates, permits, or licenses are required for us or our customers to conduct business or carry out construction and related operations. Although we believe we are in compliance in all material respects with applicable regulatory requirements, there can be no assurance that we will not incur material costs or liabilities in seeking to comply with existing or new laws or regulations, or that demand for our products will not be adversely affected by regulatory issues affecting our customers.</w:t>
      </w:r>
    </w:p>
    <w:p>
      <w:pPr>
        <w:spacing w:after="0" w:line="7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operations are subject to certain federal environmental regulations, including those discussed above in “Environmental Matters” in the Cement and Gypsum Wallboard sections. These regulations include the CISWI Rule which applies to one of our facilities' kilns; certain permitting and control requirements for operations in states that contain at least one “area” that was designated as being in nonattainment for the 2015 ozone NAAQS; interstate transport requirements for the 2015 ozone NAAQS under the Good Neighbor Plan; and potential additional permitting and control requirements to address more stringent standards under the revised PM</w:t>
      </w:r>
      <w:r>
        <w:rPr>
          <w:rFonts w:ascii="Arial" w:cs="Arial" w:eastAsia="Arial" w:hAnsi="Arial"/>
          <w:sz w:val="23"/>
          <w:szCs w:val="23"/>
          <w:color w:val="auto"/>
          <w:vertAlign w:val="subscript"/>
        </w:rPr>
        <w:t>2.5</w:t>
      </w:r>
      <w:r>
        <w:rPr>
          <w:rFonts w:ascii="Arial" w:cs="Arial" w:eastAsia="Arial" w:hAnsi="Arial"/>
          <w:sz w:val="17"/>
          <w:szCs w:val="17"/>
          <w:color w:val="auto"/>
        </w:rPr>
        <w:t xml:space="preserve"> NAAQS. Requirements under the</w:t>
      </w:r>
    </w:p>
    <w:p>
      <w:pPr>
        <w:spacing w:after="0" w:line="2"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Good Neighbor Plan are currently stayed, and the EPA has indicated its intent to reconsider requirements in both the Good Neighbor plan and underlying SIP disapprovals for certain states in which we operate. Nevertheless, we may ultimately be required to meet new control requirements in our facilities in these states, which may require significant capital expenditures for compliance and may cause us to incur additional operating costs or to modify or curtail the nature and scope of our operations at such facilities to meet our regulatory obligations. The EPA has also indicated its intent to reconsider requirements in the revised PM</w:t>
      </w:r>
      <w:r>
        <w:rPr>
          <w:rFonts w:ascii="Arial" w:cs="Arial" w:eastAsia="Arial" w:hAnsi="Arial"/>
          <w:sz w:val="24"/>
          <w:szCs w:val="24"/>
          <w:color w:val="auto"/>
          <w:vertAlign w:val="subscript"/>
        </w:rPr>
        <w:t>2.5</w:t>
      </w:r>
      <w:r>
        <w:rPr>
          <w:rFonts w:ascii="Arial" w:cs="Arial" w:eastAsia="Arial" w:hAnsi="Arial"/>
          <w:sz w:val="18"/>
          <w:szCs w:val="18"/>
          <w:color w:val="auto"/>
        </w:rPr>
        <w:t xml:space="preserve"> NAAQS; however, the timing for any reconsideration</w:t>
      </w:r>
    </w:p>
    <w:p>
      <w:pPr>
        <w:spacing w:after="0" w:line="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action is uncertain, and we may ultimately be similarly impacted by these requirements. For further information regarding these matters, please refer to Item 1. Business - Industry Segment Information. We have incurred, and in the future expect to incur, significant capital and operating expenditures to comply with such laws and regulations. The cost of complying with such laws and regulations could significantly affect our businesses.</w:t>
      </w:r>
    </w:p>
    <w:p>
      <w:pPr>
        <w:spacing w:after="0" w:line="72"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Manufacturing and construction sites are inherently dangerous workplaces. Our manufacturing sites often put our employees and others in proximity to kilns and other large pieces of mechanized equipment, moving vehicles, chemical, and manufacturing processes and expose them to other potential safety hazards. We endeavor to maintain a safe work environment at all our facilities and take steps to preserve the health and safety of our workforce. There can be no assurance, however, that these measures will be successful in preventing injuries or violations of health and safety laws and regulations. Any failure to maintain safe work sites or violations of applicable health and safety standards and laws could have a material adverse effect on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In addition to the existing regulatory risks we face, future developments, such as the discovery of new facts or conditions, the enactment or adoption of new or stricter laws or regulations, or stricter interpretations of existing laws or regulations, may impose new liabilities on us, require additional investment by us, or prevent us from opening, expanding, or modifying plants or facilities, any of which could have a material adverse effect on our business, financial condition or results of operations.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004483"/>
        </w:rPr>
        <w:t>Climate change and climate change legislation or regulations may adversely affect our business, including potential physical and financial impacts.</w:t>
      </w:r>
    </w:p>
    <w:p>
      <w:pPr>
        <w:spacing w:after="0" w:line="50"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The effects of climate change and legislation and regulation concerning GHGs could have a material adverse effect on our financial condition, results of operations, and liquidity.</w:t>
      </w:r>
    </w:p>
    <w:p>
      <w:pPr>
        <w:spacing w:after="0" w:line="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 number of governmental bodies have finalized, proposed, or are contemplating legislative and regulatory changes in response to the potential effects of climate change. Such legislation or regulation has and potentially could include provisions for a “cap and trade” system of allowances and credits or a carbon tax, among other provisions. Any future laws or regulations restricting GHG emissions would likely affect our cement plants and wallboard plants and negatively impact on our business and results of operations, whether through the imposition of raw material or production limitations, fuel-use, or carbon taxes, emission limitations or reductions, or otherwise. In addition, we may not be able to recover any increased operating costs, taxes or capital investments relating to GHG emission limitations at those plants from our customers while still maintaining pricing that is competitive in the relevant markets. There is also a potential for climate change legislation and regulation to adversely affect the cost of purchased energy and electricity.</w:t>
      </w:r>
    </w:p>
    <w:p>
      <w:pPr>
        <w:spacing w:after="0" w:line="72"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The effects of future climate change legislation and regulation concerning GHGs are highly uncertain and difficult to estimate. However, because a chemical reaction inherent to the manufacture of cement releases carbon dioxide, a GHG, cement kiln operations may be disproportionately affected by future regulation of GHGs. Accordingly, we continue to closely monitor GHG regulations and legislation for potential impact on our Cement business.</w:t>
      </w:r>
    </w:p>
    <w:p>
      <w:pPr>
        <w:spacing w:after="0" w:line="6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Climate change may impact our operations, including through physical effects such as disruption in production and product distribution as a result of major storm events and shifts in regional weather patterns and intensities. Production and shipment levels for our businesses correlate with general construction activity, most of which occurs outdoors and, as a result, is affected by erratic weather patterns, seasonal changes, and other unusual or unexpected weather-related conditions, which can significantly affect our business, financial condition and results of operations.</w:t>
      </w:r>
    </w:p>
    <w:p>
      <w:pPr>
        <w:spacing w:after="0" w:line="6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may communicate certain initiatives and goals regarding GHGs and related matters in our SEC filings or in other public disclosures. Our initiatives and goals regarding GHGs and potential related disclosure requirements, together with the associated controls and procedures that we will need to implement, may be difficult and expensive and a source of future claims against us. Further, to the extent we elect to make statements about our GHG-related initiatives and goals, and progress towards these goals, these statements may be based on standards for measuring progress that are still developing, internal controls and processes that continue to evolve, and assumptions that are subject to change in the future. If our GHG-related data, processes and reporting are inaccurate or incomplete, or if we fail to achieve progress with respect to these goals or initiatives on a timely basis or at all, we could be subject to liability for inaccurate, incomplete, or misleading statements, and our operations and financial performance could be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Regulatory, stakeholder, and sustainability matters and our response to these matters could negatively affect our business.</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are subject to governmental, stakeholder, and societal attention regarding climate change, air emissions, waste management, water management, community engagement, human rights, labor conditions, sustainability and efficiency, health and safety, and information disclosure. Such attention may result in our business facing adverse reputational risks, may alter the environment in which we do business, may increase our ongoing costs of operations, compliance, assessment, and reporting and may adversely affect our business, financial condition, results of operations, and liquidity. We communicate certain initiatives and goals regarding sustainability matters in our SEC filings and in other public disclosures. Statements about these initiatives and goals, and progress against these goals, may be based on standards for measuring progress that are still developing, internal controls and processes that continue to evolve, and assumptions that are subject to change, and we may revise such initiatives and goals in the future. Non-compliance with, or a failure to address, the regulatory, stakeholder, and societal expectations regarding these matters (and accompanying emerging regulation and policy requirements (and related interpretations)) may result in potential cost increases, fines, penalties, production restrictions, brand or reputational damage, loss of customers, failure to retain and attract talent, and investor activism.</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004483"/>
        </w:rPr>
        <w:t>Changes in U.S. Trade Policy, including tariffs and other trade restrictions, could have a material adverse effect on our business, financial position, or results of operations.</w:t>
      </w:r>
    </w:p>
    <w:p>
      <w:pPr>
        <w:spacing w:after="0" w:line="5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United States government has made and may continue to make changes in trade policy. These changes include renegotiating and terminating certain existing bilateral or multi-lateral trade agreements, and initiating substantial new or increased tariffs on foreign imports into the United States from a variety of countries and regions. These changes in trade policy (and any countermeasures adopted in response by foreign governments) could impact demand for our products, our costs, our customers, our suppliers, our ability to source materials and equipment economically and the U.S. economy, which in turn could have a material adverse effect on our business, financial condition, liquidity, and results of operations.</w:t>
      </w:r>
    </w:p>
    <w:p>
      <w:pPr>
        <w:spacing w:after="0" w:line="68"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i w:val="1"/>
          <w:iCs w:val="1"/>
          <w:color w:val="004483"/>
        </w:rPr>
        <w:t>We may become subject to significant cleanup, remediation, reclamation, and other liabilities under applicable environmental laws.</w:t>
      </w:r>
    </w:p>
    <w:p>
      <w:pPr>
        <w:spacing w:after="0" w:line="5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operations are subject to state, federal, and local environmental laws and regulations, which, in some cases, impose strict liability for cleanup or remediation of environmental pollution and hazardous waste regardless of negligence or fault and expose us to liability for the conduct of others or for our actions, even if such actions complied with all applicable laws at the time these actions were taken. These laws and regulations also require pollution control and prevention, site restoration, reclamation, and operating permits, and/or approvals to conduct certain of our operations or expand or modify our facilities. These laws and regulations may also expose us to liability for claims of personal injury or property or natural resources damage related to alleged exposure to, or releases of, regulated or hazardous materials. Certain of our operations may from time to time involve the use of substances that are classified as toxic or hazardous substances within the meaning of these laws and regulations. We are unable to estimate accurately the impact on our business or results of operations of any such law or regulation at this time. Risk of environmental liability (including the incurrence of fines, penalties, other sanctions, or litigation liability) is inherent in the operation of our businesses. As a result, it is possible that environmental liabilities and compliance with environmental regulations could have a material adverse effect on our operations in the future.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2"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i w:val="1"/>
          <w:iCs w:val="1"/>
          <w:color w:val="004483"/>
        </w:rPr>
        <w:t>Our operations are dependent on our rights and ability to mine our properties and on our having renewed or received the required permits and approvals from governmental authorities and other third parties.</w:t>
      </w:r>
    </w:p>
    <w:p>
      <w:pPr>
        <w:spacing w:after="0" w:line="5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hold numerous governmental, environmental, mining, and other permits, water rights, and approvals authorizing operations at many of our facilities. A decision by a governmental agency or other third parties to deny or delay issuing a new or renewed permit or approval, or to revoke or substantially modify an existing permit or approval, could have a material adverse effect on our ability to continue operations at the affected facility. Expansion of our existing operations is also predicated on securing the necessary environmental or other permits, water rights, or approvals, which we may not receive in a timely manner or at all.</w:t>
      </w:r>
    </w:p>
    <w:p>
      <w:pPr>
        <w:spacing w:after="0" w:line="6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Title to, and the area of, mineral properties and water rights may also be disputed. Mineral properties sometimes contain claims or transfer histories that examiners cannot verify. A successful claim that we do not have title to one or more of our properties or lack appropriate water rights could cause us to lose any rights to explore, develop, and extract any minerals or utilize water on that property, without compensation for our prior expenditures relating to such property. Our business may suffer a material adverse effect in the event one or more of our properties are determined to have title deficiencies.</w:t>
      </w:r>
    </w:p>
    <w:p>
      <w:pPr>
        <w:spacing w:after="0" w:line="68"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In some instances, we have received access rights or easements from third parties, which allow for a more efficient operation than would exist without the access or easement. A third party could take action to suspend such access or easement, and any such action could be materially adverse to our results of operations or financial conditions.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may incur significant costs in connection with pending and future litigation.</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or may become, party to various lawsuits, claims, investigations, and proceedings, including but not limited to personal injury, environmental, antitrust, tax, asbestos, property entitlements and land use, intellectual property, commercial, contract, product liability, health and safety, and employment matters. The outcome of pending or future lawsuits, claims, investigations, or proceedings is often difficult to predict and could be adverse and require the payment of damages that are material in amount or require changes to the nature and scope of our operations. Developments in these proceedings can lead to changes in management’s estimates of liabilities associated with these proceedings, including as a result of rulings or judgments by a judge, agency, or arbitrator, settlements, or changes in applicable law. A future adverse ruling, settlement, or unfavorable development could have a material adverse effect on our results of operations and cash flows in a particular period. In addition, the defense of these lawsuits, claims, investigations, and proceedings may divert our management’s attention from operating and managing our businesses, and we may incur significant costs in defending these matters.</w:t>
      </w:r>
    </w:p>
    <w:p>
      <w:pPr>
        <w:spacing w:after="0" w:line="73"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i w:val="1"/>
          <w:iCs w:val="1"/>
          <w:color w:val="004483"/>
        </w:rPr>
        <w:t>Although we maintain insurance coverage against various risk, this coverage may not be adequate or protect us against the relevant risks.</w:t>
      </w:r>
    </w:p>
    <w:p>
      <w:pPr>
        <w:spacing w:after="0" w:line="5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maintain insurance coverage in amounts and against insurable risks that we believe are consistent with industry practice, but this insurance may not be adequate to cover all losses or liabilities we may incur in our operations. Our insurance policies are subject to a number of exclusions and varying levels of deductibles and coverage limits. In general, liabilities subject to insurance are difficult to estimate due to unknown factors, including the severity of an injury, the determination of our liability in proportion to other parties, the number of incidents not reported, and the effectiveness of our safety programs. If we were to experience insurance claims or costs above our estimates, our financial condition, results of operations and liquidity could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CYBER RISK FACTORS</w:t>
      </w:r>
    </w:p>
    <w:p>
      <w:pPr>
        <w:spacing w:after="0" w:line="96"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i w:val="1"/>
          <w:iCs w:val="1"/>
          <w:color w:val="004483"/>
        </w:rPr>
        <w:t>We are dependent on information technology. A disruption, cyber attack or data security breach affecting our information technology systems may negatively affect our businesses, financial condition, and operating results.</w:t>
      </w:r>
    </w:p>
    <w:p>
      <w:pPr>
        <w:spacing w:after="0" w:line="5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operations rely on information technology systems and the secure processing, storage, and transmission of confidential, sensitive, proprietary, and other types of information relating to our business operations. We also rely on confidential and sensitive information about our customers and employees, which is maintained both in our computer systems and networks, and in the computer systems and networks of our third-party vendors. Any significant breakdown, invasion, destruction, outage, disruption or interruption of our systems could negatively affect operations. Cyber threats are rapidly evolving as data thieves and hackers have become increasingly sophisticated, including an increasing use of artificial intelligence, and carry out direct large-scale, complex automated attacks against a company or through vendor software supply chain compromises. We are not able to anticipate or prevent all such breakdowns, invasions, destructions, outages, disruptions, interruptions, and attacks and could be held liable for any resulting material security breach or data loss. Additionally, it is not always possible to foresee or prevent internal issues, such as human error, or malicious acts or misconduct by employees or third-party vendors. There are also significant risks related to the use of remote networking services and technologies that enable remote work.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Any breaches of our technology systems, or those of our vendors and customers, whether from circumvention of security systems, denial-of-service attacks or other cyber-attacks, hacking, “phishing”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or such vendors’ and customers’ websites, applications, data processing and certain products and services, or disruption of other business operations. Furthermore, any such breaches could compromise the confidentiality and integrity of material information held by us (including information about our business, employees, or customers), as well as sensitive personally identifiable information, the disclosure of which could lead to identity theft. Any measures that we take to avoid, detect, mitigate, or recover from material incidents, may be insufficient, circumvented, or may become ineffective.</w:t>
      </w:r>
    </w:p>
    <w:p>
      <w:pPr>
        <w:spacing w:after="0" w:line="7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invested and continue to invest in risk management and information security and data privacy measures in order to protect our systems and data, including employee training, organizational investments, incident response plans, tabletop exercises, and technical defenses. The cost and operational consequences of implementing, maintaining, and enhancing further data or system safeguards could increase significantly to keep pace with increasingly frequent, complex, and sophisticated global cyber threats. Although we have disaster recovery plans in case of incidents that could cause major disruptions to our business and believe we have taken adequate measures to protect against data breaches and system disruptions, these measures may not be sufficient, and we are not able to anticipate or prevent all such risks. Any material breaches of cybersecurity, including the accidental loss, inadvertent disclosure, or unapproved dissemination of proprietary information or sensitive or confidential data, or media reports of perceived security vulnerabilities to our systems, products, and services or those of our third parties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 The report, rumor, or assumption regarding a potential breach may have similar results, even if no breach has been attempted or occurred. Any of the foregoing may have a material adverse effect on our business, operating results, and financial condition. In addition, laws and regulations governing cybersecurity, data privacy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protection, and the unauthorized disclosure of confidential or protected information pose increasingly complex compliance challenges and potentially elevate costs, and any failure to comply with these laws and regulations could result in significant penalties and legal liability.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FINANCIAL AND OPERATIONAL RISK FACTORS</w:t>
      </w:r>
    </w:p>
    <w:p>
      <w:pPr>
        <w:spacing w:after="0" w:line="96" w:lineRule="exact"/>
        <w:rPr>
          <w:sz w:val="20"/>
          <w:szCs w:val="20"/>
          <w:color w:val="auto"/>
        </w:rPr>
      </w:pPr>
    </w:p>
    <w:p>
      <w:pPr>
        <w:ind w:right="800"/>
        <w:spacing w:after="0" w:line="257" w:lineRule="auto"/>
        <w:rPr>
          <w:sz w:val="20"/>
          <w:szCs w:val="20"/>
          <w:color w:val="auto"/>
        </w:rPr>
      </w:pPr>
      <w:r>
        <w:rPr>
          <w:rFonts w:ascii="Arial" w:cs="Arial" w:eastAsia="Arial" w:hAnsi="Arial"/>
          <w:sz w:val="20"/>
          <w:szCs w:val="20"/>
          <w:i w:val="1"/>
          <w:iCs w:val="1"/>
          <w:color w:val="004483"/>
        </w:rPr>
        <w:t>Our Cement business is capital-intensive, resulting in significant fixed and semi-fixed costs. Therefore, our earnings are sensitive to changes in volume.</w:t>
      </w:r>
    </w:p>
    <w:p>
      <w:pPr>
        <w:spacing w:after="0" w:line="5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Due to the high levels of fixed capital required to produce cement, the ability of our Cement segment to remain profitable is dependent on achieving and maintaining strong volumes of cement production and sales. Any decreases in volume could have an adverse effect on our financial condition and results of operations. In addition, our cement plants require significant capital expenditures to support the maintenance, growth, and expansion of our business. We believe that our current cash balance, along with our projected internal cash flows and our available financing resources will provide sufficient cash to support our currently anticipated operating and capital needs. However, if we are unable to generate sufficient cash to purchase and maintain the property and machinery necessary to operate our Cement business, we may be required to reduce or delay planned capital expenditures or incur additional debt.</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i w:val="1"/>
          <w:iCs w:val="1"/>
          <w:color w:val="004483"/>
        </w:rPr>
        <w:t>Any material nonpayment or nonperformance by any of our key customers could have a material adverse effect on our business and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 material nonpayment or nonperformance by any of our key customers could have a material adverse effect on our revenue and cash flows. Although our contracts with our customers provide for certain remedies in the event a customer fails to purchase the minimum contracted amount of product in a given period, we may be unable to enforce payment or performance obligations in a timely manner or at all or recover the entire amount we anticipated receiving under such contract. If we were to pursue legal remedies against a customer that failed to purchase the minimum contracted amount of product under a fixed-volume contract or failed to satisfy the take-or-pay commitment under a take-or-pay contract, we may receive significantly less in a judgment or settlement of any claimed breach than we would have received had the customer fully performed under the contract. In the event of any customer’s breach, we may also choose to renegotiate any disputed contract on less favorable terms (including with respect to price and volume) to allow us to preserve the relationship with that customer.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Consolidation of our customers could adversely affect our results of operations.</w:t>
      </w:r>
    </w:p>
    <w:p>
      <w:pPr>
        <w:spacing w:after="0" w:line="9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Over the past few years, many of our customers have undergone consolidation due to being acquired by, or acquiring, another company with similar operations. Consolidation of our customers could result in the loss of a customer or a portion of their business, in addition to an increased reliance on certain key customers. Future consolidation of our customers and their increased purchasing power could result in our customers seeking more favorable terms, including pricing, which may limit our ability to maintain pricing or raise pricing in the future. Any future consolidation of our customers could negatively affect our operating margin, results of operations, and cash flow.</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production facilities may experience unexpected equipment failures, catastrophic events, and scheduled maintenance.</w:t>
      </w:r>
    </w:p>
    <w:p>
      <w:pPr>
        <w:spacing w:after="0" w:line="9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own and operate facilities of various ages and levels of automated controls and rely on a number of third parties as part of our supply chain. Our manufacturing processes are complex and dependent upon critical pieces of equipment and effective maintenance programs. Such equipment may, on occasion, be out of service as a result of unanticipated events such as fires, explosions, violent weather conditions, unexpected operational difficulties, or disruptions within our supply chain. While we maintain backups 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certain critical pieces of equipment to use during the time it may take to repair or replace inoperable equipment, any unplanned downtime at our facilities could negatively affect our business, financial condition, and results of operations.</w:t>
      </w:r>
    </w:p>
    <w:p>
      <w:pPr>
        <w:spacing w:after="0" w:line="4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also have periodically scheduled shut-downs to perform maintenance on our facilities. We consume significant amounts of energy in our production process, and the availability and pricing of these resources are subject to market forces. Any significant interruption in production capability may require us to make significant capital expenditures to remedy problems or damage as well as cause us to lose revenue and profits due to lost production time, which could have a material adverse effect on our results of operations and financial condition. In general, any interruptions in our production processes or limitation in our production capabilities may cause our productivity and results of operations to decline significantly during the affected period.</w:t>
      </w:r>
    </w:p>
    <w:p>
      <w:pPr>
        <w:spacing w:after="0" w:line="71" w:lineRule="exact"/>
        <w:rPr>
          <w:sz w:val="20"/>
          <w:szCs w:val="20"/>
          <w:color w:val="auto"/>
        </w:rPr>
      </w:pPr>
    </w:p>
    <w:p>
      <w:pPr>
        <w:jc w:val="both"/>
        <w:ind w:right="400"/>
        <w:spacing w:after="0" w:line="247" w:lineRule="auto"/>
        <w:rPr>
          <w:sz w:val="20"/>
          <w:szCs w:val="20"/>
          <w:color w:val="auto"/>
        </w:rPr>
      </w:pPr>
      <w:r>
        <w:rPr>
          <w:rFonts w:ascii="Arial" w:cs="Arial" w:eastAsia="Arial" w:hAnsi="Arial"/>
          <w:sz w:val="18"/>
          <w:szCs w:val="18"/>
          <w:color w:val="auto"/>
        </w:rPr>
        <w:t>Mining for raw materials involves risks such as pit wall failures, pillar or ceiling collapse, flooding and seismic events related to geologic conditions and our mining activities. Any ground control event could lead to serious injuries, loss of life, equipment damage, production delays or cessation, and increased operating costs which could have a material adverse effect on our results of operations and financial condition.</w:t>
      </w:r>
    </w:p>
    <w:p>
      <w:pPr>
        <w:spacing w:after="0" w:line="63"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i w:val="1"/>
          <w:iCs w:val="1"/>
          <w:color w:val="004483"/>
        </w:rPr>
        <w:t>Our results of operations are subject to significant changes in the cost and availability of fuel, energy, and other raw materials, including raw materials supplied by third parties.</w:t>
      </w:r>
    </w:p>
    <w:p>
      <w:pPr>
        <w:spacing w:after="0" w:line="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Major cost components in each of our businesses are the costs of fuel, energy, and raw materials. Significant increases in the costs of fuel, energy, or raw materials, or substantial decreases in their availability, could materially and adversely affect our sales and operating profits. Prices for fuel, energy, or raw materials used in connection with our businesses have in some cases been subject to significant changes in a short period of time for reasons outside our control. For example, prices for fuel and electrical power, which are significant components of the costs associated with our Gypsum Wallboard and Cement businesses, have fluctuated significantly in recent years and may increase further in the future. The prices we pay for fuel and electric power are often determined in whole or in part by market-based pricing mechanisms (including spot market pricing mechanisms). In the past, we have experienced significant and unanticipated price increases due to, among other things, unfavorable weather conditions and governmental responses from the resulting shortages in fuel and power. Significant price fluctuations also have the potential to give rise to disputes with contractual counterparties, which can be complex and difficult to resolve. In the event of large or rapid increases in prices, we may not be able to pass the increases through to our customers in full, which would reduce our operating margin.</w:t>
      </w:r>
    </w:p>
    <w:p>
      <w:pPr>
        <w:spacing w:after="0" w:line="7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generally maintain our own reserves of limestone, gypsum, aggregates, and other materials that we use to manufacture our products. Our ability to find and develop quality reserves and accurately calculate and report our reserve estimates depend upon geological interpretation and statistical inferences or assumptions drawn from drilling and sampling analysis, which are subject to inherent uncertainties. If any of these estimates proved to be inaccurate, our operations and financial condition could be adversely affected. In certain circumstances we also obtain certain raw materials used to manufacture our products from a single supplier and some of those materials, such as synthetic gypsum and slag granules, are produced as by-products of industrial processes. While we try to secure our needed supply of such materials through long-term contracts, those contracts may not be sufficient to meet our needs, or we may be unable to renew or replace existing contracts when they expire or are terminated in the future. Should our existing suppliers have disruptions in their operations, cease operations, or otherwise reduce or eliminate production of these materials, our costs to procure these materials may increase significantly, or we may be obliged to procure alternatives to replace these materials, which may not be available 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commercially reasonable terms or at all. Any such developments may adversely affect our operations and financial condition.</w:t>
      </w:r>
    </w:p>
    <w:p>
      <w:pPr>
        <w:spacing w:after="0" w:line="101"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i w:val="1"/>
          <w:iCs w:val="1"/>
          <w:color w:val="004483"/>
        </w:rPr>
        <w:t>Significant changes in the cost and availability of transportation could adversely affect our business, financial condition, and results of operations.</w:t>
      </w:r>
    </w:p>
    <w:p>
      <w:pPr>
        <w:spacing w:after="0" w:line="5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Some of the raw materials used in our manufacturing processes, such as coal or coke, are transported to our facilities by truck or rail. In addition, transportation logistics play an important part in allowing us to supply products to our customers, whether by truck, rail, or barge. For example, we deliver gypsum wallboard to many areas of the United States, and the transportation costs associated with the delivery of our wallboard products represent a significant portion of the variable cost of our Gypsum Wallboard segment. On the other hand, cement is more difficult and costly to transport over long distances, which limits the areas typically served by our cement plants. Significant increases in the cost of fuel or energy can result in material increases in the cost of transportation, which could materially and adversely affect our operating profits. In addition, reductions in the availability of certain modes of transportation, such as rail or trucking, could limit our ability to deliver product and therefore materially and adversely affect our operating profits.</w:t>
      </w:r>
    </w:p>
    <w:p>
      <w:pPr>
        <w:spacing w:after="0" w:line="69"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i w:val="1"/>
          <w:iCs w:val="1"/>
          <w:color w:val="004483"/>
        </w:rPr>
        <w:t>Our debt agreements contain restrictive covenants and require us to meet certain financial ratios and tests, which limit our flexibility and could give rise to a default if we are unable to remain in compliance.</w:t>
      </w:r>
    </w:p>
    <w:p>
      <w:pPr>
        <w:spacing w:after="0" w:line="5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outstanding debt agreements contain, among other things, covenants that limit our ability to finance future operations or capital needs or to engage in other business activities, including but not limited to our ability to:</w:t>
      </w:r>
    </w:p>
    <w:p>
      <w:pPr>
        <w:spacing w:after="0" w:line="4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consolidated subsidiaries to incur indebtedness;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sell, transfer, lease, or otherwise dispose of all or substantially all of the assets of the Company and its consolidated subsidiaries;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 or merge with or into another person;</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our affiliates; and</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sale/leaseback transactions.</w:t>
      </w:r>
    </w:p>
    <w:p>
      <w:pPr>
        <w:spacing w:after="0" w:line="1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these agreements require us to meet and maintain certain financial ratios and tests, which may require that we take action to reduce our debt or to act in a manner contrary to our business objectives. Events beyond our control, including changes in general business and economic conditions, may impair our ability to comply with these covenants or meet those financial ratios and tests. A breach of any of these covenants or failure to maintain the required ratios and meet the required tests may result in an event of default under these agreements. This may allow the lenders under these agreements to declare all amounts outstanding to be immediately due and payable, terminate any commitments to extend further credit to us, and pursue other remedies available to them under the applicable agreements. If this occurs, our indebtedness may be accelerated, and we may not be able to refinance the accelerated indebtedness on favorable terms, or at all, or repay the accelerated indebtedness. In general, the occurrence of any event of default under these agreements could have a material adverse effect on our financial condition or results of operations.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82"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i w:val="1"/>
          <w:iCs w:val="1"/>
          <w:color w:val="004483"/>
        </w:rPr>
        <w:t>We have incurred or may incur substantial indebtedness, which could adversely affect our business, limit our ability to plan for or respond to changes in our business, and reduce our profitability.</w:t>
      </w:r>
    </w:p>
    <w:p>
      <w:pPr>
        <w:spacing w:after="0" w:line="50"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In the past, we have incurred significant indebtedness in connection with acquisition transactions or otherwise to fund the growth and development of our business. As of March 31, 2026, we had $1.8 billion of debt outstanding. We may also incur significant indebtedness from time to time in the future for these or other reasons. Our future ability to satisfy our debt obligations is subject, to some extent, to financial, market, competitive, legislative, regulatory, and other factors that are beyond our control. Substantial debt obligations could have negative consequences to our business, and, in particular, could impede, restrict, or delay the implementation of our business strategy or prevent us from entering into transactions that would otherwise benefit our business. For example:</w:t>
      </w:r>
    </w:p>
    <w:p>
      <w:pPr>
        <w:spacing w:after="0" w:line="17" w:lineRule="exact"/>
        <w:rPr>
          <w:sz w:val="20"/>
          <w:szCs w:val="20"/>
          <w:color w:val="auto"/>
        </w:rPr>
      </w:pPr>
    </w:p>
    <w:p>
      <w:pPr>
        <w:ind w:left="520" w:right="140" w:hanging="512"/>
        <w:spacing w:after="0" w:line="252" w:lineRule="auto"/>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dedicate a substantial portion of our cash flows from operations to payments on our indebtedness, thereby reducing the availability of our cash flow for other purposes, including business development efforts, capital expenditures, or strategic acquisitions;</w:t>
      </w:r>
    </w:p>
    <w:p>
      <w:pPr>
        <w:spacing w:after="0" w:line="8" w:lineRule="exact"/>
        <w:rPr>
          <w:rFonts w:ascii="Times New Roman" w:cs="Times New Roman" w:eastAsia="Times New Roman" w:hAnsi="Times New Roman"/>
          <w:sz w:val="18"/>
          <w:szCs w:val="18"/>
          <w:color w:val="auto"/>
        </w:rPr>
      </w:pPr>
    </w:p>
    <w:p>
      <w:pPr>
        <w:ind w:left="520" w:right="180" w:hanging="512"/>
        <w:spacing w:after="0" w:line="252" w:lineRule="auto"/>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generate sufficient cash flow to meet our substantial debt service obligations or to fund our other liquidity needs. If this occurs, we may have to take actions such as selling assets, selling equity, or reducing or delaying capital expenditures, strategic acquisitions, investments and joint ventures, or restructuring our debt;</w:t>
      </w:r>
    </w:p>
    <w:p>
      <w:pPr>
        <w:spacing w:after="0" w:line="8" w:lineRule="exact"/>
        <w:rPr>
          <w:rFonts w:ascii="Times New Roman" w:cs="Times New Roman" w:eastAsia="Times New Roman" w:hAnsi="Times New Roman"/>
          <w:sz w:val="18"/>
          <w:szCs w:val="18"/>
          <w:color w:val="auto"/>
        </w:rPr>
      </w:pPr>
    </w:p>
    <w:p>
      <w:pPr>
        <w:ind w:left="520" w:right="100" w:hanging="512"/>
        <w:spacing w:after="0" w:line="252" w:lineRule="auto"/>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As a result of the amount of our outstanding indebtedness and the restrictive covenants to which we are or may become subject, if we determine that we require additional financing to fund future working capital, capital investments, or other business activities, we may not be able to obtain such financing on commercially reasonable terms, or at all; and</w:t>
      </w:r>
    </w:p>
    <w:p>
      <w:pPr>
        <w:spacing w:after="0" w:line="8" w:lineRule="exact"/>
        <w:rPr>
          <w:rFonts w:ascii="Times New Roman" w:cs="Times New Roman" w:eastAsia="Times New Roman" w:hAnsi="Times New Roman"/>
          <w:sz w:val="18"/>
          <w:szCs w:val="18"/>
          <w:color w:val="auto"/>
        </w:rPr>
      </w:pPr>
    </w:p>
    <w:p>
      <w:pPr>
        <w:ind w:left="520" w:right="220" w:hanging="512"/>
        <w:spacing w:after="0" w:line="270" w:lineRule="auto"/>
        <w:tabs>
          <w:tab w:leader="none" w:pos="5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flexibility in planning for, or reacting to, changes in our business and industry may be limited, thereby placing us at a competitive disadvantage compared with our competitors that have less indebtedness.</w:t>
      </w:r>
    </w:p>
    <w:p>
      <w:pPr>
        <w:spacing w:after="0" w:line="4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base rate of our debt is determined by our credit rating. If our credit rating were to decline, interest charges on this debt would increase, which would raise the cost of borrowing and lower cash flows from operations.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Volatility and disruption of financial markets could affect access to credit.</w:t>
      </w:r>
    </w:p>
    <w:p>
      <w:pPr>
        <w:spacing w:after="0" w:line="9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Instability in the global economy or negative conditions in the credit markets that limit or impair our access to credit may adversely affect our business. In general, we often rely upon banks and, in some cases, the capital markets to fund our growth strategy. Any downgrades in our credit ratings may make raising capital more difficult, increase the cost and affect the terms of future borrowings and limit our ability to take advantage of potential business opportunities. If we are unable to secure financing on acceptable terms, our other sources of funds, including available cash and cash flow from operations, may not be adequate to fund our operations and contractual commitments and refinance existing debt.</w:t>
      </w:r>
    </w:p>
    <w:p>
      <w:pPr>
        <w:spacing w:after="0" w:line="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are also exposed to risks associated with the creditworthiness of our customers and suppliers. A number of our customers or suppliers have been and may continue to be adversely affected by unsettled conditions in capital and credit markets, which in some cases have made it more difficult or costly for them to finance their business operations. These unsettled conditions have the potential to reduce the sources of liquidity for the Company, and our customers and our suppliers, which could negatively affect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2"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i w:val="1"/>
          <w:iCs w:val="1"/>
          <w:color w:val="004483"/>
        </w:rPr>
        <w:t>Increases in interest rates and inflation could adversely affect our business and demand for our products, which would have a negative effect on our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significantly affected by the movement of interest rates. As a result, in recent periods we have experienced higher interest expense related to borrowings under our borrowing facilities. Inflation has caused our cost of capital to increase, and the purchasing power of our cash resources to decline. Current or future efforts by the government to stimulate the economy may increase the risk of significant inflation, which could have a direct and indirect adverse impact on our business and results of operations. Interest rates also have a direct impact on the level of residential, commercial, and infrastructure construction activity by affecting the cost of borrowed funds to builders. Rising interest rates or the continuation of high levels of interest rates could result in decreased demand for our products, which could have a material adverse effect on our business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Increases in our effective income tax rate may harm our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may increase our future effective income tax rate, including:</w:t>
      </w:r>
    </w:p>
    <w:p>
      <w:pPr>
        <w:spacing w:after="0" w:line="5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governmental authorities increasing taxes or eliminating deductions, particularly the depletion deduction;</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earnings from depletable versus non-depletable businesses;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jurisdictions in which earnings are taxed;</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resolution of issues arising from tax audits with various tax authorities;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valuation of our deferred tax assets and liabilities;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adjustments to estimated taxes upon finalization of various tax returns;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available tax credits;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stock-based compensation;</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changes in tax laws; and</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interpretation of tax laws and/or administrative practices.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income tax rate could reduce net earnings and free cash flow for future periods.</w:t>
      </w:r>
    </w:p>
    <w:p>
      <w:pPr>
        <w:spacing w:after="0" w:line="101"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i w:val="1"/>
          <w:iCs w:val="1"/>
          <w:color w:val="004483"/>
        </w:rPr>
        <w:t>We depend on the recruitment and retention of qualified personnel, and our failure to attract and retain such personnel could adversely affect our businesses.</w:t>
      </w:r>
    </w:p>
    <w:p>
      <w:pPr>
        <w:spacing w:after="0" w:line="5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success depends to a significant degree upon the continued services of, and on our ability to attract and retain, our key personnel and executive officers, including qualified management, operations, technical, marketing and sales, and support personnel. Competition for such personnel is intense, and we may not be successful in attracting or retaining such qualified personnel, which could negatively affect our businesses. In addition, because we rely on our senior management team to set and implement business strategy, the unanticipated departure of any key member could have an adverse effect on our business.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Failure to manage effective transfer of knowledge and smooth transitions involving key employees could hinder our strategic planning and execution.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could experience disruption to our business operations due to disputes with organized labor.</w:t>
      </w:r>
    </w:p>
    <w:p>
      <w:pPr>
        <w:spacing w:after="0" w:line="9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Approximately half of our hourly employees are covered by collective bargaining agreements. Labor is a meaningful component in our ability to operate our business and can have a significant impact on the cost of operating our business. Labor shortages could restrict our ability to operate our business and increase costs to operate our business. Additionally, disputes with trade unions or the inability to renew our labor agreements may lead to work stoppages or strikes that could disrupt our business operations and lead to higher costs and/or reduced revenue and operating earnings. Labor issues affecting our suppliers, service providers, customers and other third parties may similarly have a material adverse effect on our business operations.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GROWTH RISK FACTORS</w:t>
      </w:r>
    </w:p>
    <w:p>
      <w:pPr>
        <w:spacing w:after="0" w:line="96" w:lineRule="exact"/>
        <w:rPr>
          <w:sz w:val="20"/>
          <w:szCs w:val="20"/>
          <w:color w:val="auto"/>
        </w:rPr>
      </w:pPr>
    </w:p>
    <w:p>
      <w:pPr>
        <w:jc w:val="both"/>
        <w:ind w:right="100"/>
        <w:spacing w:after="0" w:line="260" w:lineRule="auto"/>
        <w:rPr>
          <w:sz w:val="20"/>
          <w:szCs w:val="20"/>
          <w:color w:val="auto"/>
        </w:rPr>
      </w:pPr>
      <w:r>
        <w:rPr>
          <w:rFonts w:ascii="Arial" w:cs="Arial" w:eastAsia="Arial" w:hAnsi="Arial"/>
          <w:sz w:val="19"/>
          <w:szCs w:val="19"/>
          <w:i w:val="1"/>
          <w:iCs w:val="1"/>
          <w:color w:val="004483"/>
        </w:rPr>
        <w:t>We may pursue acquisitions, joint ventures, and other transactions that are intended to complement or expand our businesses. We may not be able to complete proposed transactions, and even if completed, the transactions may involve a number of risks that may result in a material adverse effect on our business, financial condition, operating results, and cash flows.</w:t>
      </w:r>
    </w:p>
    <w:p>
      <w:pPr>
        <w:spacing w:after="0" w:line="4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As business conditions warrant and our financial resources permit, we may pursue opportunities to acquire businesses or technologies and to form joint ventures that we believe could complement, enhance, or expand our current businesses or product lines or that might otherwise offer us growth opportunities. We may have difficulty identifying appropriate opportunities, or if we do identify opportunities, we may not be successful in completing transactions for a number of reasons. Any transactions that we are able to identify and complete may involve one or more of a number of risks, including:</w:t>
      </w:r>
    </w:p>
    <w:p>
      <w:pPr>
        <w:spacing w:after="0" w:line="14" w:lineRule="exact"/>
        <w:rPr>
          <w:sz w:val="20"/>
          <w:szCs w:val="20"/>
          <w:color w:val="auto"/>
        </w:rPr>
      </w:pPr>
    </w:p>
    <w:p>
      <w:pPr>
        <w:ind w:left="520" w:right="70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management’s attention from our existing businesses to the integration of the operations and personnel of the acquired business or joint venture;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possible adverse effects on our operating results during the integration process;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the acquired business or joint venture to achieve expected operational, profitability, and investment return objectives;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incurrence of significant charges, such as impairment of goodwill or intangible assets, asset devaluation, or restructuring charges;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unanticipated liabilities and costs for which indemnification is unavailable or inadequate;</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difficulties encountered in operating in new geographic areas; and</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achieve other intended objectives of the transaction.</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we may not be able to successfully or profitably integrate, operate, maintain, and manage our newly acquired operations or their employees. We may not be able to maintain uniform standards, controls, procedures, and policies, which may lead to operational inefficiencies. In addition, future acquisitions may result in dilutive issuances of equity securities or the incurrence of additional indebtedness.</w:t>
      </w:r>
    </w:p>
    <w:p>
      <w:pPr>
        <w:spacing w:after="0" w:line="58"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i w:val="1"/>
          <w:iCs w:val="1"/>
          <w:color w:val="004483"/>
        </w:rPr>
        <w:t>Our Cement business has grown largely through acquisitions, and there is no assurance that we will be able to continue to acquire cement plans to support future growth.</w:t>
      </w:r>
    </w:p>
    <w:p>
      <w:pPr>
        <w:spacing w:after="0" w:line="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prior years, we have been able to increase the size and scope of our Cement business in large part through acquisitions of cement plants from third parties. There are a limited number of companies operating cement plants in the United States, and plants typically become available for purchase only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8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infrequently, such as in connection with a merger, acquisition, or corporate reorganization, or refinancing. When cement plants become available for purchase, the purchase process is often highly competitive, which tends to result in relatively high valuations for the plants offered for sale. There can be no assurance that we will be able to continue to identify appropriate acquisition candidates or acquire cement plants at values that we regard as reasonable.</w:t>
      </w:r>
    </w:p>
    <w:p>
      <w:pPr>
        <w:spacing w:after="0" w:line="63" w:lineRule="exact"/>
        <w:rPr>
          <w:sz w:val="20"/>
          <w:szCs w:val="20"/>
          <w:color w:val="auto"/>
        </w:rPr>
      </w:pPr>
    </w:p>
    <w:p>
      <w:pPr>
        <w:ind w:right="560"/>
        <w:spacing w:after="0" w:line="257" w:lineRule="auto"/>
        <w:rPr>
          <w:sz w:val="20"/>
          <w:szCs w:val="20"/>
          <w:color w:val="auto"/>
        </w:rPr>
      </w:pPr>
      <w:r>
        <w:rPr>
          <w:rFonts w:ascii="Arial" w:cs="Arial" w:eastAsia="Arial" w:hAnsi="Arial"/>
          <w:sz w:val="20"/>
          <w:szCs w:val="20"/>
          <w:i w:val="1"/>
          <w:iCs w:val="1"/>
          <w:color w:val="004483"/>
        </w:rPr>
        <w:t>We may experience delays in completing capital improvement projects, and there is no assurance that we will achieve the anticipated benefits of such projects</w:t>
      </w:r>
      <w:r>
        <w:rPr>
          <w:rFonts w:ascii="Arial" w:cs="Arial" w:eastAsia="Arial" w:hAnsi="Arial"/>
          <w:sz w:val="17"/>
          <w:szCs w:val="17"/>
          <w:color w:val="000000"/>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may make significant investments to increase the capacity and efficiency of certain of our facilities. However, there is no assurance that such investments will result in increased capacity and efficiency at our facilities at the expected levels, within the expected budget and timeline, or at all. In addition, newly commissioned facilities and equipment are also subject to unforeseen breakdowns or failures related to mistakes in engineering and equipment selection, poor workmanship during fabrication and/or installation, accidents during the construction and/or commissioning phases, mistakes during initial operation, and other related issues that can cause significant delays in project implementation and facility start up. If our investments do not achieve the expected increased capacity or efficiency at the levels or timeline that is expected, or at all, or are otherwise impacted by budget overruns, or mistakes or defects in materials or workmanship, we could incur additional costs or expenses, which may harm our business, prospects, financial condition,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RISK FACTORS RELATED TO OWNERSHIP OF OUR COMMON STOCK</w:t>
      </w:r>
    </w:p>
    <w:p>
      <w:pPr>
        <w:spacing w:after="0" w:line="101"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i w:val="1"/>
          <w:iCs w:val="1"/>
          <w:color w:val="004483"/>
        </w:rPr>
        <w:t>Certain provisions in our restated certificate of incorporation and bylaws may prevent or delay an acquisition of our company, which could decrease the trading price of the common stock.</w:t>
      </w:r>
    </w:p>
    <w:p>
      <w:pPr>
        <w:spacing w:after="0" w:line="5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certificate of incorporation and bylaws contain provisions that are intended to deter coercive takeover practices and inadequate takeover bids by making such practices or bids unacceptably expensive to the bidder and to encourage prospective acquirers to negotiate with our Board rather than to attempt a hostile takeover. For example, under our certificate of incorporation, our Board are divided into three classes based on their term of office, with directors in each class holding office for staggered three-year terms. In addition, our certificate of incorporation or bylaws prohibit stockholder action by written consent, limit the ability of our stockholders to call special meetings, establish advance notice procedures for stockholder proposals and nominations for election of directors, and allow our Board to issue blank-check preferred stock with voting or conversion rights without stockholder approval. In general, we believe that these provisions will help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prevent an acquisition that our Board determines is not in the best interests of our company and its stockholders.</w:t>
      </w:r>
    </w:p>
    <w:p>
      <w:pPr>
        <w:spacing w:after="0" w:line="75"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i w:val="1"/>
          <w:iCs w:val="1"/>
          <w:color w:val="004483"/>
        </w:rPr>
        <w:t>Our bylaws include a forum selection clause, which could limit our stockholders’ ability to obtain a favorable judicial forum for disputes with us.</w:t>
      </w:r>
    </w:p>
    <w:p>
      <w:pPr>
        <w:spacing w:after="0" w:line="5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(i) any internal corporate claims within the meaning of the Delaware General Corporation Law (DGCL), (ii) any derivative action or proceeding brought on our behalf, (iii) any action asserting a claim of breach of a fiduciary duty owed by any of our directors, officers, or employees to us or to our stockholders, (iv) any action asserting a claim arising pursuant to any provision of the DGCL, or (v) any action asserting a claim governed by the internal affairs doctrine, will be a state or federal court located within the State of Delaware in all cases subject to the court’s having personal jurisdiction over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indispensable parties named as defendants. In addition, our bylaws provide that, unless we consent in writing to selection of an alternative forum, the sole and exclusive forum for any action asserting a claim arising under the Securities Act of 1933, as amended (the Securities Act), will be a federal district court. This forum selection provision in our bylaws may limit our stockholders’ ability to pursue claims in a judicial forum of their choosing for disputes with us or our directors, officers, or employees. It is also possible that, notwithstanding the forum selection clause included in our bylaws, a court could rule in specific circumstances that such a provision is inapplicable or unenforceable, which could require that we defend claims in other forums.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Staff comments.</w:t>
      </w: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RISK MANAGEMENT AND STRATEGY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Eagle continues to make cybersecurity a priority as the threat landscape evolves and becomes increasingly complex and sophisticated.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Managing Material Risks and Integrated Overall Risk Management</w:t>
      </w:r>
    </w:p>
    <w:p>
      <w:pPr>
        <w:spacing w:after="0" w:line="10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We have strategically integrated cybersecurity risk management into our broader risk management framework to promote a company-wide culture of cyber risk awareness. Our Director of Information Security (DIS), under the direction of our Chief Financial Officer (CFO), continuously evaluates and addresses cyber risks in alignment with business objectives, operational needs, and industry-accepted standards, such as National Institute of Standards and Technology frameworks.</w:t>
      </w:r>
    </w:p>
    <w:p>
      <w:pPr>
        <w:spacing w:after="0" w:line="6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Company has processes and procedures in place intended to prevent, detect, mitigate, and remediate cybersecurity risks. These include but are not limited to:</w:t>
      </w: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 defined and practiced incident response plan</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cyber insurance coverage</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employing appropriate incident prevention and detection safeguards</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defined disaster recovery procedure and employing disaster recovery software, where appropriate</w:t>
      </w:r>
    </w:p>
    <w:p>
      <w:pPr>
        <w:spacing w:after="0" w:line="8" w:lineRule="exact"/>
        <w:rPr>
          <w:rFonts w:ascii="Times New Roman" w:cs="Times New Roman" w:eastAsia="Times New Roman" w:hAnsi="Times New Roman"/>
          <w:sz w:val="18"/>
          <w:szCs w:val="18"/>
          <w:color w:val="auto"/>
        </w:rPr>
      </w:pPr>
    </w:p>
    <w:p>
      <w:pPr>
        <w:ind w:left="240" w:right="120" w:hanging="232"/>
        <w:spacing w:after="0" w:line="234" w:lineRule="auto"/>
        <w:tabs>
          <w:tab w:leader="none" w:pos="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educating, training and testing our user community on information security practices and identification of potential cybersecurity risks and threats</w:t>
      </w: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evaluating new developments in the cyber threat landscape.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Engaging Third Parties on Risk Management</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Recognizing the complexity and evolving nature of cybersecurity risk, we engage with a range of external security support providers, including cybersecurity consultants, in evaluating, monitoring, and testing our cyber management systems and related cyber risks. The Company’s collaboration with these third parties includes threat and vulnerability assessments, incident response plan testing, company-wide monitoring of cybersecurity risks, and consultation on security enhancements.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Managing Third-Party Risk</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recognize the risks associated with the use of vendors, service providers, and other third parties that provide information system services to us, process information on our behalf, or have access to our information systems, and the Company has processes in place to oversee and manage these risks. We conduct thorough security assessments of these third-party engagements and maintain ongoing monitoring to ensure compliance with our cybersecurity standards. This monitoring includes both annual and ongoing assessments.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Risks from Cybersecurity Incidents</w:t>
      </w:r>
    </w:p>
    <w:p>
      <w:pPr>
        <w:spacing w:after="0" w:line="10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To our knowledge, the Company has not been subject to cybersecurity incidents that have materially affected, or are reasonably likely to materially affect, the Company, its operations, or financial standing.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9" w:name="page40"/>
    <w:bookmarkEnd w:id="39"/>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GOVERNANCE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Risk Management Personnel</w:t>
      </w:r>
    </w:p>
    <w:p>
      <w:pPr>
        <w:spacing w:after="0" w:line="102"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The Company’s cybersecurity risk management program is overseen by management at multiple levels. Under the direction of our CFO, the DIS plays a key role in assessing, monitoring, and managing the Company’s cybersecurity risks with support from Company management, external cybersecurity consultants, and dedicated information technology and security personnel. Our DIS has over 35 years of IT experience, including 30 years of specializing in cybersecurity practices. Our DIS holds numerous certifications including as an ISC</w:t>
      </w:r>
      <w:r>
        <w:rPr>
          <w:rFonts w:ascii="Arial" w:cs="Arial" w:eastAsia="Arial" w:hAnsi="Arial"/>
          <w:sz w:val="24"/>
          <w:szCs w:val="24"/>
          <w:color w:val="auto"/>
          <w:vertAlign w:val="superscript"/>
        </w:rPr>
        <w:t>2</w:t>
      </w:r>
      <w:r>
        <w:rPr>
          <w:rFonts w:ascii="Arial" w:cs="Arial" w:eastAsia="Arial" w:hAnsi="Arial"/>
          <w:sz w:val="18"/>
          <w:szCs w:val="18"/>
          <w:color w:val="auto"/>
        </w:rPr>
        <w:t>, Certified Information Systems Security Professional (CISSP), and ISACA Certified Information Security Manager (CISM). Our DIS also has extensive experience in architecting, implementing, and managing cyber security control systems including vulnerability management, endpoint detection and response (EDR), security information and event management (SIEM), email fraud defense, and identity access management (IAM) solutions.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Monitor Cybersecurity Incidents</w:t>
      </w:r>
    </w:p>
    <w:p>
      <w:pPr>
        <w:spacing w:after="0" w:line="102"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Our DIS is continually informed and updated on the latest developments in cybersecurity, including emerging threats and innovative risk management techniques. Our Director of Technology (DIT), supported by our DIS, implements and oversees processes for the regular monitoring of our information systems. This includes the deployment of advanced security measures and regular system audits to identify potential vulnerabilities. In the event of a cybersecurity incident, the Company is equipped with a defined and practiced incident response plan, which details immediate actions to mitigate the impact and long-term strategies for remediation and prevention of future incidents.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Board of Directors Oversight</w:t>
      </w:r>
    </w:p>
    <w:p>
      <w:pPr>
        <w:spacing w:after="0" w:line="1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Audit Committee of Eagle's Board is responsible for overseeing the Company’s policies and practices related to cyber risk. Based on details provided by the DIS, the Chief Financial Officer (CFO), together with the Company's third-party experts, provides the Audit Committee quarterly updates that encompass a broad range of topics, including:</w:t>
      </w:r>
    </w:p>
    <w:p>
      <w:pPr>
        <w:spacing w:after="0" w:line="2"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current cybersecurity threat landscape and emerging threats</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status of ongoing cybersecurity initiatives and strategies</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incident reports and learnings from unique cybersecurity events, including those of other companies</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status and initiatives related to regulatory requirements and industry standards.</w:t>
      </w:r>
    </w:p>
    <w:p>
      <w:pPr>
        <w:spacing w:after="0" w:line="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addition, the CFO provides updates to the full Board upon request, and timely updates regarding unique developments such as regulatory updates or vulnerability developments, based on details provided by the DIS.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operating facilities span the U.S. They include cement and slag cement plants, quarries, and related facilities; concrete and aggregates plants and quarries; gypsum wallboard plants; a recycled paperboard mill; cement distribution terminals; and our headquarters in Dallas, Texas. All our facilities are owned, with the exception of our headquarters in Dallas, which is leased through January 2036, and certain terminals, as discussed on page 10. None of our facilities are pledged as security for any debts. Please see the Industry Segment Information section on pages 6-21 for more information about the location of our facilities, and a summary of mineral reserves for each of our applicable businesses.</w:t>
      </w:r>
    </w:p>
    <w:p>
      <w:pPr>
        <w:spacing w:after="0" w:line="7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following map shows the locations of our operating facilities at March 31, 2026, by type of facility. Quarries supporting our Cement, Aggregates, and Gypsum Wallboard businesses are in close proximity to the respective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169545</wp:posOffset>
            </wp:positionV>
            <wp:extent cx="5151755" cy="3463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5175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Mining Properties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this Form 10-K, the terms “mineral resource,” “measured mineral resource,” “indicated mineral resource,” “inferred mineral resource,” “mineral reserve,” “proven mineral reserve,” and “probable mineral reserve” are defined and used in accordance with subpart 1300 of Regulation S-K. Under subpart 1300 of Regulation S-K, mineral resources may not be classified as “mineral reserves” unless a qualified person (QP) (as defined under subpart 1300 of Regulation S-K) has determined that the mineral resources can be the basis of an economically viable project. Part or all of the mineral deposits (including any mineral resources) in these categories may never be converted into mineral reserves. Further, except for the portion of mineral resources classified as mineral reserves, mineral resources do not have demonstrated economic value. Estimates of inferred mineral resources have too high of a degree of uncertainty as to</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6" w:right="399" w:bottom="1440" w:gutter="0" w:footer="0" w:header="0"/>
        </w:sectPr>
      </w:pPr>
    </w:p>
    <w:bookmarkStart w:id="41" w:name="page42"/>
    <w:bookmarkEnd w:id="41"/>
    <w:p>
      <w:pPr>
        <w:spacing w:after="0" w:line="8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their existence and may not be converted to a mineral reserve. Therefore, it should not be assumed that all or any part of an inferred mineral resource exists, that it can be the basis of an economically viable project, or that it will ever be upgraded to a higher category. Likewise, it should not be assumed that all or any part of measured or indicated mineral resources will ever be converted to mineral reserves. Management relies on estimates of our recoverable mineral reserves, which estimation is complex due to geological characteristics of the properties and the number of assumptions made and variable factors, some of which are beyond our control.</w:t>
      </w:r>
    </w:p>
    <w:p>
      <w:pPr>
        <w:spacing w:after="0" w:line="68"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estimates of mineral resources and reserves in this Form 10-K are based on information and supporting documentation prepared in accordance with the requirements of subpart 1300 of Regulation S-K by third-party QPs who have no affiliation with or interest in the Company or our mining properties.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Cement Mining Properties</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mine primarily limestone at our quarry operations serving each of our cement plants. Eagle operates all its quarries, and mining at our quarries is done by Company personnel. The limestone mined at our quarries is converted to cement, as outlined in Item 1. Business. Each cement plant has its own dedicated limestone quarries, all of which have adequate access to highways and/or waterways. Limestone is delivered to our Louisville plant by barge, and to all other plants by truck. All our mines, with the exception of one, are surface mines, which are mined using open pit techniques. We have one underground mine serving our plant in Sugar Creek, Missouri. All our limestone reserves are located on properties that are in the production stage. All our quarries are close to our operating facilities.</w:t>
      </w:r>
    </w:p>
    <w:p>
      <w:pPr>
        <w:spacing w:after="0" w:line="8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As of March 31, 2026, we had 313.3 million tons of proven and probable limestone reserves, and 752.3 million tons of measured and indicated limestone resources, exclusive of limestone reserves. Approximately 80% of our total reserves are owned, and the remainder are leased. We do not consider any of our individual quarries to be material for disclosure purposes. All our individual locations have at least 25 years of reserves and resources, with most of our locations having in excess of 50 years.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limestone resources, exclusive of limestone reserves, serving each of our cement plants at March 31, 2026.</w:t>
      </w:r>
    </w:p>
    <w:p>
      <w:pPr>
        <w:spacing w:after="0" w:line="190"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 xml:space="preserve">Limestone Resources </w:t>
      </w:r>
      <w:r>
        <w:rPr>
          <w:rFonts w:ascii="Arial" w:cs="Arial" w:eastAsia="Arial" w:hAnsi="Arial"/>
          <w:sz w:val="21"/>
          <w:szCs w:val="21"/>
          <w:b w:val="1"/>
          <w:bCs w:val="1"/>
          <w:color w:val="auto"/>
          <w:vertAlign w:val="superscript"/>
        </w:rPr>
        <w:t>(1)(2)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3"/>
          </w:tcPr>
          <w:p>
            <w:pPr>
              <w:ind w:left="1160"/>
              <w:spacing w:after="0"/>
              <w:rPr>
                <w:sz w:val="20"/>
                <w:szCs w:val="20"/>
                <w:color w:val="auto"/>
              </w:rPr>
            </w:pPr>
            <w:r>
              <w:rPr>
                <w:rFonts w:ascii="Arial" w:cs="Arial" w:eastAsia="Arial" w:hAnsi="Arial"/>
                <w:sz w:val="14"/>
                <w:szCs w:val="14"/>
                <w:color w:val="auto"/>
              </w:rPr>
              <w:t>(tons in thousands)</w:t>
            </w:r>
          </w:p>
        </w:tc>
        <w:tc>
          <w:tcPr>
            <w:tcW w:w="11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ind w:right="32"/>
              <w:spacing w:after="0"/>
              <w:rPr>
                <w:sz w:val="20"/>
                <w:szCs w:val="20"/>
                <w:color w:val="auto"/>
              </w:rPr>
            </w:pPr>
            <w:r>
              <w:rPr>
                <w:rFonts w:ascii="Arial" w:cs="Arial" w:eastAsia="Arial" w:hAnsi="Arial"/>
                <w:sz w:val="16"/>
                <w:szCs w:val="16"/>
                <w:b w:val="1"/>
                <w:bCs w:val="1"/>
                <w:color w:val="auto"/>
              </w:rPr>
              <w:t>Measured &amp;</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17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Measured</w:t>
            </w: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Indicated</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Indicated</w:t>
            </w: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Inferred</w:t>
            </w:r>
          </w:p>
        </w:tc>
        <w:tc>
          <w:tcPr>
            <w:tcW w:w="0" w:type="dxa"/>
            <w:vAlign w:val="bottom"/>
          </w:tcPr>
          <w:p>
            <w:pPr>
              <w:spacing w:after="0"/>
              <w:rPr>
                <w:sz w:val="1"/>
                <w:szCs w:val="1"/>
                <w:color w:val="auto"/>
              </w:rPr>
            </w:pPr>
          </w:p>
        </w:tc>
      </w:tr>
      <w:tr>
        <w:trPr>
          <w:trHeight w:val="338"/>
        </w:trPr>
        <w:tc>
          <w:tcPr>
            <w:tcW w:w="354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3983C5"/>
              </w:rPr>
              <w:t xml:space="preserve">Buda, Texas </w:t>
            </w:r>
            <w:r>
              <w:rPr>
                <w:rFonts w:ascii="Arial" w:cs="Arial" w:eastAsia="Arial" w:hAnsi="Arial"/>
                <w:sz w:val="24"/>
                <w:szCs w:val="24"/>
                <w:b w:val="1"/>
                <w:bCs w:val="1"/>
                <w:color w:val="3983C5"/>
                <w:vertAlign w:val="superscript"/>
              </w:rPr>
              <w:t>(3)</w:t>
            </w:r>
          </w:p>
        </w:tc>
        <w:tc>
          <w:tcPr>
            <w:tcW w:w="1780" w:type="dxa"/>
            <w:vAlign w:val="bottom"/>
            <w:tcBorders>
              <w:bottom w:val="single" w:sz="8" w:color="A6A6A6"/>
            </w:tcBorders>
          </w:tcPr>
          <w:p>
            <w:pPr>
              <w:jc w:val="right"/>
              <w:ind w:right="51"/>
              <w:spacing w:after="0"/>
              <w:rPr>
                <w:sz w:val="20"/>
                <w:szCs w:val="20"/>
                <w:color w:val="auto"/>
              </w:rPr>
            </w:pPr>
            <w:r>
              <w:rPr>
                <w:rFonts w:ascii="Arial" w:cs="Arial" w:eastAsia="Arial" w:hAnsi="Arial"/>
                <w:sz w:val="18"/>
                <w:szCs w:val="18"/>
                <w:color w:val="auto"/>
              </w:rPr>
              <w:t>77,100</w:t>
            </w:r>
          </w:p>
        </w:tc>
        <w:tc>
          <w:tcPr>
            <w:tcW w:w="1980" w:type="dxa"/>
            <w:vAlign w:val="bottom"/>
            <w:tcBorders>
              <w:bottom w:val="single" w:sz="8" w:color="A6A6A6"/>
            </w:tcBorders>
            <w:gridSpan w:val="2"/>
          </w:tcPr>
          <w:p>
            <w:pPr>
              <w:jc w:val="right"/>
              <w:ind w:right="44"/>
              <w:spacing w:after="0"/>
              <w:rPr>
                <w:sz w:val="20"/>
                <w:szCs w:val="20"/>
                <w:color w:val="auto"/>
              </w:rPr>
            </w:pPr>
            <w:r>
              <w:rPr>
                <w:rFonts w:ascii="Arial" w:cs="Arial" w:eastAsia="Arial" w:hAnsi="Arial"/>
                <w:sz w:val="18"/>
                <w:szCs w:val="18"/>
                <w:color w:val="auto"/>
              </w:rPr>
              <w:t>14,300</w:t>
            </w:r>
          </w:p>
        </w:tc>
        <w:tc>
          <w:tcPr>
            <w:tcW w:w="240" w:type="dxa"/>
            <w:vAlign w:val="bottom"/>
            <w:tcBorders>
              <w:bottom w:val="single" w:sz="8" w:color="A6A6A6"/>
            </w:tcBorders>
          </w:tcPr>
          <w:p>
            <w:pPr>
              <w:spacing w:after="0"/>
              <w:rPr>
                <w:sz w:val="24"/>
                <w:szCs w:val="24"/>
                <w:color w:val="auto"/>
              </w:rPr>
            </w:pPr>
          </w:p>
        </w:tc>
        <w:tc>
          <w:tcPr>
            <w:tcW w:w="540" w:type="dxa"/>
            <w:vAlign w:val="bottom"/>
            <w:tcBorders>
              <w:bottom w:val="single" w:sz="8" w:color="A6A6A6"/>
            </w:tcBorders>
          </w:tcPr>
          <w:p>
            <w:pPr>
              <w:spacing w:after="0"/>
              <w:rPr>
                <w:sz w:val="24"/>
                <w:szCs w:val="24"/>
                <w:color w:val="auto"/>
              </w:rPr>
            </w:pPr>
          </w:p>
        </w:tc>
        <w:tc>
          <w:tcPr>
            <w:tcW w:w="1180" w:type="dxa"/>
            <w:vAlign w:val="bottom"/>
            <w:tcBorders>
              <w:bottom w:val="single" w:sz="8" w:color="A6A6A6"/>
            </w:tcBorders>
          </w:tcPr>
          <w:p>
            <w:pPr>
              <w:jc w:val="right"/>
              <w:ind w:right="32"/>
              <w:spacing w:after="0"/>
              <w:rPr>
                <w:sz w:val="20"/>
                <w:szCs w:val="20"/>
                <w:color w:val="auto"/>
              </w:rPr>
            </w:pPr>
            <w:r>
              <w:rPr>
                <w:rFonts w:ascii="Arial" w:cs="Arial" w:eastAsia="Arial" w:hAnsi="Arial"/>
                <w:sz w:val="18"/>
                <w:szCs w:val="18"/>
                <w:color w:val="auto"/>
              </w:rPr>
              <w:t>91,400</w:t>
            </w:r>
          </w:p>
        </w:tc>
        <w:tc>
          <w:tcPr>
            <w:tcW w:w="1980" w:type="dxa"/>
            <w:vAlign w:val="bottom"/>
            <w:tcBorders>
              <w:bottom w:val="single" w:sz="8" w:color="A6A6A6"/>
            </w:tcBorders>
            <w:gridSpan w:val="2"/>
          </w:tcPr>
          <w:p>
            <w:pPr>
              <w:jc w:val="right"/>
              <w:ind w:right="39"/>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89"/>
        </w:trPr>
        <w:tc>
          <w:tcPr>
            <w:tcW w:w="3540" w:type="dxa"/>
            <w:vAlign w:val="bottom"/>
          </w:tcPr>
          <w:p>
            <w:pPr>
              <w:spacing w:after="0"/>
              <w:rPr>
                <w:sz w:val="20"/>
                <w:szCs w:val="20"/>
                <w:color w:val="auto"/>
              </w:rPr>
            </w:pPr>
            <w:r>
              <w:rPr>
                <w:rFonts w:ascii="Arial" w:cs="Arial" w:eastAsia="Arial" w:hAnsi="Arial"/>
                <w:sz w:val="18"/>
                <w:szCs w:val="18"/>
                <w:b w:val="1"/>
                <w:bCs w:val="1"/>
                <w:color w:val="3983C5"/>
              </w:rPr>
              <w:t>LaSalle, Illinois</w:t>
            </w:r>
          </w:p>
        </w:tc>
        <w:tc>
          <w:tcPr>
            <w:tcW w:w="1780" w:type="dxa"/>
            <w:vAlign w:val="bottom"/>
          </w:tcPr>
          <w:p>
            <w:pPr>
              <w:jc w:val="right"/>
              <w:ind w:right="51"/>
              <w:spacing w:after="0"/>
              <w:rPr>
                <w:sz w:val="20"/>
                <w:szCs w:val="20"/>
                <w:color w:val="auto"/>
              </w:rPr>
            </w:pPr>
            <w:r>
              <w:rPr>
                <w:rFonts w:ascii="Arial" w:cs="Arial" w:eastAsia="Arial" w:hAnsi="Arial"/>
                <w:sz w:val="18"/>
                <w:szCs w:val="18"/>
                <w:color w:val="auto"/>
              </w:rPr>
              <w:t>20,900</w:t>
            </w:r>
          </w:p>
        </w:tc>
        <w:tc>
          <w:tcPr>
            <w:tcW w:w="1980" w:type="dxa"/>
            <w:vAlign w:val="bottom"/>
            <w:gridSpan w:val="2"/>
          </w:tcPr>
          <w:p>
            <w:pPr>
              <w:jc w:val="right"/>
              <w:ind w:right="44"/>
              <w:spacing w:after="0"/>
              <w:rPr>
                <w:sz w:val="20"/>
                <w:szCs w:val="20"/>
                <w:color w:val="auto"/>
              </w:rPr>
            </w:pPr>
            <w:r>
              <w:rPr>
                <w:rFonts w:ascii="Arial" w:cs="Arial" w:eastAsia="Arial" w:hAnsi="Arial"/>
                <w:sz w:val="18"/>
                <w:szCs w:val="18"/>
                <w:color w:val="auto"/>
              </w:rPr>
              <w:t>6,500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27,400</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2"/>
        </w:trPr>
        <w:tc>
          <w:tcPr>
            <w:tcW w:w="3540" w:type="dxa"/>
            <w:vAlign w:val="bottom"/>
            <w:tcBorders>
              <w:bottom w:val="single" w:sz="8" w:color="A6A6A6"/>
            </w:tcBorders>
          </w:tcPr>
          <w:p>
            <w:pPr>
              <w:spacing w:after="0"/>
              <w:rPr>
                <w:sz w:val="3"/>
                <w:szCs w:val="3"/>
                <w:color w:val="auto"/>
              </w:rPr>
            </w:pPr>
          </w:p>
        </w:tc>
        <w:tc>
          <w:tcPr>
            <w:tcW w:w="178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540" w:type="dxa"/>
            <w:vAlign w:val="bottom"/>
          </w:tcPr>
          <w:p>
            <w:pPr>
              <w:spacing w:after="0"/>
              <w:rPr>
                <w:sz w:val="20"/>
                <w:szCs w:val="20"/>
                <w:color w:val="auto"/>
              </w:rPr>
            </w:pPr>
            <w:r>
              <w:rPr>
                <w:rFonts w:ascii="Arial" w:cs="Arial" w:eastAsia="Arial" w:hAnsi="Arial"/>
                <w:sz w:val="18"/>
                <w:szCs w:val="18"/>
                <w:b w:val="1"/>
                <w:bCs w:val="1"/>
                <w:color w:val="3983C5"/>
              </w:rPr>
              <w:t>Sugar Creek, Missouri</w:t>
            </w:r>
          </w:p>
        </w:tc>
        <w:tc>
          <w:tcPr>
            <w:tcW w:w="1780" w:type="dxa"/>
            <w:vAlign w:val="bottom"/>
          </w:tcPr>
          <w:p>
            <w:pPr>
              <w:jc w:val="right"/>
              <w:ind w:right="51"/>
              <w:spacing w:after="0"/>
              <w:rPr>
                <w:sz w:val="20"/>
                <w:szCs w:val="20"/>
                <w:color w:val="auto"/>
              </w:rPr>
            </w:pPr>
            <w:r>
              <w:rPr>
                <w:rFonts w:ascii="Arial" w:cs="Arial" w:eastAsia="Arial" w:hAnsi="Arial"/>
                <w:sz w:val="18"/>
                <w:szCs w:val="18"/>
                <w:color w:val="auto"/>
              </w:rPr>
              <w:t>92,000</w:t>
            </w:r>
          </w:p>
        </w:tc>
        <w:tc>
          <w:tcPr>
            <w:tcW w:w="1980" w:type="dxa"/>
            <w:vAlign w:val="bottom"/>
            <w:gridSpan w:val="2"/>
          </w:tcPr>
          <w:p>
            <w:pPr>
              <w:jc w:val="right"/>
              <w:ind w:right="44"/>
              <w:spacing w:after="0"/>
              <w:rPr>
                <w:sz w:val="20"/>
                <w:szCs w:val="20"/>
                <w:color w:val="auto"/>
              </w:rPr>
            </w:pPr>
            <w:r>
              <w:rPr>
                <w:rFonts w:ascii="Arial" w:cs="Arial" w:eastAsia="Arial" w:hAnsi="Arial"/>
                <w:sz w:val="18"/>
                <w:szCs w:val="18"/>
                <w:color w:val="auto"/>
              </w:rPr>
              <w:t>98,500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190,500</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42"/>
        </w:trPr>
        <w:tc>
          <w:tcPr>
            <w:tcW w:w="3540" w:type="dxa"/>
            <w:vAlign w:val="bottom"/>
            <w:tcBorders>
              <w:bottom w:val="single" w:sz="8" w:color="A6A6A6"/>
            </w:tcBorders>
          </w:tcPr>
          <w:p>
            <w:pPr>
              <w:spacing w:after="0"/>
              <w:rPr>
                <w:sz w:val="3"/>
                <w:szCs w:val="3"/>
                <w:color w:val="auto"/>
              </w:rPr>
            </w:pPr>
          </w:p>
        </w:tc>
        <w:tc>
          <w:tcPr>
            <w:tcW w:w="178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540" w:type="dxa"/>
            <w:vAlign w:val="bottom"/>
          </w:tcPr>
          <w:p>
            <w:pPr>
              <w:spacing w:after="0"/>
              <w:rPr>
                <w:sz w:val="20"/>
                <w:szCs w:val="20"/>
                <w:color w:val="auto"/>
              </w:rPr>
            </w:pPr>
            <w:r>
              <w:rPr>
                <w:rFonts w:ascii="Arial" w:cs="Arial" w:eastAsia="Arial" w:hAnsi="Arial"/>
                <w:sz w:val="18"/>
                <w:szCs w:val="18"/>
                <w:b w:val="1"/>
                <w:bCs w:val="1"/>
                <w:color w:val="3983C5"/>
              </w:rPr>
              <w:t>Laramie, Wyoming</w:t>
            </w:r>
          </w:p>
        </w:tc>
        <w:tc>
          <w:tcPr>
            <w:tcW w:w="1780" w:type="dxa"/>
            <w:vAlign w:val="bottom"/>
          </w:tcPr>
          <w:p>
            <w:pPr>
              <w:jc w:val="right"/>
              <w:ind w:right="51"/>
              <w:spacing w:after="0"/>
              <w:rPr>
                <w:sz w:val="20"/>
                <w:szCs w:val="20"/>
                <w:color w:val="auto"/>
              </w:rPr>
            </w:pPr>
            <w:r>
              <w:rPr>
                <w:rFonts w:ascii="Arial" w:cs="Arial" w:eastAsia="Arial" w:hAnsi="Arial"/>
                <w:sz w:val="18"/>
                <w:szCs w:val="18"/>
                <w:color w:val="auto"/>
              </w:rPr>
              <w:t>58,400</w:t>
            </w:r>
          </w:p>
        </w:tc>
        <w:tc>
          <w:tcPr>
            <w:tcW w:w="1980" w:type="dxa"/>
            <w:vAlign w:val="bottom"/>
            <w:gridSpan w:val="2"/>
          </w:tcPr>
          <w:p>
            <w:pPr>
              <w:jc w:val="right"/>
              <w:ind w:right="44"/>
              <w:spacing w:after="0"/>
              <w:rPr>
                <w:sz w:val="20"/>
                <w:szCs w:val="20"/>
                <w:color w:val="auto"/>
              </w:rPr>
            </w:pPr>
            <w:r>
              <w:rPr>
                <w:rFonts w:ascii="Arial" w:cs="Arial" w:eastAsia="Arial" w:hAnsi="Arial"/>
                <w:sz w:val="18"/>
                <w:szCs w:val="18"/>
                <w:color w:val="auto"/>
              </w:rPr>
              <w:t>47,100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105,500</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353,600</w:t>
            </w:r>
          </w:p>
        </w:tc>
        <w:tc>
          <w:tcPr>
            <w:tcW w:w="0" w:type="dxa"/>
            <w:vAlign w:val="bottom"/>
          </w:tcPr>
          <w:p>
            <w:pPr>
              <w:spacing w:after="0"/>
              <w:rPr>
                <w:sz w:val="1"/>
                <w:szCs w:val="1"/>
                <w:color w:val="auto"/>
              </w:rPr>
            </w:pPr>
          </w:p>
        </w:tc>
      </w:tr>
      <w:tr>
        <w:trPr>
          <w:trHeight w:val="42"/>
        </w:trPr>
        <w:tc>
          <w:tcPr>
            <w:tcW w:w="3540" w:type="dxa"/>
            <w:vAlign w:val="bottom"/>
            <w:tcBorders>
              <w:bottom w:val="single" w:sz="8" w:color="A6A6A6"/>
            </w:tcBorders>
          </w:tcPr>
          <w:p>
            <w:pPr>
              <w:spacing w:after="0"/>
              <w:rPr>
                <w:sz w:val="3"/>
                <w:szCs w:val="3"/>
                <w:color w:val="auto"/>
              </w:rPr>
            </w:pPr>
          </w:p>
        </w:tc>
        <w:tc>
          <w:tcPr>
            <w:tcW w:w="178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540" w:type="dxa"/>
            <w:vAlign w:val="bottom"/>
          </w:tcPr>
          <w:p>
            <w:pPr>
              <w:spacing w:after="0"/>
              <w:rPr>
                <w:sz w:val="20"/>
                <w:szCs w:val="20"/>
                <w:color w:val="auto"/>
              </w:rPr>
            </w:pPr>
            <w:r>
              <w:rPr>
                <w:rFonts w:ascii="Arial" w:cs="Arial" w:eastAsia="Arial" w:hAnsi="Arial"/>
                <w:sz w:val="18"/>
                <w:szCs w:val="18"/>
                <w:b w:val="1"/>
                <w:bCs w:val="1"/>
                <w:color w:val="3983C5"/>
              </w:rPr>
              <w:t>Tulsa, Oklahoma</w:t>
            </w:r>
          </w:p>
        </w:tc>
        <w:tc>
          <w:tcPr>
            <w:tcW w:w="1780" w:type="dxa"/>
            <w:vAlign w:val="bottom"/>
          </w:tcPr>
          <w:p>
            <w:pPr>
              <w:jc w:val="right"/>
              <w:ind w:right="51"/>
              <w:spacing w:after="0"/>
              <w:rPr>
                <w:sz w:val="20"/>
                <w:szCs w:val="20"/>
                <w:color w:val="auto"/>
              </w:rPr>
            </w:pPr>
            <w:r>
              <w:rPr>
                <w:rFonts w:ascii="Arial" w:cs="Arial" w:eastAsia="Arial" w:hAnsi="Arial"/>
                <w:sz w:val="18"/>
                <w:szCs w:val="18"/>
                <w:color w:val="auto"/>
              </w:rPr>
              <w:t>30,900</w:t>
            </w:r>
          </w:p>
        </w:tc>
        <w:tc>
          <w:tcPr>
            <w:tcW w:w="1980" w:type="dxa"/>
            <w:vAlign w:val="bottom"/>
            <w:gridSpan w:val="2"/>
          </w:tcPr>
          <w:p>
            <w:pPr>
              <w:jc w:val="right"/>
              <w:ind w:right="44"/>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34,200</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42"/>
        </w:trPr>
        <w:tc>
          <w:tcPr>
            <w:tcW w:w="3540" w:type="dxa"/>
            <w:vAlign w:val="bottom"/>
            <w:tcBorders>
              <w:bottom w:val="single" w:sz="8" w:color="A6A6A6"/>
            </w:tcBorders>
          </w:tcPr>
          <w:p>
            <w:pPr>
              <w:spacing w:after="0"/>
              <w:rPr>
                <w:sz w:val="3"/>
                <w:szCs w:val="3"/>
                <w:color w:val="auto"/>
              </w:rPr>
            </w:pPr>
          </w:p>
        </w:tc>
        <w:tc>
          <w:tcPr>
            <w:tcW w:w="178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540" w:type="dxa"/>
            <w:vAlign w:val="bottom"/>
          </w:tcPr>
          <w:p>
            <w:pPr>
              <w:spacing w:after="0"/>
              <w:rPr>
                <w:sz w:val="20"/>
                <w:szCs w:val="20"/>
                <w:color w:val="auto"/>
              </w:rPr>
            </w:pPr>
            <w:r>
              <w:rPr>
                <w:rFonts w:ascii="Arial" w:cs="Arial" w:eastAsia="Arial" w:hAnsi="Arial"/>
                <w:sz w:val="18"/>
                <w:szCs w:val="18"/>
                <w:b w:val="1"/>
                <w:bCs w:val="1"/>
                <w:color w:val="3983C5"/>
              </w:rPr>
              <w:t>Fernley, Nevada</w:t>
            </w:r>
          </w:p>
        </w:tc>
        <w:tc>
          <w:tcPr>
            <w:tcW w:w="1780" w:type="dxa"/>
            <w:vAlign w:val="bottom"/>
          </w:tcPr>
          <w:p>
            <w:pPr>
              <w:jc w:val="right"/>
              <w:ind w:right="51"/>
              <w:spacing w:after="0"/>
              <w:rPr>
                <w:sz w:val="20"/>
                <w:szCs w:val="20"/>
                <w:color w:val="auto"/>
              </w:rPr>
            </w:pPr>
            <w:r>
              <w:rPr>
                <w:rFonts w:ascii="Arial" w:cs="Arial" w:eastAsia="Arial" w:hAnsi="Arial"/>
                <w:sz w:val="18"/>
                <w:szCs w:val="18"/>
                <w:color w:val="auto"/>
              </w:rPr>
              <w:t>76,825</w:t>
            </w:r>
          </w:p>
        </w:tc>
        <w:tc>
          <w:tcPr>
            <w:tcW w:w="1980" w:type="dxa"/>
            <w:vAlign w:val="bottom"/>
            <w:gridSpan w:val="2"/>
          </w:tcPr>
          <w:p>
            <w:pPr>
              <w:jc w:val="right"/>
              <w:ind w:right="44"/>
              <w:spacing w:after="0"/>
              <w:rPr>
                <w:sz w:val="20"/>
                <w:szCs w:val="20"/>
                <w:color w:val="auto"/>
              </w:rPr>
            </w:pPr>
            <w:r>
              <w:rPr>
                <w:rFonts w:ascii="Arial" w:cs="Arial" w:eastAsia="Arial" w:hAnsi="Arial"/>
                <w:sz w:val="18"/>
                <w:szCs w:val="18"/>
                <w:color w:val="auto"/>
              </w:rPr>
              <w:t>29,250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106,075</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16,800</w:t>
            </w:r>
          </w:p>
        </w:tc>
        <w:tc>
          <w:tcPr>
            <w:tcW w:w="0" w:type="dxa"/>
            <w:vAlign w:val="bottom"/>
          </w:tcPr>
          <w:p>
            <w:pPr>
              <w:spacing w:after="0"/>
              <w:rPr>
                <w:sz w:val="1"/>
                <w:szCs w:val="1"/>
                <w:color w:val="auto"/>
              </w:rPr>
            </w:pPr>
          </w:p>
        </w:tc>
      </w:tr>
      <w:tr>
        <w:trPr>
          <w:trHeight w:val="42"/>
        </w:trPr>
        <w:tc>
          <w:tcPr>
            <w:tcW w:w="3540" w:type="dxa"/>
            <w:vAlign w:val="bottom"/>
            <w:tcBorders>
              <w:bottom w:val="single" w:sz="8" w:color="A6A6A6"/>
            </w:tcBorders>
          </w:tcPr>
          <w:p>
            <w:pPr>
              <w:spacing w:after="0"/>
              <w:rPr>
                <w:sz w:val="3"/>
                <w:szCs w:val="3"/>
                <w:color w:val="auto"/>
              </w:rPr>
            </w:pPr>
          </w:p>
        </w:tc>
        <w:tc>
          <w:tcPr>
            <w:tcW w:w="178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540" w:type="dxa"/>
            <w:vAlign w:val="bottom"/>
          </w:tcPr>
          <w:p>
            <w:pPr>
              <w:spacing w:after="0"/>
              <w:rPr>
                <w:sz w:val="20"/>
                <w:szCs w:val="20"/>
                <w:color w:val="auto"/>
              </w:rPr>
            </w:pPr>
            <w:r>
              <w:rPr>
                <w:rFonts w:ascii="Arial" w:cs="Arial" w:eastAsia="Arial" w:hAnsi="Arial"/>
                <w:sz w:val="18"/>
                <w:szCs w:val="18"/>
                <w:b w:val="1"/>
                <w:bCs w:val="1"/>
                <w:color w:val="3983C5"/>
              </w:rPr>
              <w:t>Louisville, Kentucky</w:t>
            </w:r>
          </w:p>
        </w:tc>
        <w:tc>
          <w:tcPr>
            <w:tcW w:w="1780" w:type="dxa"/>
            <w:vAlign w:val="bottom"/>
          </w:tcPr>
          <w:p>
            <w:pPr>
              <w:jc w:val="right"/>
              <w:ind w:right="51"/>
              <w:spacing w:after="0"/>
              <w:rPr>
                <w:sz w:val="20"/>
                <w:szCs w:val="20"/>
                <w:color w:val="auto"/>
              </w:rPr>
            </w:pPr>
            <w:r>
              <w:rPr>
                <w:rFonts w:ascii="Arial" w:cs="Arial" w:eastAsia="Arial" w:hAnsi="Arial"/>
                <w:sz w:val="18"/>
                <w:szCs w:val="18"/>
                <w:color w:val="auto"/>
              </w:rPr>
              <w:t>62,150</w:t>
            </w:r>
          </w:p>
        </w:tc>
        <w:tc>
          <w:tcPr>
            <w:tcW w:w="1980" w:type="dxa"/>
            <w:vAlign w:val="bottom"/>
            <w:gridSpan w:val="2"/>
          </w:tcPr>
          <w:p>
            <w:pPr>
              <w:jc w:val="right"/>
              <w:ind w:right="44"/>
              <w:spacing w:after="0"/>
              <w:rPr>
                <w:sz w:val="20"/>
                <w:szCs w:val="20"/>
                <w:color w:val="auto"/>
              </w:rPr>
            </w:pPr>
            <w:r>
              <w:rPr>
                <w:rFonts w:ascii="Arial" w:cs="Arial" w:eastAsia="Arial" w:hAnsi="Arial"/>
                <w:sz w:val="18"/>
                <w:szCs w:val="18"/>
                <w:color w:val="auto"/>
              </w:rPr>
              <w:t>102,000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164,150</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124,400</w:t>
            </w:r>
          </w:p>
        </w:tc>
        <w:tc>
          <w:tcPr>
            <w:tcW w:w="0" w:type="dxa"/>
            <w:vAlign w:val="bottom"/>
          </w:tcPr>
          <w:p>
            <w:pPr>
              <w:spacing w:after="0"/>
              <w:rPr>
                <w:sz w:val="1"/>
                <w:szCs w:val="1"/>
                <w:color w:val="auto"/>
              </w:rPr>
            </w:pPr>
          </w:p>
        </w:tc>
      </w:tr>
      <w:tr>
        <w:trPr>
          <w:trHeight w:val="42"/>
        </w:trPr>
        <w:tc>
          <w:tcPr>
            <w:tcW w:w="3540" w:type="dxa"/>
            <w:vAlign w:val="bottom"/>
            <w:tcBorders>
              <w:bottom w:val="single" w:sz="8" w:color="A6A6A6"/>
            </w:tcBorders>
          </w:tcPr>
          <w:p>
            <w:pPr>
              <w:spacing w:after="0"/>
              <w:rPr>
                <w:sz w:val="3"/>
                <w:szCs w:val="3"/>
                <w:color w:val="auto"/>
              </w:rPr>
            </w:pPr>
          </w:p>
        </w:tc>
        <w:tc>
          <w:tcPr>
            <w:tcW w:w="178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540" w:type="dxa"/>
            <w:vAlign w:val="bottom"/>
          </w:tcPr>
          <w:p>
            <w:pPr>
              <w:spacing w:after="0"/>
              <w:rPr>
                <w:sz w:val="20"/>
                <w:szCs w:val="20"/>
                <w:color w:val="auto"/>
              </w:rPr>
            </w:pPr>
            <w:r>
              <w:rPr>
                <w:rFonts w:ascii="Arial" w:cs="Arial" w:eastAsia="Arial" w:hAnsi="Arial"/>
                <w:sz w:val="18"/>
                <w:szCs w:val="18"/>
                <w:b w:val="1"/>
                <w:bCs w:val="1"/>
                <w:color w:val="3983C5"/>
              </w:rPr>
              <w:t>Fairborn, Ohio</w:t>
            </w:r>
          </w:p>
        </w:tc>
        <w:tc>
          <w:tcPr>
            <w:tcW w:w="1780" w:type="dxa"/>
            <w:vAlign w:val="bottom"/>
          </w:tcPr>
          <w:p>
            <w:pPr>
              <w:jc w:val="right"/>
              <w:ind w:right="51"/>
              <w:spacing w:after="0"/>
              <w:rPr>
                <w:sz w:val="20"/>
                <w:szCs w:val="20"/>
                <w:color w:val="auto"/>
              </w:rPr>
            </w:pPr>
            <w:r>
              <w:rPr>
                <w:rFonts w:ascii="Arial" w:cs="Arial" w:eastAsia="Arial" w:hAnsi="Arial"/>
                <w:sz w:val="18"/>
                <w:szCs w:val="18"/>
                <w:color w:val="auto"/>
              </w:rPr>
              <w:t>13,880</w:t>
            </w:r>
          </w:p>
        </w:tc>
        <w:tc>
          <w:tcPr>
            <w:tcW w:w="1980" w:type="dxa"/>
            <w:vAlign w:val="bottom"/>
            <w:gridSpan w:val="2"/>
          </w:tcPr>
          <w:p>
            <w:pPr>
              <w:jc w:val="right"/>
              <w:ind w:right="44"/>
              <w:spacing w:after="0"/>
              <w:rPr>
                <w:sz w:val="20"/>
                <w:szCs w:val="20"/>
                <w:color w:val="auto"/>
              </w:rPr>
            </w:pPr>
            <w:r>
              <w:rPr>
                <w:rFonts w:ascii="Arial" w:cs="Arial" w:eastAsia="Arial" w:hAnsi="Arial"/>
                <w:sz w:val="18"/>
                <w:szCs w:val="18"/>
                <w:color w:val="auto"/>
              </w:rPr>
              <w:t>19,160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33,040</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69"/>
        </w:trPr>
        <w:tc>
          <w:tcPr>
            <w:tcW w:w="3540" w:type="dxa"/>
            <w:vAlign w:val="bottom"/>
            <w:tcBorders>
              <w:bottom w:val="single" w:sz="8" w:color="A6A6A6"/>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3540" w:type="dxa"/>
            <w:vAlign w:val="bottom"/>
          </w:tcPr>
          <w:p>
            <w:pPr>
              <w:spacing w:after="0"/>
              <w:rPr>
                <w:sz w:val="24"/>
                <w:szCs w:val="24"/>
                <w:color w:val="auto"/>
              </w:rPr>
            </w:pPr>
          </w:p>
        </w:tc>
        <w:tc>
          <w:tcPr>
            <w:tcW w:w="1780" w:type="dxa"/>
            <w:vAlign w:val="bottom"/>
          </w:tcPr>
          <w:p>
            <w:pPr>
              <w:jc w:val="right"/>
              <w:ind w:right="51"/>
              <w:spacing w:after="0"/>
              <w:rPr>
                <w:sz w:val="20"/>
                <w:szCs w:val="20"/>
                <w:color w:val="auto"/>
              </w:rPr>
            </w:pPr>
            <w:r>
              <w:rPr>
                <w:rFonts w:ascii="Arial" w:cs="Arial" w:eastAsia="Arial" w:hAnsi="Arial"/>
                <w:sz w:val="18"/>
                <w:szCs w:val="18"/>
                <w:b w:val="1"/>
                <w:bCs w:val="1"/>
                <w:color w:val="auto"/>
              </w:rPr>
              <w:t>432,155</w:t>
            </w:r>
          </w:p>
        </w:tc>
        <w:tc>
          <w:tcPr>
            <w:tcW w:w="1980" w:type="dxa"/>
            <w:vAlign w:val="bottom"/>
            <w:gridSpan w:val="2"/>
          </w:tcPr>
          <w:p>
            <w:pPr>
              <w:jc w:val="right"/>
              <w:ind w:right="44"/>
              <w:spacing w:after="0"/>
              <w:rPr>
                <w:sz w:val="20"/>
                <w:szCs w:val="20"/>
                <w:color w:val="auto"/>
              </w:rPr>
            </w:pPr>
            <w:r>
              <w:rPr>
                <w:rFonts w:ascii="Arial" w:cs="Arial" w:eastAsia="Arial" w:hAnsi="Arial"/>
                <w:sz w:val="18"/>
                <w:szCs w:val="18"/>
                <w:b w:val="1"/>
                <w:bCs w:val="1"/>
                <w:color w:val="auto"/>
              </w:rPr>
              <w:t>320,110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752,265</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538,100</w:t>
            </w:r>
          </w:p>
        </w:tc>
        <w:tc>
          <w:tcPr>
            <w:tcW w:w="0" w:type="dxa"/>
            <w:vAlign w:val="bottom"/>
          </w:tcPr>
          <w:p>
            <w:pPr>
              <w:spacing w:after="0"/>
              <w:rPr>
                <w:sz w:val="1"/>
                <w:szCs w:val="1"/>
                <w:color w:val="auto"/>
              </w:rPr>
            </w:pPr>
          </w:p>
        </w:tc>
      </w:tr>
      <w:tr>
        <w:trPr>
          <w:trHeight w:val="42"/>
        </w:trPr>
        <w:tc>
          <w:tcPr>
            <w:tcW w:w="354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180" w:hanging="172"/>
        <w:spacing w:after="0" w:line="213" w:lineRule="auto"/>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Measured, Indicated, and Inferred resources are based on an initial assessment using average selling price assumptions ranging from $18.76 to $23.06 per ton depending on location and market.</w:t>
      </w:r>
    </w:p>
    <w:p>
      <w:pPr>
        <w:spacing w:after="0" w:line="1" w:lineRule="exact"/>
        <w:rPr>
          <w:rFonts w:ascii="Arial" w:cs="Arial" w:eastAsia="Arial" w:hAnsi="Arial"/>
          <w:sz w:val="19"/>
          <w:szCs w:val="19"/>
          <w:color w:val="auto"/>
          <w:vertAlign w:val="superscript"/>
        </w:rPr>
      </w:pPr>
    </w:p>
    <w:p>
      <w:pPr>
        <w:ind w:left="180" w:right="60" w:hanging="172"/>
        <w:spacing w:after="0" w:line="204" w:lineRule="auto"/>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point of reference for reserves other than the Louisville and Buda locations are recorded on a recoverable or "run-of-mine" basis. Louisville and Buda are recorded on an in situ basis.</w:t>
      </w:r>
    </w:p>
    <w:p>
      <w:pPr>
        <w:spacing w:after="0" w:line="1" w:lineRule="exact"/>
        <w:rPr>
          <w:rFonts w:ascii="Arial" w:cs="Arial" w:eastAsia="Arial" w:hAnsi="Arial"/>
          <w:sz w:val="19"/>
          <w:szCs w:val="19"/>
          <w:color w:val="auto"/>
          <w:vertAlign w:val="superscript"/>
        </w:rPr>
      </w:pPr>
    </w:p>
    <w:p>
      <w:pPr>
        <w:ind w:left="180" w:hanging="172"/>
        <w:spacing w:after="0" w:line="193" w:lineRule="auto"/>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Reflects the Company's 50% ownership interest.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limestone reserves serving each of our cement plants at March 31, 2026.</w:t>
      </w:r>
    </w:p>
    <w:p>
      <w:pPr>
        <w:spacing w:after="0" w:line="189"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 xml:space="preserve">Limestone Reserves </w:t>
      </w:r>
      <w:r>
        <w:rPr>
          <w:rFonts w:ascii="Arial" w:cs="Arial" w:eastAsia="Arial" w:hAnsi="Arial"/>
          <w:sz w:val="21"/>
          <w:szCs w:val="21"/>
          <w:b w:val="1"/>
          <w:bCs w:val="1"/>
          <w:color w:val="auto"/>
          <w:vertAlign w:val="superscript"/>
        </w:rPr>
        <w:t>(1)(2)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right"/>
              <w:ind w:right="524"/>
              <w:spacing w:after="0"/>
              <w:rPr>
                <w:sz w:val="20"/>
                <w:szCs w:val="20"/>
                <w:color w:val="auto"/>
              </w:rPr>
            </w:pPr>
            <w:r>
              <w:rPr>
                <w:rFonts w:ascii="Arial" w:cs="Arial" w:eastAsia="Arial" w:hAnsi="Arial"/>
                <w:sz w:val="14"/>
                <w:szCs w:val="14"/>
                <w:color w:val="auto"/>
              </w:rPr>
              <w:t>(tons in thousands)</w:t>
            </w:r>
          </w:p>
        </w:tc>
        <w:tc>
          <w:tcPr>
            <w:tcW w:w="2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6"/>
                <w:szCs w:val="16"/>
                <w:b w:val="1"/>
                <w:bCs w:val="1"/>
                <w:color w:val="auto"/>
              </w:rPr>
              <w:t>Location</w:t>
            </w:r>
          </w:p>
        </w:tc>
        <w:tc>
          <w:tcPr>
            <w:tcW w:w="2300" w:type="dxa"/>
            <w:vAlign w:val="bottom"/>
          </w:tcPr>
          <w:p>
            <w:pPr>
              <w:jc w:val="right"/>
              <w:ind w:right="51"/>
              <w:spacing w:after="0"/>
              <w:rPr>
                <w:sz w:val="20"/>
                <w:szCs w:val="20"/>
                <w:color w:val="auto"/>
              </w:rPr>
            </w:pPr>
            <w:r>
              <w:rPr>
                <w:rFonts w:ascii="Arial" w:cs="Arial" w:eastAsia="Arial" w:hAnsi="Arial"/>
                <w:sz w:val="16"/>
                <w:szCs w:val="16"/>
                <w:b w:val="1"/>
                <w:bCs w:val="1"/>
                <w:color w:val="auto"/>
              </w:rPr>
              <w:t>Proven</w:t>
            </w:r>
          </w:p>
        </w:tc>
        <w:tc>
          <w:tcPr>
            <w:tcW w:w="280" w:type="dxa"/>
            <w:vAlign w:val="bottom"/>
          </w:tcPr>
          <w:p>
            <w:pPr>
              <w:spacing w:after="0"/>
              <w:rPr>
                <w:sz w:val="19"/>
                <w:szCs w:val="19"/>
                <w:color w:val="auto"/>
              </w:rPr>
            </w:pPr>
          </w:p>
        </w:tc>
        <w:tc>
          <w:tcPr>
            <w:tcW w:w="2240" w:type="dxa"/>
            <w:vAlign w:val="bottom"/>
          </w:tcPr>
          <w:p>
            <w:pPr>
              <w:jc w:val="right"/>
              <w:ind w:right="44"/>
              <w:spacing w:after="0"/>
              <w:rPr>
                <w:sz w:val="20"/>
                <w:szCs w:val="20"/>
                <w:color w:val="auto"/>
              </w:rPr>
            </w:pPr>
            <w:r>
              <w:rPr>
                <w:rFonts w:ascii="Arial" w:cs="Arial" w:eastAsia="Arial" w:hAnsi="Arial"/>
                <w:sz w:val="16"/>
                <w:szCs w:val="16"/>
                <w:b w:val="1"/>
                <w:bCs w:val="1"/>
                <w:color w:val="auto"/>
              </w:rPr>
              <w:t>Probable</w:t>
            </w:r>
          </w:p>
        </w:tc>
        <w:tc>
          <w:tcPr>
            <w:tcW w:w="280" w:type="dxa"/>
            <w:vAlign w:val="bottom"/>
          </w:tcPr>
          <w:p>
            <w:pPr>
              <w:spacing w:after="0"/>
              <w:rPr>
                <w:sz w:val="19"/>
                <w:szCs w:val="19"/>
                <w:color w:val="auto"/>
              </w:rPr>
            </w:pPr>
          </w:p>
        </w:tc>
        <w:tc>
          <w:tcPr>
            <w:tcW w:w="22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Proven &amp; Probable</w:t>
            </w:r>
          </w:p>
        </w:tc>
      </w:tr>
      <w:tr>
        <w:trPr>
          <w:trHeight w:val="68"/>
        </w:trPr>
        <w:tc>
          <w:tcPr>
            <w:tcW w:w="390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r>
      <w:tr>
        <w:trPr>
          <w:trHeight w:val="338"/>
        </w:trPr>
        <w:tc>
          <w:tcPr>
            <w:tcW w:w="39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3983C5"/>
              </w:rPr>
              <w:t xml:space="preserve">Buda, Texas </w:t>
            </w:r>
            <w:r>
              <w:rPr>
                <w:rFonts w:ascii="Arial" w:cs="Arial" w:eastAsia="Arial" w:hAnsi="Arial"/>
                <w:sz w:val="24"/>
                <w:szCs w:val="24"/>
                <w:b w:val="1"/>
                <w:bCs w:val="1"/>
                <w:color w:val="3983C5"/>
                <w:vertAlign w:val="superscript"/>
              </w:rPr>
              <w:t>(3)</w:t>
            </w:r>
          </w:p>
        </w:tc>
        <w:tc>
          <w:tcPr>
            <w:tcW w:w="2300" w:type="dxa"/>
            <w:vAlign w:val="bottom"/>
            <w:tcBorders>
              <w:bottom w:val="single" w:sz="8" w:color="A6A6A6"/>
            </w:tcBorders>
          </w:tcPr>
          <w:p>
            <w:pPr>
              <w:jc w:val="right"/>
              <w:ind w:right="51"/>
              <w:spacing w:after="0"/>
              <w:rPr>
                <w:sz w:val="20"/>
                <w:szCs w:val="20"/>
                <w:color w:val="auto"/>
              </w:rPr>
            </w:pPr>
            <w:r>
              <w:rPr>
                <w:rFonts w:ascii="Arial" w:cs="Arial" w:eastAsia="Arial" w:hAnsi="Arial"/>
                <w:sz w:val="18"/>
                <w:szCs w:val="18"/>
                <w:color w:val="auto"/>
              </w:rPr>
              <w:t>23,800</w:t>
            </w:r>
          </w:p>
        </w:tc>
        <w:tc>
          <w:tcPr>
            <w:tcW w:w="2520" w:type="dxa"/>
            <w:vAlign w:val="bottom"/>
            <w:tcBorders>
              <w:bottom w:val="single" w:sz="8" w:color="A6A6A6"/>
            </w:tcBorders>
            <w:gridSpan w:val="2"/>
          </w:tcPr>
          <w:p>
            <w:pPr>
              <w:jc w:val="right"/>
              <w:ind w:right="44"/>
              <w:spacing w:after="0"/>
              <w:rPr>
                <w:sz w:val="20"/>
                <w:szCs w:val="20"/>
                <w:color w:val="auto"/>
              </w:rPr>
            </w:pPr>
            <w:r>
              <w:rPr>
                <w:rFonts w:ascii="Arial" w:cs="Arial" w:eastAsia="Arial" w:hAnsi="Arial"/>
                <w:sz w:val="18"/>
                <w:szCs w:val="18"/>
                <w:color w:val="auto"/>
              </w:rPr>
              <w:t>14,340</w:t>
            </w:r>
          </w:p>
        </w:tc>
        <w:tc>
          <w:tcPr>
            <w:tcW w:w="2520" w:type="dxa"/>
            <w:vAlign w:val="bottom"/>
            <w:tcBorders>
              <w:bottom w:val="single" w:sz="8" w:color="A6A6A6"/>
            </w:tcBorders>
            <w:gridSpan w:val="2"/>
          </w:tcPr>
          <w:p>
            <w:pPr>
              <w:jc w:val="right"/>
              <w:ind w:right="39"/>
              <w:spacing w:after="0"/>
              <w:rPr>
                <w:sz w:val="20"/>
                <w:szCs w:val="20"/>
                <w:color w:val="auto"/>
              </w:rPr>
            </w:pPr>
            <w:r>
              <w:rPr>
                <w:rFonts w:ascii="Arial" w:cs="Arial" w:eastAsia="Arial" w:hAnsi="Arial"/>
                <w:sz w:val="18"/>
                <w:szCs w:val="18"/>
                <w:color w:val="auto"/>
              </w:rPr>
              <w:t>38,140</w:t>
            </w: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LaSalle, Illinois</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14,500</w:t>
            </w:r>
          </w:p>
        </w:tc>
        <w:tc>
          <w:tcPr>
            <w:tcW w:w="2520" w:type="dxa"/>
            <w:vAlign w:val="bottom"/>
            <w:gridSpan w:val="2"/>
          </w:tcPr>
          <w:p>
            <w:pPr>
              <w:jc w:val="right"/>
              <w:ind w:right="44"/>
              <w:spacing w:after="0"/>
              <w:rPr>
                <w:sz w:val="20"/>
                <w:szCs w:val="20"/>
                <w:color w:val="auto"/>
              </w:rPr>
            </w:pPr>
            <w:r>
              <w:rPr>
                <w:rFonts w:ascii="Arial" w:cs="Arial" w:eastAsia="Arial" w:hAnsi="Arial"/>
                <w:sz w:val="18"/>
                <w:szCs w:val="18"/>
                <w:color w:val="auto"/>
              </w:rPr>
              <w:t>3,020</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color w:val="auto"/>
              </w:rPr>
              <w:t>17,520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Sugar Creek, Missouri</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22,070</w:t>
            </w:r>
          </w:p>
        </w:tc>
        <w:tc>
          <w:tcPr>
            <w:tcW w:w="2520" w:type="dxa"/>
            <w:vAlign w:val="bottom"/>
            <w:gridSpan w:val="2"/>
          </w:tcPr>
          <w:p>
            <w:pPr>
              <w:jc w:val="right"/>
              <w:ind w:right="44"/>
              <w:spacing w:after="0"/>
              <w:rPr>
                <w:sz w:val="20"/>
                <w:szCs w:val="20"/>
                <w:color w:val="auto"/>
              </w:rPr>
            </w:pPr>
            <w:r>
              <w:rPr>
                <w:rFonts w:ascii="Arial" w:cs="Arial" w:eastAsia="Arial" w:hAnsi="Arial"/>
                <w:sz w:val="18"/>
                <w:szCs w:val="18"/>
                <w:color w:val="auto"/>
              </w:rPr>
              <w:t>4,900</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color w:val="auto"/>
              </w:rPr>
              <w:t>26,970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Laramie, Wyoming</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36,640</w:t>
            </w:r>
          </w:p>
        </w:tc>
        <w:tc>
          <w:tcPr>
            <w:tcW w:w="2520" w:type="dxa"/>
            <w:vAlign w:val="bottom"/>
            <w:gridSpan w:val="2"/>
          </w:tcPr>
          <w:p>
            <w:pPr>
              <w:jc w:val="right"/>
              <w:ind w:right="44"/>
              <w:spacing w:after="0"/>
              <w:rPr>
                <w:sz w:val="20"/>
                <w:szCs w:val="20"/>
                <w:color w:val="auto"/>
              </w:rPr>
            </w:pPr>
            <w:r>
              <w:rPr>
                <w:rFonts w:ascii="Arial" w:cs="Arial" w:eastAsia="Arial" w:hAnsi="Arial"/>
                <w:sz w:val="18"/>
                <w:szCs w:val="18"/>
                <w:color w:val="auto"/>
              </w:rPr>
              <w:t>24,370</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color w:val="auto"/>
              </w:rPr>
              <w:t>61,010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Tulsa, Oklahoma</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33,780</w:t>
            </w:r>
          </w:p>
        </w:tc>
        <w:tc>
          <w:tcPr>
            <w:tcW w:w="2520" w:type="dxa"/>
            <w:vAlign w:val="bottom"/>
            <w:gridSpan w:val="2"/>
          </w:tcPr>
          <w:p>
            <w:pPr>
              <w:jc w:val="right"/>
              <w:ind w:right="44"/>
              <w:spacing w:after="0"/>
              <w:rPr>
                <w:sz w:val="20"/>
                <w:szCs w:val="20"/>
                <w:color w:val="auto"/>
              </w:rPr>
            </w:pPr>
            <w:r>
              <w:rPr>
                <w:rFonts w:ascii="Arial" w:cs="Arial" w:eastAsia="Arial" w:hAnsi="Arial"/>
                <w:sz w:val="18"/>
                <w:szCs w:val="18"/>
                <w:color w:val="auto"/>
              </w:rPr>
              <w:t>280</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color w:val="auto"/>
              </w:rPr>
              <w:t>34,060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Fernley, Nevada</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17,260</w:t>
            </w:r>
          </w:p>
        </w:tc>
        <w:tc>
          <w:tcPr>
            <w:tcW w:w="2520" w:type="dxa"/>
            <w:vAlign w:val="bottom"/>
            <w:gridSpan w:val="2"/>
          </w:tcPr>
          <w:p>
            <w:pPr>
              <w:jc w:val="right"/>
              <w:ind w:right="44"/>
              <w:spacing w:after="0"/>
              <w:rPr>
                <w:sz w:val="20"/>
                <w:szCs w:val="20"/>
                <w:color w:val="auto"/>
              </w:rPr>
            </w:pPr>
            <w:r>
              <w:rPr>
                <w:rFonts w:ascii="Arial" w:cs="Arial" w:eastAsia="Arial" w:hAnsi="Arial"/>
                <w:sz w:val="18"/>
                <w:szCs w:val="18"/>
                <w:color w:val="auto"/>
              </w:rPr>
              <w:t>7,050</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color w:val="auto"/>
              </w:rPr>
              <w:t>24,310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Louisville, Kentucky</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43,260</w:t>
            </w:r>
          </w:p>
        </w:tc>
        <w:tc>
          <w:tcPr>
            <w:tcW w:w="2520" w:type="dxa"/>
            <w:vAlign w:val="bottom"/>
            <w:gridSpan w:val="2"/>
          </w:tcPr>
          <w:p>
            <w:pPr>
              <w:jc w:val="right"/>
              <w:ind w:right="44"/>
              <w:spacing w:after="0"/>
              <w:rPr>
                <w:sz w:val="20"/>
                <w:szCs w:val="20"/>
                <w:color w:val="auto"/>
              </w:rPr>
            </w:pPr>
            <w:r>
              <w:rPr>
                <w:rFonts w:ascii="Arial" w:cs="Arial" w:eastAsia="Arial" w:hAnsi="Arial"/>
                <w:sz w:val="18"/>
                <w:szCs w:val="18"/>
                <w:color w:val="auto"/>
              </w:rPr>
              <w:t>45,330</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color w:val="auto"/>
              </w:rPr>
              <w:t>88,590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Fairborn, Ohio</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22,620</w:t>
            </w:r>
          </w:p>
        </w:tc>
        <w:tc>
          <w:tcPr>
            <w:tcW w:w="2520" w:type="dxa"/>
            <w:vAlign w:val="bottom"/>
            <w:gridSpan w:val="2"/>
          </w:tcPr>
          <w:p>
            <w:pPr>
              <w:jc w:val="right"/>
              <w:ind w:right="44"/>
              <w:spacing w:after="0"/>
              <w:rPr>
                <w:sz w:val="20"/>
                <w:szCs w:val="20"/>
                <w:color w:val="auto"/>
              </w:rPr>
            </w:pPr>
            <w:r>
              <w:rPr>
                <w:rFonts w:ascii="Arial" w:cs="Arial" w:eastAsia="Arial" w:hAnsi="Arial"/>
                <w:sz w:val="18"/>
                <w:szCs w:val="18"/>
                <w:color w:val="auto"/>
              </w:rPr>
              <w:t>40</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color w:val="auto"/>
              </w:rPr>
              <w:t>22,660</w:t>
            </w:r>
          </w:p>
        </w:tc>
      </w:tr>
      <w:tr>
        <w:trPr>
          <w:trHeight w:val="69"/>
        </w:trPr>
        <w:tc>
          <w:tcPr>
            <w:tcW w:w="3900" w:type="dxa"/>
            <w:vAlign w:val="bottom"/>
            <w:tcBorders>
              <w:bottom w:val="single" w:sz="8" w:color="A6A6A6"/>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r>
      <w:tr>
        <w:trPr>
          <w:trHeight w:val="289"/>
        </w:trPr>
        <w:tc>
          <w:tcPr>
            <w:tcW w:w="3900" w:type="dxa"/>
            <w:vAlign w:val="bottom"/>
          </w:tcPr>
          <w:p>
            <w:pPr>
              <w:spacing w:after="0"/>
              <w:rPr>
                <w:sz w:val="24"/>
                <w:szCs w:val="24"/>
                <w:color w:val="auto"/>
              </w:rPr>
            </w:pPr>
          </w:p>
        </w:tc>
        <w:tc>
          <w:tcPr>
            <w:tcW w:w="2300" w:type="dxa"/>
            <w:vAlign w:val="bottom"/>
          </w:tcPr>
          <w:p>
            <w:pPr>
              <w:jc w:val="right"/>
              <w:ind w:right="51"/>
              <w:spacing w:after="0"/>
              <w:rPr>
                <w:sz w:val="20"/>
                <w:szCs w:val="20"/>
                <w:color w:val="auto"/>
              </w:rPr>
            </w:pPr>
            <w:r>
              <w:rPr>
                <w:rFonts w:ascii="Arial" w:cs="Arial" w:eastAsia="Arial" w:hAnsi="Arial"/>
                <w:sz w:val="18"/>
                <w:szCs w:val="18"/>
                <w:b w:val="1"/>
                <w:bCs w:val="1"/>
                <w:color w:val="auto"/>
              </w:rPr>
              <w:t>213,930</w:t>
            </w:r>
          </w:p>
        </w:tc>
        <w:tc>
          <w:tcPr>
            <w:tcW w:w="2520" w:type="dxa"/>
            <w:vAlign w:val="bottom"/>
            <w:gridSpan w:val="2"/>
          </w:tcPr>
          <w:p>
            <w:pPr>
              <w:jc w:val="right"/>
              <w:ind w:right="44"/>
              <w:spacing w:after="0"/>
              <w:rPr>
                <w:sz w:val="20"/>
                <w:szCs w:val="20"/>
                <w:color w:val="auto"/>
              </w:rPr>
            </w:pPr>
            <w:r>
              <w:rPr>
                <w:rFonts w:ascii="Arial" w:cs="Arial" w:eastAsia="Arial" w:hAnsi="Arial"/>
                <w:sz w:val="18"/>
                <w:szCs w:val="18"/>
                <w:b w:val="1"/>
                <w:bCs w:val="1"/>
                <w:color w:val="auto"/>
              </w:rPr>
              <w:t>99,330</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313,260</w:t>
            </w:r>
          </w:p>
        </w:tc>
      </w:tr>
      <w:tr>
        <w:trPr>
          <w:trHeight w:val="42"/>
        </w:trPr>
        <w:tc>
          <w:tcPr>
            <w:tcW w:w="3900" w:type="dxa"/>
            <w:vAlign w:val="bottom"/>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20"/>
        </w:trPr>
        <w:tc>
          <w:tcPr>
            <w:tcW w:w="39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economic viability of our reserves was determined using average limestone prices ranging from $18.76 to $23.06 per ton, depending on location and market.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95" w:lineRule="exact"/>
        <w:rPr>
          <w:sz w:val="20"/>
          <w:szCs w:val="20"/>
          <w:color w:val="auto"/>
        </w:rPr>
      </w:pPr>
    </w:p>
    <w:p>
      <w:pPr>
        <w:ind w:left="180" w:right="60" w:hanging="172"/>
        <w:spacing w:after="0" w:line="213" w:lineRule="auto"/>
        <w:tabs>
          <w:tab w:leader="none" w:pos="1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point of reference for reserves other than the Louisville and Buda locations are recorded on a recoverable or "run-of-mine" basis. Louisville and Buda are recorded on an in situ basis.</w:t>
      </w:r>
    </w:p>
    <w:p>
      <w:pPr>
        <w:spacing w:after="0" w:line="1" w:lineRule="exact"/>
        <w:rPr>
          <w:rFonts w:ascii="Arial" w:cs="Arial" w:eastAsia="Arial" w:hAnsi="Arial"/>
          <w:sz w:val="19"/>
          <w:szCs w:val="19"/>
          <w:color w:val="auto"/>
          <w:vertAlign w:val="superscript"/>
        </w:rPr>
      </w:pPr>
    </w:p>
    <w:p>
      <w:pPr>
        <w:ind w:left="180" w:hanging="172"/>
        <w:spacing w:after="0" w:line="193" w:lineRule="auto"/>
        <w:tabs>
          <w:tab w:leader="none" w:pos="1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Reflects the Company's 50% ownership interest.</w:t>
      </w:r>
    </w:p>
    <w:p>
      <w:pPr>
        <w:spacing w:after="0" w:line="179"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Our total measured and indicated limestone resources were 752.3 million tons at March 31, 2026, compared with 728.4 million tons at March 31, 2025. Our total proven and probable reserves were 313.3 million tons at March 31, 2026, compared with 321.2 million tons at March 31, 2025. The decrease was primarily due to depletion during fiscal 2026.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annual production volumes from our cement quarries for each of the following fiscal years.</w:t>
      </w:r>
    </w:p>
    <w:p>
      <w:pPr>
        <w:spacing w:after="0" w:line="324"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Tons Mined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(tons in thousands)</w:t>
            </w:r>
          </w:p>
        </w:tc>
        <w:tc>
          <w:tcPr>
            <w:tcW w:w="2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6"/>
                <w:szCs w:val="16"/>
                <w:b w:val="1"/>
                <w:bCs w:val="1"/>
                <w:color w:val="auto"/>
              </w:rPr>
              <w:t>Location</w:t>
            </w:r>
          </w:p>
        </w:tc>
        <w:tc>
          <w:tcPr>
            <w:tcW w:w="2300" w:type="dxa"/>
            <w:vAlign w:val="bottom"/>
          </w:tcPr>
          <w:p>
            <w:pPr>
              <w:jc w:val="right"/>
              <w:ind w:right="51"/>
              <w:spacing w:after="0"/>
              <w:rPr>
                <w:sz w:val="20"/>
                <w:szCs w:val="20"/>
                <w:color w:val="auto"/>
              </w:rPr>
            </w:pPr>
            <w:r>
              <w:rPr>
                <w:rFonts w:ascii="Arial" w:cs="Arial" w:eastAsia="Arial" w:hAnsi="Arial"/>
                <w:sz w:val="16"/>
                <w:szCs w:val="16"/>
                <w:b w:val="1"/>
                <w:bCs w:val="1"/>
                <w:color w:val="auto"/>
              </w:rPr>
              <w:t>2026</w:t>
            </w:r>
          </w:p>
        </w:tc>
        <w:tc>
          <w:tcPr>
            <w:tcW w:w="252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2025</w:t>
            </w:r>
          </w:p>
        </w:tc>
        <w:tc>
          <w:tcPr>
            <w:tcW w:w="25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2024</w:t>
            </w:r>
          </w:p>
        </w:tc>
      </w:tr>
      <w:tr>
        <w:trPr>
          <w:trHeight w:val="69"/>
        </w:trPr>
        <w:tc>
          <w:tcPr>
            <w:tcW w:w="390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r>
      <w:tr>
        <w:trPr>
          <w:trHeight w:val="338"/>
        </w:trPr>
        <w:tc>
          <w:tcPr>
            <w:tcW w:w="39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3983C5"/>
              </w:rPr>
              <w:t xml:space="preserve">Buda, Texas </w:t>
            </w:r>
            <w:r>
              <w:rPr>
                <w:rFonts w:ascii="Arial" w:cs="Arial" w:eastAsia="Arial" w:hAnsi="Arial"/>
                <w:sz w:val="24"/>
                <w:szCs w:val="24"/>
                <w:b w:val="1"/>
                <w:bCs w:val="1"/>
                <w:color w:val="3983C5"/>
                <w:vertAlign w:val="superscript"/>
              </w:rPr>
              <w:t>(1)</w:t>
            </w:r>
          </w:p>
        </w:tc>
        <w:tc>
          <w:tcPr>
            <w:tcW w:w="2300" w:type="dxa"/>
            <w:vAlign w:val="bottom"/>
            <w:tcBorders>
              <w:bottom w:val="single" w:sz="8" w:color="A6A6A6"/>
            </w:tcBorders>
          </w:tcPr>
          <w:p>
            <w:pPr>
              <w:jc w:val="right"/>
              <w:ind w:right="51"/>
              <w:spacing w:after="0"/>
              <w:rPr>
                <w:sz w:val="20"/>
                <w:szCs w:val="20"/>
                <w:color w:val="auto"/>
              </w:rPr>
            </w:pPr>
            <w:r>
              <w:rPr>
                <w:rFonts w:ascii="Arial" w:cs="Arial" w:eastAsia="Arial" w:hAnsi="Arial"/>
                <w:sz w:val="18"/>
                <w:szCs w:val="18"/>
                <w:color w:val="auto"/>
              </w:rPr>
              <w:t>540</w:t>
            </w:r>
          </w:p>
        </w:tc>
        <w:tc>
          <w:tcPr>
            <w:tcW w:w="2520" w:type="dxa"/>
            <w:vAlign w:val="bottom"/>
            <w:tcBorders>
              <w:bottom w:val="single" w:sz="8" w:color="A6A6A6"/>
            </w:tcBorders>
            <w:gridSpan w:val="2"/>
          </w:tcPr>
          <w:p>
            <w:pPr>
              <w:jc w:val="right"/>
              <w:ind w:right="48"/>
              <w:spacing w:after="0"/>
              <w:rPr>
                <w:sz w:val="20"/>
                <w:szCs w:val="20"/>
                <w:color w:val="auto"/>
              </w:rPr>
            </w:pPr>
            <w:r>
              <w:rPr>
                <w:rFonts w:ascii="Arial" w:cs="Arial" w:eastAsia="Arial" w:hAnsi="Arial"/>
                <w:sz w:val="18"/>
                <w:szCs w:val="18"/>
                <w:color w:val="auto"/>
              </w:rPr>
              <w:t>515</w:t>
            </w:r>
          </w:p>
        </w:tc>
        <w:tc>
          <w:tcPr>
            <w:tcW w:w="2520" w:type="dxa"/>
            <w:vAlign w:val="bottom"/>
            <w:tcBorders>
              <w:bottom w:val="single" w:sz="8" w:color="A6A6A6"/>
            </w:tcBorders>
            <w:gridSpan w:val="2"/>
          </w:tcPr>
          <w:p>
            <w:pPr>
              <w:jc w:val="right"/>
              <w:ind w:right="120"/>
              <w:spacing w:after="0"/>
              <w:rPr>
                <w:sz w:val="20"/>
                <w:szCs w:val="20"/>
                <w:color w:val="auto"/>
              </w:rPr>
            </w:pPr>
            <w:r>
              <w:rPr>
                <w:rFonts w:ascii="Arial" w:cs="Arial" w:eastAsia="Arial" w:hAnsi="Arial"/>
                <w:sz w:val="18"/>
                <w:szCs w:val="18"/>
                <w:color w:val="auto"/>
              </w:rPr>
              <w:t>800</w:t>
            </w: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LaSalle, Illinois</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930</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color w:val="auto"/>
              </w:rPr>
              <w:t>1,015</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1,180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Sugar Creek, Missouri</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945</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color w:val="auto"/>
              </w:rPr>
              <w:t>915</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Laramie, Wyoming</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664</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color w:val="auto"/>
              </w:rPr>
              <w:t>870</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915</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Tulsa, Oklahoma</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900</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color w:val="auto"/>
              </w:rPr>
              <w:t>760</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885</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Fernley, Nevada</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505</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color w:val="auto"/>
              </w:rPr>
              <w:t>510</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Louisville, Kentucky</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2,295</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color w:val="auto"/>
              </w:rPr>
              <w:t>1,850</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1,965</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3983C5"/>
              </w:rPr>
              <w:t>Fairborn, Ohio</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880</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color w:val="auto"/>
              </w:rPr>
              <w:t>910</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870</w:t>
            </w:r>
          </w:p>
        </w:tc>
      </w:tr>
      <w:tr>
        <w:trPr>
          <w:trHeight w:val="69"/>
        </w:trPr>
        <w:tc>
          <w:tcPr>
            <w:tcW w:w="3900" w:type="dxa"/>
            <w:vAlign w:val="bottom"/>
            <w:tcBorders>
              <w:bottom w:val="single" w:sz="8" w:color="A6A6A6"/>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r>
      <w:tr>
        <w:trPr>
          <w:trHeight w:val="289"/>
        </w:trPr>
        <w:tc>
          <w:tcPr>
            <w:tcW w:w="3900" w:type="dxa"/>
            <w:vAlign w:val="bottom"/>
          </w:tcPr>
          <w:p>
            <w:pPr>
              <w:spacing w:after="0"/>
              <w:rPr>
                <w:sz w:val="24"/>
                <w:szCs w:val="24"/>
                <w:color w:val="auto"/>
              </w:rPr>
            </w:pPr>
          </w:p>
        </w:tc>
        <w:tc>
          <w:tcPr>
            <w:tcW w:w="2300" w:type="dxa"/>
            <w:vAlign w:val="bottom"/>
          </w:tcPr>
          <w:p>
            <w:pPr>
              <w:jc w:val="right"/>
              <w:ind w:right="51"/>
              <w:spacing w:after="0"/>
              <w:rPr>
                <w:sz w:val="20"/>
                <w:szCs w:val="20"/>
                <w:color w:val="auto"/>
              </w:rPr>
            </w:pPr>
            <w:r>
              <w:rPr>
                <w:rFonts w:ascii="Arial" w:cs="Arial" w:eastAsia="Arial" w:hAnsi="Arial"/>
                <w:sz w:val="18"/>
                <w:szCs w:val="18"/>
                <w:b w:val="1"/>
                <w:bCs w:val="1"/>
                <w:color w:val="auto"/>
              </w:rPr>
              <w:t>7,659</w:t>
            </w:r>
          </w:p>
        </w:tc>
        <w:tc>
          <w:tcPr>
            <w:tcW w:w="252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7,345</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8,045</w:t>
            </w:r>
          </w:p>
        </w:tc>
      </w:tr>
      <w:tr>
        <w:trPr>
          <w:trHeight w:val="42"/>
        </w:trPr>
        <w:tc>
          <w:tcPr>
            <w:tcW w:w="3900" w:type="dxa"/>
            <w:vAlign w:val="bottom"/>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20"/>
        </w:trPr>
        <w:tc>
          <w:tcPr>
            <w:tcW w:w="39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Reflects the Company's 50% ownership interest</w:t>
      </w:r>
      <w:r>
        <w:rPr>
          <w:rFonts w:ascii="Arial" w:cs="Arial" w:eastAsia="Arial" w:hAnsi="Arial"/>
          <w:sz w:val="19"/>
          <w:szCs w:val="19"/>
          <w:color w:val="auto"/>
          <w:vertAlign w:val="superscript"/>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AAC6"/>
        </w:rPr>
        <w:t>Aggregate Mining Properties</w:t>
      </w:r>
    </w:p>
    <w:p>
      <w:pPr>
        <w:spacing w:after="0" w:line="104"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We have Aggregate operations near most of our concrete facilities as well as other locations throughout the US. Aggregates are obtained principally by mining and extracting from quarries owned or leased by the Company. The Company operates all its quarries, and mining at our quarries is done by Company personnel.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Mineral resources and reserves for our aggregate plants consist of both sand and gravel, as well as limestone.</w:t>
      </w:r>
    </w:p>
    <w:p>
      <w:pPr>
        <w:spacing w:after="0" w:line="10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As of March 31, 2026, we had 205.7 million tons of proven and probable aggregate reserves and 250.9 million tons of measured and indicated aggregate resources, exclusive of aggregate reserves. Approximately 60% of our reserves are owned, with the rest covered under leases expiring between 2040 and 2060. We do not consider any of our individual quarries to be material for disclosure purposes. All our individual locations, with the exception of the Kansas City area, have at least 25 years of reserves and resources. All of our aggregate mines are surface mines with the exception of one.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following table sets forth certain information regarding our aggregates facilities as well as aggregates resources, exclusive of aggregates reserves, at March 31, 2026.</w:t>
      </w:r>
    </w:p>
    <w:p>
      <w:pPr>
        <w:spacing w:after="0" w:line="240"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 xml:space="preserve">Aggregates Resources </w:t>
      </w:r>
      <w:r>
        <w:rPr>
          <w:rFonts w:ascii="Arial" w:cs="Arial" w:eastAsia="Arial" w:hAnsi="Arial"/>
          <w:sz w:val="21"/>
          <w:szCs w:val="21"/>
          <w:b w:val="1"/>
          <w:bCs w:val="1"/>
          <w:color w:val="auto"/>
          <w:vertAlign w:val="superscript"/>
        </w:rPr>
        <w:t>(1)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60" w:type="dxa"/>
            <w:vAlign w:val="bottom"/>
            <w:tcBorders>
              <w:top w:val="single" w:sz="8" w:color="auto"/>
            </w:tcBorders>
            <w:gridSpan w:val="3"/>
          </w:tcPr>
          <w:p>
            <w:pPr>
              <w:jc w:val="right"/>
              <w:ind w:right="875"/>
              <w:spacing w:after="0"/>
              <w:rPr>
                <w:sz w:val="20"/>
                <w:szCs w:val="20"/>
                <w:color w:val="auto"/>
              </w:rPr>
            </w:pPr>
            <w:r>
              <w:rPr>
                <w:rFonts w:ascii="Arial" w:cs="Arial" w:eastAsia="Arial" w:hAnsi="Arial"/>
                <w:sz w:val="14"/>
                <w:szCs w:val="14"/>
                <w:color w:val="auto"/>
              </w:rPr>
              <w:t>(tons in thousands)</w:t>
            </w: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89"/>
        </w:trPr>
        <w:tc>
          <w:tcPr>
            <w:tcW w:w="2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35"/>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Arial" w:cs="Arial" w:eastAsia="Arial" w:hAnsi="Arial"/>
                <w:sz w:val="16"/>
                <w:szCs w:val="16"/>
                <w:b w:val="1"/>
                <w:bCs w:val="1"/>
                <w:color w:val="auto"/>
              </w:rPr>
              <w:t>Measured &amp;</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7"/>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274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Types of Aggregates</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Measured</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Indicated</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Indicated</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Inferred</w:t>
            </w:r>
          </w:p>
        </w:tc>
      </w:tr>
      <w:tr>
        <w:trPr>
          <w:trHeight w:val="295"/>
        </w:trPr>
        <w:tc>
          <w:tcPr>
            <w:tcW w:w="2220" w:type="dxa"/>
            <w:vAlign w:val="bottom"/>
          </w:tcPr>
          <w:p>
            <w:pPr>
              <w:spacing w:after="0"/>
              <w:rPr>
                <w:sz w:val="20"/>
                <w:szCs w:val="20"/>
                <w:color w:val="auto"/>
              </w:rPr>
            </w:pPr>
            <w:r>
              <w:rPr>
                <w:rFonts w:ascii="Arial" w:cs="Arial" w:eastAsia="Arial" w:hAnsi="Arial"/>
                <w:sz w:val="18"/>
                <w:szCs w:val="18"/>
                <w:b w:val="1"/>
                <w:bCs w:val="1"/>
                <w:color w:val="00AAC6"/>
              </w:rPr>
              <w:t>Central Texas</w:t>
            </w:r>
          </w:p>
        </w:tc>
        <w:tc>
          <w:tcPr>
            <w:tcW w:w="2740" w:type="dxa"/>
            <w:vAlign w:val="bottom"/>
          </w:tcPr>
          <w:p>
            <w:pPr>
              <w:ind w:left="280"/>
              <w:spacing w:after="0"/>
              <w:rPr>
                <w:sz w:val="20"/>
                <w:szCs w:val="20"/>
                <w:color w:val="auto"/>
              </w:rPr>
            </w:pPr>
            <w:r>
              <w:rPr>
                <w:rFonts w:ascii="Arial" w:cs="Arial" w:eastAsia="Arial" w:hAnsi="Arial"/>
                <w:sz w:val="18"/>
                <w:szCs w:val="18"/>
                <w:color w:val="auto"/>
              </w:rPr>
              <w:t>Limestone and Gravel</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9"/>
              <w:spacing w:after="0"/>
              <w:rPr>
                <w:sz w:val="20"/>
                <w:szCs w:val="20"/>
                <w:color w:val="auto"/>
              </w:rPr>
            </w:pPr>
            <w:r>
              <w:rPr>
                <w:rFonts w:ascii="Arial" w:cs="Arial" w:eastAsia="Arial" w:hAnsi="Arial"/>
                <w:sz w:val="18"/>
                <w:szCs w:val="18"/>
                <w:color w:val="auto"/>
              </w:rPr>
              <w:t>41,260</w:t>
            </w:r>
          </w:p>
        </w:tc>
      </w:tr>
      <w:tr>
        <w:trPr>
          <w:trHeight w:val="42"/>
        </w:trPr>
        <w:tc>
          <w:tcPr>
            <w:tcW w:w="2220" w:type="dxa"/>
            <w:vAlign w:val="bottom"/>
            <w:tcBorders>
              <w:bottom w:val="single" w:sz="8" w:color="A6A6A6"/>
            </w:tcBorders>
          </w:tcPr>
          <w:p>
            <w:pPr>
              <w:spacing w:after="0"/>
              <w:rPr>
                <w:sz w:val="3"/>
                <w:szCs w:val="3"/>
                <w:color w:val="auto"/>
              </w:rPr>
            </w:pPr>
          </w:p>
        </w:tc>
        <w:tc>
          <w:tcPr>
            <w:tcW w:w="274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r>
        <w:trPr>
          <w:trHeight w:val="331"/>
        </w:trPr>
        <w:tc>
          <w:tcPr>
            <w:tcW w:w="222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AAC6"/>
              </w:rPr>
              <w:t xml:space="preserve">Kansas City Area </w:t>
            </w:r>
            <w:r>
              <w:rPr>
                <w:rFonts w:ascii="Arial" w:cs="Arial" w:eastAsia="Arial" w:hAnsi="Arial"/>
                <w:sz w:val="24"/>
                <w:szCs w:val="24"/>
                <w:b w:val="1"/>
                <w:bCs w:val="1"/>
                <w:color w:val="00AAC6"/>
                <w:vertAlign w:val="superscript"/>
              </w:rPr>
              <w:t>(2)</w:t>
            </w:r>
          </w:p>
        </w:tc>
        <w:tc>
          <w:tcPr>
            <w:tcW w:w="2740" w:type="dxa"/>
            <w:vAlign w:val="bottom"/>
            <w:tcBorders>
              <w:bottom w:val="single" w:sz="8" w:color="A6A6A6"/>
            </w:tcBorders>
          </w:tcPr>
          <w:p>
            <w:pPr>
              <w:ind w:left="280"/>
              <w:spacing w:after="0"/>
              <w:rPr>
                <w:sz w:val="20"/>
                <w:szCs w:val="20"/>
                <w:color w:val="auto"/>
              </w:rPr>
            </w:pPr>
            <w:r>
              <w:rPr>
                <w:rFonts w:ascii="Arial" w:cs="Arial" w:eastAsia="Arial" w:hAnsi="Arial"/>
                <w:sz w:val="18"/>
                <w:szCs w:val="18"/>
                <w:color w:val="auto"/>
              </w:rPr>
              <w:t>Limestone</w:t>
            </w:r>
          </w:p>
        </w:tc>
        <w:tc>
          <w:tcPr>
            <w:tcW w:w="144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6A6A6"/>
            </w:tcBorders>
          </w:tcPr>
          <w:p>
            <w:pPr>
              <w:spacing w:after="0"/>
              <w:rPr>
                <w:sz w:val="24"/>
                <w:szCs w:val="24"/>
                <w:color w:val="auto"/>
              </w:rPr>
            </w:pPr>
          </w:p>
        </w:tc>
        <w:tc>
          <w:tcPr>
            <w:tcW w:w="1460" w:type="dxa"/>
            <w:vAlign w:val="bottom"/>
            <w:tcBorders>
              <w:bottom w:val="single" w:sz="8" w:color="A6A6A6"/>
            </w:tcBorders>
          </w:tcPr>
          <w:p>
            <w:pPr>
              <w:jc w:val="right"/>
              <w:ind w:right="37"/>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6A6A6"/>
            </w:tcBorders>
          </w:tcPr>
          <w:p>
            <w:pPr>
              <w:spacing w:after="0"/>
              <w:rPr>
                <w:sz w:val="24"/>
                <w:szCs w:val="24"/>
                <w:color w:val="auto"/>
              </w:rPr>
            </w:pPr>
          </w:p>
        </w:tc>
        <w:tc>
          <w:tcPr>
            <w:tcW w:w="1440" w:type="dxa"/>
            <w:vAlign w:val="bottom"/>
            <w:tcBorders>
              <w:bottom w:val="single" w:sz="8" w:color="A6A6A6"/>
            </w:tcBorders>
          </w:tcPr>
          <w:p>
            <w:pPr>
              <w:jc w:val="right"/>
              <w:ind w:right="3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6A6A6"/>
            </w:tcBorders>
            <w:gridSpan w:val="2"/>
          </w:tcPr>
          <w:p>
            <w:pPr>
              <w:jc w:val="right"/>
              <w:ind w:right="39"/>
              <w:spacing w:after="0"/>
              <w:rPr>
                <w:sz w:val="20"/>
                <w:szCs w:val="20"/>
                <w:color w:val="auto"/>
              </w:rPr>
            </w:pPr>
            <w:r>
              <w:rPr>
                <w:rFonts w:ascii="Arial" w:cs="Arial" w:eastAsia="Arial" w:hAnsi="Arial"/>
                <w:sz w:val="18"/>
                <w:szCs w:val="18"/>
                <w:color w:val="auto"/>
              </w:rPr>
              <w:t>25,000</w:t>
            </w:r>
          </w:p>
        </w:tc>
      </w:tr>
      <w:tr>
        <w:trPr>
          <w:trHeight w:val="289"/>
        </w:trPr>
        <w:tc>
          <w:tcPr>
            <w:tcW w:w="2220" w:type="dxa"/>
            <w:vAlign w:val="bottom"/>
          </w:tcPr>
          <w:p>
            <w:pPr>
              <w:spacing w:after="0"/>
              <w:rPr>
                <w:sz w:val="20"/>
                <w:szCs w:val="20"/>
                <w:color w:val="auto"/>
              </w:rPr>
            </w:pPr>
            <w:r>
              <w:rPr>
                <w:rFonts w:ascii="Arial" w:cs="Arial" w:eastAsia="Arial" w:hAnsi="Arial"/>
                <w:sz w:val="18"/>
                <w:szCs w:val="18"/>
                <w:b w:val="1"/>
                <w:bCs w:val="1"/>
                <w:color w:val="00AAC6"/>
              </w:rPr>
              <w:t>Northern Colorado</w:t>
            </w:r>
          </w:p>
        </w:tc>
        <w:tc>
          <w:tcPr>
            <w:tcW w:w="2740" w:type="dxa"/>
            <w:vAlign w:val="bottom"/>
          </w:tcPr>
          <w:p>
            <w:pPr>
              <w:ind w:left="280"/>
              <w:spacing w:after="0"/>
              <w:rPr>
                <w:sz w:val="20"/>
                <w:szCs w:val="20"/>
                <w:color w:val="auto"/>
              </w:rPr>
            </w:pPr>
            <w:r>
              <w:rPr>
                <w:rFonts w:ascii="Arial" w:cs="Arial" w:eastAsia="Arial" w:hAnsi="Arial"/>
                <w:sz w:val="18"/>
                <w:szCs w:val="18"/>
                <w:color w:val="auto"/>
              </w:rPr>
              <w:t>Sand and Gravel</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58,660</w:t>
            </w:r>
          </w:p>
        </w:tc>
        <w:tc>
          <w:tcPr>
            <w:tcW w:w="1620" w:type="dxa"/>
            <w:vAlign w:val="bottom"/>
            <w:gridSpan w:val="2"/>
          </w:tcPr>
          <w:p>
            <w:pPr>
              <w:jc w:val="right"/>
              <w:ind w:right="37"/>
              <w:spacing w:after="0"/>
              <w:rPr>
                <w:sz w:val="20"/>
                <w:szCs w:val="20"/>
                <w:color w:val="auto"/>
              </w:rPr>
            </w:pPr>
            <w:r>
              <w:rPr>
                <w:rFonts w:ascii="Arial" w:cs="Arial" w:eastAsia="Arial" w:hAnsi="Arial"/>
                <w:sz w:val="18"/>
                <w:szCs w:val="18"/>
                <w:color w:val="auto"/>
              </w:rPr>
              <w:t>16,915</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color w:val="auto"/>
              </w:rPr>
              <w:t>75,575</w:t>
            </w:r>
          </w:p>
        </w:tc>
        <w:tc>
          <w:tcPr>
            <w:tcW w:w="1620" w:type="dxa"/>
            <w:vAlign w:val="bottom"/>
            <w:gridSpan w:val="2"/>
          </w:tcPr>
          <w:p>
            <w:pPr>
              <w:jc w:val="right"/>
              <w:ind w:right="39"/>
              <w:spacing w:after="0"/>
              <w:rPr>
                <w:sz w:val="20"/>
                <w:szCs w:val="20"/>
                <w:color w:val="auto"/>
              </w:rPr>
            </w:pPr>
            <w:r>
              <w:rPr>
                <w:rFonts w:ascii="Arial" w:cs="Arial" w:eastAsia="Arial" w:hAnsi="Arial"/>
                <w:sz w:val="18"/>
                <w:szCs w:val="18"/>
                <w:color w:val="auto"/>
              </w:rPr>
              <w:t>6,300</w:t>
            </w:r>
          </w:p>
        </w:tc>
      </w:tr>
      <w:tr>
        <w:trPr>
          <w:trHeight w:val="42"/>
        </w:trPr>
        <w:tc>
          <w:tcPr>
            <w:tcW w:w="2220" w:type="dxa"/>
            <w:vAlign w:val="bottom"/>
            <w:tcBorders>
              <w:bottom w:val="single" w:sz="8" w:color="A6A6A6"/>
            </w:tcBorders>
          </w:tcPr>
          <w:p>
            <w:pPr>
              <w:spacing w:after="0"/>
              <w:rPr>
                <w:sz w:val="3"/>
                <w:szCs w:val="3"/>
                <w:color w:val="auto"/>
              </w:rPr>
            </w:pPr>
          </w:p>
        </w:tc>
        <w:tc>
          <w:tcPr>
            <w:tcW w:w="274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r>
        <w:trPr>
          <w:trHeight w:val="289"/>
        </w:trPr>
        <w:tc>
          <w:tcPr>
            <w:tcW w:w="2220" w:type="dxa"/>
            <w:vAlign w:val="bottom"/>
          </w:tcPr>
          <w:p>
            <w:pPr>
              <w:spacing w:after="0"/>
              <w:rPr>
                <w:sz w:val="20"/>
                <w:szCs w:val="20"/>
                <w:color w:val="auto"/>
              </w:rPr>
            </w:pPr>
            <w:r>
              <w:rPr>
                <w:rFonts w:ascii="Arial" w:cs="Arial" w:eastAsia="Arial" w:hAnsi="Arial"/>
                <w:sz w:val="18"/>
                <w:szCs w:val="18"/>
                <w:b w:val="1"/>
                <w:bCs w:val="1"/>
                <w:color w:val="00AAC6"/>
              </w:rPr>
              <w:t>Northern Kentucky</w:t>
            </w:r>
          </w:p>
        </w:tc>
        <w:tc>
          <w:tcPr>
            <w:tcW w:w="2740" w:type="dxa"/>
            <w:vAlign w:val="bottom"/>
          </w:tcPr>
          <w:p>
            <w:pPr>
              <w:ind w:left="280"/>
              <w:spacing w:after="0"/>
              <w:rPr>
                <w:sz w:val="20"/>
                <w:szCs w:val="20"/>
                <w:color w:val="auto"/>
              </w:rPr>
            </w:pPr>
            <w:r>
              <w:rPr>
                <w:rFonts w:ascii="Arial" w:cs="Arial" w:eastAsia="Arial" w:hAnsi="Arial"/>
                <w:sz w:val="18"/>
                <w:szCs w:val="18"/>
                <w:color w:val="auto"/>
              </w:rPr>
              <w:t>Limestone</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29,800</w:t>
            </w:r>
          </w:p>
        </w:tc>
        <w:tc>
          <w:tcPr>
            <w:tcW w:w="1620" w:type="dxa"/>
            <w:vAlign w:val="bottom"/>
            <w:gridSpan w:val="2"/>
          </w:tcPr>
          <w:p>
            <w:pPr>
              <w:jc w:val="right"/>
              <w:ind w:right="37"/>
              <w:spacing w:after="0"/>
              <w:rPr>
                <w:sz w:val="20"/>
                <w:szCs w:val="20"/>
                <w:color w:val="auto"/>
              </w:rPr>
            </w:pPr>
            <w:r>
              <w:rPr>
                <w:rFonts w:ascii="Arial" w:cs="Arial" w:eastAsia="Arial" w:hAnsi="Arial"/>
                <w:sz w:val="18"/>
                <w:szCs w:val="18"/>
                <w:color w:val="auto"/>
              </w:rPr>
              <w:t>76,900</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color w:val="auto"/>
              </w:rPr>
              <w:t>106,700</w:t>
            </w:r>
          </w:p>
        </w:tc>
        <w:tc>
          <w:tcPr>
            <w:tcW w:w="1620" w:type="dxa"/>
            <w:vAlign w:val="bottom"/>
            <w:gridSpan w:val="2"/>
          </w:tcPr>
          <w:p>
            <w:pPr>
              <w:jc w:val="right"/>
              <w:ind w:right="39"/>
              <w:spacing w:after="0"/>
              <w:rPr>
                <w:sz w:val="20"/>
                <w:szCs w:val="20"/>
                <w:color w:val="auto"/>
              </w:rPr>
            </w:pPr>
            <w:r>
              <w:rPr>
                <w:rFonts w:ascii="Arial" w:cs="Arial" w:eastAsia="Arial" w:hAnsi="Arial"/>
                <w:sz w:val="18"/>
                <w:szCs w:val="18"/>
                <w:color w:val="auto"/>
              </w:rPr>
              <w:t>148,100</w:t>
            </w:r>
          </w:p>
        </w:tc>
      </w:tr>
      <w:tr>
        <w:trPr>
          <w:trHeight w:val="42"/>
        </w:trPr>
        <w:tc>
          <w:tcPr>
            <w:tcW w:w="2220" w:type="dxa"/>
            <w:vAlign w:val="bottom"/>
            <w:tcBorders>
              <w:bottom w:val="single" w:sz="8" w:color="A6A6A6"/>
            </w:tcBorders>
          </w:tcPr>
          <w:p>
            <w:pPr>
              <w:spacing w:after="0"/>
              <w:rPr>
                <w:sz w:val="3"/>
                <w:szCs w:val="3"/>
                <w:color w:val="auto"/>
              </w:rPr>
            </w:pPr>
          </w:p>
        </w:tc>
        <w:tc>
          <w:tcPr>
            <w:tcW w:w="274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r>
        <w:trPr>
          <w:trHeight w:val="289"/>
        </w:trPr>
        <w:tc>
          <w:tcPr>
            <w:tcW w:w="2220" w:type="dxa"/>
            <w:vAlign w:val="bottom"/>
          </w:tcPr>
          <w:p>
            <w:pPr>
              <w:spacing w:after="0"/>
              <w:rPr>
                <w:sz w:val="20"/>
                <w:szCs w:val="20"/>
                <w:color w:val="auto"/>
              </w:rPr>
            </w:pPr>
            <w:r>
              <w:rPr>
                <w:rFonts w:ascii="Arial" w:cs="Arial" w:eastAsia="Arial" w:hAnsi="Arial"/>
                <w:sz w:val="18"/>
                <w:szCs w:val="18"/>
                <w:b w:val="1"/>
                <w:bCs w:val="1"/>
                <w:color w:val="00AAC6"/>
              </w:rPr>
              <w:t>Northern Nevada</w:t>
            </w:r>
          </w:p>
        </w:tc>
        <w:tc>
          <w:tcPr>
            <w:tcW w:w="2740" w:type="dxa"/>
            <w:vAlign w:val="bottom"/>
          </w:tcPr>
          <w:p>
            <w:pPr>
              <w:ind w:left="280"/>
              <w:spacing w:after="0"/>
              <w:rPr>
                <w:sz w:val="20"/>
                <w:szCs w:val="20"/>
                <w:color w:val="auto"/>
              </w:rPr>
            </w:pPr>
            <w:r>
              <w:rPr>
                <w:rFonts w:ascii="Arial" w:cs="Arial" w:eastAsia="Arial" w:hAnsi="Arial"/>
                <w:sz w:val="18"/>
                <w:szCs w:val="18"/>
                <w:color w:val="auto"/>
              </w:rPr>
              <w:t>Sand and Gravel</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24,885</w:t>
            </w:r>
          </w:p>
        </w:tc>
        <w:tc>
          <w:tcPr>
            <w:tcW w:w="1620" w:type="dxa"/>
            <w:vAlign w:val="bottom"/>
            <w:gridSpan w:val="2"/>
          </w:tcPr>
          <w:p>
            <w:pPr>
              <w:jc w:val="right"/>
              <w:ind w:right="37"/>
              <w:spacing w:after="0"/>
              <w:rPr>
                <w:sz w:val="20"/>
                <w:szCs w:val="20"/>
                <w:color w:val="auto"/>
              </w:rPr>
            </w:pPr>
            <w:r>
              <w:rPr>
                <w:rFonts w:ascii="Arial" w:cs="Arial" w:eastAsia="Arial" w:hAnsi="Arial"/>
                <w:sz w:val="18"/>
                <w:szCs w:val="18"/>
                <w:color w:val="auto"/>
              </w:rPr>
              <w:t>20,250</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color w:val="auto"/>
              </w:rPr>
              <w:t>45,135</w:t>
            </w:r>
          </w:p>
        </w:tc>
        <w:tc>
          <w:tcPr>
            <w:tcW w:w="1620" w:type="dxa"/>
            <w:vAlign w:val="bottom"/>
            <w:gridSpan w:val="2"/>
          </w:tcPr>
          <w:p>
            <w:pPr>
              <w:jc w:val="right"/>
              <w:ind w:right="39"/>
              <w:spacing w:after="0"/>
              <w:rPr>
                <w:sz w:val="20"/>
                <w:szCs w:val="20"/>
                <w:color w:val="auto"/>
              </w:rPr>
            </w:pPr>
            <w:r>
              <w:rPr>
                <w:rFonts w:ascii="Arial" w:cs="Arial" w:eastAsia="Arial" w:hAnsi="Arial"/>
                <w:sz w:val="18"/>
                <w:szCs w:val="18"/>
                <w:color w:val="auto"/>
              </w:rPr>
              <w:t>2,775</w:t>
            </w:r>
          </w:p>
        </w:tc>
      </w:tr>
      <w:tr>
        <w:trPr>
          <w:trHeight w:val="42"/>
        </w:trPr>
        <w:tc>
          <w:tcPr>
            <w:tcW w:w="2220" w:type="dxa"/>
            <w:vAlign w:val="bottom"/>
            <w:tcBorders>
              <w:bottom w:val="single" w:sz="8" w:color="A6A6A6"/>
            </w:tcBorders>
          </w:tcPr>
          <w:p>
            <w:pPr>
              <w:spacing w:after="0"/>
              <w:rPr>
                <w:sz w:val="3"/>
                <w:szCs w:val="3"/>
                <w:color w:val="auto"/>
              </w:rPr>
            </w:pPr>
          </w:p>
        </w:tc>
        <w:tc>
          <w:tcPr>
            <w:tcW w:w="274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r>
        <w:trPr>
          <w:trHeight w:val="289"/>
        </w:trPr>
        <w:tc>
          <w:tcPr>
            <w:tcW w:w="2220" w:type="dxa"/>
            <w:vAlign w:val="bottom"/>
          </w:tcPr>
          <w:p>
            <w:pPr>
              <w:spacing w:after="0"/>
              <w:rPr>
                <w:sz w:val="20"/>
                <w:szCs w:val="20"/>
                <w:color w:val="auto"/>
              </w:rPr>
            </w:pPr>
            <w:r>
              <w:rPr>
                <w:rFonts w:ascii="Arial" w:cs="Arial" w:eastAsia="Arial" w:hAnsi="Arial"/>
                <w:sz w:val="18"/>
                <w:szCs w:val="18"/>
                <w:b w:val="1"/>
                <w:bCs w:val="1"/>
                <w:color w:val="00AAC6"/>
              </w:rPr>
              <w:t>Western Pennsylvania</w:t>
            </w:r>
          </w:p>
        </w:tc>
        <w:tc>
          <w:tcPr>
            <w:tcW w:w="2740" w:type="dxa"/>
            <w:vAlign w:val="bottom"/>
          </w:tcPr>
          <w:p>
            <w:pPr>
              <w:ind w:left="280"/>
              <w:spacing w:after="0"/>
              <w:rPr>
                <w:sz w:val="20"/>
                <w:szCs w:val="20"/>
                <w:color w:val="auto"/>
              </w:rPr>
            </w:pPr>
            <w:r>
              <w:rPr>
                <w:rFonts w:ascii="Arial" w:cs="Arial" w:eastAsia="Arial" w:hAnsi="Arial"/>
                <w:sz w:val="18"/>
                <w:szCs w:val="18"/>
                <w:color w:val="auto"/>
              </w:rPr>
              <w:t>Limestone</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11,100</w:t>
            </w:r>
          </w:p>
        </w:tc>
        <w:tc>
          <w:tcPr>
            <w:tcW w:w="1620" w:type="dxa"/>
            <w:vAlign w:val="bottom"/>
            <w:gridSpan w:val="2"/>
          </w:tcPr>
          <w:p>
            <w:pPr>
              <w:jc w:val="right"/>
              <w:ind w:right="37"/>
              <w:spacing w:after="0"/>
              <w:rPr>
                <w:sz w:val="20"/>
                <w:szCs w:val="20"/>
                <w:color w:val="auto"/>
              </w:rPr>
            </w:pPr>
            <w:r>
              <w:rPr>
                <w:rFonts w:ascii="Arial" w:cs="Arial" w:eastAsia="Arial" w:hAnsi="Arial"/>
                <w:sz w:val="18"/>
                <w:szCs w:val="18"/>
                <w:color w:val="auto"/>
              </w:rPr>
              <w:t>12,400</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color w:val="auto"/>
              </w:rPr>
              <w:t>23,500</w:t>
            </w:r>
          </w:p>
        </w:tc>
        <w:tc>
          <w:tcPr>
            <w:tcW w:w="1620" w:type="dxa"/>
            <w:vAlign w:val="bottom"/>
            <w:gridSpan w:val="2"/>
          </w:tcPr>
          <w:p>
            <w:pPr>
              <w:jc w:val="right"/>
              <w:ind w:right="39"/>
              <w:spacing w:after="0"/>
              <w:rPr>
                <w:sz w:val="20"/>
                <w:szCs w:val="20"/>
                <w:color w:val="auto"/>
              </w:rPr>
            </w:pPr>
            <w:r>
              <w:rPr>
                <w:rFonts w:ascii="Arial" w:cs="Arial" w:eastAsia="Arial" w:hAnsi="Arial"/>
                <w:sz w:val="18"/>
                <w:szCs w:val="18"/>
                <w:color w:val="auto"/>
              </w:rPr>
              <w:t>19,800</w:t>
            </w:r>
          </w:p>
        </w:tc>
      </w:tr>
      <w:tr>
        <w:trPr>
          <w:trHeight w:val="69"/>
        </w:trPr>
        <w:tc>
          <w:tcPr>
            <w:tcW w:w="2220" w:type="dxa"/>
            <w:vAlign w:val="bottom"/>
            <w:tcBorders>
              <w:bottom w:val="single" w:sz="8" w:color="A6A6A6"/>
            </w:tcBorders>
          </w:tcPr>
          <w:p>
            <w:pPr>
              <w:spacing w:after="0"/>
              <w:rPr>
                <w:sz w:val="6"/>
                <w:szCs w:val="6"/>
                <w:color w:val="auto"/>
              </w:rPr>
            </w:pPr>
          </w:p>
        </w:tc>
        <w:tc>
          <w:tcPr>
            <w:tcW w:w="2740" w:type="dxa"/>
            <w:vAlign w:val="bottom"/>
            <w:tcBorders>
              <w:bottom w:val="single" w:sz="8" w:color="A6A6A6"/>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89"/>
        </w:trPr>
        <w:tc>
          <w:tcPr>
            <w:tcW w:w="2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b w:val="1"/>
                <w:bCs w:val="1"/>
                <w:color w:val="auto"/>
              </w:rPr>
              <w:t>124,445</w:t>
            </w:r>
          </w:p>
        </w:tc>
        <w:tc>
          <w:tcPr>
            <w:tcW w:w="162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126,465</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250,910</w:t>
            </w:r>
          </w:p>
        </w:tc>
        <w:tc>
          <w:tcPr>
            <w:tcW w:w="16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243,235</w:t>
            </w:r>
          </w:p>
        </w:tc>
      </w:tr>
      <w:tr>
        <w:trPr>
          <w:trHeight w:val="42"/>
        </w:trPr>
        <w:tc>
          <w:tcPr>
            <w:tcW w:w="22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
        </w:trPr>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80" w:right="80" w:hanging="172"/>
        <w:spacing w:after="0" w:line="213" w:lineRule="auto"/>
        <w:tabs>
          <w:tab w:leader="none" w:pos="1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Measured, Indicated, and Inferred resources are based on an initial assessment using average selling price assumptions ranging from $8.00 to $28.00 per ton depending on location and market. Aggregates resources are reported on an in situ basis.</w:t>
      </w:r>
    </w:p>
    <w:p>
      <w:pPr>
        <w:spacing w:after="0" w:line="1" w:lineRule="exact"/>
        <w:rPr>
          <w:rFonts w:ascii="Arial" w:cs="Arial" w:eastAsia="Arial" w:hAnsi="Arial"/>
          <w:sz w:val="19"/>
          <w:szCs w:val="19"/>
          <w:color w:val="auto"/>
          <w:vertAlign w:val="superscript"/>
        </w:rPr>
      </w:pPr>
    </w:p>
    <w:p>
      <w:pPr>
        <w:ind w:left="180" w:hanging="172"/>
        <w:spacing w:after="0" w:line="193" w:lineRule="auto"/>
        <w:tabs>
          <w:tab w:leader="none" w:pos="1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Company currently is not operating its aggregate facility in the Kansas City area.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regarding our aggregates reserves at March 31, 2026.</w:t>
      </w:r>
    </w:p>
    <w:p>
      <w:pPr>
        <w:spacing w:after="0" w:line="297"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 xml:space="preserve">Aggregates Reserves </w:t>
      </w:r>
      <w:r>
        <w:rPr>
          <w:rFonts w:ascii="Arial" w:cs="Arial" w:eastAsia="Arial" w:hAnsi="Arial"/>
          <w:sz w:val="21"/>
          <w:szCs w:val="21"/>
          <w:b w:val="1"/>
          <w:bCs w:val="1"/>
          <w:color w:val="auto"/>
          <w:vertAlign w:val="superscript"/>
        </w:rPr>
        <w:t>(1)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color w:val="auto"/>
              </w:rPr>
              <w:t>(tons in thousands)</w:t>
            </w:r>
          </w:p>
        </w:tc>
        <w:tc>
          <w:tcPr>
            <w:tcW w:w="1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6"/>
                <w:szCs w:val="16"/>
                <w:b w:val="1"/>
                <w:bCs w:val="1"/>
                <w:color w:val="auto"/>
              </w:rPr>
              <w:t>Total Proven &amp;</w:t>
            </w:r>
          </w:p>
        </w:tc>
        <w:tc>
          <w:tcPr>
            <w:tcW w:w="0" w:type="dxa"/>
            <w:vAlign w:val="bottom"/>
          </w:tcPr>
          <w:p>
            <w:pPr>
              <w:spacing w:after="0"/>
              <w:rPr>
                <w:sz w:val="1"/>
                <w:szCs w:val="1"/>
                <w:color w:val="auto"/>
              </w:rPr>
            </w:pPr>
          </w:p>
        </w:tc>
      </w:tr>
      <w:tr>
        <w:trPr>
          <w:trHeight w:val="167"/>
        </w:trPr>
        <w:tc>
          <w:tcPr>
            <w:tcW w:w="2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338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Types of Aggregates</w:t>
            </w:r>
          </w:p>
        </w:tc>
        <w:tc>
          <w:tcPr>
            <w:tcW w:w="17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Proven</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Probable</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Probable</w:t>
            </w:r>
          </w:p>
        </w:tc>
        <w:tc>
          <w:tcPr>
            <w:tcW w:w="0" w:type="dxa"/>
            <w:vAlign w:val="bottom"/>
          </w:tcPr>
          <w:p>
            <w:pPr>
              <w:spacing w:after="0"/>
              <w:rPr>
                <w:sz w:val="1"/>
                <w:szCs w:val="1"/>
                <w:color w:val="auto"/>
              </w:rPr>
            </w:pPr>
          </w:p>
        </w:tc>
      </w:tr>
      <w:tr>
        <w:trPr>
          <w:trHeight w:val="295"/>
        </w:trPr>
        <w:tc>
          <w:tcPr>
            <w:tcW w:w="2420" w:type="dxa"/>
            <w:vAlign w:val="bottom"/>
          </w:tcPr>
          <w:p>
            <w:pPr>
              <w:spacing w:after="0"/>
              <w:rPr>
                <w:sz w:val="20"/>
                <w:szCs w:val="20"/>
                <w:color w:val="auto"/>
              </w:rPr>
            </w:pPr>
            <w:r>
              <w:rPr>
                <w:rFonts w:ascii="Arial" w:cs="Arial" w:eastAsia="Arial" w:hAnsi="Arial"/>
                <w:sz w:val="18"/>
                <w:szCs w:val="18"/>
                <w:b w:val="1"/>
                <w:bCs w:val="1"/>
                <w:color w:val="00AAC6"/>
              </w:rPr>
              <w:t>Central Texas</w:t>
            </w:r>
          </w:p>
        </w:tc>
        <w:tc>
          <w:tcPr>
            <w:tcW w:w="3380" w:type="dxa"/>
            <w:vAlign w:val="bottom"/>
          </w:tcPr>
          <w:p>
            <w:pPr>
              <w:ind w:left="500"/>
              <w:spacing w:after="0"/>
              <w:rPr>
                <w:sz w:val="20"/>
                <w:szCs w:val="20"/>
                <w:color w:val="auto"/>
              </w:rPr>
            </w:pPr>
            <w:r>
              <w:rPr>
                <w:rFonts w:ascii="Arial" w:cs="Arial" w:eastAsia="Arial" w:hAnsi="Arial"/>
                <w:sz w:val="18"/>
                <w:szCs w:val="18"/>
                <w:color w:val="auto"/>
              </w:rPr>
              <w:t>Limestone and Gravel</w:t>
            </w: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63,980</w:t>
            </w:r>
          </w:p>
        </w:tc>
        <w:tc>
          <w:tcPr>
            <w:tcW w:w="1860" w:type="dxa"/>
            <w:vAlign w:val="bottom"/>
            <w:gridSpan w:val="2"/>
          </w:tcPr>
          <w:p>
            <w:pPr>
              <w:jc w:val="right"/>
              <w:ind w:right="39"/>
              <w:spacing w:after="0"/>
              <w:rPr>
                <w:sz w:val="20"/>
                <w:szCs w:val="20"/>
                <w:color w:val="auto"/>
              </w:rPr>
            </w:pPr>
            <w:r>
              <w:rPr>
                <w:rFonts w:ascii="Arial" w:cs="Arial" w:eastAsia="Arial" w:hAnsi="Arial"/>
                <w:sz w:val="18"/>
                <w:szCs w:val="18"/>
                <w:color w:val="auto"/>
              </w:rPr>
              <w:t>6,210</w:t>
            </w:r>
          </w:p>
        </w:tc>
        <w:tc>
          <w:tcPr>
            <w:tcW w:w="1860" w:type="dxa"/>
            <w:vAlign w:val="bottom"/>
            <w:gridSpan w:val="2"/>
          </w:tcPr>
          <w:p>
            <w:pPr>
              <w:jc w:val="right"/>
              <w:ind w:right="36"/>
              <w:spacing w:after="0"/>
              <w:rPr>
                <w:sz w:val="20"/>
                <w:szCs w:val="20"/>
                <w:color w:val="auto"/>
              </w:rPr>
            </w:pPr>
            <w:r>
              <w:rPr>
                <w:rFonts w:ascii="Arial" w:cs="Arial" w:eastAsia="Arial" w:hAnsi="Arial"/>
                <w:sz w:val="18"/>
                <w:szCs w:val="18"/>
                <w:color w:val="auto"/>
              </w:rPr>
              <w:t>70,190</w:t>
            </w:r>
          </w:p>
        </w:tc>
        <w:tc>
          <w:tcPr>
            <w:tcW w:w="0" w:type="dxa"/>
            <w:vAlign w:val="bottom"/>
          </w:tcPr>
          <w:p>
            <w:pPr>
              <w:spacing w:after="0"/>
              <w:rPr>
                <w:sz w:val="1"/>
                <w:szCs w:val="1"/>
                <w:color w:val="auto"/>
              </w:rPr>
            </w:pPr>
          </w:p>
        </w:tc>
      </w:tr>
      <w:tr>
        <w:trPr>
          <w:trHeight w:val="42"/>
        </w:trPr>
        <w:tc>
          <w:tcPr>
            <w:tcW w:w="2420" w:type="dxa"/>
            <w:vAlign w:val="bottom"/>
            <w:tcBorders>
              <w:bottom w:val="single" w:sz="8" w:color="A6A6A6"/>
            </w:tcBorders>
          </w:tcPr>
          <w:p>
            <w:pPr>
              <w:spacing w:after="0"/>
              <w:rPr>
                <w:sz w:val="3"/>
                <w:szCs w:val="3"/>
                <w:color w:val="auto"/>
              </w:rPr>
            </w:pPr>
          </w:p>
        </w:tc>
        <w:tc>
          <w:tcPr>
            <w:tcW w:w="33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42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AAC6"/>
              </w:rPr>
              <w:t xml:space="preserve">Kansas City Area </w:t>
            </w:r>
            <w:r>
              <w:rPr>
                <w:rFonts w:ascii="Arial" w:cs="Arial" w:eastAsia="Arial" w:hAnsi="Arial"/>
                <w:sz w:val="24"/>
                <w:szCs w:val="24"/>
                <w:b w:val="1"/>
                <w:bCs w:val="1"/>
                <w:color w:val="00AAC6"/>
                <w:vertAlign w:val="superscript"/>
              </w:rPr>
              <w:t>(2)</w:t>
            </w:r>
          </w:p>
        </w:tc>
        <w:tc>
          <w:tcPr>
            <w:tcW w:w="3380" w:type="dxa"/>
            <w:vAlign w:val="bottom"/>
            <w:tcBorders>
              <w:bottom w:val="single" w:sz="8" w:color="A6A6A6"/>
            </w:tcBorders>
          </w:tcPr>
          <w:p>
            <w:pPr>
              <w:ind w:left="500"/>
              <w:spacing w:after="0"/>
              <w:rPr>
                <w:sz w:val="20"/>
                <w:szCs w:val="20"/>
                <w:color w:val="auto"/>
              </w:rPr>
            </w:pPr>
            <w:r>
              <w:rPr>
                <w:rFonts w:ascii="Arial" w:cs="Arial" w:eastAsia="Arial" w:hAnsi="Arial"/>
                <w:sz w:val="18"/>
                <w:szCs w:val="18"/>
                <w:color w:val="auto"/>
              </w:rPr>
              <w:t>Limestone</w:t>
            </w:r>
          </w:p>
        </w:tc>
        <w:tc>
          <w:tcPr>
            <w:tcW w:w="1720" w:type="dxa"/>
            <w:vAlign w:val="bottom"/>
            <w:tcBorders>
              <w:bottom w:val="single" w:sz="8" w:color="A6A6A6"/>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6A6A6"/>
            </w:tcBorders>
          </w:tcPr>
          <w:p>
            <w:pPr>
              <w:spacing w:after="0"/>
              <w:rPr>
                <w:sz w:val="24"/>
                <w:szCs w:val="24"/>
                <w:color w:val="auto"/>
              </w:rPr>
            </w:pPr>
          </w:p>
        </w:tc>
        <w:tc>
          <w:tcPr>
            <w:tcW w:w="1680" w:type="dxa"/>
            <w:vAlign w:val="bottom"/>
            <w:tcBorders>
              <w:bottom w:val="single" w:sz="8" w:color="A6A6A6"/>
            </w:tcBorders>
          </w:tcPr>
          <w:p>
            <w:pPr>
              <w:jc w:val="right"/>
              <w:ind w:right="39"/>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6A6A6"/>
            </w:tcBorders>
          </w:tcPr>
          <w:p>
            <w:pPr>
              <w:spacing w:after="0"/>
              <w:rPr>
                <w:sz w:val="24"/>
                <w:szCs w:val="24"/>
                <w:color w:val="auto"/>
              </w:rPr>
            </w:pPr>
          </w:p>
        </w:tc>
        <w:tc>
          <w:tcPr>
            <w:tcW w:w="1680" w:type="dxa"/>
            <w:vAlign w:val="bottom"/>
            <w:tcBorders>
              <w:bottom w:val="single" w:sz="8" w:color="A6A6A6"/>
            </w:tcBorders>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2420" w:type="dxa"/>
            <w:vAlign w:val="bottom"/>
          </w:tcPr>
          <w:p>
            <w:pPr>
              <w:spacing w:after="0"/>
              <w:rPr>
                <w:sz w:val="20"/>
                <w:szCs w:val="20"/>
                <w:color w:val="auto"/>
              </w:rPr>
            </w:pPr>
            <w:r>
              <w:rPr>
                <w:rFonts w:ascii="Arial" w:cs="Arial" w:eastAsia="Arial" w:hAnsi="Arial"/>
                <w:sz w:val="18"/>
                <w:szCs w:val="18"/>
                <w:b w:val="1"/>
                <w:bCs w:val="1"/>
                <w:color w:val="00AAC6"/>
              </w:rPr>
              <w:t>Northern Colorado</w:t>
            </w:r>
          </w:p>
        </w:tc>
        <w:tc>
          <w:tcPr>
            <w:tcW w:w="3380" w:type="dxa"/>
            <w:vAlign w:val="bottom"/>
          </w:tcPr>
          <w:p>
            <w:pPr>
              <w:ind w:left="500"/>
              <w:spacing w:after="0"/>
              <w:rPr>
                <w:sz w:val="20"/>
                <w:szCs w:val="20"/>
                <w:color w:val="auto"/>
              </w:rPr>
            </w:pPr>
            <w:r>
              <w:rPr>
                <w:rFonts w:ascii="Arial" w:cs="Arial" w:eastAsia="Arial" w:hAnsi="Arial"/>
                <w:sz w:val="18"/>
                <w:szCs w:val="18"/>
                <w:color w:val="auto"/>
              </w:rPr>
              <w:t>Sand and Gravel</w:t>
            </w: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9"/>
              <w:spacing w:after="0"/>
              <w:rPr>
                <w:sz w:val="20"/>
                <w:szCs w:val="20"/>
                <w:color w:val="auto"/>
              </w:rPr>
            </w:pPr>
            <w:r>
              <w:rPr>
                <w:rFonts w:ascii="Arial" w:cs="Arial" w:eastAsia="Arial" w:hAnsi="Arial"/>
                <w:sz w:val="18"/>
                <w:szCs w:val="18"/>
                <w:color w:val="auto"/>
              </w:rPr>
              <w:t>11,800</w:t>
            </w:r>
          </w:p>
        </w:tc>
        <w:tc>
          <w:tcPr>
            <w:tcW w:w="1860" w:type="dxa"/>
            <w:vAlign w:val="bottom"/>
            <w:gridSpan w:val="2"/>
          </w:tcPr>
          <w:p>
            <w:pPr>
              <w:jc w:val="right"/>
              <w:ind w:right="36"/>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42"/>
        </w:trPr>
        <w:tc>
          <w:tcPr>
            <w:tcW w:w="2420" w:type="dxa"/>
            <w:vAlign w:val="bottom"/>
            <w:tcBorders>
              <w:bottom w:val="single" w:sz="8" w:color="A6A6A6"/>
            </w:tcBorders>
          </w:tcPr>
          <w:p>
            <w:pPr>
              <w:spacing w:after="0"/>
              <w:rPr>
                <w:sz w:val="3"/>
                <w:szCs w:val="3"/>
                <w:color w:val="auto"/>
              </w:rPr>
            </w:pPr>
          </w:p>
        </w:tc>
        <w:tc>
          <w:tcPr>
            <w:tcW w:w="33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420" w:type="dxa"/>
            <w:vAlign w:val="bottom"/>
          </w:tcPr>
          <w:p>
            <w:pPr>
              <w:spacing w:after="0"/>
              <w:rPr>
                <w:sz w:val="20"/>
                <w:szCs w:val="20"/>
                <w:color w:val="auto"/>
              </w:rPr>
            </w:pPr>
            <w:r>
              <w:rPr>
                <w:rFonts w:ascii="Arial" w:cs="Arial" w:eastAsia="Arial" w:hAnsi="Arial"/>
                <w:sz w:val="18"/>
                <w:szCs w:val="18"/>
                <w:b w:val="1"/>
                <w:bCs w:val="1"/>
                <w:color w:val="00AAC6"/>
              </w:rPr>
              <w:t>Northern Nevada</w:t>
            </w:r>
          </w:p>
        </w:tc>
        <w:tc>
          <w:tcPr>
            <w:tcW w:w="3380" w:type="dxa"/>
            <w:vAlign w:val="bottom"/>
          </w:tcPr>
          <w:p>
            <w:pPr>
              <w:ind w:left="500"/>
              <w:spacing w:after="0"/>
              <w:rPr>
                <w:sz w:val="20"/>
                <w:szCs w:val="20"/>
                <w:color w:val="auto"/>
              </w:rPr>
            </w:pPr>
            <w:r>
              <w:rPr>
                <w:rFonts w:ascii="Arial" w:cs="Arial" w:eastAsia="Arial" w:hAnsi="Arial"/>
                <w:sz w:val="18"/>
                <w:szCs w:val="18"/>
                <w:color w:val="auto"/>
              </w:rPr>
              <w:t>Sand and Gravel</w:t>
            </w: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28,750</w:t>
            </w:r>
          </w:p>
        </w:tc>
        <w:tc>
          <w:tcPr>
            <w:tcW w:w="1860" w:type="dxa"/>
            <w:vAlign w:val="bottom"/>
            <w:gridSpan w:val="2"/>
          </w:tcPr>
          <w:p>
            <w:pPr>
              <w:jc w:val="right"/>
              <w:ind w:right="39"/>
              <w:spacing w:after="0"/>
              <w:rPr>
                <w:sz w:val="20"/>
                <w:szCs w:val="20"/>
                <w:color w:val="auto"/>
              </w:rPr>
            </w:pPr>
            <w:r>
              <w:rPr>
                <w:rFonts w:ascii="Arial" w:cs="Arial" w:eastAsia="Arial" w:hAnsi="Arial"/>
                <w:sz w:val="18"/>
                <w:szCs w:val="18"/>
                <w:color w:val="auto"/>
              </w:rPr>
              <w:t>2,995</w:t>
            </w:r>
          </w:p>
        </w:tc>
        <w:tc>
          <w:tcPr>
            <w:tcW w:w="1860" w:type="dxa"/>
            <w:vAlign w:val="bottom"/>
            <w:gridSpan w:val="2"/>
          </w:tcPr>
          <w:p>
            <w:pPr>
              <w:jc w:val="right"/>
              <w:ind w:right="36"/>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42"/>
        </w:trPr>
        <w:tc>
          <w:tcPr>
            <w:tcW w:w="2420" w:type="dxa"/>
            <w:vAlign w:val="bottom"/>
            <w:tcBorders>
              <w:bottom w:val="single" w:sz="8" w:color="A6A6A6"/>
            </w:tcBorders>
          </w:tcPr>
          <w:p>
            <w:pPr>
              <w:spacing w:after="0"/>
              <w:rPr>
                <w:sz w:val="3"/>
                <w:szCs w:val="3"/>
                <w:color w:val="auto"/>
              </w:rPr>
            </w:pPr>
          </w:p>
        </w:tc>
        <w:tc>
          <w:tcPr>
            <w:tcW w:w="33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420" w:type="dxa"/>
            <w:vAlign w:val="bottom"/>
          </w:tcPr>
          <w:p>
            <w:pPr>
              <w:spacing w:after="0"/>
              <w:rPr>
                <w:sz w:val="20"/>
                <w:szCs w:val="20"/>
                <w:color w:val="auto"/>
              </w:rPr>
            </w:pPr>
            <w:r>
              <w:rPr>
                <w:rFonts w:ascii="Arial" w:cs="Arial" w:eastAsia="Arial" w:hAnsi="Arial"/>
                <w:sz w:val="18"/>
                <w:szCs w:val="18"/>
                <w:b w:val="1"/>
                <w:bCs w:val="1"/>
                <w:color w:val="00AAC6"/>
              </w:rPr>
              <w:t>Northern Kentucky</w:t>
            </w:r>
          </w:p>
        </w:tc>
        <w:tc>
          <w:tcPr>
            <w:tcW w:w="3380" w:type="dxa"/>
            <w:vAlign w:val="bottom"/>
          </w:tcPr>
          <w:p>
            <w:pPr>
              <w:ind w:left="500"/>
              <w:spacing w:after="0"/>
              <w:rPr>
                <w:sz w:val="20"/>
                <w:szCs w:val="20"/>
                <w:color w:val="auto"/>
              </w:rPr>
            </w:pPr>
            <w:r>
              <w:rPr>
                <w:rFonts w:ascii="Arial" w:cs="Arial" w:eastAsia="Arial" w:hAnsi="Arial"/>
                <w:sz w:val="18"/>
                <w:szCs w:val="18"/>
                <w:color w:val="auto"/>
              </w:rPr>
              <w:t>Limestone</w:t>
            </w: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42,520</w:t>
            </w:r>
          </w:p>
        </w:tc>
        <w:tc>
          <w:tcPr>
            <w:tcW w:w="1860" w:type="dxa"/>
            <w:vAlign w:val="bottom"/>
            <w:gridSpan w:val="2"/>
          </w:tcPr>
          <w:p>
            <w:pPr>
              <w:jc w:val="right"/>
              <w:ind w:right="39"/>
              <w:spacing w:after="0"/>
              <w:rPr>
                <w:sz w:val="20"/>
                <w:szCs w:val="20"/>
                <w:color w:val="auto"/>
              </w:rPr>
            </w:pPr>
            <w:r>
              <w:rPr>
                <w:rFonts w:ascii="Arial" w:cs="Arial" w:eastAsia="Arial" w:hAnsi="Arial"/>
                <w:sz w:val="18"/>
                <w:szCs w:val="18"/>
                <w:color w:val="auto"/>
              </w:rPr>
              <w:t>26,380</w:t>
            </w:r>
          </w:p>
        </w:tc>
        <w:tc>
          <w:tcPr>
            <w:tcW w:w="1860" w:type="dxa"/>
            <w:vAlign w:val="bottom"/>
            <w:gridSpan w:val="2"/>
          </w:tcPr>
          <w:p>
            <w:pPr>
              <w:jc w:val="right"/>
              <w:ind w:right="36"/>
              <w:spacing w:after="0"/>
              <w:rPr>
                <w:sz w:val="20"/>
                <w:szCs w:val="20"/>
                <w:color w:val="auto"/>
              </w:rPr>
            </w:pPr>
            <w:r>
              <w:rPr>
                <w:rFonts w:ascii="Arial" w:cs="Arial" w:eastAsia="Arial" w:hAnsi="Arial"/>
                <w:sz w:val="18"/>
                <w:szCs w:val="18"/>
                <w:color w:val="auto"/>
              </w:rPr>
              <w:t>68,900</w:t>
            </w:r>
          </w:p>
        </w:tc>
        <w:tc>
          <w:tcPr>
            <w:tcW w:w="0" w:type="dxa"/>
            <w:vAlign w:val="bottom"/>
          </w:tcPr>
          <w:p>
            <w:pPr>
              <w:spacing w:after="0"/>
              <w:rPr>
                <w:sz w:val="1"/>
                <w:szCs w:val="1"/>
                <w:color w:val="auto"/>
              </w:rPr>
            </w:pPr>
          </w:p>
        </w:tc>
      </w:tr>
      <w:tr>
        <w:trPr>
          <w:trHeight w:val="42"/>
        </w:trPr>
        <w:tc>
          <w:tcPr>
            <w:tcW w:w="2420" w:type="dxa"/>
            <w:vAlign w:val="bottom"/>
            <w:tcBorders>
              <w:bottom w:val="single" w:sz="8" w:color="A6A6A6"/>
            </w:tcBorders>
          </w:tcPr>
          <w:p>
            <w:pPr>
              <w:spacing w:after="0"/>
              <w:rPr>
                <w:sz w:val="3"/>
                <w:szCs w:val="3"/>
                <w:color w:val="auto"/>
              </w:rPr>
            </w:pPr>
          </w:p>
        </w:tc>
        <w:tc>
          <w:tcPr>
            <w:tcW w:w="33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420" w:type="dxa"/>
            <w:vAlign w:val="bottom"/>
          </w:tcPr>
          <w:p>
            <w:pPr>
              <w:spacing w:after="0"/>
              <w:rPr>
                <w:sz w:val="20"/>
                <w:szCs w:val="20"/>
                <w:color w:val="auto"/>
              </w:rPr>
            </w:pPr>
            <w:r>
              <w:rPr>
                <w:rFonts w:ascii="Arial" w:cs="Arial" w:eastAsia="Arial" w:hAnsi="Arial"/>
                <w:sz w:val="18"/>
                <w:szCs w:val="18"/>
                <w:b w:val="1"/>
                <w:bCs w:val="1"/>
                <w:color w:val="00AAC6"/>
              </w:rPr>
              <w:t>Western Pennsylvania</w:t>
            </w:r>
          </w:p>
        </w:tc>
        <w:tc>
          <w:tcPr>
            <w:tcW w:w="3380" w:type="dxa"/>
            <w:vAlign w:val="bottom"/>
          </w:tcPr>
          <w:p>
            <w:pPr>
              <w:ind w:left="500"/>
              <w:spacing w:after="0"/>
              <w:rPr>
                <w:sz w:val="20"/>
                <w:szCs w:val="20"/>
                <w:color w:val="auto"/>
              </w:rPr>
            </w:pPr>
            <w:r>
              <w:rPr>
                <w:rFonts w:ascii="Arial" w:cs="Arial" w:eastAsia="Arial" w:hAnsi="Arial"/>
                <w:sz w:val="18"/>
                <w:szCs w:val="18"/>
                <w:color w:val="auto"/>
              </w:rPr>
              <w:t>Limestone</w:t>
            </w: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18,030</w:t>
            </w:r>
          </w:p>
        </w:tc>
        <w:tc>
          <w:tcPr>
            <w:tcW w:w="1860" w:type="dxa"/>
            <w:vAlign w:val="bottom"/>
            <w:gridSpan w:val="2"/>
          </w:tcPr>
          <w:p>
            <w:pPr>
              <w:jc w:val="right"/>
              <w:ind w:right="39"/>
              <w:spacing w:after="0"/>
              <w:rPr>
                <w:sz w:val="20"/>
                <w:szCs w:val="20"/>
                <w:color w:val="auto"/>
              </w:rPr>
            </w:pPr>
            <w:r>
              <w:rPr>
                <w:rFonts w:ascii="Arial" w:cs="Arial" w:eastAsia="Arial" w:hAnsi="Arial"/>
                <w:sz w:val="18"/>
                <w:szCs w:val="18"/>
                <w:color w:val="auto"/>
              </w:rPr>
              <w:t>5,000</w:t>
            </w:r>
          </w:p>
        </w:tc>
        <w:tc>
          <w:tcPr>
            <w:tcW w:w="1860" w:type="dxa"/>
            <w:vAlign w:val="bottom"/>
            <w:gridSpan w:val="2"/>
          </w:tcPr>
          <w:p>
            <w:pPr>
              <w:jc w:val="right"/>
              <w:ind w:right="36"/>
              <w:spacing w:after="0"/>
              <w:rPr>
                <w:sz w:val="20"/>
                <w:szCs w:val="20"/>
                <w:color w:val="auto"/>
              </w:rPr>
            </w:pPr>
            <w:r>
              <w:rPr>
                <w:rFonts w:ascii="Arial" w:cs="Arial" w:eastAsia="Arial" w:hAnsi="Arial"/>
                <w:sz w:val="18"/>
                <w:szCs w:val="18"/>
                <w:color w:val="auto"/>
              </w:rPr>
              <w:t>23,030</w:t>
            </w:r>
          </w:p>
        </w:tc>
        <w:tc>
          <w:tcPr>
            <w:tcW w:w="0" w:type="dxa"/>
            <w:vAlign w:val="bottom"/>
          </w:tcPr>
          <w:p>
            <w:pPr>
              <w:spacing w:after="0"/>
              <w:rPr>
                <w:sz w:val="1"/>
                <w:szCs w:val="1"/>
                <w:color w:val="auto"/>
              </w:rPr>
            </w:pPr>
          </w:p>
        </w:tc>
      </w:tr>
      <w:tr>
        <w:trPr>
          <w:trHeight w:val="69"/>
        </w:trPr>
        <w:tc>
          <w:tcPr>
            <w:tcW w:w="2420" w:type="dxa"/>
            <w:vAlign w:val="bottom"/>
            <w:tcBorders>
              <w:bottom w:val="single" w:sz="8" w:color="A6A6A6"/>
            </w:tcBorders>
          </w:tcPr>
          <w:p>
            <w:pPr>
              <w:spacing w:after="0"/>
              <w:rPr>
                <w:sz w:val="6"/>
                <w:szCs w:val="6"/>
                <w:color w:val="auto"/>
              </w:rPr>
            </w:pPr>
          </w:p>
        </w:tc>
        <w:tc>
          <w:tcPr>
            <w:tcW w:w="3380" w:type="dxa"/>
            <w:vAlign w:val="bottom"/>
            <w:tcBorders>
              <w:bottom w:val="single" w:sz="8" w:color="A6A6A6"/>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2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b w:val="1"/>
                <w:bCs w:val="1"/>
                <w:color w:val="auto"/>
              </w:rPr>
              <w:t>153,280</w:t>
            </w:r>
          </w:p>
        </w:tc>
        <w:tc>
          <w:tcPr>
            <w:tcW w:w="18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52,385</w:t>
            </w:r>
          </w:p>
        </w:tc>
        <w:tc>
          <w:tcPr>
            <w:tcW w:w="186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205,665</w:t>
            </w:r>
          </w:p>
        </w:tc>
        <w:tc>
          <w:tcPr>
            <w:tcW w:w="0" w:type="dxa"/>
            <w:vAlign w:val="bottom"/>
          </w:tcPr>
          <w:p>
            <w:pPr>
              <w:spacing w:after="0"/>
              <w:rPr>
                <w:sz w:val="1"/>
                <w:szCs w:val="1"/>
                <w:color w:val="auto"/>
              </w:rPr>
            </w:pPr>
          </w:p>
        </w:tc>
      </w:tr>
      <w:tr>
        <w:trPr>
          <w:trHeight w:val="42"/>
        </w:trPr>
        <w:tc>
          <w:tcPr>
            <w:tcW w:w="24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80" w:right="280" w:hanging="172"/>
        <w:spacing w:after="0" w:line="213" w:lineRule="auto"/>
        <w:tabs>
          <w:tab w:leader="none" w:pos="1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The economic viability of our reserves was determined using average limestone, sand, and gravel prices ranging from $8.00 to $28.00 per ton, depending on location and market. Aggregates reserves are reported on saleable product basis.</w:t>
      </w:r>
    </w:p>
    <w:p>
      <w:pPr>
        <w:spacing w:after="0" w:line="1" w:lineRule="exact"/>
        <w:rPr>
          <w:rFonts w:ascii="Arial" w:cs="Arial" w:eastAsia="Arial" w:hAnsi="Arial"/>
          <w:sz w:val="19"/>
          <w:szCs w:val="19"/>
          <w:color w:val="auto"/>
          <w:vertAlign w:val="superscript"/>
        </w:rPr>
      </w:pPr>
    </w:p>
    <w:p>
      <w:pPr>
        <w:ind w:left="180" w:hanging="172"/>
        <w:spacing w:after="0" w:line="193" w:lineRule="auto"/>
        <w:tabs>
          <w:tab w:leader="none" w:pos="1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The Company is currently not operating its aggregate facility in the Kansas City area.</w:t>
      </w:r>
    </w:p>
    <w:p>
      <w:pPr>
        <w:spacing w:after="0" w:line="179"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Our total measured and indicated aggregates resources were 250.9 million tons at March 31, 2026, compared with 212.6 million tons at March 31, 2025. Our total proven and probable reserves were 205.7 million tons at March 31, 2026, compared with 191.7 million tons at March 31, 2025. The increases 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reserves and resources were primarily due to the Aggregates Acquisitions, partially offset by depletion during fiscal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annual production volumes from our aggregate quarries.</w:t>
      </w:r>
    </w:p>
    <w:p>
      <w:pPr>
        <w:spacing w:after="0" w:line="324"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Tons Mined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color w:val="auto"/>
              </w:rPr>
              <w:t>(tons in thousands)</w:t>
            </w:r>
          </w:p>
        </w:tc>
        <w:tc>
          <w:tcPr>
            <w:tcW w:w="2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23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2026</w:t>
            </w:r>
          </w:p>
        </w:tc>
        <w:tc>
          <w:tcPr>
            <w:tcW w:w="25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6"/>
                <w:szCs w:val="16"/>
                <w:b w:val="1"/>
                <w:bCs w:val="1"/>
                <w:color w:val="auto"/>
              </w:rPr>
              <w:t>2025</w:t>
            </w:r>
          </w:p>
        </w:tc>
        <w:tc>
          <w:tcPr>
            <w:tcW w:w="2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2024</w:t>
            </w:r>
          </w:p>
        </w:tc>
      </w:tr>
      <w:tr>
        <w:trPr>
          <w:trHeight w:val="296"/>
        </w:trPr>
        <w:tc>
          <w:tcPr>
            <w:tcW w:w="3900" w:type="dxa"/>
            <w:vAlign w:val="bottom"/>
          </w:tcPr>
          <w:p>
            <w:pPr>
              <w:spacing w:after="0"/>
              <w:rPr>
                <w:sz w:val="20"/>
                <w:szCs w:val="20"/>
                <w:color w:val="auto"/>
              </w:rPr>
            </w:pPr>
            <w:r>
              <w:rPr>
                <w:rFonts w:ascii="Arial" w:cs="Arial" w:eastAsia="Arial" w:hAnsi="Arial"/>
                <w:sz w:val="18"/>
                <w:szCs w:val="18"/>
                <w:b w:val="1"/>
                <w:bCs w:val="1"/>
                <w:color w:val="00AAC6"/>
              </w:rPr>
              <w:t>Central Texas</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1,905</w:t>
            </w:r>
          </w:p>
        </w:tc>
        <w:tc>
          <w:tcPr>
            <w:tcW w:w="2520" w:type="dxa"/>
            <w:vAlign w:val="bottom"/>
            <w:gridSpan w:val="2"/>
          </w:tcPr>
          <w:p>
            <w:pPr>
              <w:jc w:val="right"/>
              <w:ind w:right="36"/>
              <w:spacing w:after="0"/>
              <w:rPr>
                <w:sz w:val="20"/>
                <w:szCs w:val="20"/>
                <w:color w:val="auto"/>
              </w:rPr>
            </w:pPr>
            <w:r>
              <w:rPr>
                <w:rFonts w:ascii="Arial" w:cs="Arial" w:eastAsia="Arial" w:hAnsi="Arial"/>
                <w:sz w:val="18"/>
                <w:szCs w:val="18"/>
                <w:color w:val="auto"/>
              </w:rPr>
              <w:t>1,780</w:t>
            </w:r>
          </w:p>
        </w:tc>
        <w:tc>
          <w:tcPr>
            <w:tcW w:w="2520" w:type="dxa"/>
            <w:vAlign w:val="bottom"/>
            <w:gridSpan w:val="2"/>
          </w:tcPr>
          <w:p>
            <w:pPr>
              <w:jc w:val="right"/>
              <w:ind w:right="30"/>
              <w:spacing w:after="0"/>
              <w:rPr>
                <w:sz w:val="20"/>
                <w:szCs w:val="20"/>
                <w:color w:val="auto"/>
              </w:rPr>
            </w:pPr>
            <w:r>
              <w:rPr>
                <w:rFonts w:ascii="Arial" w:cs="Arial" w:eastAsia="Arial" w:hAnsi="Arial"/>
                <w:sz w:val="18"/>
                <w:szCs w:val="18"/>
                <w:color w:val="auto"/>
              </w:rPr>
              <w:t>1,885</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331"/>
        </w:trPr>
        <w:tc>
          <w:tcPr>
            <w:tcW w:w="39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AAC6"/>
              </w:rPr>
              <w:t xml:space="preserve">Kansas City Area </w:t>
            </w:r>
            <w:r>
              <w:rPr>
                <w:rFonts w:ascii="Arial" w:cs="Arial" w:eastAsia="Arial" w:hAnsi="Arial"/>
                <w:sz w:val="24"/>
                <w:szCs w:val="24"/>
                <w:b w:val="1"/>
                <w:bCs w:val="1"/>
                <w:color w:val="00AAC6"/>
                <w:vertAlign w:val="superscript"/>
              </w:rPr>
              <w:t>(1)</w:t>
            </w:r>
          </w:p>
        </w:tc>
        <w:tc>
          <w:tcPr>
            <w:tcW w:w="2300" w:type="dxa"/>
            <w:vAlign w:val="bottom"/>
            <w:tcBorders>
              <w:bottom w:val="single" w:sz="8" w:color="A6A6A6"/>
            </w:tcBorders>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6A6A6"/>
            </w:tcBorders>
          </w:tcPr>
          <w:p>
            <w:pPr>
              <w:spacing w:after="0"/>
              <w:rPr>
                <w:sz w:val="24"/>
                <w:szCs w:val="24"/>
                <w:color w:val="auto"/>
              </w:rPr>
            </w:pPr>
          </w:p>
        </w:tc>
        <w:tc>
          <w:tcPr>
            <w:tcW w:w="2240" w:type="dxa"/>
            <w:vAlign w:val="bottom"/>
            <w:tcBorders>
              <w:bottom w:val="single" w:sz="8" w:color="A6A6A6"/>
            </w:tcBorders>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6A6A6"/>
            </w:tcBorders>
          </w:tcPr>
          <w:p>
            <w:pPr>
              <w:spacing w:after="0"/>
              <w:rPr>
                <w:sz w:val="24"/>
                <w:szCs w:val="24"/>
                <w:color w:val="auto"/>
              </w:rPr>
            </w:pPr>
          </w:p>
        </w:tc>
        <w:tc>
          <w:tcPr>
            <w:tcW w:w="2240" w:type="dxa"/>
            <w:vAlign w:val="bottom"/>
            <w:tcBorders>
              <w:bottom w:val="single" w:sz="8" w:color="A6A6A6"/>
            </w:tcBorders>
          </w:tcPr>
          <w:p>
            <w:pPr>
              <w:jc w:val="right"/>
              <w:ind w:right="30"/>
              <w:spacing w:after="0"/>
              <w:rPr>
                <w:sz w:val="20"/>
                <w:szCs w:val="20"/>
                <w:color w:val="auto"/>
              </w:rPr>
            </w:pPr>
            <w:r>
              <w:rPr>
                <w:rFonts w:ascii="Arial" w:cs="Arial" w:eastAsia="Arial" w:hAnsi="Arial"/>
                <w:sz w:val="18"/>
                <w:szCs w:val="18"/>
                <w:color w:val="auto"/>
              </w:rPr>
              <w:t>—</w:t>
            </w: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00AAC6"/>
              </w:rPr>
              <w:t>Northern Colorado</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1,090</w:t>
            </w:r>
          </w:p>
        </w:tc>
        <w:tc>
          <w:tcPr>
            <w:tcW w:w="2520" w:type="dxa"/>
            <w:vAlign w:val="bottom"/>
            <w:gridSpan w:val="2"/>
          </w:tcPr>
          <w:p>
            <w:pPr>
              <w:jc w:val="right"/>
              <w:ind w:right="36"/>
              <w:spacing w:after="0"/>
              <w:rPr>
                <w:sz w:val="20"/>
                <w:szCs w:val="20"/>
                <w:color w:val="auto"/>
              </w:rPr>
            </w:pPr>
            <w:r>
              <w:rPr>
                <w:rFonts w:ascii="Arial" w:cs="Arial" w:eastAsia="Arial" w:hAnsi="Arial"/>
                <w:sz w:val="18"/>
                <w:szCs w:val="18"/>
                <w:color w:val="auto"/>
              </w:rPr>
              <w:t>990</w:t>
            </w:r>
          </w:p>
        </w:tc>
        <w:tc>
          <w:tcPr>
            <w:tcW w:w="2520" w:type="dxa"/>
            <w:vAlign w:val="bottom"/>
            <w:gridSpan w:val="2"/>
          </w:tcPr>
          <w:p>
            <w:pPr>
              <w:jc w:val="right"/>
              <w:ind w:right="30"/>
              <w:spacing w:after="0"/>
              <w:rPr>
                <w:sz w:val="20"/>
                <w:szCs w:val="20"/>
                <w:color w:val="auto"/>
              </w:rPr>
            </w:pPr>
            <w:r>
              <w:rPr>
                <w:rFonts w:ascii="Arial" w:cs="Arial" w:eastAsia="Arial" w:hAnsi="Arial"/>
                <w:sz w:val="18"/>
                <w:szCs w:val="18"/>
                <w:color w:val="auto"/>
              </w:rPr>
              <w:t>1,685</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00AAC6"/>
              </w:rPr>
              <w:t>Northern Kentucky</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2,070</w:t>
            </w:r>
          </w:p>
        </w:tc>
        <w:tc>
          <w:tcPr>
            <w:tcW w:w="2520" w:type="dxa"/>
            <w:vAlign w:val="bottom"/>
            <w:gridSpan w:val="2"/>
          </w:tcPr>
          <w:p>
            <w:pPr>
              <w:jc w:val="right"/>
              <w:ind w:right="36"/>
              <w:spacing w:after="0"/>
              <w:rPr>
                <w:sz w:val="20"/>
                <w:szCs w:val="20"/>
                <w:color w:val="auto"/>
              </w:rPr>
            </w:pPr>
            <w:r>
              <w:rPr>
                <w:rFonts w:ascii="Arial" w:cs="Arial" w:eastAsia="Arial" w:hAnsi="Arial"/>
                <w:sz w:val="18"/>
                <w:szCs w:val="18"/>
                <w:color w:val="auto"/>
              </w:rPr>
              <w:t>1,300</w:t>
            </w:r>
          </w:p>
        </w:tc>
        <w:tc>
          <w:tcPr>
            <w:tcW w:w="2520" w:type="dxa"/>
            <w:vAlign w:val="bottom"/>
            <w:gridSpan w:val="2"/>
          </w:tcPr>
          <w:p>
            <w:pPr>
              <w:jc w:val="right"/>
              <w:ind w:right="30"/>
              <w:spacing w:after="0"/>
              <w:rPr>
                <w:sz w:val="20"/>
                <w:szCs w:val="20"/>
                <w:color w:val="auto"/>
              </w:rPr>
            </w:pPr>
            <w:r>
              <w:rPr>
                <w:rFonts w:ascii="Arial" w:cs="Arial" w:eastAsia="Arial" w:hAnsi="Arial"/>
                <w:sz w:val="18"/>
                <w:szCs w:val="18"/>
                <w:color w:val="auto"/>
              </w:rPr>
              <w:t>900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289"/>
        </w:trPr>
        <w:tc>
          <w:tcPr>
            <w:tcW w:w="3900" w:type="dxa"/>
            <w:vAlign w:val="bottom"/>
          </w:tcPr>
          <w:p>
            <w:pPr>
              <w:spacing w:after="0"/>
              <w:rPr>
                <w:sz w:val="20"/>
                <w:szCs w:val="20"/>
                <w:color w:val="auto"/>
              </w:rPr>
            </w:pPr>
            <w:r>
              <w:rPr>
                <w:rFonts w:ascii="Arial" w:cs="Arial" w:eastAsia="Arial" w:hAnsi="Arial"/>
                <w:sz w:val="18"/>
                <w:szCs w:val="18"/>
                <w:b w:val="1"/>
                <w:bCs w:val="1"/>
                <w:color w:val="00AAC6"/>
              </w:rPr>
              <w:t>Northern Nevada</w:t>
            </w:r>
          </w:p>
        </w:tc>
        <w:tc>
          <w:tcPr>
            <w:tcW w:w="2300" w:type="dxa"/>
            <w:vAlign w:val="bottom"/>
          </w:tcPr>
          <w:p>
            <w:pPr>
              <w:jc w:val="right"/>
              <w:ind w:right="51"/>
              <w:spacing w:after="0"/>
              <w:rPr>
                <w:sz w:val="20"/>
                <w:szCs w:val="20"/>
                <w:color w:val="auto"/>
              </w:rPr>
            </w:pPr>
            <w:r>
              <w:rPr>
                <w:rFonts w:ascii="Arial" w:cs="Arial" w:eastAsia="Arial" w:hAnsi="Arial"/>
                <w:sz w:val="18"/>
                <w:szCs w:val="18"/>
                <w:color w:val="auto"/>
              </w:rPr>
              <w:t>565</w:t>
            </w:r>
          </w:p>
        </w:tc>
        <w:tc>
          <w:tcPr>
            <w:tcW w:w="2520" w:type="dxa"/>
            <w:vAlign w:val="bottom"/>
            <w:gridSpan w:val="2"/>
          </w:tcPr>
          <w:p>
            <w:pPr>
              <w:jc w:val="right"/>
              <w:ind w:right="36"/>
              <w:spacing w:after="0"/>
              <w:rPr>
                <w:sz w:val="20"/>
                <w:szCs w:val="20"/>
                <w:color w:val="auto"/>
              </w:rPr>
            </w:pPr>
            <w:r>
              <w:rPr>
                <w:rFonts w:ascii="Arial" w:cs="Arial" w:eastAsia="Arial" w:hAnsi="Arial"/>
                <w:sz w:val="18"/>
                <w:szCs w:val="18"/>
                <w:color w:val="auto"/>
              </w:rPr>
              <w:t>720</w:t>
            </w:r>
          </w:p>
        </w:tc>
        <w:tc>
          <w:tcPr>
            <w:tcW w:w="252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r>
      <w:tr>
        <w:trPr>
          <w:trHeight w:val="42"/>
        </w:trPr>
        <w:tc>
          <w:tcPr>
            <w:tcW w:w="390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2240" w:type="dxa"/>
            <w:vAlign w:val="bottom"/>
            <w:tcBorders>
              <w:bottom w:val="single" w:sz="8" w:color="A6A6A6"/>
            </w:tcBorders>
          </w:tcPr>
          <w:p>
            <w:pPr>
              <w:spacing w:after="0"/>
              <w:rPr>
                <w:sz w:val="3"/>
                <w:szCs w:val="3"/>
                <w:color w:val="auto"/>
              </w:rPr>
            </w:pPr>
          </w:p>
        </w:tc>
      </w:tr>
      <w:tr>
        <w:trPr>
          <w:trHeight w:val="358"/>
        </w:trPr>
        <w:tc>
          <w:tcPr>
            <w:tcW w:w="39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AAC6"/>
              </w:rPr>
              <w:t xml:space="preserve">Western Pennsylvania </w:t>
            </w:r>
            <w:r>
              <w:rPr>
                <w:rFonts w:ascii="Arial" w:cs="Arial" w:eastAsia="Arial" w:hAnsi="Arial"/>
                <w:sz w:val="24"/>
                <w:szCs w:val="24"/>
                <w:b w:val="1"/>
                <w:bCs w:val="1"/>
                <w:color w:val="00AAC6"/>
                <w:vertAlign w:val="superscript"/>
              </w:rPr>
              <w:t>(2)</w:t>
            </w:r>
          </w:p>
        </w:tc>
        <w:tc>
          <w:tcPr>
            <w:tcW w:w="2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24"/>
                <w:szCs w:val="24"/>
                <w:color w:val="auto"/>
              </w:rPr>
            </w:pPr>
          </w:p>
        </w:tc>
        <w:tc>
          <w:tcPr>
            <w:tcW w:w="2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24"/>
                <w:szCs w:val="24"/>
                <w:color w:val="auto"/>
              </w:rPr>
            </w:pPr>
          </w:p>
        </w:tc>
        <w:tc>
          <w:tcPr>
            <w:tcW w:w="2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89"/>
        </w:trPr>
        <w:tc>
          <w:tcPr>
            <w:tcW w:w="3900" w:type="dxa"/>
            <w:vAlign w:val="bottom"/>
          </w:tcPr>
          <w:p>
            <w:pPr>
              <w:spacing w:after="0"/>
              <w:rPr>
                <w:sz w:val="24"/>
                <w:szCs w:val="24"/>
                <w:color w:val="auto"/>
              </w:rPr>
            </w:pPr>
          </w:p>
        </w:tc>
        <w:tc>
          <w:tcPr>
            <w:tcW w:w="2300" w:type="dxa"/>
            <w:vAlign w:val="bottom"/>
          </w:tcPr>
          <w:p>
            <w:pPr>
              <w:jc w:val="right"/>
              <w:ind w:right="51"/>
              <w:spacing w:after="0"/>
              <w:rPr>
                <w:sz w:val="20"/>
                <w:szCs w:val="20"/>
                <w:color w:val="auto"/>
              </w:rPr>
            </w:pPr>
            <w:r>
              <w:rPr>
                <w:rFonts w:ascii="Arial" w:cs="Arial" w:eastAsia="Arial" w:hAnsi="Arial"/>
                <w:sz w:val="18"/>
                <w:szCs w:val="18"/>
                <w:b w:val="1"/>
                <w:bCs w:val="1"/>
                <w:color w:val="auto"/>
              </w:rPr>
              <w:t>7,230</w:t>
            </w:r>
          </w:p>
        </w:tc>
        <w:tc>
          <w:tcPr>
            <w:tcW w:w="252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5,150</w:t>
            </w:r>
          </w:p>
        </w:tc>
        <w:tc>
          <w:tcPr>
            <w:tcW w:w="2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5,270</w:t>
            </w:r>
          </w:p>
        </w:tc>
      </w:tr>
      <w:tr>
        <w:trPr>
          <w:trHeight w:val="42"/>
        </w:trPr>
        <w:tc>
          <w:tcPr>
            <w:tcW w:w="3900" w:type="dxa"/>
            <w:vAlign w:val="bottom"/>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20"/>
        </w:trPr>
        <w:tc>
          <w:tcPr>
            <w:tcW w:w="39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The Company is currently not operating its aggregate facility in the Kansas City area.</w:t>
      </w:r>
    </w:p>
    <w:p>
      <w:pPr>
        <w:ind w:left="180" w:hanging="172"/>
        <w:spacing w:after="0" w:line="193" w:lineRule="auto"/>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This mine was acquired on January 7, 2025. The tons mined in fiscal 2025 are from this date through March 31,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Mining Properties</w:t>
      </w:r>
    </w:p>
    <w:p>
      <w:pPr>
        <w:spacing w:after="0" w:line="104"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We have adequate access to all our gypsum quarries. Mining at all our quarries is done by Company personnel, and all our mines are in the production stage. Mineral resources and mineral reserves for our Gypsum Wallboard business are defined similarly to how they are defined for our Cement business. See the Limestone Resources and Reserves section in the Cement segment discussion above for a more detailed description of how we define mineral resources and reserves.</w:t>
      </w:r>
    </w:p>
    <w:p>
      <w:pPr>
        <w:spacing w:after="0" w:line="6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of March 31, 2026, we had 65.5 million tons of proven and probable gypsum reserves, and 149.7 million tons of measured and indicated gypsum resources, exclusive of gypsum reserves. Approximately 40% of our reserves are owned, with the rest leased.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5"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following table sets forth certain information regarding our gypsum wallboard plants and gypsum resources, exclusive of gypsum reserves, at March 31, 2026.</w:t>
      </w:r>
    </w:p>
    <w:p>
      <w:pPr>
        <w:spacing w:after="0" w:line="132" w:lineRule="exact"/>
        <w:rPr>
          <w:sz w:val="20"/>
          <w:szCs w:val="20"/>
          <w:color w:val="auto"/>
        </w:rPr>
      </w:pPr>
    </w:p>
    <w:p>
      <w:pPr>
        <w:ind w:left="6940"/>
        <w:spacing w:after="0"/>
        <w:rPr>
          <w:sz w:val="20"/>
          <w:szCs w:val="20"/>
          <w:color w:val="auto"/>
        </w:rPr>
      </w:pPr>
      <w:r>
        <w:rPr>
          <w:rFonts w:ascii="Arial" w:cs="Arial" w:eastAsia="Arial" w:hAnsi="Arial"/>
          <w:sz w:val="16"/>
          <w:szCs w:val="16"/>
          <w:b w:val="1"/>
          <w:bCs w:val="1"/>
          <w:color w:val="auto"/>
        </w:rPr>
        <w:t xml:space="preserve">Gypsum Resources </w:t>
      </w:r>
      <w:r>
        <w:rPr>
          <w:rFonts w:ascii="Arial" w:cs="Arial" w:eastAsia="Arial" w:hAnsi="Arial"/>
          <w:sz w:val="21"/>
          <w:szCs w:val="21"/>
          <w:b w:val="1"/>
          <w:bCs w:val="1"/>
          <w:color w:val="auto"/>
          <w:vertAlign w:val="superscript"/>
        </w:rPr>
        <w:t>(1)(2)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3"/>
          </w:tcPr>
          <w:p>
            <w:pPr>
              <w:ind w:left="920"/>
              <w:spacing w:after="0"/>
              <w:rPr>
                <w:sz w:val="20"/>
                <w:szCs w:val="20"/>
                <w:color w:val="auto"/>
              </w:rPr>
            </w:pPr>
            <w:r>
              <w:rPr>
                <w:rFonts w:ascii="Arial" w:cs="Arial" w:eastAsia="Arial" w:hAnsi="Arial"/>
                <w:sz w:val="14"/>
                <w:szCs w:val="14"/>
                <w:color w:val="auto"/>
              </w:rPr>
              <w:t>(tons in thousands)</w:t>
            </w:r>
          </w:p>
        </w:tc>
        <w:tc>
          <w:tcPr>
            <w:tcW w:w="10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33"/>
              <w:spacing w:after="0"/>
              <w:rPr>
                <w:sz w:val="20"/>
                <w:szCs w:val="20"/>
                <w:color w:val="auto"/>
              </w:rPr>
            </w:pPr>
            <w:r>
              <w:rPr>
                <w:rFonts w:ascii="Arial" w:cs="Arial" w:eastAsia="Arial" w:hAnsi="Arial"/>
                <w:sz w:val="16"/>
                <w:szCs w:val="16"/>
                <w:b w:val="1"/>
                <w:bCs w:val="1"/>
                <w:color w:val="auto"/>
              </w:rPr>
              <w:t>Measured &amp;</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Measured</w:t>
            </w: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Indicated</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Indicated</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Inferred</w:t>
            </w:r>
          </w:p>
        </w:tc>
        <w:tc>
          <w:tcPr>
            <w:tcW w:w="0" w:type="dxa"/>
            <w:vAlign w:val="bottom"/>
          </w:tcPr>
          <w:p>
            <w:pPr>
              <w:spacing w:after="0"/>
              <w:rPr>
                <w:sz w:val="1"/>
                <w:szCs w:val="1"/>
                <w:color w:val="auto"/>
              </w:rPr>
            </w:pPr>
          </w:p>
        </w:tc>
      </w:tr>
      <w:tr>
        <w:trPr>
          <w:trHeight w:val="296"/>
        </w:trPr>
        <w:tc>
          <w:tcPr>
            <w:tcW w:w="4620" w:type="dxa"/>
            <w:vAlign w:val="bottom"/>
          </w:tcPr>
          <w:p>
            <w:pPr>
              <w:spacing w:after="0"/>
              <w:rPr>
                <w:sz w:val="20"/>
                <w:szCs w:val="20"/>
                <w:color w:val="auto"/>
              </w:rPr>
            </w:pPr>
            <w:r>
              <w:rPr>
                <w:rFonts w:ascii="Arial" w:cs="Arial" w:eastAsia="Arial" w:hAnsi="Arial"/>
                <w:sz w:val="18"/>
                <w:szCs w:val="18"/>
                <w:b w:val="1"/>
                <w:bCs w:val="1"/>
                <w:color w:val="77943C"/>
              </w:rPr>
              <w:t>Albuquerque, New Mexico</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41,200</w:t>
            </w:r>
          </w:p>
        </w:tc>
        <w:tc>
          <w:tcPr>
            <w:tcW w:w="1720" w:type="dxa"/>
            <w:vAlign w:val="bottom"/>
            <w:gridSpan w:val="2"/>
          </w:tcPr>
          <w:p>
            <w:pPr>
              <w:jc w:val="right"/>
              <w:ind w:right="37"/>
              <w:spacing w:after="0"/>
              <w:rPr>
                <w:sz w:val="20"/>
                <w:szCs w:val="20"/>
                <w:color w:val="auto"/>
              </w:rPr>
            </w:pPr>
            <w:r>
              <w:rPr>
                <w:rFonts w:ascii="Arial" w:cs="Arial" w:eastAsia="Arial" w:hAnsi="Arial"/>
                <w:sz w:val="18"/>
                <w:szCs w:val="18"/>
                <w:color w:val="auto"/>
              </w:rPr>
              <w:t>15,600</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56,800</w:t>
            </w:r>
          </w:p>
        </w:tc>
        <w:tc>
          <w:tcPr>
            <w:tcW w:w="1680" w:type="dxa"/>
            <w:vAlign w:val="bottom"/>
            <w:gridSpan w:val="2"/>
          </w:tcPr>
          <w:p>
            <w:pPr>
              <w:jc w:val="right"/>
              <w:ind w:right="32"/>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42"/>
        </w:trPr>
        <w:tc>
          <w:tcPr>
            <w:tcW w:w="462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462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77943C"/>
              </w:rPr>
              <w:t xml:space="preserve">Bernalillo, New Mexico </w:t>
            </w:r>
            <w:r>
              <w:rPr>
                <w:rFonts w:ascii="Arial" w:cs="Arial" w:eastAsia="Arial" w:hAnsi="Arial"/>
                <w:sz w:val="24"/>
                <w:szCs w:val="24"/>
                <w:b w:val="1"/>
                <w:bCs w:val="1"/>
                <w:color w:val="77943C"/>
                <w:vertAlign w:val="superscript"/>
              </w:rPr>
              <w:t>(3)</w:t>
            </w:r>
          </w:p>
        </w:tc>
        <w:tc>
          <w:tcPr>
            <w:tcW w:w="1560" w:type="dxa"/>
            <w:vAlign w:val="bottom"/>
            <w:tcBorders>
              <w:bottom w:val="single" w:sz="8" w:color="A6A6A6"/>
            </w:tcBorders>
          </w:tcPr>
          <w:p>
            <w:pPr>
              <w:jc w:val="right"/>
              <w:ind w:right="51"/>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6A6A6"/>
            </w:tcBorders>
          </w:tcPr>
          <w:p>
            <w:pPr>
              <w:spacing w:after="0"/>
              <w:rPr>
                <w:sz w:val="24"/>
                <w:szCs w:val="24"/>
                <w:color w:val="auto"/>
              </w:rPr>
            </w:pPr>
          </w:p>
        </w:tc>
        <w:tc>
          <w:tcPr>
            <w:tcW w:w="2160" w:type="dxa"/>
            <w:vAlign w:val="bottom"/>
            <w:tcBorders>
              <w:bottom w:val="single" w:sz="8" w:color="A6A6A6"/>
            </w:tcBorders>
            <w:gridSpan w:val="3"/>
          </w:tcPr>
          <w:p>
            <w:pPr>
              <w:jc w:val="right"/>
              <w:ind w:right="720"/>
              <w:spacing w:after="0"/>
              <w:rPr>
                <w:sz w:val="20"/>
                <w:szCs w:val="20"/>
                <w:color w:val="auto"/>
              </w:rPr>
            </w:pPr>
            <w:r>
              <w:rPr>
                <w:rFonts w:ascii="Arial" w:cs="Arial" w:eastAsia="Arial" w:hAnsi="Arial"/>
                <w:sz w:val="18"/>
                <w:szCs w:val="18"/>
                <w:color w:val="auto"/>
              </w:rPr>
              <w:t>n/a</w:t>
            </w:r>
          </w:p>
        </w:tc>
        <w:tc>
          <w:tcPr>
            <w:tcW w:w="1060" w:type="dxa"/>
            <w:vAlign w:val="bottom"/>
            <w:tcBorders>
              <w:bottom w:val="single" w:sz="8" w:color="A6A6A6"/>
            </w:tcBorders>
          </w:tcPr>
          <w:p>
            <w:pPr>
              <w:jc w:val="right"/>
              <w:ind w:right="33"/>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6A6A6"/>
            </w:tcBorders>
          </w:tcPr>
          <w:p>
            <w:pPr>
              <w:spacing w:after="0"/>
              <w:rPr>
                <w:sz w:val="24"/>
                <w:szCs w:val="24"/>
                <w:color w:val="auto"/>
              </w:rPr>
            </w:pPr>
          </w:p>
        </w:tc>
        <w:tc>
          <w:tcPr>
            <w:tcW w:w="1520" w:type="dxa"/>
            <w:vAlign w:val="bottom"/>
            <w:tcBorders>
              <w:bottom w:val="single" w:sz="8" w:color="A6A6A6"/>
            </w:tcBorders>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9"/>
        </w:trPr>
        <w:tc>
          <w:tcPr>
            <w:tcW w:w="4620" w:type="dxa"/>
            <w:vAlign w:val="bottom"/>
          </w:tcPr>
          <w:p>
            <w:pPr>
              <w:spacing w:after="0"/>
              <w:rPr>
                <w:sz w:val="20"/>
                <w:szCs w:val="20"/>
                <w:color w:val="auto"/>
              </w:rPr>
            </w:pPr>
            <w:r>
              <w:rPr>
                <w:rFonts w:ascii="Arial" w:cs="Arial" w:eastAsia="Arial" w:hAnsi="Arial"/>
                <w:sz w:val="18"/>
                <w:szCs w:val="18"/>
                <w:b w:val="1"/>
                <w:bCs w:val="1"/>
                <w:color w:val="77943C"/>
              </w:rPr>
              <w:t>Gypsum, Colorado</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19,560</w:t>
            </w:r>
          </w:p>
        </w:tc>
        <w:tc>
          <w:tcPr>
            <w:tcW w:w="1720" w:type="dxa"/>
            <w:vAlign w:val="bottom"/>
            <w:gridSpan w:val="2"/>
          </w:tcPr>
          <w:p>
            <w:pPr>
              <w:jc w:val="right"/>
              <w:ind w:right="37"/>
              <w:spacing w:after="0"/>
              <w:rPr>
                <w:sz w:val="20"/>
                <w:szCs w:val="20"/>
                <w:color w:val="auto"/>
              </w:rPr>
            </w:pPr>
            <w:r>
              <w:rPr>
                <w:rFonts w:ascii="Arial" w:cs="Arial" w:eastAsia="Arial" w:hAnsi="Arial"/>
                <w:sz w:val="18"/>
                <w:szCs w:val="18"/>
                <w:color w:val="auto"/>
              </w:rPr>
              <w:t>2,620</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22,180</w:t>
            </w:r>
          </w:p>
        </w:tc>
        <w:tc>
          <w:tcPr>
            <w:tcW w:w="160" w:type="dxa"/>
            <w:vAlign w:val="bottom"/>
          </w:tcPr>
          <w:p>
            <w:pPr>
              <w:spacing w:after="0"/>
              <w:rPr>
                <w:sz w:val="24"/>
                <w:szCs w:val="24"/>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
        </w:trPr>
        <w:tc>
          <w:tcPr>
            <w:tcW w:w="462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620" w:type="dxa"/>
            <w:vAlign w:val="bottom"/>
          </w:tcPr>
          <w:p>
            <w:pPr>
              <w:spacing w:after="0"/>
              <w:rPr>
                <w:sz w:val="20"/>
                <w:szCs w:val="20"/>
                <w:color w:val="auto"/>
              </w:rPr>
            </w:pPr>
            <w:r>
              <w:rPr>
                <w:rFonts w:ascii="Arial" w:cs="Arial" w:eastAsia="Arial" w:hAnsi="Arial"/>
                <w:sz w:val="18"/>
                <w:szCs w:val="18"/>
                <w:b w:val="1"/>
                <w:bCs w:val="1"/>
                <w:color w:val="77943C"/>
              </w:rPr>
              <w:t>Duke, Oklahoma</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27,950</w:t>
            </w:r>
          </w:p>
        </w:tc>
        <w:tc>
          <w:tcPr>
            <w:tcW w:w="1720" w:type="dxa"/>
            <w:vAlign w:val="bottom"/>
            <w:gridSpan w:val="2"/>
          </w:tcPr>
          <w:p>
            <w:pPr>
              <w:jc w:val="right"/>
              <w:ind w:right="37"/>
              <w:spacing w:after="0"/>
              <w:rPr>
                <w:sz w:val="20"/>
                <w:szCs w:val="20"/>
                <w:color w:val="auto"/>
              </w:rPr>
            </w:pPr>
            <w:r>
              <w:rPr>
                <w:rFonts w:ascii="Arial" w:cs="Arial" w:eastAsia="Arial" w:hAnsi="Arial"/>
                <w:sz w:val="18"/>
                <w:szCs w:val="18"/>
                <w:color w:val="auto"/>
              </w:rPr>
              <w:t>42,720</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70,670</w:t>
            </w:r>
          </w:p>
        </w:tc>
        <w:tc>
          <w:tcPr>
            <w:tcW w:w="1680" w:type="dxa"/>
            <w:vAlign w:val="bottom"/>
            <w:gridSpan w:val="2"/>
          </w:tcPr>
          <w:p>
            <w:pPr>
              <w:jc w:val="right"/>
              <w:ind w:right="32"/>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42"/>
        </w:trPr>
        <w:tc>
          <w:tcPr>
            <w:tcW w:w="462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5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462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77943C"/>
              </w:rPr>
              <w:t xml:space="preserve">Georgetown, South Carolina </w:t>
            </w:r>
            <w:r>
              <w:rPr>
                <w:rFonts w:ascii="Arial" w:cs="Arial" w:eastAsia="Arial" w:hAnsi="Arial"/>
                <w:sz w:val="24"/>
                <w:szCs w:val="24"/>
                <w:b w:val="1"/>
                <w:bCs w:val="1"/>
                <w:color w:val="77943C"/>
                <w:vertAlign w:val="superscript"/>
              </w:rPr>
              <w:t>(4)</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4"/>
                <w:szCs w:val="24"/>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4"/>
                <w:szCs w:val="24"/>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9"/>
        </w:trPr>
        <w:tc>
          <w:tcPr>
            <w:tcW w:w="462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jc w:val="right"/>
              <w:ind w:right="51"/>
              <w:spacing w:after="0"/>
              <w:rPr>
                <w:sz w:val="20"/>
                <w:szCs w:val="20"/>
                <w:color w:val="auto"/>
              </w:rPr>
            </w:pPr>
            <w:r>
              <w:rPr>
                <w:rFonts w:ascii="Arial" w:cs="Arial" w:eastAsia="Arial" w:hAnsi="Arial"/>
                <w:sz w:val="18"/>
                <w:szCs w:val="18"/>
                <w:b w:val="1"/>
                <w:bCs w:val="1"/>
                <w:color w:val="auto"/>
              </w:rPr>
              <w:t>88,710</w:t>
            </w:r>
          </w:p>
        </w:tc>
        <w:tc>
          <w:tcPr>
            <w:tcW w:w="172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60,940</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149,650</w:t>
            </w:r>
          </w:p>
        </w:tc>
        <w:tc>
          <w:tcPr>
            <w:tcW w:w="16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65,300</w:t>
            </w:r>
          </w:p>
        </w:tc>
        <w:tc>
          <w:tcPr>
            <w:tcW w:w="0" w:type="dxa"/>
            <w:vAlign w:val="bottom"/>
          </w:tcPr>
          <w:p>
            <w:pPr>
              <w:spacing w:after="0"/>
              <w:rPr>
                <w:sz w:val="1"/>
                <w:szCs w:val="1"/>
                <w:color w:val="auto"/>
              </w:rPr>
            </w:pPr>
          </w:p>
        </w:tc>
      </w:tr>
      <w:tr>
        <w:trPr>
          <w:trHeight w:val="42"/>
        </w:trPr>
        <w:tc>
          <w:tcPr>
            <w:tcW w:w="4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Gypsum resources are shown on an in situ basis.</w:t>
      </w:r>
    </w:p>
    <w:p>
      <w:pPr>
        <w:ind w:left="180" w:right="100" w:hanging="172"/>
        <w:spacing w:after="0" w:line="204" w:lineRule="auto"/>
        <w:tabs>
          <w:tab w:leader="none" w:pos="1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Measured, Indicated and Inferred resources were based on an initial assessment using average selling price assumptions ranging from $17.83 to $19.33 per ton, depending on location and market.</w:t>
      </w:r>
    </w:p>
    <w:p>
      <w:pPr>
        <w:spacing w:after="0" w:line="1"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same resources serve both New Mexico plants.</w:t>
      </w:r>
    </w:p>
    <w:p>
      <w:pPr>
        <w:ind w:left="180" w:hanging="172"/>
        <w:spacing w:after="0" w:line="193" w:lineRule="auto"/>
        <w:tabs>
          <w:tab w:leader="none" w:pos="1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 2006, we signed a 60-year supply agreement for synthetic gypsum with Santee Cooper that expires in 2069.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gypsum reserves at March 31, 2026.</w:t>
      </w:r>
    </w:p>
    <w:p>
      <w:pPr>
        <w:spacing w:after="0" w:line="190"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 xml:space="preserve">Gypsum Reserves </w:t>
      </w:r>
      <w:r>
        <w:rPr>
          <w:rFonts w:ascii="Arial" w:cs="Arial" w:eastAsia="Arial" w:hAnsi="Arial"/>
          <w:sz w:val="21"/>
          <w:szCs w:val="21"/>
          <w:b w:val="1"/>
          <w:bCs w:val="1"/>
          <w:color w:val="auto"/>
          <w:vertAlign w:val="superscript"/>
        </w:rPr>
        <w:t>(1)(2)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ind w:right="297"/>
              <w:spacing w:after="0"/>
              <w:rPr>
                <w:sz w:val="20"/>
                <w:szCs w:val="20"/>
                <w:color w:val="auto"/>
              </w:rPr>
            </w:pPr>
            <w:r>
              <w:rPr>
                <w:rFonts w:ascii="Arial" w:cs="Arial" w:eastAsia="Arial" w:hAnsi="Arial"/>
                <w:sz w:val="14"/>
                <w:szCs w:val="14"/>
                <w:color w:val="auto"/>
              </w:rPr>
              <w:t>(tons in thousands)</w:t>
            </w:r>
          </w:p>
        </w:tc>
        <w:tc>
          <w:tcPr>
            <w:tcW w:w="1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6"/>
                <w:szCs w:val="16"/>
                <w:b w:val="1"/>
                <w:bCs w:val="1"/>
                <w:color w:val="auto"/>
              </w:rPr>
              <w:t>Total Proven &amp;</w:t>
            </w:r>
          </w:p>
        </w:tc>
        <w:tc>
          <w:tcPr>
            <w:tcW w:w="0" w:type="dxa"/>
            <w:vAlign w:val="bottom"/>
          </w:tcPr>
          <w:p>
            <w:pPr>
              <w:spacing w:after="0"/>
              <w:rPr>
                <w:sz w:val="1"/>
                <w:szCs w:val="1"/>
                <w:color w:val="auto"/>
              </w:rPr>
            </w:pPr>
          </w:p>
        </w:tc>
      </w:tr>
      <w:tr>
        <w:trPr>
          <w:trHeight w:val="167"/>
        </w:trPr>
        <w:tc>
          <w:tcPr>
            <w:tcW w:w="5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18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Proven</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Probable</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Probable</w:t>
            </w:r>
          </w:p>
        </w:tc>
        <w:tc>
          <w:tcPr>
            <w:tcW w:w="0" w:type="dxa"/>
            <w:vAlign w:val="bottom"/>
          </w:tcPr>
          <w:p>
            <w:pPr>
              <w:spacing w:after="0"/>
              <w:rPr>
                <w:sz w:val="1"/>
                <w:szCs w:val="1"/>
                <w:color w:val="auto"/>
              </w:rPr>
            </w:pPr>
          </w:p>
        </w:tc>
      </w:tr>
      <w:tr>
        <w:trPr>
          <w:trHeight w:val="309"/>
        </w:trPr>
        <w:tc>
          <w:tcPr>
            <w:tcW w:w="5440" w:type="dxa"/>
            <w:vAlign w:val="bottom"/>
          </w:tcPr>
          <w:p>
            <w:pPr>
              <w:spacing w:after="0"/>
              <w:rPr>
                <w:sz w:val="20"/>
                <w:szCs w:val="20"/>
                <w:color w:val="auto"/>
              </w:rPr>
            </w:pPr>
            <w:r>
              <w:rPr>
                <w:rFonts w:ascii="Arial" w:cs="Arial" w:eastAsia="Arial" w:hAnsi="Arial"/>
                <w:sz w:val="18"/>
                <w:szCs w:val="18"/>
                <w:b w:val="1"/>
                <w:bCs w:val="1"/>
                <w:color w:val="77943C"/>
              </w:rPr>
              <w:t>Albuquerque, New Mexico</w:t>
            </w: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19,970</w:t>
            </w:r>
          </w:p>
        </w:tc>
        <w:tc>
          <w:tcPr>
            <w:tcW w:w="1980" w:type="dxa"/>
            <w:vAlign w:val="bottom"/>
            <w:gridSpan w:val="2"/>
          </w:tcPr>
          <w:p>
            <w:pPr>
              <w:jc w:val="right"/>
              <w:ind w:right="37"/>
              <w:spacing w:after="0"/>
              <w:rPr>
                <w:sz w:val="20"/>
                <w:szCs w:val="20"/>
                <w:color w:val="auto"/>
              </w:rPr>
            </w:pPr>
            <w:r>
              <w:rPr>
                <w:rFonts w:ascii="Arial" w:cs="Arial" w:eastAsia="Arial" w:hAnsi="Arial"/>
                <w:sz w:val="18"/>
                <w:szCs w:val="18"/>
                <w:color w:val="auto"/>
              </w:rPr>
              <w:t>3,600</w:t>
            </w:r>
          </w:p>
        </w:tc>
        <w:tc>
          <w:tcPr>
            <w:tcW w:w="1980" w:type="dxa"/>
            <w:vAlign w:val="bottom"/>
            <w:gridSpan w:val="2"/>
          </w:tcPr>
          <w:p>
            <w:pPr>
              <w:jc w:val="right"/>
              <w:ind w:right="35"/>
              <w:spacing w:after="0"/>
              <w:rPr>
                <w:sz w:val="20"/>
                <w:szCs w:val="20"/>
                <w:color w:val="auto"/>
              </w:rPr>
            </w:pPr>
            <w:r>
              <w:rPr>
                <w:rFonts w:ascii="Arial" w:cs="Arial" w:eastAsia="Arial" w:hAnsi="Arial"/>
                <w:sz w:val="18"/>
                <w:szCs w:val="18"/>
                <w:color w:val="auto"/>
              </w:rPr>
              <w:t>23,570</w:t>
            </w:r>
          </w:p>
        </w:tc>
        <w:tc>
          <w:tcPr>
            <w:tcW w:w="0" w:type="dxa"/>
            <w:vAlign w:val="bottom"/>
          </w:tcPr>
          <w:p>
            <w:pPr>
              <w:spacing w:after="0"/>
              <w:rPr>
                <w:sz w:val="1"/>
                <w:szCs w:val="1"/>
                <w:color w:val="auto"/>
              </w:rPr>
            </w:pPr>
          </w:p>
        </w:tc>
      </w:tr>
      <w:tr>
        <w:trPr>
          <w:trHeight w:val="56"/>
        </w:trPr>
        <w:tc>
          <w:tcPr>
            <w:tcW w:w="5440" w:type="dxa"/>
            <w:vAlign w:val="bottom"/>
            <w:tcBorders>
              <w:bottom w:val="single" w:sz="8" w:color="A6A6A6"/>
            </w:tcBorders>
          </w:tcPr>
          <w:p>
            <w:pPr>
              <w:spacing w:after="0"/>
              <w:rPr>
                <w:sz w:val="4"/>
                <w:szCs w:val="4"/>
                <w:color w:val="auto"/>
              </w:rPr>
            </w:pPr>
          </w:p>
        </w:tc>
        <w:tc>
          <w:tcPr>
            <w:tcW w:w="1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544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77943C"/>
              </w:rPr>
              <w:t xml:space="preserve">Bernalillo, New Mexico </w:t>
            </w:r>
            <w:r>
              <w:rPr>
                <w:rFonts w:ascii="Arial" w:cs="Arial" w:eastAsia="Arial" w:hAnsi="Arial"/>
                <w:sz w:val="24"/>
                <w:szCs w:val="24"/>
                <w:b w:val="1"/>
                <w:bCs w:val="1"/>
                <w:color w:val="77943C"/>
                <w:vertAlign w:val="superscript"/>
              </w:rPr>
              <w:t>(3)</w:t>
            </w:r>
          </w:p>
        </w:tc>
        <w:tc>
          <w:tcPr>
            <w:tcW w:w="1840" w:type="dxa"/>
            <w:vAlign w:val="bottom"/>
            <w:tcBorders>
              <w:bottom w:val="single" w:sz="8" w:color="A6A6A6"/>
            </w:tcBorders>
          </w:tcPr>
          <w:p>
            <w:pPr>
              <w:jc w:val="right"/>
              <w:ind w:right="51"/>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6A6A6"/>
            </w:tcBorders>
          </w:tcPr>
          <w:p>
            <w:pPr>
              <w:spacing w:after="0"/>
              <w:rPr>
                <w:sz w:val="24"/>
                <w:szCs w:val="24"/>
                <w:color w:val="auto"/>
              </w:rPr>
            </w:pPr>
          </w:p>
        </w:tc>
        <w:tc>
          <w:tcPr>
            <w:tcW w:w="1800" w:type="dxa"/>
            <w:vAlign w:val="bottom"/>
            <w:tcBorders>
              <w:bottom w:val="single" w:sz="8" w:color="A6A6A6"/>
            </w:tcBorders>
          </w:tcPr>
          <w:p>
            <w:pPr>
              <w:jc w:val="right"/>
              <w:ind w:right="37"/>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6A6A6"/>
            </w:tcBorders>
          </w:tcPr>
          <w:p>
            <w:pPr>
              <w:spacing w:after="0"/>
              <w:rPr>
                <w:sz w:val="24"/>
                <w:szCs w:val="24"/>
                <w:color w:val="auto"/>
              </w:rPr>
            </w:pPr>
          </w:p>
        </w:tc>
        <w:tc>
          <w:tcPr>
            <w:tcW w:w="1800" w:type="dxa"/>
            <w:vAlign w:val="bottom"/>
            <w:tcBorders>
              <w:bottom w:val="single" w:sz="8" w:color="A6A6A6"/>
            </w:tcBorders>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03"/>
        </w:trPr>
        <w:tc>
          <w:tcPr>
            <w:tcW w:w="5440" w:type="dxa"/>
            <w:vAlign w:val="bottom"/>
          </w:tcPr>
          <w:p>
            <w:pPr>
              <w:spacing w:after="0"/>
              <w:rPr>
                <w:sz w:val="20"/>
                <w:szCs w:val="20"/>
                <w:color w:val="auto"/>
              </w:rPr>
            </w:pPr>
            <w:r>
              <w:rPr>
                <w:rFonts w:ascii="Arial" w:cs="Arial" w:eastAsia="Arial" w:hAnsi="Arial"/>
                <w:sz w:val="18"/>
                <w:szCs w:val="18"/>
                <w:b w:val="1"/>
                <w:bCs w:val="1"/>
                <w:color w:val="77943C"/>
              </w:rPr>
              <w:t>Gypsum, Colorado</w:t>
            </w: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16,860</w:t>
            </w:r>
          </w:p>
        </w:tc>
        <w:tc>
          <w:tcPr>
            <w:tcW w:w="1980" w:type="dxa"/>
            <w:vAlign w:val="bottom"/>
            <w:gridSpan w:val="2"/>
          </w:tcPr>
          <w:p>
            <w:pPr>
              <w:jc w:val="right"/>
              <w:ind w:right="37"/>
              <w:spacing w:after="0"/>
              <w:rPr>
                <w:sz w:val="20"/>
                <w:szCs w:val="20"/>
                <w:color w:val="auto"/>
              </w:rPr>
            </w:pPr>
            <w:r>
              <w:rPr>
                <w:rFonts w:ascii="Arial" w:cs="Arial" w:eastAsia="Arial" w:hAnsi="Arial"/>
                <w:sz w:val="18"/>
                <w:szCs w:val="18"/>
                <w:color w:val="auto"/>
              </w:rPr>
              <w:t>2,420</w:t>
            </w:r>
          </w:p>
        </w:tc>
        <w:tc>
          <w:tcPr>
            <w:tcW w:w="1980" w:type="dxa"/>
            <w:vAlign w:val="bottom"/>
            <w:gridSpan w:val="2"/>
          </w:tcPr>
          <w:p>
            <w:pPr>
              <w:jc w:val="right"/>
              <w:ind w:right="35"/>
              <w:spacing w:after="0"/>
              <w:rPr>
                <w:sz w:val="20"/>
                <w:szCs w:val="20"/>
                <w:color w:val="auto"/>
              </w:rPr>
            </w:pPr>
            <w:r>
              <w:rPr>
                <w:rFonts w:ascii="Arial" w:cs="Arial" w:eastAsia="Arial" w:hAnsi="Arial"/>
                <w:sz w:val="18"/>
                <w:szCs w:val="18"/>
                <w:color w:val="auto"/>
              </w:rPr>
              <w:t>19,280</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6A6A6"/>
            </w:tcBorders>
          </w:tcPr>
          <w:p>
            <w:pPr>
              <w:spacing w:after="0"/>
              <w:rPr>
                <w:sz w:val="4"/>
                <w:szCs w:val="4"/>
                <w:color w:val="auto"/>
              </w:rPr>
            </w:pPr>
          </w:p>
        </w:tc>
        <w:tc>
          <w:tcPr>
            <w:tcW w:w="1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5440" w:type="dxa"/>
            <w:vAlign w:val="bottom"/>
          </w:tcPr>
          <w:p>
            <w:pPr>
              <w:spacing w:after="0"/>
              <w:rPr>
                <w:sz w:val="20"/>
                <w:szCs w:val="20"/>
                <w:color w:val="auto"/>
              </w:rPr>
            </w:pPr>
            <w:r>
              <w:rPr>
                <w:rFonts w:ascii="Arial" w:cs="Arial" w:eastAsia="Arial" w:hAnsi="Arial"/>
                <w:sz w:val="18"/>
                <w:szCs w:val="18"/>
                <w:b w:val="1"/>
                <w:bCs w:val="1"/>
                <w:color w:val="77943C"/>
              </w:rPr>
              <w:t>Duke, Oklahoma</w:t>
            </w: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4,305</w:t>
            </w:r>
          </w:p>
        </w:tc>
        <w:tc>
          <w:tcPr>
            <w:tcW w:w="1980" w:type="dxa"/>
            <w:vAlign w:val="bottom"/>
            <w:gridSpan w:val="2"/>
          </w:tcPr>
          <w:p>
            <w:pPr>
              <w:jc w:val="right"/>
              <w:ind w:right="37"/>
              <w:spacing w:after="0"/>
              <w:rPr>
                <w:sz w:val="20"/>
                <w:szCs w:val="20"/>
                <w:color w:val="auto"/>
              </w:rPr>
            </w:pPr>
            <w:r>
              <w:rPr>
                <w:rFonts w:ascii="Arial" w:cs="Arial" w:eastAsia="Arial" w:hAnsi="Arial"/>
                <w:sz w:val="18"/>
                <w:szCs w:val="18"/>
                <w:color w:val="auto"/>
              </w:rPr>
              <w:t>18,350</w:t>
            </w:r>
          </w:p>
        </w:tc>
        <w:tc>
          <w:tcPr>
            <w:tcW w:w="1980" w:type="dxa"/>
            <w:vAlign w:val="bottom"/>
            <w:gridSpan w:val="2"/>
          </w:tcPr>
          <w:p>
            <w:pPr>
              <w:jc w:val="right"/>
              <w:ind w:right="35"/>
              <w:spacing w:after="0"/>
              <w:rPr>
                <w:sz w:val="20"/>
                <w:szCs w:val="20"/>
                <w:color w:val="auto"/>
              </w:rPr>
            </w:pPr>
            <w:r>
              <w:rPr>
                <w:rFonts w:ascii="Arial" w:cs="Arial" w:eastAsia="Arial" w:hAnsi="Arial"/>
                <w:sz w:val="18"/>
                <w:szCs w:val="18"/>
                <w:color w:val="auto"/>
              </w:rPr>
              <w:t>22,655</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6A6A6"/>
            </w:tcBorders>
          </w:tcPr>
          <w:p>
            <w:pPr>
              <w:spacing w:after="0"/>
              <w:rPr>
                <w:sz w:val="4"/>
                <w:szCs w:val="4"/>
                <w:color w:val="auto"/>
              </w:rPr>
            </w:pPr>
          </w:p>
        </w:tc>
        <w:tc>
          <w:tcPr>
            <w:tcW w:w="1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544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77943C"/>
              </w:rPr>
              <w:t xml:space="preserve">Georgetown, South Carolina </w:t>
            </w:r>
            <w:r>
              <w:rPr>
                <w:rFonts w:ascii="Arial" w:cs="Arial" w:eastAsia="Arial" w:hAnsi="Arial"/>
                <w:sz w:val="24"/>
                <w:szCs w:val="24"/>
                <w:b w:val="1"/>
                <w:bCs w:val="1"/>
                <w:color w:val="77943C"/>
                <w:vertAlign w:val="superscript"/>
              </w:rPr>
              <w:t>(4)</w:t>
            </w:r>
          </w:p>
        </w:tc>
        <w:tc>
          <w:tcPr>
            <w:tcW w:w="1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18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03"/>
        </w:trPr>
        <w:tc>
          <w:tcPr>
            <w:tcW w:w="544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840" w:type="dxa"/>
            <w:vAlign w:val="bottom"/>
          </w:tcPr>
          <w:p>
            <w:pPr>
              <w:jc w:val="right"/>
              <w:ind w:right="51"/>
              <w:spacing w:after="0"/>
              <w:rPr>
                <w:sz w:val="20"/>
                <w:szCs w:val="20"/>
                <w:color w:val="auto"/>
              </w:rPr>
            </w:pPr>
            <w:r>
              <w:rPr>
                <w:rFonts w:ascii="Arial" w:cs="Arial" w:eastAsia="Arial" w:hAnsi="Arial"/>
                <w:sz w:val="18"/>
                <w:szCs w:val="18"/>
                <w:b w:val="1"/>
                <w:bCs w:val="1"/>
                <w:color w:val="auto"/>
              </w:rPr>
              <w:t>41,135</w:t>
            </w:r>
          </w:p>
        </w:tc>
        <w:tc>
          <w:tcPr>
            <w:tcW w:w="198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24,370</w:t>
            </w:r>
          </w:p>
        </w:tc>
        <w:tc>
          <w:tcPr>
            <w:tcW w:w="198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65,505</w:t>
            </w:r>
          </w:p>
        </w:tc>
        <w:tc>
          <w:tcPr>
            <w:tcW w:w="0" w:type="dxa"/>
            <w:vAlign w:val="bottom"/>
          </w:tcPr>
          <w:p>
            <w:pPr>
              <w:spacing w:after="0"/>
              <w:rPr>
                <w:sz w:val="1"/>
                <w:szCs w:val="1"/>
                <w:color w:val="auto"/>
              </w:rPr>
            </w:pPr>
          </w:p>
        </w:tc>
      </w:tr>
      <w:tr>
        <w:trPr>
          <w:trHeight w:val="55"/>
        </w:trPr>
        <w:tc>
          <w:tcPr>
            <w:tcW w:w="544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Gypsum reserves are shown on a recoverable basis.</w:t>
      </w:r>
    </w:p>
    <w:p>
      <w:pPr>
        <w:ind w:left="180" w:hanging="172"/>
        <w:spacing w:after="0" w:line="187" w:lineRule="auto"/>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economic viability of our reserves was determined using average gypsum prices ranging from $17.83 to $19.33 per ton, depending on location and market.</w:t>
      </w:r>
    </w:p>
    <w:p>
      <w:pPr>
        <w:ind w:left="180" w:hanging="172"/>
        <w:spacing w:after="0" w:line="187" w:lineRule="auto"/>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same reserves serve both New Mexico plants.</w:t>
      </w:r>
    </w:p>
    <w:p>
      <w:pPr>
        <w:ind w:left="180" w:hanging="172"/>
        <w:spacing w:after="0" w:line="193" w:lineRule="auto"/>
        <w:tabs>
          <w:tab w:leader="none" w:pos="1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 2006, we signed a 60-year supply agreement for synthetic gypsum with Santee Cooper that expires in 2069.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total measured and indicated gypsum resources were 149.7 million tons at March 31, 2026, and 149.7 million tons March 31, 2025. Our total proven and probable reserves were 65.5 million tons at March 31, 2026, compared with 67.2 million tons at March 31, 2025. The decrease in proven and probable reserves was primarily due to mined gypsum during fiscal 2026.</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annual production volumes from our gypsum quarries.</w:t>
      </w:r>
    </w:p>
    <w:p>
      <w:pPr>
        <w:spacing w:after="0" w:line="324"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Tons Mined Reserves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4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color w:val="auto"/>
              </w:rPr>
              <w:t>(tons in thousands)</w:t>
            </w:r>
          </w:p>
        </w:tc>
        <w:tc>
          <w:tcPr>
            <w:tcW w:w="1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r>
      <w:tr>
        <w:trPr>
          <w:trHeight w:val="237"/>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Location</w:t>
            </w:r>
          </w:p>
        </w:tc>
        <w:tc>
          <w:tcPr>
            <w:tcW w:w="18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2026</w:t>
            </w:r>
          </w:p>
        </w:tc>
        <w:tc>
          <w:tcPr>
            <w:tcW w:w="19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1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2024</w:t>
            </w:r>
          </w:p>
        </w:tc>
      </w:tr>
      <w:tr>
        <w:trPr>
          <w:trHeight w:val="309"/>
        </w:trPr>
        <w:tc>
          <w:tcPr>
            <w:tcW w:w="5440" w:type="dxa"/>
            <w:vAlign w:val="bottom"/>
          </w:tcPr>
          <w:p>
            <w:pPr>
              <w:spacing w:after="0"/>
              <w:rPr>
                <w:sz w:val="20"/>
                <w:szCs w:val="20"/>
                <w:color w:val="auto"/>
              </w:rPr>
            </w:pPr>
            <w:r>
              <w:rPr>
                <w:rFonts w:ascii="Arial" w:cs="Arial" w:eastAsia="Arial" w:hAnsi="Arial"/>
                <w:sz w:val="18"/>
                <w:szCs w:val="18"/>
                <w:b w:val="1"/>
                <w:bCs w:val="1"/>
                <w:color w:val="77943C"/>
              </w:rPr>
              <w:t>Albuquerque, New Mexico</w:t>
            </w: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450</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540</w:t>
            </w: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560</w:t>
            </w:r>
          </w:p>
        </w:tc>
      </w:tr>
      <w:tr>
        <w:trPr>
          <w:trHeight w:val="55"/>
        </w:trPr>
        <w:tc>
          <w:tcPr>
            <w:tcW w:w="5440" w:type="dxa"/>
            <w:vAlign w:val="bottom"/>
            <w:tcBorders>
              <w:bottom w:val="single" w:sz="8" w:color="A6A6A6"/>
            </w:tcBorders>
          </w:tcPr>
          <w:p>
            <w:pPr>
              <w:spacing w:after="0"/>
              <w:rPr>
                <w:sz w:val="4"/>
                <w:szCs w:val="4"/>
                <w:color w:val="auto"/>
              </w:rPr>
            </w:pPr>
          </w:p>
        </w:tc>
        <w:tc>
          <w:tcPr>
            <w:tcW w:w="1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r>
      <w:tr>
        <w:trPr>
          <w:trHeight w:val="358"/>
        </w:trPr>
        <w:tc>
          <w:tcPr>
            <w:tcW w:w="544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77943C"/>
              </w:rPr>
              <w:t xml:space="preserve">Bernalillo, New Mexico </w:t>
            </w:r>
            <w:r>
              <w:rPr>
                <w:rFonts w:ascii="Arial" w:cs="Arial" w:eastAsia="Arial" w:hAnsi="Arial"/>
                <w:sz w:val="24"/>
                <w:szCs w:val="24"/>
                <w:b w:val="1"/>
                <w:bCs w:val="1"/>
                <w:color w:val="77943C"/>
                <w:vertAlign w:val="superscript"/>
              </w:rPr>
              <w:t>(1)</w:t>
            </w:r>
          </w:p>
        </w:tc>
        <w:tc>
          <w:tcPr>
            <w:tcW w:w="1840" w:type="dxa"/>
            <w:vAlign w:val="bottom"/>
            <w:tcBorders>
              <w:bottom w:val="single" w:sz="8" w:color="A6A6A6"/>
            </w:tcBorders>
          </w:tcPr>
          <w:p>
            <w:pPr>
              <w:jc w:val="right"/>
              <w:ind w:right="52"/>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6A6A6"/>
            </w:tcBorders>
          </w:tcPr>
          <w:p>
            <w:pPr>
              <w:spacing w:after="0"/>
              <w:rPr>
                <w:sz w:val="24"/>
                <w:szCs w:val="24"/>
                <w:color w:val="auto"/>
              </w:rPr>
            </w:pPr>
          </w:p>
        </w:tc>
        <w:tc>
          <w:tcPr>
            <w:tcW w:w="1800" w:type="dxa"/>
            <w:vAlign w:val="bottom"/>
            <w:tcBorders>
              <w:bottom w:val="single" w:sz="8" w:color="A6A6A6"/>
            </w:tcBorders>
          </w:tcPr>
          <w:p>
            <w:pPr>
              <w:jc w:val="right"/>
              <w:ind w:right="39"/>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6A6A6"/>
            </w:tcBorders>
          </w:tcPr>
          <w:p>
            <w:pPr>
              <w:spacing w:after="0"/>
              <w:rPr>
                <w:sz w:val="24"/>
                <w:szCs w:val="24"/>
                <w:color w:val="auto"/>
              </w:rPr>
            </w:pPr>
          </w:p>
        </w:tc>
        <w:tc>
          <w:tcPr>
            <w:tcW w:w="1800" w:type="dxa"/>
            <w:vAlign w:val="bottom"/>
            <w:tcBorders>
              <w:bottom w:val="single" w:sz="8" w:color="A6A6A6"/>
            </w:tcBorders>
          </w:tcPr>
          <w:p>
            <w:pPr>
              <w:jc w:val="right"/>
              <w:ind w:right="30"/>
              <w:spacing w:after="0"/>
              <w:rPr>
                <w:sz w:val="20"/>
                <w:szCs w:val="20"/>
                <w:color w:val="auto"/>
              </w:rPr>
            </w:pPr>
            <w:r>
              <w:rPr>
                <w:rFonts w:ascii="Arial" w:cs="Arial" w:eastAsia="Arial" w:hAnsi="Arial"/>
                <w:sz w:val="18"/>
                <w:szCs w:val="18"/>
                <w:color w:val="auto"/>
              </w:rPr>
              <w:t>n/a</w:t>
            </w:r>
          </w:p>
        </w:tc>
      </w:tr>
      <w:tr>
        <w:trPr>
          <w:trHeight w:val="303"/>
        </w:trPr>
        <w:tc>
          <w:tcPr>
            <w:tcW w:w="5440" w:type="dxa"/>
            <w:vAlign w:val="bottom"/>
          </w:tcPr>
          <w:p>
            <w:pPr>
              <w:spacing w:after="0"/>
              <w:rPr>
                <w:sz w:val="20"/>
                <w:szCs w:val="20"/>
                <w:color w:val="auto"/>
              </w:rPr>
            </w:pPr>
            <w:r>
              <w:rPr>
                <w:rFonts w:ascii="Arial" w:cs="Arial" w:eastAsia="Arial" w:hAnsi="Arial"/>
                <w:sz w:val="18"/>
                <w:szCs w:val="18"/>
                <w:b w:val="1"/>
                <w:bCs w:val="1"/>
                <w:color w:val="77943C"/>
              </w:rPr>
              <w:t>Gypsum, Colorado</w:t>
            </w: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540</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560</w:t>
            </w: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615</w:t>
            </w:r>
          </w:p>
        </w:tc>
      </w:tr>
      <w:tr>
        <w:trPr>
          <w:trHeight w:val="56"/>
        </w:trPr>
        <w:tc>
          <w:tcPr>
            <w:tcW w:w="5440" w:type="dxa"/>
            <w:vAlign w:val="bottom"/>
            <w:tcBorders>
              <w:bottom w:val="single" w:sz="8" w:color="A6A6A6"/>
            </w:tcBorders>
          </w:tcPr>
          <w:p>
            <w:pPr>
              <w:spacing w:after="0"/>
              <w:rPr>
                <w:sz w:val="4"/>
                <w:szCs w:val="4"/>
                <w:color w:val="auto"/>
              </w:rPr>
            </w:pPr>
          </w:p>
        </w:tc>
        <w:tc>
          <w:tcPr>
            <w:tcW w:w="1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0" w:type="dxa"/>
            <w:vAlign w:val="bottom"/>
            <w:tcBorders>
              <w:bottom w:val="single" w:sz="8" w:color="A6A6A6"/>
            </w:tcBorders>
          </w:tcPr>
          <w:p>
            <w:pPr>
              <w:spacing w:after="0"/>
              <w:rPr>
                <w:sz w:val="4"/>
                <w:szCs w:val="4"/>
                <w:color w:val="auto"/>
              </w:rPr>
            </w:pPr>
          </w:p>
        </w:tc>
      </w:tr>
      <w:tr>
        <w:trPr>
          <w:trHeight w:val="302"/>
        </w:trPr>
        <w:tc>
          <w:tcPr>
            <w:tcW w:w="5440" w:type="dxa"/>
            <w:vAlign w:val="bottom"/>
          </w:tcPr>
          <w:p>
            <w:pPr>
              <w:spacing w:after="0"/>
              <w:rPr>
                <w:sz w:val="20"/>
                <w:szCs w:val="20"/>
                <w:color w:val="auto"/>
              </w:rPr>
            </w:pPr>
            <w:r>
              <w:rPr>
                <w:rFonts w:ascii="Arial" w:cs="Arial" w:eastAsia="Arial" w:hAnsi="Arial"/>
                <w:sz w:val="18"/>
                <w:szCs w:val="18"/>
                <w:b w:val="1"/>
                <w:bCs w:val="1"/>
                <w:color w:val="77943C"/>
              </w:rPr>
              <w:t>Duke, Oklahoma</w:t>
            </w: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745</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color w:val="auto"/>
              </w:rPr>
              <w:t>850</w:t>
            </w: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740</w:t>
            </w:r>
          </w:p>
        </w:tc>
      </w:tr>
      <w:tr>
        <w:trPr>
          <w:trHeight w:val="83"/>
        </w:trPr>
        <w:tc>
          <w:tcPr>
            <w:tcW w:w="5440" w:type="dxa"/>
            <w:vAlign w:val="bottom"/>
            <w:tcBorders>
              <w:bottom w:val="single" w:sz="8" w:color="A6A6A6"/>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r>
      <w:tr>
        <w:trPr>
          <w:trHeight w:val="302"/>
        </w:trPr>
        <w:tc>
          <w:tcPr>
            <w:tcW w:w="544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840" w:type="dxa"/>
            <w:vAlign w:val="bottom"/>
          </w:tcPr>
          <w:p>
            <w:pPr>
              <w:jc w:val="right"/>
              <w:ind w:right="52"/>
              <w:spacing w:after="0"/>
              <w:rPr>
                <w:sz w:val="20"/>
                <w:szCs w:val="20"/>
                <w:color w:val="auto"/>
              </w:rPr>
            </w:pPr>
            <w:r>
              <w:rPr>
                <w:rFonts w:ascii="Arial" w:cs="Arial" w:eastAsia="Arial" w:hAnsi="Arial"/>
                <w:sz w:val="18"/>
                <w:szCs w:val="18"/>
                <w:b w:val="1"/>
                <w:bCs w:val="1"/>
                <w:color w:val="auto"/>
              </w:rPr>
              <w:t>1,735</w:t>
            </w:r>
          </w:p>
        </w:tc>
        <w:tc>
          <w:tcPr>
            <w:tcW w:w="19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1,950</w:t>
            </w:r>
          </w:p>
        </w:tc>
        <w:tc>
          <w:tcPr>
            <w:tcW w:w="19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1,915</w:t>
            </w:r>
          </w:p>
        </w:tc>
      </w:tr>
      <w:tr>
        <w:trPr>
          <w:trHeight w:val="56"/>
        </w:trPr>
        <w:tc>
          <w:tcPr>
            <w:tcW w:w="544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0"/>
        </w:trPr>
        <w:tc>
          <w:tcPr>
            <w:tcW w:w="54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4"/>
          <w:szCs w:val="14"/>
          <w:color w:val="auto"/>
        </w:rPr>
        <w:t xml:space="preserve"> The same resources serve both New Mexico plants.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Internal Controls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have compiled reserve and resource estimates with the assistance of a third-party QP. In general, the procedure for developing these estimates was a collaboration between site personnel and the QP for each individual site. Past exploration data was field verified, and quality was verified by reviewing on-site lab certification or third-party testing. Third-party resource modeling was developed using verified past exploration data and field observations. Where applicable, site-specific ore density, recovery, and loss parameters were used to calculate reserves. Property ownership, permit status, and lease evaluations were performed by the third-party QP to evaluate the legal right to mine. When evaluating economic viability, past income statements and operating costs were reviewed, as well as future operating and capital cost estimates. Commodity pricing was taken either from published USGS reports or from reasonable expected pricing given site location and haulage rates.</w:t>
      </w:r>
    </w:p>
    <w:p>
      <w:pPr>
        <w:spacing w:after="0" w:line="7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While the mineral reserve and resource classification categories (proven and probable) identify relative confidence of reserve estimates, there is inherent risk associated with such estimates. We base estimates on information known at the time of determination and regularly re-evaluate reserves whenever new information indicates a material change in reserves at one of our sites.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Arial" w:cs="Arial" w:eastAsia="Arial" w:hAnsi="Arial"/>
          <w:sz w:val="23"/>
          <w:szCs w:val="23"/>
          <w:b w:val="1"/>
          <w:bCs w:val="1"/>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6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Please refer to Item 1. Business – Industry Segment Information, for information regarding certain legal proceedings relating to the disapproval by the EPA in February 2023 of SIPs for the States of Nevada, Oklahoma, and Texas, which addressed the obligations of such states to eliminate significant contributions to non-attainment, or interference with maintenance, of the 2015 ozone NAAQS in other states. In response to the disapproval of the SIPs for such states, we and other third parties commenced litigation against the EPA in April 2023. We are unable to predict the ultimate outcome of these actions.</w:t>
      </w:r>
    </w:p>
    <w:p>
      <w:pPr>
        <w:spacing w:after="0" w:line="6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(J) in the Audited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49" w:name="page50"/>
    <w:bookmarkEnd w:id="49"/>
    <w:p>
      <w:pPr>
        <w:spacing w:after="0"/>
        <w:rPr>
          <w:sz w:val="20"/>
          <w:szCs w:val="20"/>
          <w:color w:val="auto"/>
        </w:rPr>
      </w:pPr>
      <w:r>
        <w:rPr>
          <w:rFonts w:ascii="Arial" w:cs="Arial" w:eastAsia="Arial" w:hAnsi="Arial"/>
          <w:sz w:val="23"/>
          <w:szCs w:val="23"/>
          <w:b w:val="1"/>
          <w:bCs w:val="1"/>
          <w:color w:val="004483"/>
        </w:rPr>
        <w:t>PART II</w:t>
      </w:r>
    </w:p>
    <w:p>
      <w:pPr>
        <w:spacing w:after="0" w:line="343" w:lineRule="exact"/>
        <w:rPr>
          <w:sz w:val="20"/>
          <w:szCs w:val="20"/>
          <w:color w:val="auto"/>
        </w:rPr>
      </w:pPr>
    </w:p>
    <w:p>
      <w:pPr>
        <w:ind w:right="160"/>
        <w:spacing w:after="0" w:line="309"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STOCK PRICES AND DIVIDENDS</w:t>
      </w:r>
    </w:p>
    <w:p>
      <w:pPr>
        <w:spacing w:after="0" w:line="10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As of May 15, 2026, there were approximately 985 holders of record of our Common Stock which trades on the New York Stock Exchange under the symbol EXP. Our Common Stock is also listed on the NYSE Texas. See Management's Discussion and Analysis of Financial Condition and Results of Operations - Dividends for details on our dividend policy.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SHARE REPURCHASES</w:t>
      </w:r>
    </w:p>
    <w:p>
      <w:pPr>
        <w:spacing w:after="0" w:line="1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May 17, 2022, the Board authorized the repurchase of an additional 7,500,000 shares. Including this latest authorization, our Board has approved the repurchase in the open market of a cumulative total of approximately 55.9 million shares of our Common Stock since we became publicly held in April 1994.</w:t>
      </w:r>
    </w:p>
    <w:p>
      <w:pPr>
        <w:spacing w:after="0" w:line="61"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During fiscal years 2026, 2025, and 2024, we repurchased 1,739,625, 1,214,173, and 1,863,534 shares, respectively, at average prices of $219.48, $245.67, and $184.21, respectively. We have repurchased approximately 52.9 million shares from April 1994 through March 31, 2026. As a result, we have a total of approximately 2.9 million shares that remain available for repurchase as authorized by our Board. The Board did not specify an expiration date for its authorizations.</w:t>
      </w:r>
    </w:p>
    <w:p>
      <w:pPr>
        <w:spacing w:after="0" w:line="6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occasionally by the Company’s management, including plans to comply with the safe harbor provided by Rule 10b5-1.</w:t>
      </w:r>
    </w:p>
    <w:p>
      <w:pPr>
        <w:spacing w:after="0" w:line="6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Inflation Reduction Act of 2022</w:t>
      </w:r>
      <w:r>
        <w:rPr>
          <w:rFonts w:ascii="Arial" w:cs="Arial" w:eastAsia="Arial" w:hAnsi="Arial"/>
          <w:sz w:val="18"/>
          <w:szCs w:val="18"/>
          <w:color w:val="auto"/>
        </w:rPr>
        <w:t xml:space="preserve"> added a provision imposing a 1% excise tax on the fair value of stock repurchases by companies beginning January 1, 2023. We do not expect taxes due on future repurchases of our shares to have a material effect on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Purchases of the Company's common stock during the quarter ended March 31, 2026,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jc w:val="right"/>
              <w:ind w:right="136"/>
              <w:spacing w:after="0"/>
              <w:rPr>
                <w:sz w:val="20"/>
                <w:szCs w:val="20"/>
                <w:color w:val="auto"/>
              </w:rPr>
            </w:pPr>
            <w:r>
              <w:rPr>
                <w:rFonts w:ascii="Arial" w:cs="Arial" w:eastAsia="Arial" w:hAnsi="Arial"/>
                <w:sz w:val="16"/>
                <w:szCs w:val="16"/>
                <w:b w:val="1"/>
                <w:bCs w:val="1"/>
                <w:color w:val="auto"/>
              </w:rPr>
              <w:t>Total Number of</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Maximum Number</w:t>
            </w:r>
          </w:p>
        </w:tc>
      </w:tr>
      <w:tr>
        <w:trPr>
          <w:trHeight w:val="189"/>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jc w:val="right"/>
              <w:ind w:right="136"/>
              <w:spacing w:after="0"/>
              <w:rPr>
                <w:sz w:val="20"/>
                <w:szCs w:val="20"/>
                <w:color w:val="auto"/>
              </w:rPr>
            </w:pPr>
            <w:r>
              <w:rPr>
                <w:rFonts w:ascii="Arial" w:cs="Arial" w:eastAsia="Arial" w:hAnsi="Arial"/>
                <w:sz w:val="16"/>
                <w:szCs w:val="16"/>
                <w:b w:val="1"/>
                <w:bCs w:val="1"/>
                <w:color w:val="auto"/>
              </w:rPr>
              <w:t>Shares Purchased</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of Shares that May</w:t>
            </w:r>
          </w:p>
        </w:tc>
      </w:tr>
      <w:tr>
        <w:trPr>
          <w:trHeight w:val="189"/>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jc w:val="right"/>
              <w:ind w:right="136"/>
              <w:spacing w:after="0"/>
              <w:rPr>
                <w:sz w:val="20"/>
                <w:szCs w:val="20"/>
                <w:color w:val="auto"/>
              </w:rPr>
            </w:pPr>
            <w:r>
              <w:rPr>
                <w:rFonts w:ascii="Arial" w:cs="Arial" w:eastAsia="Arial" w:hAnsi="Arial"/>
                <w:sz w:val="16"/>
                <w:szCs w:val="16"/>
                <w:b w:val="1"/>
                <w:bCs w:val="1"/>
                <w:color w:val="auto"/>
              </w:rPr>
              <w:t>as Part of Publicly</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Yet Be Purchased</w:t>
            </w:r>
          </w:p>
        </w:tc>
      </w:tr>
      <w:tr>
        <w:trPr>
          <w:trHeight w:val="189"/>
        </w:trPr>
        <w:tc>
          <w:tcPr>
            <w:tcW w:w="3700" w:type="dxa"/>
            <w:vAlign w:val="bottom"/>
          </w:tcPr>
          <w:p>
            <w:pPr>
              <w:spacing w:after="0"/>
              <w:rPr>
                <w:sz w:val="16"/>
                <w:szCs w:val="16"/>
                <w:color w:val="auto"/>
              </w:rPr>
            </w:pPr>
          </w:p>
        </w:tc>
        <w:tc>
          <w:tcPr>
            <w:tcW w:w="2020" w:type="dxa"/>
            <w:vAlign w:val="bottom"/>
          </w:tcPr>
          <w:p>
            <w:pPr>
              <w:jc w:val="right"/>
              <w:ind w:right="35"/>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6"/>
                <w:szCs w:val="16"/>
                <w:color w:val="auto"/>
              </w:rPr>
            </w:pPr>
          </w:p>
        </w:tc>
        <w:tc>
          <w:tcPr>
            <w:tcW w:w="1680" w:type="dxa"/>
            <w:vAlign w:val="bottom"/>
          </w:tcPr>
          <w:p>
            <w:pPr>
              <w:jc w:val="right"/>
              <w:ind w:right="115"/>
              <w:spacing w:after="0"/>
              <w:rPr>
                <w:sz w:val="20"/>
                <w:szCs w:val="20"/>
                <w:color w:val="auto"/>
              </w:rPr>
            </w:pPr>
            <w:r>
              <w:rPr>
                <w:rFonts w:ascii="Arial" w:cs="Arial" w:eastAsia="Arial" w:hAnsi="Arial"/>
                <w:sz w:val="16"/>
                <w:szCs w:val="16"/>
                <w:b w:val="1"/>
                <w:bCs w:val="1"/>
                <w:color w:val="auto"/>
              </w:rPr>
              <w:t>Average Price Paid</w:t>
            </w:r>
          </w:p>
        </w:tc>
        <w:tc>
          <w:tcPr>
            <w:tcW w:w="1840" w:type="dxa"/>
            <w:vAlign w:val="bottom"/>
          </w:tcPr>
          <w:p>
            <w:pPr>
              <w:jc w:val="right"/>
              <w:ind w:right="136"/>
              <w:spacing w:after="0"/>
              <w:rPr>
                <w:sz w:val="20"/>
                <w:szCs w:val="20"/>
                <w:color w:val="auto"/>
              </w:rPr>
            </w:pPr>
            <w:r>
              <w:rPr>
                <w:rFonts w:ascii="Arial" w:cs="Arial" w:eastAsia="Arial" w:hAnsi="Arial"/>
                <w:sz w:val="16"/>
                <w:szCs w:val="16"/>
                <w:b w:val="1"/>
                <w:bCs w:val="1"/>
                <w:color w:val="auto"/>
              </w:rPr>
              <w:t>Announced Plans</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Under the Plans</w:t>
            </w:r>
          </w:p>
        </w:tc>
      </w:tr>
      <w:tr>
        <w:trPr>
          <w:trHeight w:val="237"/>
        </w:trPr>
        <w:tc>
          <w:tcPr>
            <w:tcW w:w="3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20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Shares Purchased</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Per Share</w:t>
            </w:r>
          </w:p>
        </w:tc>
        <w:tc>
          <w:tcPr>
            <w:tcW w:w="184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or Programs</w:t>
            </w: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or Programs</w:t>
            </w:r>
          </w:p>
        </w:tc>
      </w:tr>
      <w:tr>
        <w:trPr>
          <w:trHeight w:val="295"/>
        </w:trPr>
        <w:tc>
          <w:tcPr>
            <w:tcW w:w="3700" w:type="dxa"/>
            <w:vAlign w:val="bottom"/>
          </w:tcPr>
          <w:p>
            <w:pPr>
              <w:spacing w:after="0"/>
              <w:rPr>
                <w:sz w:val="20"/>
                <w:szCs w:val="20"/>
                <w:color w:val="auto"/>
              </w:rPr>
            </w:pPr>
            <w:r>
              <w:rPr>
                <w:rFonts w:ascii="Arial" w:cs="Arial" w:eastAsia="Arial" w:hAnsi="Arial"/>
                <w:sz w:val="18"/>
                <w:szCs w:val="18"/>
                <w:b w:val="1"/>
                <w:bCs w:val="1"/>
                <w:color w:val="004483"/>
              </w:rPr>
              <w:t>January 1 through January 31, 2026</w:t>
            </w:r>
          </w:p>
        </w:tc>
        <w:tc>
          <w:tcPr>
            <w:tcW w:w="2020" w:type="dxa"/>
            <w:vAlign w:val="bottom"/>
          </w:tcPr>
          <w:p>
            <w:pPr>
              <w:jc w:val="right"/>
              <w:ind w:right="35"/>
              <w:spacing w:after="0"/>
              <w:rPr>
                <w:sz w:val="20"/>
                <w:szCs w:val="20"/>
                <w:color w:val="auto"/>
              </w:rPr>
            </w:pPr>
            <w:r>
              <w:rPr>
                <w:rFonts w:ascii="Arial" w:cs="Arial" w:eastAsia="Arial" w:hAnsi="Arial"/>
                <w:sz w:val="18"/>
                <w:szCs w:val="18"/>
                <w:color w:val="auto"/>
              </w:rPr>
              <w:t>155,239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5"/>
              <w:spacing w:after="0"/>
              <w:rPr>
                <w:sz w:val="20"/>
                <w:szCs w:val="20"/>
                <w:color w:val="auto"/>
              </w:rPr>
            </w:pPr>
            <w:r>
              <w:rPr>
                <w:rFonts w:ascii="Arial" w:cs="Arial" w:eastAsia="Arial" w:hAnsi="Arial"/>
                <w:sz w:val="18"/>
                <w:szCs w:val="18"/>
                <w:color w:val="auto"/>
              </w:rPr>
              <w:t>222.57</w:t>
            </w:r>
          </w:p>
        </w:tc>
        <w:tc>
          <w:tcPr>
            <w:tcW w:w="1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42"/>
        </w:trPr>
        <w:tc>
          <w:tcPr>
            <w:tcW w:w="3700" w:type="dxa"/>
            <w:vAlign w:val="bottom"/>
            <w:tcBorders>
              <w:bottom w:val="single" w:sz="8" w:color="A6A6A6"/>
            </w:tcBorders>
          </w:tcPr>
          <w:p>
            <w:pPr>
              <w:spacing w:after="0"/>
              <w:rPr>
                <w:sz w:val="3"/>
                <w:szCs w:val="3"/>
                <w:color w:val="auto"/>
              </w:rPr>
            </w:pPr>
          </w:p>
        </w:tc>
        <w:tc>
          <w:tcPr>
            <w:tcW w:w="202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680" w:type="dxa"/>
            <w:vAlign w:val="bottom"/>
            <w:tcBorders>
              <w:bottom w:val="single" w:sz="8" w:color="A6A6A6"/>
            </w:tcBorders>
          </w:tcPr>
          <w:p>
            <w:pPr>
              <w:spacing w:after="0"/>
              <w:rPr>
                <w:sz w:val="3"/>
                <w:szCs w:val="3"/>
                <w:color w:val="auto"/>
              </w:rPr>
            </w:pPr>
          </w:p>
        </w:tc>
        <w:tc>
          <w:tcPr>
            <w:tcW w:w="1840" w:type="dxa"/>
            <w:vAlign w:val="bottom"/>
            <w:tcBorders>
              <w:bottom w:val="single" w:sz="8" w:color="A6A6A6"/>
            </w:tcBorders>
          </w:tcPr>
          <w:p>
            <w:pPr>
              <w:spacing w:after="0"/>
              <w:rPr>
                <w:sz w:val="3"/>
                <w:szCs w:val="3"/>
                <w:color w:val="auto"/>
              </w:rPr>
            </w:pPr>
          </w:p>
        </w:tc>
        <w:tc>
          <w:tcPr>
            <w:tcW w:w="1760" w:type="dxa"/>
            <w:vAlign w:val="bottom"/>
            <w:tcBorders>
              <w:bottom w:val="single" w:sz="8" w:color="A6A6A6"/>
            </w:tcBorders>
          </w:tcPr>
          <w:p>
            <w:pPr>
              <w:spacing w:after="0"/>
              <w:rPr>
                <w:sz w:val="3"/>
                <w:szCs w:val="3"/>
                <w:color w:val="auto"/>
              </w:rPr>
            </w:pPr>
          </w:p>
        </w:tc>
      </w:tr>
      <w:tr>
        <w:trPr>
          <w:trHeight w:val="289"/>
        </w:trPr>
        <w:tc>
          <w:tcPr>
            <w:tcW w:w="3700" w:type="dxa"/>
            <w:vAlign w:val="bottom"/>
          </w:tcPr>
          <w:p>
            <w:pPr>
              <w:spacing w:after="0"/>
              <w:rPr>
                <w:sz w:val="20"/>
                <w:szCs w:val="20"/>
                <w:color w:val="auto"/>
              </w:rPr>
            </w:pPr>
            <w:r>
              <w:rPr>
                <w:rFonts w:ascii="Arial" w:cs="Arial" w:eastAsia="Arial" w:hAnsi="Arial"/>
                <w:sz w:val="18"/>
                <w:szCs w:val="18"/>
                <w:b w:val="1"/>
                <w:bCs w:val="1"/>
                <w:color w:val="004483"/>
              </w:rPr>
              <w:t>February 1 through February 28, 2026</w:t>
            </w:r>
          </w:p>
        </w:tc>
        <w:tc>
          <w:tcPr>
            <w:tcW w:w="2020" w:type="dxa"/>
            <w:vAlign w:val="bottom"/>
          </w:tcPr>
          <w:p>
            <w:pPr>
              <w:jc w:val="right"/>
              <w:ind w:right="35"/>
              <w:spacing w:after="0"/>
              <w:rPr>
                <w:sz w:val="20"/>
                <w:szCs w:val="20"/>
                <w:color w:val="auto"/>
              </w:rPr>
            </w:pPr>
            <w:r>
              <w:rPr>
                <w:rFonts w:ascii="Arial" w:cs="Arial" w:eastAsia="Arial" w:hAnsi="Arial"/>
                <w:sz w:val="18"/>
                <w:szCs w:val="18"/>
                <w:color w:val="auto"/>
              </w:rPr>
              <w:t>55,000</w:t>
            </w:r>
          </w:p>
        </w:tc>
        <w:tc>
          <w:tcPr>
            <w:tcW w:w="240" w:type="dxa"/>
            <w:vAlign w:val="bottom"/>
          </w:tcPr>
          <w:p>
            <w:pPr>
              <w:spacing w:after="0"/>
              <w:rPr>
                <w:sz w:val="24"/>
                <w:szCs w:val="24"/>
                <w:color w:val="auto"/>
              </w:rPr>
            </w:pPr>
          </w:p>
        </w:tc>
        <w:tc>
          <w:tcPr>
            <w:tcW w:w="1680" w:type="dxa"/>
            <w:vAlign w:val="bottom"/>
          </w:tcPr>
          <w:p>
            <w:pPr>
              <w:jc w:val="right"/>
              <w:ind w:right="115"/>
              <w:spacing w:after="0"/>
              <w:rPr>
                <w:sz w:val="20"/>
                <w:szCs w:val="20"/>
                <w:color w:val="auto"/>
              </w:rPr>
            </w:pPr>
            <w:r>
              <w:rPr>
                <w:rFonts w:ascii="Arial" w:cs="Arial" w:eastAsia="Arial" w:hAnsi="Arial"/>
                <w:sz w:val="18"/>
                <w:szCs w:val="18"/>
                <w:color w:val="auto"/>
              </w:rPr>
              <w:t>228.36</w:t>
            </w:r>
          </w:p>
        </w:tc>
        <w:tc>
          <w:tcPr>
            <w:tcW w:w="1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40" w:type="dxa"/>
            <w:vAlign w:val="bottom"/>
          </w:tcPr>
          <w:p>
            <w:pPr>
              <w:spacing w:after="0"/>
              <w:rPr>
                <w:sz w:val="20"/>
                <w:szCs w:val="20"/>
                <w:color w:val="auto"/>
              </w:rPr>
            </w:pPr>
            <w:r>
              <w:rPr>
                <w:rFonts w:ascii="Arial" w:cs="Arial" w:eastAsia="Arial" w:hAnsi="Arial"/>
                <w:sz w:val="18"/>
                <w:szCs w:val="18"/>
                <w:b w:val="1"/>
                <w:bCs w:val="1"/>
                <w:color w:val="004483"/>
              </w:rPr>
              <w:t>March 1 through March 31, 2026</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127,500</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191.49</w:t>
            </w:r>
          </w:p>
        </w:tc>
      </w:tr>
      <w:tr>
        <w:trPr>
          <w:trHeight w:val="69"/>
        </w:trPr>
        <w:tc>
          <w:tcPr>
            <w:tcW w:w="3940" w:type="dxa"/>
            <w:vAlign w:val="bottom"/>
            <w:tcBorders>
              <w:bottom w:val="single" w:sz="8" w:color="A6A6A6"/>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89"/>
        </w:trPr>
        <w:tc>
          <w:tcPr>
            <w:tcW w:w="3940" w:type="dxa"/>
            <w:vAlign w:val="bottom"/>
          </w:tcPr>
          <w:p>
            <w:pPr>
              <w:ind w:left="80"/>
              <w:spacing w:after="0"/>
              <w:rPr>
                <w:sz w:val="20"/>
                <w:szCs w:val="20"/>
                <w:color w:val="auto"/>
              </w:rPr>
            </w:pPr>
            <w:r>
              <w:rPr>
                <w:rFonts w:ascii="Arial" w:cs="Arial" w:eastAsia="Arial" w:hAnsi="Arial"/>
                <w:sz w:val="18"/>
                <w:szCs w:val="18"/>
                <w:b w:val="1"/>
                <w:bCs w:val="1"/>
                <w:color w:val="auto"/>
              </w:rPr>
              <w:t>Quarter 4 Totals</w:t>
            </w: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337,739</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211.78</w:t>
            </w:r>
          </w:p>
        </w:tc>
      </w:tr>
      <w:tr>
        <w:trPr>
          <w:trHeight w:val="42"/>
        </w:trPr>
        <w:tc>
          <w:tcPr>
            <w:tcW w:w="394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39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sales of unregistered equity securities during fiscal years 2026, 2025, or 2024.</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52070</wp:posOffset>
            </wp:positionV>
            <wp:extent cx="227139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71395" cy="254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b w:val="1"/>
          <w:bCs w:val="1"/>
          <w:color w:val="auto"/>
        </w:rPr>
        <w:t>2,929,872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52070</wp:posOffset>
            </wp:positionV>
            <wp:extent cx="227139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71395" cy="2540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8360" w:space="720"/>
            <w:col w:w="2160"/>
          </w:cols>
          <w:pgMar w:left="320" w:top="1416"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type w:val="continuous"/>
        </w:sectPr>
      </w:pPr>
    </w:p>
    <w:bookmarkStart w:id="50" w:name="page51"/>
    <w:bookmarkEnd w:id="50"/>
    <w:p>
      <w:pPr>
        <w:spacing w:after="0" w:line="8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Equity Compensation Plan information set forth in Part III, Item 12 of this Form 10-K is hereby incorporated by reference into this Part II, Item 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PERFORMANCE GRAPH</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004483"/>
        </w:rPr>
        <w:t>The following performance graph and related information shall not be deemed soliciting material or to be filed with the Securities and Exchange Commission, nor shall such information be incorporated by reference into any future filing under the Securities Act or the Securities Exchange Act, each as amended, except to the extent that the Company specifically incorporates it by reference into such filing.</w:t>
      </w:r>
    </w:p>
    <w:p>
      <w:pPr>
        <w:spacing w:after="0" w:line="61"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color w:val="auto"/>
        </w:rPr>
        <w:t>The graph below compares the cumulative 5-year total return to holders of Eagle Materials Inc. common stock with the cumulative total returns of the Russell 1000 Index and the Dow Jones U.S. Building Materials &amp; Fixtures Index. The graph assumes that the value of the investment (including the reinvestment of dividends) in the Company’s common stock and in each of the indexes was $100 on March 31, 2021, and tracks it through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4620260" cy="383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2026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3/21</w:t>
            </w: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3/22</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3/23</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3/24</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3/25</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3/26</w:t>
            </w:r>
          </w:p>
        </w:tc>
      </w:tr>
      <w:tr>
        <w:trPr>
          <w:trHeight w:val="295"/>
        </w:trPr>
        <w:tc>
          <w:tcPr>
            <w:tcW w:w="4420" w:type="dxa"/>
            <w:vAlign w:val="bottom"/>
          </w:tcPr>
          <w:p>
            <w:pPr>
              <w:spacing w:after="0"/>
              <w:rPr>
                <w:sz w:val="20"/>
                <w:szCs w:val="20"/>
                <w:color w:val="auto"/>
              </w:rPr>
            </w:pPr>
            <w:r>
              <w:rPr>
                <w:rFonts w:ascii="Arial" w:cs="Arial" w:eastAsia="Arial" w:hAnsi="Arial"/>
                <w:sz w:val="18"/>
                <w:szCs w:val="18"/>
                <w:b w:val="1"/>
                <w:bCs w:val="1"/>
                <w:color w:val="004483"/>
              </w:rPr>
              <w:t>Eagle Materials Inc.</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96.18</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110.83</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206.29</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169.16</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145.10</w:t>
            </w:r>
          </w:p>
        </w:tc>
      </w:tr>
      <w:tr>
        <w:trPr>
          <w:trHeight w:val="42"/>
        </w:trPr>
        <w:tc>
          <w:tcPr>
            <w:tcW w:w="442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420" w:type="dxa"/>
            <w:vAlign w:val="bottom"/>
          </w:tcPr>
          <w:p>
            <w:pPr>
              <w:spacing w:after="0"/>
              <w:rPr>
                <w:sz w:val="20"/>
                <w:szCs w:val="20"/>
                <w:color w:val="auto"/>
              </w:rPr>
            </w:pPr>
            <w:r>
              <w:rPr>
                <w:rFonts w:ascii="Arial" w:cs="Arial" w:eastAsia="Arial" w:hAnsi="Arial"/>
                <w:sz w:val="18"/>
                <w:szCs w:val="18"/>
                <w:b w:val="1"/>
                <w:bCs w:val="1"/>
                <w:color w:val="004483"/>
              </w:rPr>
              <w:t>Russell 1000</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113.27</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103.76</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134.75</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145.29</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171.07</w:t>
            </w:r>
          </w:p>
        </w:tc>
      </w:tr>
      <w:tr>
        <w:trPr>
          <w:trHeight w:val="42"/>
        </w:trPr>
        <w:tc>
          <w:tcPr>
            <w:tcW w:w="442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420" w:type="dxa"/>
            <w:vAlign w:val="bottom"/>
          </w:tcPr>
          <w:p>
            <w:pPr>
              <w:spacing w:after="0"/>
              <w:rPr>
                <w:sz w:val="20"/>
                <w:szCs w:val="20"/>
                <w:color w:val="auto"/>
              </w:rPr>
            </w:pPr>
            <w:r>
              <w:rPr>
                <w:rFonts w:ascii="Arial" w:cs="Arial" w:eastAsia="Arial" w:hAnsi="Arial"/>
                <w:sz w:val="18"/>
                <w:szCs w:val="18"/>
                <w:b w:val="1"/>
                <w:bCs w:val="1"/>
                <w:color w:val="004483"/>
              </w:rPr>
              <w:t>Dow Jones U.S. Building Materials &amp; Fixtures</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103.14</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98.24</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152.30</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148.89</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164.98</w:t>
            </w:r>
          </w:p>
        </w:tc>
      </w:tr>
      <w:tr>
        <w:trPr>
          <w:trHeight w:val="42"/>
        </w:trPr>
        <w:tc>
          <w:tcPr>
            <w:tcW w:w="442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Arial" w:cs="Arial" w:eastAsia="Arial" w:hAnsi="Arial"/>
          <w:sz w:val="23"/>
          <w:szCs w:val="23"/>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EXECUTIVE SUMMARY</w:t>
      </w:r>
    </w:p>
    <w:p>
      <w:pPr>
        <w:spacing w:after="0" w:line="10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are a leading U.S. manufacturer of heavy construction products and light building materials. Our primary products,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 General economic downturns or localized downturns in the regions where we have operations may have a material adverse effect on our business, financial condition, and results of operations.</w:t>
      </w:r>
    </w:p>
    <w:p>
      <w:pPr>
        <w:spacing w:after="0" w:line="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fiscal years ended March 31, 2026, and 2025, are presented on a consolidated basis and by business segment. The relative contribution to fiscal 2026 earnings by segment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191135</wp:posOffset>
            </wp:positionV>
            <wp:extent cx="4414520" cy="2400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1452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financial information with respect to the segments within the Company for making operating decisions and assessing performance.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52" w:name="page53"/>
    <w:bookmarkEnd w:id="5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All our business activities are conducted in the United States. These activities include:</w:t>
      </w:r>
    </w:p>
    <w:p>
      <w:pPr>
        <w:spacing w:after="0" w:line="104" w:lineRule="exact"/>
        <w:rPr>
          <w:sz w:val="20"/>
          <w:szCs w:val="20"/>
          <w:color w:val="auto"/>
        </w:rPr>
      </w:pPr>
    </w:p>
    <w:p>
      <w:pPr>
        <w:ind w:left="1020" w:right="18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mining of limestone for the manufacture, production, distribution, and sale of cement, including limestone cement (a basic construction material that is the essential binding ingredient in concrete)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grinding and sale of slag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mining of gypsum for the manufacture and sale of gypsum wallboard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manufacture and sale of recycled paperboard to the gypsum wallboard industry and other paperboard converters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sale of readymix concrete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mining and sale of aggregates (crushed stone, sand, and gravel).</w:t>
      </w:r>
    </w:p>
    <w:p>
      <w:pPr>
        <w:spacing w:after="0" w:line="11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On August 9, 2024, we finalized the Northern Kentucky Acquisition at a purchase price of approximately $24.9 million. The Northern Kentucky Acquisition is included in our Heavy Materials sector, and its results of operations are reported in the Concrete and Aggregates business segment beginning on August 9, 2024.</w:t>
      </w:r>
    </w:p>
    <w:p>
      <w:pPr>
        <w:spacing w:after="0" w:line="6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On January 7, 2025, we completed the Western Pennsylvania Acquisition at a purchase price of approximately $150.0 million, subject to customary post-closing adjustments. The Western Pennsylvania Acquisition is included in our Heavy Materials sector, and its results of operations are reported in the Concrete and Aggregates business segment beginning in the fourth quarter of fiscal 2025.</w:t>
      </w:r>
    </w:p>
    <w:p>
      <w:pPr>
        <w:spacing w:after="0" w:line="6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See Footnote (B) in the Audited Consolidated Financial Statements for more information regarding the Northern Kentucky and Western Pennsylvania Acquisitions (collectively, the Aggregates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MARKET CONDITIONS AND OUTLOOK</w:t>
      </w:r>
    </w:p>
    <w:p>
      <w:pPr>
        <w:spacing w:after="0" w:line="10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fiscal 2026 results were generally strong, with record Revenue of $ 2.3 billion, Net Earnings of $423.8 million, and Diluted Earnings per Share of $13.16 per share. Our end markets remained resilient despite geopolitical, fiscal, and trade-policy disruptions and widespread uncertainty around future U.S. economic conditions. Year-over-year sales volume increased in our Heavy Materials Sector and declined in our Light Materials Sector.</w:t>
      </w:r>
    </w:p>
    <w:p>
      <w:pPr>
        <w:spacing w:after="0" w:line="6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The macroeconomic environment continues to be constructive for our products. We expect demand for cement to remain steady in the near term supported by bipartisan federal, state, and local support for public infrastructure projects and continued spending on heavy manufacturing and certain elements of the private-nonresidential construction category. A significant amount of federal funding from the trillion-dollar </w:t>
      </w:r>
      <w:r>
        <w:rPr>
          <w:rFonts w:ascii="Arial" w:cs="Arial" w:eastAsia="Arial" w:hAnsi="Arial"/>
          <w:sz w:val="18"/>
          <w:szCs w:val="18"/>
          <w:i w:val="1"/>
          <w:iCs w:val="1"/>
          <w:color w:val="auto"/>
        </w:rPr>
        <w:t>Infrastructure Investment and Jobs Act</w:t>
      </w:r>
      <w:r>
        <w:rPr>
          <w:rFonts w:ascii="Arial" w:cs="Arial" w:eastAsia="Arial" w:hAnsi="Arial"/>
          <w:sz w:val="18"/>
          <w:szCs w:val="18"/>
          <w:color w:val="auto"/>
        </w:rPr>
        <w:t xml:space="preserve"> (IIJA) remains to be spent, and state Department of Transportation (DOT) budgets remain strong.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backdrop for residential construction activity remained challenging in fiscal 2026, primarily because of housing affordability concerns driven by persistently elevated mortgage interest rates, as well as other macroeconomic uncertainties. At the same time, the national supply of homes remains constrained by years of underbuilding. Recently, new home construction has slowed as builders have pulled back on production because of mixed demand signals and higher levels of new home inventory in certain markets. This recent pullback affected our wallboard sales volume, which was down approximately 7% in fiscal 2026. The path ahead for mortgage rates, and the corresponding effect on residential construction activity, is unclear, and thus the timing of a recovery in new-home construction remains uncertain. Nonetheless, we believe our geographic footprint across the U.S. heartland and fast-growing Sun Belt region positions us to capitalize on these market dynamics in the near and longer term.</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3" w:name="page54"/>
    <w:bookmarkEnd w:id="53"/>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Cost Outlook</w:t>
      </w:r>
    </w:p>
    <w:p>
      <w:pPr>
        <w:spacing w:after="0" w:line="102"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believe we are well-positioned to manage our cost structure and meet our customers’ needs. Our major costs include raw materials, energy, freight, labor, and maintenance.</w:t>
      </w:r>
    </w:p>
    <w:p>
      <w:pPr>
        <w:spacing w:after="0" w:line="8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substantial raw material reserves for our Cement, Aggregates, and Gypsum Wallboard businesses, and their proximity to our respective manufacturing facilities support our low-cost producer position across all our business segments.</w:t>
      </w:r>
    </w:p>
    <w:p>
      <w:pPr>
        <w:spacing w:after="0" w:line="7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Paper is a significant cost component in our Recycled Paperboard and Gypsum Wallboard businesses. The primary raw material used to produce paperboard is old corrugated containers (OCC). Recently, OCC prices have been relatively flat; however, recycled fiber prices are subject to change on short notice due to several factors, including supply of OCC and demand for OCC from both domestic and international companies. Our current customer contracts for gypsum liner include price adjustments that partially compensate for changes in the cost of raw materials, such as recycled fiber and energy, including natural gas and electricity. However, because these price adjustments are not realized until future quarters, adjustments to material costs in our Gypsum Wallboard segment could be delayed until the effects of these price adjustments are realized.</w:t>
      </w:r>
    </w:p>
    <w:p>
      <w:pPr>
        <w:spacing w:after="0" w:line="7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Energy costs decreased in some of our businesses and increased in others during fiscal 2026 compared with fiscal 2025 and are expected to remain relatively stable over the near future. Freight costs for our Gypsum Wallboard segment, which delivers mostly by trucks, increased in fiscal 2026, and with current fuel prices increasing, they could increase in fiscal 2027. Freight costs for our Cement segment, which relies mostly on rail delivery, increased slightly in fiscal 2026, and are expected to increase in fiscal 2027. Additionally, labor shortages, primarily of truck drivers, can adversely affect our Concrete business. Any worsening of labor constraints could cause delays and inefficiencies in this business.</w:t>
      </w:r>
    </w:p>
    <w:p>
      <w:pPr>
        <w:spacing w:after="0" w:line="7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While maintenance costs were down 2% in fiscal 2026, we expect low single digit inflation for maintenance as equipment and contractor costs are expected to increase.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2026 COMPARED WITH FISCAL YEAR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b w:val="1"/>
                <w:bCs w:val="1"/>
                <w:color w:val="auto"/>
              </w:rPr>
              <w:t>For the Years Ended March 31,</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279"/>
              <w:spacing w:after="0" w:line="182"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7"/>
        </w:trPr>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6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color w:val="auto"/>
              </w:rPr>
              <w:t>(in thousands, except per share)</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200" w:type="dxa"/>
            <w:vAlign w:val="bottom"/>
          </w:tcPr>
          <w:p>
            <w:pPr>
              <w:spacing w:after="0"/>
              <w:rPr>
                <w:sz w:val="20"/>
                <w:szCs w:val="20"/>
                <w:color w:val="auto"/>
              </w:rPr>
            </w:pPr>
            <w:r>
              <w:rPr>
                <w:rFonts w:ascii="Arial" w:cs="Arial" w:eastAsia="Arial" w:hAnsi="Arial"/>
                <w:sz w:val="18"/>
                <w:szCs w:val="18"/>
                <w:b w:val="1"/>
                <w:bCs w:val="1"/>
                <w:color w:val="004483"/>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2,308,658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2,260,508</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Cost of Goods Sold</w:t>
            </w:r>
          </w:p>
        </w:tc>
        <w:tc>
          <w:tcPr>
            <w:tcW w:w="28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(1,656,115)</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(1,587,371)</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720" w:type="dxa"/>
            <w:vAlign w:val="bottom"/>
            <w:tcBorders>
              <w:bottom w:val="single" w:sz="8" w:color="A6A6A6"/>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Gross Profit</w:t>
            </w:r>
          </w:p>
        </w:tc>
        <w:tc>
          <w:tcPr>
            <w:tcW w:w="2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652,543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673,137</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Equity in Earnings of Unconsolidated Joint Venture</w:t>
            </w:r>
          </w:p>
        </w:tc>
        <w:tc>
          <w:tcPr>
            <w:tcW w:w="2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19,989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26,396</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Corporate General and Administrative</w:t>
            </w:r>
          </w:p>
        </w:tc>
        <w:tc>
          <w:tcPr>
            <w:tcW w:w="28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(89,182)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(73,942)</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Other Nonoperating Income</w:t>
            </w:r>
          </w:p>
        </w:tc>
        <w:tc>
          <w:tcPr>
            <w:tcW w:w="2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5,108</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6,420</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Interest Expense, net</w:t>
            </w:r>
          </w:p>
        </w:tc>
        <w:tc>
          <w:tcPr>
            <w:tcW w:w="28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(46,482)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(40,526)</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720" w:type="dxa"/>
            <w:vAlign w:val="bottom"/>
            <w:tcBorders>
              <w:bottom w:val="single" w:sz="8" w:color="A6A6A6"/>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Earnings Before Income Taxes</w:t>
            </w:r>
          </w:p>
        </w:tc>
        <w:tc>
          <w:tcPr>
            <w:tcW w:w="2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541,976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591,485</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Income Tax Expense</w:t>
            </w:r>
          </w:p>
        </w:tc>
        <w:tc>
          <w:tcPr>
            <w:tcW w:w="28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(118,167)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(128,069)</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720" w:type="dxa"/>
            <w:vAlign w:val="bottom"/>
            <w:tcBorders>
              <w:bottom w:val="single" w:sz="8" w:color="A6A6A6"/>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3"/>
              <w:spacing w:after="0"/>
              <w:rPr>
                <w:sz w:val="20"/>
                <w:szCs w:val="20"/>
                <w:color w:val="auto"/>
              </w:rPr>
            </w:pPr>
            <w:r>
              <w:rPr>
                <w:rFonts w:ascii="Arial" w:cs="Arial" w:eastAsia="Arial" w:hAnsi="Arial"/>
                <w:sz w:val="18"/>
                <w:szCs w:val="18"/>
                <w:b w:val="1"/>
                <w:bCs w:val="1"/>
                <w:color w:val="auto"/>
              </w:rPr>
              <w:t>423,809</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463,416</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720" w:type="dxa"/>
            <w:vAlign w:val="bottom"/>
            <w:tcBorders>
              <w:bottom w:val="single" w:sz="8" w:color="A6A6A6"/>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3"/>
              <w:spacing w:after="0"/>
              <w:rPr>
                <w:sz w:val="20"/>
                <w:szCs w:val="20"/>
                <w:color w:val="auto"/>
              </w:rPr>
            </w:pPr>
            <w:r>
              <w:rPr>
                <w:rFonts w:ascii="Arial" w:cs="Arial" w:eastAsia="Arial" w:hAnsi="Arial"/>
                <w:sz w:val="18"/>
                <w:szCs w:val="18"/>
                <w:b w:val="1"/>
                <w:bCs w:val="1"/>
                <w:color w:val="auto"/>
              </w:rPr>
              <w:t>13.16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13.77</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42"/>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004483"/>
              </w:rPr>
              <w:t>REVENUE</w:t>
            </w: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Revenue in fiscal 2026 increased 2% to $2,308.7 million. The Aggregates Acquisitions contributed $30.6 million of Revenue during fiscal 2026. Excluding Revenue from the Aggregates Acquisitions, Revenue increased $17.6 million. This increase was due to approximately $41.5 million of higher Sales Volume, primarily in Cement, partially offset by $23.9 million of lower average gross sales prices, primarily in our Gypsum Wallboard segment. See Fiscal Year 2026 vs Fiscal Year 2025 Results by Segment section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COST OF GOODS SOLD</w:t>
      </w:r>
    </w:p>
    <w:p>
      <w:pPr>
        <w:spacing w:after="0" w:line="104"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Cost of Goods Sold increased by $68.7 million, or 4%, to $ 1,656.1 million in fiscal 2026. The Aggregates Acquisitions contributed $ 24.3 million of Cost of Goods Sold during fiscal 2026. Excluding the Northern Kentucky and Western Pennsylvania Acquisitions, Cost of Goods Sold increased $44.4 million. The increase in Cost of Goods Sold was due to higher Sales Volume of $39.6 million and higher operating costs of $4.8 million. Operating costs increased primarily in Cement and Gypsum Wallboard and were offset by our Recycled Paperboard and Concrete and Aggregates segments as discussed in the Fiscal Year 2026 vs Fiscal Year 2025 Results by Segment section.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GROSS PROFIT</w:t>
      </w:r>
    </w:p>
    <w:p>
      <w:pPr>
        <w:spacing w:after="0" w:line="10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Gross Profit decreased by 3% to $652.5 million in fiscal 2026 primarily because of lower gross sales prices and higher operating costs, partially offset by an increase in Sales Volume. Gross Profit margin declined to 28.3% in fiscal 2026, compared with 29.8% in fiscal 2025.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EQUITY IN EARNINGS OF UNCONSOLIDATED JOINT VENTURE</w:t>
      </w:r>
    </w:p>
    <w:p>
      <w:pPr>
        <w:spacing w:after="0" w:line="10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Equity in Earnings of Unconsolidated Joint Venture decreased by $6.4 million, or 24%. The decline was due to lower gross sales prices of $8.2 million and higher operating costs of $2.1 million, which were partially offset by higher Sales Volumes of $3.9 million. The higher operating costs were due primarily to increased raw materials and freight, which reduced operating earnings by approximately $6.1 million and $2.3 million, respectively. The increased raw materials and freight costs were partially offset by $5.1 million of lower maintenance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CORPORATE GENERAL AND ADMINISTRATIVE</w:t>
      </w:r>
    </w:p>
    <w:p>
      <w:pPr>
        <w:spacing w:after="0" w:line="10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Corporate General and Administrative expenses increased by approximately $ 15.3 million, or 21%, to $ 89.2 million in fiscal 2026. The increase was due primarily to approximately $7.8 million of higher salaries and incentive compensation, $4.8 million of higher information technology costs for upgrades, and $2.4 million of higher professional services fees.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OTHER NONOPERATING INCOME</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Other Nonoperating Income was $5.1 million in fiscal 2026 compared with $6.4 million in fiscal 2025. Other Nonoperating Income consists of a variety of items that are not related to segment operations, including lease and rental income, investment income, asset sales, and other miscellaneous income and cost items, such as large non-routine sales of excess raw materials or energy.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INTEREST EXPENSE,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increased by approximately $6.0 million, or 15%, during fiscal 2026. The increase was mainly due to increased interest expense of approximately $14.1 million on our 5.000% Senior Unsecured Notes due May 2036, which were issued on November 13, 2025; $1.9 million of higher interest on our Term Loan, which was increased to $300.0 million in February 2025; and $0.4 million of increased debt amortization costs related to these new borrowings, all of which were partially offset by approximately $4.4 million of increased interest income resulting from a higher cash balance and higher Interest Capitalized of approximately $6.0 million. The increase in Interest Capitalized was due primarily to capital spending for the expansion and modernization of our cement plant in Laramie, Wyoming and our gypsum wallboard plant in Oklahoma.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EARNINGS BEFORE INCOME TAXES</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Earnings Before Income Taxes decreased from $591.5 million during fiscal 2025 to $542.0 million during fiscal 2026, primarily due to lower Gross Profit and Equity in Earnings of Joint Venture, as well as higher Corporate General and Administrative expenses and Interest Expense.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INCOME TAX EXPENSE</w:t>
      </w:r>
    </w:p>
    <w:p>
      <w:pPr>
        <w:spacing w:after="0" w:line="10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Income Tax Expense for fiscal 2026 decreased to $118.2 million from $128.1 million for fiscal 2025. The effective tax rate was 22%, compared with 22% in the prior fiscal year.</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6" w:name="page57"/>
    <w:bookmarkEnd w:id="56"/>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NET EARNINGS AND DILUTED EARNINGS PER SHARE</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Earnings decreased 9% in fiscal 2026 to $423.8 million. Diluted Earnings per Share in fiscal 2026 was down 4% to $13.16 compared with $ 13.77 for fiscal 2025. The decrease in Diluted Earnings per share was primarily due to lower Net Earnings, which was partially offset by lower weighted-average shares outstanding due to our share buyback program.</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2026 vs FISCAL YEAR 2025 RESULTS BY SEGMENT</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presents results within our two business sectors in fiscal 2026 and fiscal 2025. Revenue and operating results are organized by sector and discussed by individual business segment within each respective business sector.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86191"/>
        </w:rPr>
        <w:t>Heavy Materials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 xml:space="preserve">CEMENT </w:t>
      </w:r>
      <w:r>
        <w:rPr>
          <w:rFonts w:ascii="Arial" w:cs="Arial" w:eastAsia="Arial" w:hAnsi="Arial"/>
          <w:sz w:val="24"/>
          <w:szCs w:val="24"/>
          <w:b w:val="1"/>
          <w:bCs w:val="1"/>
          <w:color w:val="277EBF"/>
          <w:vertAlign w:val="superscript"/>
        </w:rPr>
        <w:t>(1)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b w:val="1"/>
                <w:bCs w:val="1"/>
                <w:color w:val="auto"/>
              </w:rPr>
              <w:t>For the Years Ended March 31,</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2"/>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279"/>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6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03"/>
        </w:trPr>
        <w:tc>
          <w:tcPr>
            <w:tcW w:w="6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color w:val="auto"/>
              </w:rPr>
              <w:t>(in thousands, except per ton information)</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96"/>
        </w:trPr>
        <w:tc>
          <w:tcPr>
            <w:tcW w:w="6200" w:type="dxa"/>
            <w:vAlign w:val="bottom"/>
          </w:tcPr>
          <w:p>
            <w:pPr>
              <w:spacing w:after="0"/>
              <w:rPr>
                <w:sz w:val="20"/>
                <w:szCs w:val="20"/>
                <w:color w:val="auto"/>
              </w:rPr>
            </w:pPr>
            <w:r>
              <w:rPr>
                <w:rFonts w:ascii="Arial" w:cs="Arial" w:eastAsia="Arial" w:hAnsi="Arial"/>
                <w:sz w:val="18"/>
                <w:szCs w:val="18"/>
                <w:b w:val="1"/>
                <w:bCs w:val="1"/>
                <w:color w:val="3983C5"/>
              </w:rPr>
              <w:t>Revenue, including Intersegment and Joint Venture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1,299,383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1,201,362</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8%</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gridSpan w:val="2"/>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3983C5"/>
              </w:rPr>
              <w:t>Less Intersegment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(36,011)</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(36,799)</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(2)%</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gridSpan w:val="2"/>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3983C5"/>
              </w:rPr>
              <w:t>Less Joint Venture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(119,341)</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(110,943)</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8%</w:t>
            </w:r>
          </w:p>
        </w:tc>
      </w:tr>
      <w:tr>
        <w:trPr>
          <w:trHeight w:val="69"/>
        </w:trPr>
        <w:tc>
          <w:tcPr>
            <w:tcW w:w="6200" w:type="dxa"/>
            <w:vAlign w:val="bottom"/>
            <w:tcBorders>
              <w:bottom w:val="single" w:sz="8" w:color="A6A6A6"/>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720" w:type="dxa"/>
            <w:vAlign w:val="bottom"/>
            <w:tcBorders>
              <w:bottom w:val="single" w:sz="8" w:color="A6A6A6"/>
            </w:tcBorders>
            <w:gridSpan w:val="2"/>
          </w:tcPr>
          <w:p>
            <w:pPr>
              <w:spacing w:after="0"/>
              <w:rPr>
                <w:sz w:val="6"/>
                <w:szCs w:val="6"/>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3983C5"/>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1,144,031</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1,053,620</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9%</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3983C5"/>
              </w:rPr>
              <w:t>Sales Volume (M Tons)</w:t>
            </w:r>
          </w:p>
        </w:tc>
        <w:tc>
          <w:tcPr>
            <w:tcW w:w="200" w:type="dxa"/>
            <w:vAlign w:val="bottom"/>
          </w:tcPr>
          <w:p>
            <w:pPr>
              <w:spacing w:after="0"/>
              <w:rPr>
                <w:sz w:val="24"/>
                <w:szCs w:val="24"/>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7,471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6,912</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8%</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gridSpan w:val="2"/>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3983C5"/>
              </w:rPr>
              <w:t>Freight and Delivery Costs Billed to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(81,822)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(69,457)</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18%</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gridSpan w:val="2"/>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331"/>
        </w:trPr>
        <w:tc>
          <w:tcPr>
            <w:tcW w:w="62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3983C5"/>
              </w:rPr>
              <w:t xml:space="preserve">Average Net Sales Price, per ton </w:t>
            </w:r>
            <w:r>
              <w:rPr>
                <w:rFonts w:ascii="Arial" w:cs="Arial" w:eastAsia="Arial" w:hAnsi="Arial"/>
                <w:sz w:val="24"/>
                <w:szCs w:val="24"/>
                <w:b w:val="1"/>
                <w:bCs w:val="1"/>
                <w:color w:val="3983C5"/>
                <w:vertAlign w:val="superscript"/>
              </w:rPr>
              <w:t>(2)</w:t>
            </w:r>
          </w:p>
        </w:tc>
        <w:tc>
          <w:tcPr>
            <w:tcW w:w="200" w:type="dxa"/>
            <w:vAlign w:val="bottom"/>
            <w:tcBorders>
              <w:bottom w:val="single" w:sz="8" w:color="A6A6A6"/>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6A6A6"/>
            </w:tcBorders>
          </w:tcPr>
          <w:p>
            <w:pPr>
              <w:jc w:val="right"/>
              <w:ind w:right="133"/>
              <w:spacing w:after="0"/>
              <w:rPr>
                <w:sz w:val="20"/>
                <w:szCs w:val="20"/>
                <w:color w:val="auto"/>
              </w:rPr>
            </w:pPr>
            <w:r>
              <w:rPr>
                <w:rFonts w:ascii="Arial" w:cs="Arial" w:eastAsia="Arial" w:hAnsi="Arial"/>
                <w:sz w:val="18"/>
                <w:szCs w:val="18"/>
                <w:color w:val="auto"/>
              </w:rPr>
              <w:t>155.18</w:t>
            </w:r>
          </w:p>
        </w:tc>
        <w:tc>
          <w:tcPr>
            <w:tcW w:w="480" w:type="dxa"/>
            <w:vAlign w:val="bottom"/>
            <w:tcBorders>
              <w:bottom w:val="single" w:sz="8" w:color="A6A6A6"/>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6A6A6"/>
            </w:tcBorders>
          </w:tcPr>
          <w:p>
            <w:pPr>
              <w:jc w:val="right"/>
              <w:ind w:right="131"/>
              <w:spacing w:after="0"/>
              <w:rPr>
                <w:sz w:val="20"/>
                <w:szCs w:val="20"/>
                <w:color w:val="auto"/>
              </w:rPr>
            </w:pPr>
            <w:r>
              <w:rPr>
                <w:rFonts w:ascii="Arial" w:cs="Arial" w:eastAsia="Arial" w:hAnsi="Arial"/>
                <w:sz w:val="18"/>
                <w:szCs w:val="18"/>
                <w:color w:val="auto"/>
              </w:rPr>
              <w:t>156.67</w:t>
            </w:r>
          </w:p>
        </w:tc>
        <w:tc>
          <w:tcPr>
            <w:tcW w:w="172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8"/>
                <w:szCs w:val="18"/>
                <w:color w:val="auto"/>
              </w:rPr>
              <w:t>(1)%</w:t>
            </w: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3983C5"/>
              </w:rPr>
              <w:t>Operating Margin, per ton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43.94</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46.22</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(5)%</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gridSpan w:val="2"/>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3983C5"/>
              </w:rPr>
              <w:t>Operating Earnings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328,306</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319,456</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3%</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600" w:type="dxa"/>
            <w:vAlign w:val="bottom"/>
            <w:tcBorders>
              <w:bottom w:val="single" w:sz="8" w:color="A6A6A6"/>
            </w:tcBorders>
          </w:tcPr>
          <w:p>
            <w:pPr>
              <w:spacing w:after="0"/>
              <w:rPr>
                <w:sz w:val="3"/>
                <w:szCs w:val="3"/>
                <w:color w:val="auto"/>
              </w:rPr>
            </w:pPr>
          </w:p>
        </w:tc>
      </w:tr>
    </w:tbl>
    <w:p>
      <w:pPr>
        <w:spacing w:after="0" w:line="70"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Total of wholly owned subsidiaries and proportionately consolidated 50% interest in the Joint Venture’s results.</w:t>
      </w:r>
    </w:p>
    <w:p>
      <w:pPr>
        <w:ind w:left="180" w:hanging="172"/>
        <w:spacing w:after="0" w:line="193" w:lineRule="auto"/>
        <w:tabs>
          <w:tab w:leader="none" w:pos="1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Net of freight, including Joint Venture.</w:t>
      </w:r>
    </w:p>
    <w:p>
      <w:pPr>
        <w:spacing w:after="0" w:line="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Cement Revenue was $ 1,299.4 million in fiscal 2026, an 8% increase over fiscal 2025. The increase was primarily due to higher Sales Volume of $93.5 million and higher gross sales prices of $4.5 million.</w:t>
      </w:r>
    </w:p>
    <w:p>
      <w:pPr>
        <w:spacing w:after="0" w:line="4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Cement Operating Earnings increased 3% to $328.3 million in fiscal 2026. The increase was due to approximately $26.1 million of higher Sales Volume and $ 4.5 million of higher gross sales prices, partially offset by $21.7 million of increased operating expenses. The higher operating expenses consisted of a $15.3 million increase in purchased raw materials costs, $16.2 million related to increased fixed costs, primarily labor and depreciation, depletion, and amortization. These higher costs were partially offset by a reduction in maintenance costs of $7.6 million and energy of $6.1 million. Cement Operating Margin decreased to 25%, primarily because of increased operating expenses, partially offset by higher gross sales prices.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AND AGGREGATES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6"/>
                <w:szCs w:val="16"/>
                <w:b w:val="1"/>
                <w:bCs w:val="1"/>
                <w:color w:val="auto"/>
              </w:rPr>
              <w:t>For the Years Ended March 31,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82"/>
        </w:trPr>
        <w:tc>
          <w:tcPr>
            <w:tcW w:w="4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215"/>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4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Change</w:t>
            </w:r>
          </w:p>
        </w:tc>
      </w:tr>
      <w:tr>
        <w:trPr>
          <w:trHeight w:val="203"/>
        </w:trPr>
        <w:tc>
          <w:tcPr>
            <w:tcW w:w="45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color w:val="auto"/>
              </w:rPr>
              <w:t>(in thousands, except net sales prices)</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95"/>
        </w:trPr>
        <w:tc>
          <w:tcPr>
            <w:tcW w:w="4540" w:type="dxa"/>
            <w:vAlign w:val="bottom"/>
          </w:tcPr>
          <w:p>
            <w:pPr>
              <w:spacing w:after="0"/>
              <w:rPr>
                <w:sz w:val="20"/>
                <w:szCs w:val="20"/>
                <w:color w:val="auto"/>
              </w:rPr>
            </w:pPr>
            <w:r>
              <w:rPr>
                <w:rFonts w:ascii="Arial" w:cs="Arial" w:eastAsia="Arial" w:hAnsi="Arial"/>
                <w:sz w:val="18"/>
                <w:szCs w:val="18"/>
                <w:b w:val="1"/>
                <w:bCs w:val="1"/>
                <w:color w:val="00AAC6"/>
              </w:rPr>
              <w:t>Revenue, including Intersegment</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299,504</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251,636</w:t>
            </w:r>
          </w:p>
        </w:tc>
        <w:tc>
          <w:tcPr>
            <w:tcW w:w="1640" w:type="dxa"/>
            <w:vAlign w:val="bottom"/>
            <w:gridSpan w:val="2"/>
          </w:tcPr>
          <w:p>
            <w:pPr>
              <w:jc w:val="right"/>
              <w:ind w:right="35"/>
              <w:spacing w:after="0"/>
              <w:rPr>
                <w:sz w:val="20"/>
                <w:szCs w:val="20"/>
                <w:color w:val="auto"/>
              </w:rPr>
            </w:pPr>
            <w:r>
              <w:rPr>
                <w:rFonts w:ascii="Arial" w:cs="Arial" w:eastAsia="Arial" w:hAnsi="Arial"/>
                <w:sz w:val="18"/>
                <w:szCs w:val="18"/>
                <w:color w:val="auto"/>
              </w:rPr>
              <w:t>19%</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gridSpan w:val="2"/>
          </w:tcPr>
          <w:p>
            <w:pPr>
              <w:spacing w:after="0"/>
              <w:rPr>
                <w:sz w:val="3"/>
                <w:szCs w:val="3"/>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Less Intersegment Revenue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(16,229)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(13,913)</w:t>
            </w:r>
          </w:p>
        </w:tc>
        <w:tc>
          <w:tcPr>
            <w:tcW w:w="1640" w:type="dxa"/>
            <w:vAlign w:val="bottom"/>
            <w:gridSpan w:val="2"/>
          </w:tcPr>
          <w:p>
            <w:pPr>
              <w:jc w:val="right"/>
              <w:ind w:right="35"/>
              <w:spacing w:after="0"/>
              <w:rPr>
                <w:sz w:val="20"/>
                <w:szCs w:val="20"/>
                <w:color w:val="auto"/>
              </w:rPr>
            </w:pPr>
            <w:r>
              <w:rPr>
                <w:rFonts w:ascii="Arial" w:cs="Arial" w:eastAsia="Arial" w:hAnsi="Arial"/>
                <w:sz w:val="18"/>
                <w:szCs w:val="18"/>
                <w:color w:val="auto"/>
              </w:rPr>
              <w:t>17%</w:t>
            </w:r>
          </w:p>
        </w:tc>
      </w:tr>
      <w:tr>
        <w:trPr>
          <w:trHeight w:val="69"/>
        </w:trPr>
        <w:tc>
          <w:tcPr>
            <w:tcW w:w="4540" w:type="dxa"/>
            <w:vAlign w:val="bottom"/>
            <w:tcBorders>
              <w:bottom w:val="single" w:sz="8" w:color="A6A6A6"/>
            </w:tcBorders>
          </w:tcPr>
          <w:p>
            <w:pPr>
              <w:spacing w:after="0"/>
              <w:rPr>
                <w:sz w:val="6"/>
                <w:szCs w:val="6"/>
                <w:color w:val="auto"/>
              </w:rPr>
            </w:pPr>
          </w:p>
        </w:tc>
        <w:tc>
          <w:tcPr>
            <w:tcW w:w="1720" w:type="dxa"/>
            <w:vAlign w:val="bottom"/>
            <w:tcBorders>
              <w:bottom w:val="single" w:sz="8" w:color="A6A6A6"/>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40" w:type="dxa"/>
            <w:vAlign w:val="bottom"/>
            <w:tcBorders>
              <w:bottom w:val="single" w:sz="8" w:color="A6A6A6"/>
            </w:tcBorders>
            <w:gridSpan w:val="2"/>
          </w:tcPr>
          <w:p>
            <w:pPr>
              <w:spacing w:after="0"/>
              <w:rPr>
                <w:sz w:val="6"/>
                <w:szCs w:val="6"/>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Revenue</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283,275</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237,723</w:t>
            </w:r>
          </w:p>
        </w:tc>
        <w:tc>
          <w:tcPr>
            <w:tcW w:w="1640" w:type="dxa"/>
            <w:vAlign w:val="bottom"/>
            <w:gridSpan w:val="2"/>
          </w:tcPr>
          <w:p>
            <w:pPr>
              <w:jc w:val="right"/>
              <w:ind w:right="35"/>
              <w:spacing w:after="0"/>
              <w:rPr>
                <w:sz w:val="20"/>
                <w:szCs w:val="20"/>
                <w:color w:val="auto"/>
              </w:rPr>
            </w:pPr>
            <w:r>
              <w:rPr>
                <w:rFonts w:ascii="Arial" w:cs="Arial" w:eastAsia="Arial" w:hAnsi="Arial"/>
                <w:sz w:val="18"/>
                <w:szCs w:val="18"/>
                <w:color w:val="auto"/>
              </w:rPr>
              <w:t>19%</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Sales Volume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r>
      <w:tr>
        <w:trPr>
          <w:trHeight w:val="289"/>
        </w:trPr>
        <w:tc>
          <w:tcPr>
            <w:tcW w:w="4540" w:type="dxa"/>
            <w:vAlign w:val="bottom"/>
          </w:tcPr>
          <w:p>
            <w:pPr>
              <w:ind w:left="120"/>
              <w:spacing w:after="0"/>
              <w:rPr>
                <w:sz w:val="20"/>
                <w:szCs w:val="20"/>
                <w:color w:val="auto"/>
              </w:rPr>
            </w:pPr>
            <w:r>
              <w:rPr>
                <w:rFonts w:ascii="Arial" w:cs="Arial" w:eastAsia="Arial" w:hAnsi="Arial"/>
                <w:sz w:val="18"/>
                <w:szCs w:val="18"/>
                <w:b w:val="1"/>
                <w:bCs w:val="1"/>
                <w:color w:val="00AAC6"/>
              </w:rPr>
              <w:t>M Cubic Yards of Concrete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1,232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4"/>
                <w:szCs w:val="24"/>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auto"/>
              </w:rPr>
              <w:t>—</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gridSpan w:val="2"/>
          </w:tcPr>
          <w:p>
            <w:pPr>
              <w:spacing w:after="0"/>
              <w:rPr>
                <w:sz w:val="3"/>
                <w:szCs w:val="3"/>
                <w:color w:val="auto"/>
              </w:rPr>
            </w:pPr>
          </w:p>
        </w:tc>
      </w:tr>
      <w:tr>
        <w:trPr>
          <w:trHeight w:val="289"/>
        </w:trPr>
        <w:tc>
          <w:tcPr>
            <w:tcW w:w="4540" w:type="dxa"/>
            <w:vAlign w:val="bottom"/>
          </w:tcPr>
          <w:p>
            <w:pPr>
              <w:ind w:left="120"/>
              <w:spacing w:after="0"/>
              <w:rPr>
                <w:sz w:val="20"/>
                <w:szCs w:val="20"/>
                <w:color w:val="auto"/>
              </w:rPr>
            </w:pPr>
            <w:r>
              <w:rPr>
                <w:rFonts w:ascii="Arial" w:cs="Arial" w:eastAsia="Arial" w:hAnsi="Arial"/>
                <w:sz w:val="18"/>
                <w:szCs w:val="18"/>
                <w:b w:val="1"/>
                <w:bCs w:val="1"/>
                <w:color w:val="00AAC6"/>
              </w:rPr>
              <w:t>M Tons of Aggregate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6,567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3,854</w:t>
            </w:r>
          </w:p>
        </w:tc>
        <w:tc>
          <w:tcPr>
            <w:tcW w:w="1640" w:type="dxa"/>
            <w:vAlign w:val="bottom"/>
            <w:gridSpan w:val="2"/>
          </w:tcPr>
          <w:p>
            <w:pPr>
              <w:jc w:val="right"/>
              <w:ind w:right="35"/>
              <w:spacing w:after="0"/>
              <w:rPr>
                <w:sz w:val="20"/>
                <w:szCs w:val="20"/>
                <w:color w:val="auto"/>
              </w:rPr>
            </w:pPr>
            <w:r>
              <w:rPr>
                <w:rFonts w:ascii="Arial" w:cs="Arial" w:eastAsia="Arial" w:hAnsi="Arial"/>
                <w:sz w:val="18"/>
                <w:szCs w:val="18"/>
                <w:color w:val="auto"/>
              </w:rPr>
              <w:t>70%</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Average Net Sales Price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
        </w:trPr>
        <w:tc>
          <w:tcPr>
            <w:tcW w:w="4540" w:type="dxa"/>
            <w:vAlign w:val="bottom"/>
            <w:tcBorders>
              <w:bottom w:val="single" w:sz="8" w:color="A6A6A6"/>
            </w:tcBorders>
          </w:tcPr>
          <w:p>
            <w:pPr>
              <w:spacing w:after="0"/>
              <w:rPr>
                <w:sz w:val="3"/>
                <w:szCs w:val="3"/>
                <w:color w:val="auto"/>
              </w:rPr>
            </w:pPr>
          </w:p>
        </w:tc>
        <w:tc>
          <w:tcPr>
            <w:tcW w:w="1980" w:type="dxa"/>
            <w:vAlign w:val="bottom"/>
            <w:tcBorders>
              <w:bottom w:val="single" w:sz="8" w:color="A6A6A6"/>
            </w:tcBorders>
            <w:gridSpan w:val="2"/>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gridSpan w:val="2"/>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gridSpan w:val="2"/>
          </w:tcPr>
          <w:p>
            <w:pPr>
              <w:spacing w:after="0"/>
              <w:rPr>
                <w:sz w:val="3"/>
                <w:szCs w:val="3"/>
                <w:color w:val="auto"/>
              </w:rPr>
            </w:pPr>
          </w:p>
        </w:tc>
      </w:tr>
      <w:tr>
        <w:trPr>
          <w:trHeight w:val="289"/>
        </w:trPr>
        <w:tc>
          <w:tcPr>
            <w:tcW w:w="4540" w:type="dxa"/>
            <w:vAlign w:val="bottom"/>
          </w:tcPr>
          <w:p>
            <w:pPr>
              <w:ind w:left="120"/>
              <w:spacing w:after="0"/>
              <w:rPr>
                <w:sz w:val="20"/>
                <w:szCs w:val="20"/>
                <w:color w:val="auto"/>
              </w:rPr>
            </w:pPr>
            <w:r>
              <w:rPr>
                <w:rFonts w:ascii="Arial" w:cs="Arial" w:eastAsia="Arial" w:hAnsi="Arial"/>
                <w:sz w:val="18"/>
                <w:szCs w:val="18"/>
                <w:b w:val="1"/>
                <w:bCs w:val="1"/>
                <w:color w:val="00AAC6"/>
              </w:rPr>
              <w:t>Concrete - Per Cubic Yard</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153.18</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148.48</w:t>
            </w:r>
          </w:p>
        </w:tc>
        <w:tc>
          <w:tcPr>
            <w:tcW w:w="1640" w:type="dxa"/>
            <w:vAlign w:val="bottom"/>
            <w:gridSpan w:val="2"/>
          </w:tcPr>
          <w:p>
            <w:pPr>
              <w:jc w:val="right"/>
              <w:ind w:right="35"/>
              <w:spacing w:after="0"/>
              <w:rPr>
                <w:sz w:val="20"/>
                <w:szCs w:val="20"/>
                <w:color w:val="auto"/>
              </w:rPr>
            </w:pPr>
            <w:r>
              <w:rPr>
                <w:rFonts w:ascii="Arial" w:cs="Arial" w:eastAsia="Arial" w:hAnsi="Arial"/>
                <w:sz w:val="18"/>
                <w:szCs w:val="18"/>
                <w:color w:val="auto"/>
              </w:rPr>
              <w:t>3%</w:t>
            </w:r>
          </w:p>
        </w:tc>
      </w:tr>
      <w:tr>
        <w:trPr>
          <w:trHeight w:val="42"/>
        </w:trPr>
        <w:tc>
          <w:tcPr>
            <w:tcW w:w="4540" w:type="dxa"/>
            <w:vAlign w:val="bottom"/>
            <w:tcBorders>
              <w:bottom w:val="single" w:sz="8" w:color="A6A6A6"/>
            </w:tcBorders>
          </w:tcPr>
          <w:p>
            <w:pPr>
              <w:spacing w:after="0"/>
              <w:rPr>
                <w:sz w:val="3"/>
                <w:szCs w:val="3"/>
                <w:color w:val="auto"/>
              </w:rPr>
            </w:pPr>
          </w:p>
        </w:tc>
        <w:tc>
          <w:tcPr>
            <w:tcW w:w="1980" w:type="dxa"/>
            <w:vAlign w:val="bottom"/>
            <w:tcBorders>
              <w:bottom w:val="single" w:sz="8" w:color="A6A6A6"/>
            </w:tcBorders>
            <w:gridSpan w:val="2"/>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gridSpan w:val="2"/>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640" w:type="dxa"/>
            <w:vAlign w:val="bottom"/>
            <w:tcBorders>
              <w:bottom w:val="single" w:sz="8" w:color="A6A6A6"/>
            </w:tcBorders>
            <w:gridSpan w:val="2"/>
          </w:tcPr>
          <w:p>
            <w:pPr>
              <w:spacing w:after="0"/>
              <w:rPr>
                <w:sz w:val="3"/>
                <w:szCs w:val="3"/>
                <w:color w:val="auto"/>
              </w:rPr>
            </w:pPr>
          </w:p>
        </w:tc>
      </w:tr>
      <w:tr>
        <w:trPr>
          <w:trHeight w:val="289"/>
        </w:trPr>
        <w:tc>
          <w:tcPr>
            <w:tcW w:w="4540" w:type="dxa"/>
            <w:vAlign w:val="bottom"/>
          </w:tcPr>
          <w:p>
            <w:pPr>
              <w:ind w:left="120"/>
              <w:spacing w:after="0"/>
              <w:rPr>
                <w:sz w:val="20"/>
                <w:szCs w:val="20"/>
                <w:color w:val="auto"/>
              </w:rPr>
            </w:pPr>
            <w:r>
              <w:rPr>
                <w:rFonts w:ascii="Arial" w:cs="Arial" w:eastAsia="Arial" w:hAnsi="Arial"/>
                <w:sz w:val="18"/>
                <w:szCs w:val="18"/>
                <w:b w:val="1"/>
                <w:bCs w:val="1"/>
                <w:color w:val="00AAC6"/>
              </w:rPr>
              <w:t>Aggregates - Per Ton</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14.23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13.09</w:t>
            </w:r>
          </w:p>
        </w:tc>
        <w:tc>
          <w:tcPr>
            <w:tcW w:w="1640" w:type="dxa"/>
            <w:vAlign w:val="bottom"/>
            <w:gridSpan w:val="2"/>
          </w:tcPr>
          <w:p>
            <w:pPr>
              <w:jc w:val="right"/>
              <w:ind w:right="35"/>
              <w:spacing w:after="0"/>
              <w:rPr>
                <w:sz w:val="20"/>
                <w:szCs w:val="20"/>
                <w:color w:val="auto"/>
              </w:rPr>
            </w:pPr>
            <w:r>
              <w:rPr>
                <w:rFonts w:ascii="Arial" w:cs="Arial" w:eastAsia="Arial" w:hAnsi="Arial"/>
                <w:sz w:val="18"/>
                <w:szCs w:val="18"/>
                <w:color w:val="auto"/>
              </w:rPr>
              <w:t>9%</w:t>
            </w:r>
          </w:p>
        </w:tc>
      </w:tr>
      <w:tr>
        <w:trPr>
          <w:trHeight w:val="42"/>
        </w:trPr>
        <w:tc>
          <w:tcPr>
            <w:tcW w:w="4540" w:type="dxa"/>
            <w:vAlign w:val="bottom"/>
            <w:tcBorders>
              <w:bottom w:val="single" w:sz="8" w:color="A6A6A6"/>
            </w:tcBorders>
          </w:tcPr>
          <w:p>
            <w:pPr>
              <w:spacing w:after="0"/>
              <w:rPr>
                <w:sz w:val="3"/>
                <w:szCs w:val="3"/>
                <w:color w:val="auto"/>
              </w:rPr>
            </w:pPr>
          </w:p>
        </w:tc>
        <w:tc>
          <w:tcPr>
            <w:tcW w:w="1980" w:type="dxa"/>
            <w:vAlign w:val="bottom"/>
            <w:tcBorders>
              <w:bottom w:val="single" w:sz="8" w:color="A6A6A6"/>
            </w:tcBorders>
            <w:gridSpan w:val="2"/>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gridSpan w:val="2"/>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r>
      <w:tr>
        <w:trPr>
          <w:trHeight w:val="289"/>
        </w:trPr>
        <w:tc>
          <w:tcPr>
            <w:tcW w:w="4540" w:type="dxa"/>
            <w:vAlign w:val="bottom"/>
          </w:tcPr>
          <w:p>
            <w:pPr>
              <w:spacing w:after="0"/>
              <w:rPr>
                <w:sz w:val="20"/>
                <w:szCs w:val="20"/>
                <w:color w:val="auto"/>
              </w:rPr>
            </w:pPr>
            <w:r>
              <w:rPr>
                <w:rFonts w:ascii="Arial" w:cs="Arial" w:eastAsia="Arial" w:hAnsi="Arial"/>
                <w:sz w:val="18"/>
                <w:szCs w:val="18"/>
                <w:b w:val="1"/>
                <w:bCs w:val="1"/>
                <w:color w:val="00AAC6"/>
              </w:rPr>
              <w:t>Operating Earnings (Loss)</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12,864</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24"/>
                <w:szCs w:val="24"/>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auto"/>
              </w:rPr>
              <w:t>n/m</w:t>
            </w:r>
          </w:p>
        </w:tc>
      </w:tr>
      <w:tr>
        <w:trPr>
          <w:trHeight w:val="42"/>
        </w:trPr>
        <w:tc>
          <w:tcPr>
            <w:tcW w:w="454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r>
    </w:tbl>
    <w:p>
      <w:pPr>
        <w:spacing w:after="0" w:line="224"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color w:val="auto"/>
        </w:rPr>
        <w:t>Concrete and Aggregates Revenue increased 19% to $299.5 million in fiscal 2026. Excluding the Aggregates Acquisitions, Revenue increased 12% to $268.9 million. The increase in Revenue was due to higher Concrete gross sales prices of $5.9 million and higher Aggregates Sales Volume of $13.3 million, which were partially offset by lower Aggregates gross sales prices and lower Concrete Sales Volume, which reduced revenue by $3.7 million and $0.4 million, respectively.</w:t>
      </w:r>
    </w:p>
    <w:p>
      <w:pPr>
        <w:spacing w:after="0" w:line="6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Operating Earnings improved to $12.9 million in fiscal 2026. Excluding the Aggregates Acquisitions, Operating Earnings increased to $10.1 million for fiscal 2026. The increase in Operating Earnings was due to $2.2 million and $2.1 million of higher gross sales prices and Sales Volume, respectively, as well as lower operating expenses of $11.2 million. The lower operating expenses were primarily due to lower cost of materials, maintenance, delivery, and fixed costs of $1.3 million, $3.8 million, $2.4 million, and $4.5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1632C"/>
        </w:rPr>
        <w:t>Light Materials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b w:val="1"/>
                <w:bCs w:val="1"/>
                <w:color w:val="auto"/>
              </w:rPr>
              <w:t>For the Years Ended March 31,</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2"/>
        </w:trPr>
        <w:tc>
          <w:tcPr>
            <w:tcW w:w="6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279"/>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03"/>
        </w:trPr>
        <w:tc>
          <w:tcPr>
            <w:tcW w:w="6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color w:val="auto"/>
              </w:rPr>
              <w:t>(in thousands, except per MMSF information)</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96"/>
        </w:trPr>
        <w:tc>
          <w:tcPr>
            <w:tcW w:w="6200" w:type="dxa"/>
            <w:vAlign w:val="bottom"/>
          </w:tcPr>
          <w:p>
            <w:pPr>
              <w:spacing w:after="0"/>
              <w:rPr>
                <w:sz w:val="20"/>
                <w:szCs w:val="20"/>
                <w:color w:val="auto"/>
              </w:rPr>
            </w:pPr>
            <w:r>
              <w:rPr>
                <w:rFonts w:ascii="Arial" w:cs="Arial" w:eastAsia="Arial" w:hAnsi="Arial"/>
                <w:sz w:val="18"/>
                <w:szCs w:val="18"/>
                <w:b w:val="1"/>
                <w:bCs w:val="1"/>
                <w:color w:val="77943C"/>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764,493</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846,499</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(10)%</w:t>
            </w:r>
          </w:p>
        </w:tc>
      </w:tr>
      <w:tr>
        <w:trPr>
          <w:trHeight w:val="42"/>
        </w:trPr>
        <w:tc>
          <w:tcPr>
            <w:tcW w:w="62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77943C"/>
              </w:rPr>
              <w:t>Sales Volume (MMSF)</w:t>
            </w:r>
          </w:p>
        </w:tc>
        <w:tc>
          <w:tcPr>
            <w:tcW w:w="160" w:type="dxa"/>
            <w:vAlign w:val="bottom"/>
          </w:tcPr>
          <w:p>
            <w:pPr>
              <w:spacing w:after="0"/>
              <w:rPr>
                <w:sz w:val="24"/>
                <w:szCs w:val="24"/>
                <w:color w:val="auto"/>
              </w:rPr>
            </w:pP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2,759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2,968</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(7)%</w:t>
            </w:r>
          </w:p>
        </w:tc>
      </w:tr>
      <w:tr>
        <w:trPr>
          <w:trHeight w:val="42"/>
        </w:trPr>
        <w:tc>
          <w:tcPr>
            <w:tcW w:w="62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52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77943C"/>
              </w:rPr>
              <w:t>Freight and Delivery Costs Billed to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(140,719)</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(146,000)</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(4)%</w:t>
            </w:r>
          </w:p>
        </w:tc>
      </w:tr>
      <w:tr>
        <w:trPr>
          <w:trHeight w:val="42"/>
        </w:trPr>
        <w:tc>
          <w:tcPr>
            <w:tcW w:w="62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52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331"/>
        </w:trPr>
        <w:tc>
          <w:tcPr>
            <w:tcW w:w="62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77943C"/>
              </w:rPr>
              <w:t xml:space="preserve">Average Net Sales Price, per MSF </w:t>
            </w:r>
            <w:r>
              <w:rPr>
                <w:rFonts w:ascii="Arial" w:cs="Arial" w:eastAsia="Arial" w:hAnsi="Arial"/>
                <w:sz w:val="24"/>
                <w:szCs w:val="24"/>
                <w:b w:val="1"/>
                <w:bCs w:val="1"/>
                <w:color w:val="77943C"/>
                <w:vertAlign w:val="superscript"/>
              </w:rPr>
              <w:t>(1)</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6A6A6"/>
            </w:tcBorders>
          </w:tcPr>
          <w:p>
            <w:pPr>
              <w:jc w:val="right"/>
              <w:ind w:right="134"/>
              <w:spacing w:after="0"/>
              <w:rPr>
                <w:sz w:val="20"/>
                <w:szCs w:val="20"/>
                <w:color w:val="auto"/>
              </w:rPr>
            </w:pPr>
            <w:r>
              <w:rPr>
                <w:rFonts w:ascii="Arial" w:cs="Arial" w:eastAsia="Arial" w:hAnsi="Arial"/>
                <w:sz w:val="18"/>
                <w:szCs w:val="18"/>
                <w:color w:val="auto"/>
              </w:rPr>
              <w:t>226.08</w:t>
            </w:r>
          </w:p>
        </w:tc>
        <w:tc>
          <w:tcPr>
            <w:tcW w:w="520" w:type="dxa"/>
            <w:vAlign w:val="bottom"/>
            <w:tcBorders>
              <w:bottom w:val="single" w:sz="8" w:color="A6A6A6"/>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6A6A6"/>
            </w:tcBorders>
          </w:tcPr>
          <w:p>
            <w:pPr>
              <w:jc w:val="right"/>
              <w:ind w:right="131"/>
              <w:spacing w:after="0"/>
              <w:rPr>
                <w:sz w:val="20"/>
                <w:szCs w:val="20"/>
                <w:color w:val="auto"/>
              </w:rPr>
            </w:pPr>
            <w:r>
              <w:rPr>
                <w:rFonts w:ascii="Arial" w:cs="Arial" w:eastAsia="Arial" w:hAnsi="Arial"/>
                <w:sz w:val="18"/>
                <w:szCs w:val="18"/>
                <w:color w:val="auto"/>
              </w:rPr>
              <w:t>236.04</w:t>
            </w:r>
          </w:p>
        </w:tc>
        <w:tc>
          <w:tcPr>
            <w:tcW w:w="172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8"/>
                <w:szCs w:val="18"/>
                <w:color w:val="auto"/>
              </w:rPr>
              <w:t>(4)%</w:t>
            </w: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77943C"/>
              </w:rPr>
              <w:t>Freight, per MSF</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51.00</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49.19</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4%</w:t>
            </w:r>
          </w:p>
        </w:tc>
      </w:tr>
      <w:tr>
        <w:trPr>
          <w:trHeight w:val="42"/>
        </w:trPr>
        <w:tc>
          <w:tcPr>
            <w:tcW w:w="62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52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77943C"/>
              </w:rPr>
              <w:t>Operating Margin, per MSF</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103.96</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118.18</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(12)%</w:t>
            </w:r>
          </w:p>
        </w:tc>
      </w:tr>
      <w:tr>
        <w:trPr>
          <w:trHeight w:val="42"/>
        </w:trPr>
        <w:tc>
          <w:tcPr>
            <w:tcW w:w="62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520" w:type="dxa"/>
            <w:vAlign w:val="bottom"/>
            <w:tcBorders>
              <w:bottom w:val="single" w:sz="8" w:color="A6A6A6"/>
            </w:tcBorders>
            <w:gridSpan w:val="2"/>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77943C"/>
              </w:rPr>
              <w:t>Operating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286,831</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350,764</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(18)%</w:t>
            </w:r>
          </w:p>
        </w:tc>
      </w:tr>
      <w:tr>
        <w:trPr>
          <w:trHeight w:val="42"/>
        </w:trPr>
        <w:tc>
          <w:tcPr>
            <w:tcW w:w="62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600" w:type="dxa"/>
            <w:vAlign w:val="bottom"/>
            <w:tcBorders>
              <w:bottom w:val="single" w:sz="8" w:color="A6A6A6"/>
            </w:tcBorders>
          </w:tcPr>
          <w:p>
            <w:pPr>
              <w:spacing w:after="0"/>
              <w:rPr>
                <w:sz w:val="3"/>
                <w:szCs w:val="3"/>
                <w:color w:val="auto"/>
              </w:rPr>
            </w:pPr>
          </w:p>
        </w:tc>
      </w:tr>
    </w:tbl>
    <w:p>
      <w:pPr>
        <w:spacing w:after="0" w:line="7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Net of freight per MSF.</w:t>
      </w:r>
    </w:p>
    <w:p>
      <w:pPr>
        <w:spacing w:after="0" w:line="70"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Gypsum Wallboard Revenue decreased 10% to $764.5 million in fiscal 2026. The decrease was due to lower gross sales prices and Sales Volume, which decreased Revenue by $22.4 million and $59.6 million, respectively. Our market share remained relatively flat in fiscal 2026 compared with fiscal 2025.</w:t>
      </w:r>
    </w:p>
    <w:p>
      <w:pPr>
        <w:spacing w:after="0" w:line="61"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Operating Earnings decreased 18% to $286.8 million in fiscal 2026. The decrease was primarily related to lower gross sales prices of $22.4 million, lower Sales Volume of $24.7 million, and higher operating expenses of $ 16.8 million. The increase in operating costs was due primarily to $ 5.3 million of freight costs, $0.7 million of energy costs, $2.4 million of maintenance costs, and $5.2 million of raw materials. During fiscal 2026, Gypsum Wallboard Operating Margin decreased to 38%, due to lower gross sales price and increased operating expenses.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85B271"/>
        </w:rPr>
        <w:t>RECYCLED PAPERBOARD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b w:val="1"/>
                <w:bCs w:val="1"/>
                <w:color w:val="auto"/>
              </w:rPr>
              <w:t>For the Years Ended March 31,</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2"/>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279"/>
              <w:spacing w:after="0" w:line="182" w:lineRule="exact"/>
              <w:rPr>
                <w:sz w:val="20"/>
                <w:szCs w:val="20"/>
                <w:color w:val="auto"/>
              </w:rPr>
            </w:pPr>
            <w:r>
              <w:rPr>
                <w:rFonts w:ascii="Arial" w:cs="Arial" w:eastAsia="Arial" w:hAnsi="Arial"/>
                <w:sz w:val="16"/>
                <w:szCs w:val="16"/>
                <w:b w:val="1"/>
                <w:bCs w:val="1"/>
                <w:color w:val="auto"/>
              </w:rPr>
              <w:t>Percentage</w:t>
            </w:r>
          </w:p>
        </w:tc>
      </w:tr>
      <w:tr>
        <w:trPr>
          <w:trHeight w:val="217"/>
        </w:trPr>
        <w:tc>
          <w:tcPr>
            <w:tcW w:w="6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03"/>
        </w:trPr>
        <w:tc>
          <w:tcPr>
            <w:tcW w:w="6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color w:val="auto"/>
              </w:rPr>
              <w:t>(in thousands, except per ton information)</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95"/>
        </w:trPr>
        <w:tc>
          <w:tcPr>
            <w:tcW w:w="6200" w:type="dxa"/>
            <w:vAlign w:val="bottom"/>
          </w:tcPr>
          <w:p>
            <w:pPr>
              <w:spacing w:after="0"/>
              <w:rPr>
                <w:sz w:val="20"/>
                <w:szCs w:val="20"/>
                <w:color w:val="auto"/>
              </w:rPr>
            </w:pPr>
            <w:r>
              <w:rPr>
                <w:rFonts w:ascii="Arial" w:cs="Arial" w:eastAsia="Arial" w:hAnsi="Arial"/>
                <w:sz w:val="18"/>
                <w:szCs w:val="18"/>
                <w:b w:val="1"/>
                <w:bCs w:val="1"/>
                <w:color w:val="85B372"/>
              </w:rPr>
              <w:t>Revenue, including Intersegment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199,215</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211,724</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(6)%</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85B372"/>
              </w:rPr>
              <w:t>Less Intersegment Revenue</w:t>
            </w:r>
          </w:p>
        </w:tc>
        <w:tc>
          <w:tcPr>
            <w:tcW w:w="200" w:type="dxa"/>
            <w:vAlign w:val="bottom"/>
          </w:tcPr>
          <w:p>
            <w:pPr>
              <w:spacing w:after="0"/>
              <w:rPr>
                <w:sz w:val="24"/>
                <w:szCs w:val="24"/>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(82,356)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(89,058)</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(8)%</w:t>
            </w:r>
          </w:p>
        </w:tc>
      </w:tr>
      <w:tr>
        <w:trPr>
          <w:trHeight w:val="69"/>
        </w:trPr>
        <w:tc>
          <w:tcPr>
            <w:tcW w:w="6200" w:type="dxa"/>
            <w:vAlign w:val="bottom"/>
            <w:tcBorders>
              <w:bottom w:val="single" w:sz="8" w:color="A6A6A6"/>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720" w:type="dxa"/>
            <w:vAlign w:val="bottom"/>
            <w:tcBorders>
              <w:bottom w:val="single" w:sz="8" w:color="A6A6A6"/>
            </w:tcBorders>
            <w:gridSpan w:val="2"/>
          </w:tcPr>
          <w:p>
            <w:pPr>
              <w:spacing w:after="0"/>
              <w:rPr>
                <w:sz w:val="6"/>
                <w:szCs w:val="6"/>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85B372"/>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116,859</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122,666</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(5)%</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85B372"/>
              </w:rPr>
              <w:t>Sales Volume (M Tons)</w:t>
            </w:r>
          </w:p>
        </w:tc>
        <w:tc>
          <w:tcPr>
            <w:tcW w:w="200" w:type="dxa"/>
            <w:vAlign w:val="bottom"/>
          </w:tcPr>
          <w:p>
            <w:pPr>
              <w:spacing w:after="0"/>
              <w:rPr>
                <w:sz w:val="24"/>
                <w:szCs w:val="24"/>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350</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(3)%</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gridSpan w:val="2"/>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331"/>
        </w:trPr>
        <w:tc>
          <w:tcPr>
            <w:tcW w:w="620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85B372"/>
              </w:rPr>
              <w:t xml:space="preserve">Average Net Sales Price, per ton </w:t>
            </w:r>
            <w:r>
              <w:rPr>
                <w:rFonts w:ascii="Arial" w:cs="Arial" w:eastAsia="Arial" w:hAnsi="Arial"/>
                <w:sz w:val="24"/>
                <w:szCs w:val="24"/>
                <w:b w:val="1"/>
                <w:bCs w:val="1"/>
                <w:color w:val="85B372"/>
                <w:vertAlign w:val="superscript"/>
              </w:rPr>
              <w:t>(1)</w:t>
            </w:r>
          </w:p>
        </w:tc>
        <w:tc>
          <w:tcPr>
            <w:tcW w:w="200" w:type="dxa"/>
            <w:vAlign w:val="bottom"/>
            <w:tcBorders>
              <w:bottom w:val="single" w:sz="8" w:color="A6A6A6"/>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6A6A6"/>
            </w:tcBorders>
          </w:tcPr>
          <w:p>
            <w:pPr>
              <w:jc w:val="right"/>
              <w:ind w:right="134"/>
              <w:spacing w:after="0"/>
              <w:rPr>
                <w:sz w:val="20"/>
                <w:szCs w:val="20"/>
                <w:color w:val="auto"/>
              </w:rPr>
            </w:pPr>
            <w:r>
              <w:rPr>
                <w:rFonts w:ascii="Arial" w:cs="Arial" w:eastAsia="Arial" w:hAnsi="Arial"/>
                <w:sz w:val="18"/>
                <w:szCs w:val="18"/>
                <w:color w:val="auto"/>
              </w:rPr>
              <w:t>584.77</w:t>
            </w:r>
          </w:p>
        </w:tc>
        <w:tc>
          <w:tcPr>
            <w:tcW w:w="560" w:type="dxa"/>
            <w:vAlign w:val="bottom"/>
            <w:tcBorders>
              <w:bottom w:val="single" w:sz="8" w:color="A6A6A6"/>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6A6A6"/>
            </w:tcBorders>
          </w:tcPr>
          <w:p>
            <w:pPr>
              <w:jc w:val="right"/>
              <w:ind w:right="131"/>
              <w:spacing w:after="0"/>
              <w:rPr>
                <w:sz w:val="20"/>
                <w:szCs w:val="20"/>
                <w:color w:val="auto"/>
              </w:rPr>
            </w:pPr>
            <w:r>
              <w:rPr>
                <w:rFonts w:ascii="Arial" w:cs="Arial" w:eastAsia="Arial" w:hAnsi="Arial"/>
                <w:sz w:val="18"/>
                <w:szCs w:val="18"/>
                <w:color w:val="auto"/>
              </w:rPr>
              <w:t>604.02</w:t>
            </w:r>
          </w:p>
        </w:tc>
        <w:tc>
          <w:tcPr>
            <w:tcW w:w="172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8"/>
                <w:szCs w:val="18"/>
                <w:color w:val="auto"/>
              </w:rPr>
              <w:t>(3)%</w:t>
            </w: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85B372"/>
              </w:rPr>
              <w:t>Operating Margin, per ton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130.59</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108.79</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20%</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gridSpan w:val="2"/>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720" w:type="dxa"/>
            <w:vAlign w:val="bottom"/>
            <w:tcBorders>
              <w:bottom w:val="single" w:sz="8" w:color="A6A6A6"/>
            </w:tcBorders>
            <w:gridSpan w:val="2"/>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85B372"/>
              </w:rPr>
              <w:t>Operating Earnings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44,531</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38,078</w:t>
            </w:r>
          </w:p>
        </w:tc>
        <w:tc>
          <w:tcPr>
            <w:tcW w:w="1720" w:type="dxa"/>
            <w:vAlign w:val="bottom"/>
            <w:gridSpan w:val="2"/>
          </w:tcPr>
          <w:p>
            <w:pPr>
              <w:jc w:val="right"/>
              <w:ind w:right="119"/>
              <w:spacing w:after="0"/>
              <w:rPr>
                <w:sz w:val="20"/>
                <w:szCs w:val="20"/>
                <w:color w:val="auto"/>
              </w:rPr>
            </w:pPr>
            <w:r>
              <w:rPr>
                <w:rFonts w:ascii="Arial" w:cs="Arial" w:eastAsia="Arial" w:hAnsi="Arial"/>
                <w:sz w:val="18"/>
                <w:szCs w:val="18"/>
                <w:color w:val="auto"/>
              </w:rPr>
              <w:t>17%</w:t>
            </w:r>
          </w:p>
        </w:tc>
      </w:tr>
      <w:tr>
        <w:trPr>
          <w:trHeight w:val="42"/>
        </w:trPr>
        <w:tc>
          <w:tcPr>
            <w:tcW w:w="62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600" w:type="dxa"/>
            <w:vAlign w:val="bottom"/>
            <w:tcBorders>
              <w:bottom w:val="single" w:sz="8" w:color="A6A6A6"/>
            </w:tcBorders>
          </w:tcPr>
          <w:p>
            <w:pPr>
              <w:spacing w:after="0"/>
              <w:rPr>
                <w:sz w:val="3"/>
                <w:szCs w:val="3"/>
                <w:color w:val="auto"/>
              </w:rPr>
            </w:pPr>
          </w:p>
        </w:tc>
      </w:tr>
    </w:tbl>
    <w:p>
      <w:pPr>
        <w:spacing w:after="0" w:line="84"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Net of freight per ton.</w:t>
      </w:r>
    </w:p>
    <w:p>
      <w:pPr>
        <w:spacing w:after="0" w:line="7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Recycled Paperboard Revenue, including Intersegment Revenue, decreased 6% to $199.2 million in fiscal 2026, due to a decrease of approximately $6.6 million in gross sales prices and a $5.9 million decrease in Sales Volume. The decline in gross sales prices was due to the price adjustment provisions in our long-term sales agreements.</w:t>
      </w:r>
    </w:p>
    <w:p>
      <w:pPr>
        <w:spacing w:after="0" w:line="6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Operating Earnings increased 17% to $44.5 million in fiscal 2026, primarily because of lower operating expenses of $14.2 million, partially offset by lower gross sales prices and Sales Volume of $6.6 million and $1.0 million, respectively. The decrease in operating expenses was primarily related to lower raw materials costs of $16.8 million, which was partially offset by higher energy expenses of $2.7 million. During fiscal 2026, Operating Margin increased to 22% from 18% in fiscal 2025, primarily because of lower operating expenses, partially offset by lower gross sales prices.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2025 COMPARED WITH FISCAL YEAR 2024</w:t>
      </w:r>
    </w:p>
    <w:p>
      <w:pPr>
        <w:spacing w:after="0" w:line="104"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 xml:space="preserve">Please see our Form 10-K for fiscal year 2025 for the discussion of our Results of Operations and Revenue and Operating Earnings by segment for fiscal 2025 compared with fiscal 2024. Our 2025 Form 10-K can be found on the investor page of our website, at </w:t>
      </w:r>
      <w:r>
        <w:rPr>
          <w:rFonts w:ascii="Arial" w:cs="Arial" w:eastAsia="Arial" w:hAnsi="Arial"/>
          <w:sz w:val="18"/>
          <w:szCs w:val="18"/>
          <w:i w:val="1"/>
          <w:iCs w:val="1"/>
          <w:color w:val="auto"/>
        </w:rPr>
        <w:t>eaglematerials.com</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CRITICAL ACCOUNTING POLICIES</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Certain of our critical accounting policies require the use of judgment in their application or require estimates of inherently uncertain matters. Although our accounting policies are in compliance with generally accepted accounting principles, a change in the facts and circumstances of the underlying transactions could significantly change the application of the accounting policies and the resulting financial statements. Listed below are those policies we believe are critical and require the use of complex judgment in their application.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Goodwill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assess Goodwill for impairment annually in the fourth quarter of our fiscal year, or more frequently when indicators of impairment exist.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Impairment testing for Goodwill is done at the reporting unit, which is consistent with our reportable segments.</w:t>
      </w:r>
    </w:p>
    <w:p>
      <w:pPr>
        <w:spacing w:after="0" w:line="8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analysis. The qualitative test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Step 1 quantitative test is not required. If we are unable to conclude that it is more likely than not that the fair value of the reporting unit exceeds its carrying value, then we proceed to the Step 1 quantitative test.</w:t>
      </w:r>
    </w:p>
    <w:p>
      <w:pPr>
        <w:spacing w:after="0" w:line="7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test, and the carrying value of the reporting unit exceeds its fair value, then an impairment charge equal to the difference, not to exceed the total amount of Goodwill, is recorded.</w:t>
      </w:r>
    </w:p>
    <w:p>
      <w:pPr>
        <w:spacing w:after="0" w:line="6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Key assumptions in the model include estimated average net sales prices, sales volume, and the estimated weighted-average cost of capital specific to each industry. We also perform an overall comparison of all reporting units to our market capitalization to test the reasonableness of our fair value calculations.</w:t>
      </w:r>
    </w:p>
    <w:p>
      <w:pPr>
        <w:spacing w:after="0" w:line="6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The most important assumption underlying our estimates is the projection of construction spending in the U.S. over the next several years. Actual results may differ materially from those estimates. Changes in market conditions, market trends, interest rates, or other factors outside of our control, such as a worldwide pandemic, global energy crisis, or military conflict, could cause us to change key assumptions and our judgment about a reporting unit’s prospects. Similarly, in a specific period, a reporting unit could significantly underperform relative to its historical or projected future operating results. Either situation could result in a meaningfully different estimate of the fair value of our reporting units, and a consequent future impairment charge.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2026, and 2025,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6"/>
                <w:szCs w:val="16"/>
                <w:b w:val="1"/>
                <w:bCs w:val="1"/>
                <w:color w:val="auto"/>
              </w:rPr>
              <w:t>2025</w:t>
            </w:r>
          </w:p>
        </w:tc>
      </w:tr>
      <w:tr>
        <w:trPr>
          <w:trHeight w:val="205"/>
        </w:trPr>
        <w:tc>
          <w:tcPr>
            <w:tcW w:w="7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17"/>
                <w:szCs w:val="17"/>
                <w:color w:val="auto"/>
              </w:rPr>
            </w:pPr>
          </w:p>
        </w:tc>
      </w:tr>
      <w:tr>
        <w:trPr>
          <w:trHeight w:val="295"/>
        </w:trPr>
        <w:tc>
          <w:tcPr>
            <w:tcW w:w="7700" w:type="dxa"/>
            <w:vAlign w:val="bottom"/>
          </w:tcPr>
          <w:p>
            <w:pPr>
              <w:spacing w:after="0"/>
              <w:rPr>
                <w:sz w:val="20"/>
                <w:szCs w:val="20"/>
                <w:color w:val="auto"/>
              </w:rPr>
            </w:pPr>
            <w:r>
              <w:rPr>
                <w:rFonts w:ascii="Arial" w:cs="Arial" w:eastAsia="Arial" w:hAnsi="Arial"/>
                <w:sz w:val="18"/>
                <w:szCs w:val="18"/>
                <w:b w:val="1"/>
                <w:bCs w:val="1"/>
                <w:color w:val="277EBF"/>
              </w:rPr>
              <w:t>Cement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227,639</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227,639</w:t>
            </w:r>
          </w:p>
        </w:tc>
      </w:tr>
      <w:tr>
        <w:trPr>
          <w:trHeight w:val="42"/>
        </w:trPr>
        <w:tc>
          <w:tcPr>
            <w:tcW w:w="770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AAC6"/>
              </w:rPr>
              <w:t>Concrete and Aggregates</w:t>
            </w:r>
          </w:p>
        </w:tc>
        <w:tc>
          <w:tcPr>
            <w:tcW w:w="50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118,878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118,099</w:t>
            </w:r>
          </w:p>
        </w:tc>
      </w:tr>
      <w:tr>
        <w:trPr>
          <w:trHeight w:val="42"/>
        </w:trPr>
        <w:tc>
          <w:tcPr>
            <w:tcW w:w="770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77943C"/>
              </w:rPr>
              <w:t>Gypsum Wallboard</w:t>
            </w:r>
          </w:p>
        </w:tc>
        <w:tc>
          <w:tcPr>
            <w:tcW w:w="50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116,618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116,618</w:t>
            </w:r>
          </w:p>
        </w:tc>
      </w:tr>
      <w:tr>
        <w:trPr>
          <w:trHeight w:val="42"/>
        </w:trPr>
        <w:tc>
          <w:tcPr>
            <w:tcW w:w="770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85B372"/>
              </w:rPr>
              <w:t>Recycled Paperboard</w:t>
            </w:r>
          </w:p>
        </w:tc>
        <w:tc>
          <w:tcPr>
            <w:tcW w:w="500" w:type="dxa"/>
            <w:vAlign w:val="bottom"/>
          </w:tcPr>
          <w:p>
            <w:pPr>
              <w:spacing w:after="0"/>
              <w:rPr>
                <w:sz w:val="24"/>
                <w:szCs w:val="24"/>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7,538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7,538</w:t>
            </w:r>
          </w:p>
        </w:tc>
      </w:tr>
      <w:tr>
        <w:trPr>
          <w:trHeight w:val="69"/>
        </w:trPr>
        <w:tc>
          <w:tcPr>
            <w:tcW w:w="7700" w:type="dxa"/>
            <w:vAlign w:val="bottom"/>
            <w:tcBorders>
              <w:bottom w:val="single" w:sz="8" w:color="A6A6A6"/>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89"/>
        </w:trPr>
        <w:tc>
          <w:tcPr>
            <w:tcW w:w="77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470,673</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469,894</w:t>
            </w:r>
          </w:p>
        </w:tc>
      </w:tr>
      <w:tr>
        <w:trPr>
          <w:trHeight w:val="42"/>
        </w:trPr>
        <w:tc>
          <w:tcPr>
            <w:tcW w:w="77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7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Business Combinations</w:t>
      </w:r>
    </w:p>
    <w:p>
      <w:pPr>
        <w:spacing w:after="0" w:line="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 Although independent appraisals may be used to assist in the determination of the fair values of certain assets and liabilities, the appraised values are usually based on significant estimates provided by management, such as forecasted revenue or profit, and the replacement cost and useful lives of the acquired property, plant, and equipment.</w:t>
      </w:r>
    </w:p>
    <w:p>
      <w:pPr>
        <w:spacing w:after="0" w:line="7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and therefore represents an exit price. A fair value measurement assumes the highest and best use of the asset by market participants, considering the use of the asset that is physically possible, legally permissible, and financially feasible at the measurement date. We assign the highest level of fair value available to assets acquired and liabilities assumed based on the following options: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quoted prices, for similar assets or liabilities in active markets.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which includes the use of valuation models.</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Level 2 fair values are typically used to value acquired receivables, inventories, machinery and equipment, land, buildings, deferred income tax assets and liabilities, and accruals for payables, asset retirement obligations, and contingencies.</w:t>
      </w:r>
    </w:p>
    <w:p>
      <w:pPr>
        <w:spacing w:after="0" w:line="4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Level 3 inputs are used to estimate the fair value of acquired mineral reserves, mineral interests, and separately identifiable intangible assets.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determining the fair value of property, plant, and equipment, replacement cost, adjusted for the age and condition of the acquired machinery and equipment, is used. The replacement cost is based on estimates of current cost to construct similar machinery and equipment and is compared to amounts paid for similar assets in market transactions for consistency.</w:t>
      </w:r>
    </w:p>
    <w:p>
      <w:pPr>
        <w:spacing w:after="0" w:line="6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determining the fair value of intangible assets, an income approach is generally used and may incorporate the use of a discounted cash flow method. In applying the discounted cash flow analysis, the estimated future cash flows and residual values for each intangible asset are discounted to a present value using a discount rate based on an estimated weighted-average cost of capital for the building materials industry. These cash flow projections are based on management’s estimates of economic and market conditions including revenue growth rates, operating margins, capital expenditures, customer attrition rates, and working capital requirements.</w:t>
      </w:r>
    </w:p>
    <w:p>
      <w:pPr>
        <w:spacing w:after="0" w:line="6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retroactive basis as of the acquisition date, with the corresponding offset to Goodwill. Any adjustments subsequent to the conclusion of the measurement period will be recorded on our Consolidated Statements of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LIQUIDITY AND CAPITAL RESOURCES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believe we have access at the present time to sufficient financial resources from our liquidity sources to fund our business and operations, including contractual obligations, capital expenditures, and debt service obligations, for at least the next 12 months. In the long term, we intend to rely on our existing financial resources, together with borrowings under existing and future credit facilities and potential offerings of our securities in private or public markets.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12 month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Flow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For the Fiscal Years Ended March 31,</w:t>
            </w:r>
          </w:p>
        </w:tc>
      </w:tr>
      <w:tr>
        <w:trPr>
          <w:trHeight w:val="209"/>
        </w:trPr>
        <w:tc>
          <w:tcPr>
            <w:tcW w:w="7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r>
      <w:tr>
        <w:trPr>
          <w:trHeight w:val="203"/>
        </w:trPr>
        <w:tc>
          <w:tcPr>
            <w:tcW w:w="7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(dollars in thousands)</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95"/>
        </w:trPr>
        <w:tc>
          <w:tcPr>
            <w:tcW w:w="7280" w:type="dxa"/>
            <w:vAlign w:val="bottom"/>
          </w:tcPr>
          <w:p>
            <w:pPr>
              <w:spacing w:after="0"/>
              <w:rPr>
                <w:sz w:val="20"/>
                <w:szCs w:val="20"/>
                <w:color w:val="auto"/>
              </w:rPr>
            </w:pPr>
            <w:r>
              <w:rPr>
                <w:rFonts w:ascii="Arial" w:cs="Arial" w:eastAsia="Arial" w:hAnsi="Arial"/>
                <w:sz w:val="18"/>
                <w:szCs w:val="18"/>
                <w:b w:val="1"/>
                <w:bCs w:val="1"/>
                <w:color w:val="004483"/>
              </w:rPr>
              <w:t>Net Cash Provided by 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192"/>
              <w:spacing w:after="0"/>
              <w:rPr>
                <w:sz w:val="20"/>
                <w:szCs w:val="20"/>
                <w:color w:val="auto"/>
              </w:rPr>
            </w:pPr>
            <w:r>
              <w:rPr>
                <w:rFonts w:ascii="Arial" w:cs="Arial" w:eastAsia="Arial" w:hAnsi="Arial"/>
                <w:sz w:val="18"/>
                <w:szCs w:val="18"/>
                <w:b w:val="1"/>
                <w:bCs w:val="1"/>
                <w:color w:val="auto"/>
              </w:rPr>
              <w:t>614,166</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548,548</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Investing Activities: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ind w:left="140"/>
              <w:spacing w:after="0"/>
              <w:rPr>
                <w:sz w:val="20"/>
                <w:szCs w:val="20"/>
                <w:color w:val="auto"/>
              </w:rPr>
            </w:pPr>
            <w:r>
              <w:rPr>
                <w:rFonts w:ascii="Arial" w:cs="Arial" w:eastAsia="Arial" w:hAnsi="Arial"/>
                <w:sz w:val="18"/>
                <w:szCs w:val="18"/>
                <w:b w:val="1"/>
                <w:bCs w:val="1"/>
                <w:color w:val="004483"/>
              </w:rPr>
              <w:t>Additions to Property, Plant, and Equipment</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(416,739)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(195,281)</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ind w:left="140"/>
              <w:spacing w:after="0"/>
              <w:rPr>
                <w:sz w:val="20"/>
                <w:szCs w:val="20"/>
                <w:color w:val="auto"/>
              </w:rPr>
            </w:pPr>
            <w:r>
              <w:rPr>
                <w:rFonts w:ascii="Arial" w:cs="Arial" w:eastAsia="Arial" w:hAnsi="Arial"/>
                <w:sz w:val="18"/>
                <w:szCs w:val="18"/>
                <w:b w:val="1"/>
                <w:bCs w:val="1"/>
                <w:color w:val="004483"/>
              </w:rPr>
              <w:t>Minority Investment</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ind w:left="140"/>
              <w:spacing w:after="0"/>
              <w:rPr>
                <w:sz w:val="20"/>
                <w:szCs w:val="20"/>
                <w:color w:val="auto"/>
              </w:rPr>
            </w:pPr>
            <w:r>
              <w:rPr>
                <w:rFonts w:ascii="Arial" w:cs="Arial" w:eastAsia="Arial" w:hAnsi="Arial"/>
                <w:sz w:val="18"/>
                <w:szCs w:val="18"/>
                <w:b w:val="1"/>
                <w:bCs w:val="1"/>
                <w:color w:val="004483"/>
              </w:rPr>
              <w:t>Acquisition Spending</w:t>
            </w:r>
          </w:p>
        </w:tc>
        <w:tc>
          <w:tcPr>
            <w:tcW w:w="320" w:type="dxa"/>
            <w:vAlign w:val="bottom"/>
          </w:tcPr>
          <w:p>
            <w:pPr>
              <w:spacing w:after="0"/>
              <w:rPr>
                <w:sz w:val="24"/>
                <w:szCs w:val="24"/>
                <w:color w:val="auto"/>
              </w:rPr>
            </w:pPr>
          </w:p>
        </w:tc>
        <w:tc>
          <w:tcPr>
            <w:tcW w:w="1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(174,850)</w:t>
            </w:r>
          </w:p>
        </w:tc>
        <w:tc>
          <w:tcPr>
            <w:tcW w:w="100" w:type="dxa"/>
            <w:vAlign w:val="bottom"/>
          </w:tcPr>
          <w:p>
            <w:pPr>
              <w:spacing w:after="0"/>
              <w:rPr>
                <w:sz w:val="24"/>
                <w:szCs w:val="24"/>
                <w:color w:val="auto"/>
              </w:rPr>
            </w:pPr>
          </w:p>
        </w:tc>
      </w:tr>
      <w:tr>
        <w:trPr>
          <w:trHeight w:val="69"/>
        </w:trPr>
        <w:tc>
          <w:tcPr>
            <w:tcW w:w="7280" w:type="dxa"/>
            <w:vAlign w:val="bottom"/>
            <w:tcBorders>
              <w:bottom w:val="single" w:sz="8" w:color="A6A6A6"/>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Net Cash Used in Investing Activities</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b w:val="1"/>
                <w:bCs w:val="1"/>
                <w:color w:val="auto"/>
              </w:rPr>
              <w:t>(431,739)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(370,131)</w:t>
            </w:r>
          </w:p>
        </w:tc>
        <w:tc>
          <w:tcPr>
            <w:tcW w:w="100" w:type="dxa"/>
            <w:vAlign w:val="bottom"/>
          </w:tcPr>
          <w:p>
            <w:pPr>
              <w:spacing w:after="0"/>
              <w:rPr>
                <w:sz w:val="24"/>
                <w:szCs w:val="24"/>
                <w:color w:val="auto"/>
              </w:rPr>
            </w:pPr>
          </w:p>
        </w:tc>
      </w:tr>
      <w:tr>
        <w:trPr>
          <w:trHeight w:val="69"/>
        </w:trPr>
        <w:tc>
          <w:tcPr>
            <w:tcW w:w="7280" w:type="dxa"/>
            <w:vAlign w:val="bottom"/>
            <w:tcBorders>
              <w:bottom w:val="single" w:sz="8" w:color="A6A6A6"/>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Financing Activities: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Borrowings Under Revolving Credit Facility</w:t>
            </w:r>
          </w:p>
        </w:tc>
        <w:tc>
          <w:tcPr>
            <w:tcW w:w="320" w:type="dxa"/>
            <w:vAlign w:val="bottom"/>
          </w:tcPr>
          <w:p>
            <w:pPr>
              <w:spacing w:after="0"/>
              <w:rPr>
                <w:sz w:val="24"/>
                <w:szCs w:val="24"/>
                <w:color w:val="auto"/>
              </w:rPr>
            </w:pPr>
          </w:p>
        </w:tc>
        <w:tc>
          <w:tcPr>
            <w:tcW w:w="1620" w:type="dxa"/>
            <w:vAlign w:val="bottom"/>
          </w:tcPr>
          <w:p>
            <w:pPr>
              <w:jc w:val="right"/>
              <w:ind w:right="192"/>
              <w:spacing w:after="0"/>
              <w:rPr>
                <w:sz w:val="20"/>
                <w:szCs w:val="20"/>
                <w:color w:val="auto"/>
              </w:rPr>
            </w:pPr>
            <w:r>
              <w:rPr>
                <w:rFonts w:ascii="Arial" w:cs="Arial" w:eastAsia="Arial" w:hAnsi="Arial"/>
                <w:sz w:val="18"/>
                <w:szCs w:val="18"/>
                <w:color w:val="auto"/>
              </w:rPr>
              <w:t>145,000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Repayment of Borrowings Under Revolving Credit Facility</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(345,000)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(305,000)</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Borrowings Under Term Loan</w:t>
            </w:r>
          </w:p>
        </w:tc>
        <w:tc>
          <w:tcPr>
            <w:tcW w:w="320" w:type="dxa"/>
            <w:vAlign w:val="bottom"/>
          </w:tcPr>
          <w:p>
            <w:pPr>
              <w:spacing w:after="0"/>
              <w:rPr>
                <w:sz w:val="24"/>
                <w:szCs w:val="24"/>
                <w:color w:val="auto"/>
              </w:rPr>
            </w:pPr>
          </w:p>
        </w:tc>
        <w:tc>
          <w:tcPr>
            <w:tcW w:w="1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Repayment of Term Loan</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Proceeds from Issuance of 5.000% Senior Notes</w:t>
            </w:r>
          </w:p>
        </w:tc>
        <w:tc>
          <w:tcPr>
            <w:tcW w:w="320" w:type="dxa"/>
            <w:vAlign w:val="bottom"/>
          </w:tcPr>
          <w:p>
            <w:pPr>
              <w:spacing w:after="0"/>
              <w:rPr>
                <w:sz w:val="24"/>
                <w:szCs w:val="24"/>
                <w:color w:val="auto"/>
              </w:rPr>
            </w:pPr>
          </w:p>
        </w:tc>
        <w:tc>
          <w:tcPr>
            <w:tcW w:w="1620" w:type="dxa"/>
            <w:vAlign w:val="bottom"/>
          </w:tcPr>
          <w:p>
            <w:pPr>
              <w:jc w:val="right"/>
              <w:ind w:right="192"/>
              <w:spacing w:after="0"/>
              <w:rPr>
                <w:sz w:val="20"/>
                <w:szCs w:val="20"/>
                <w:color w:val="auto"/>
              </w:rPr>
            </w:pPr>
            <w:r>
              <w:rPr>
                <w:rFonts w:ascii="Arial" w:cs="Arial" w:eastAsia="Arial" w:hAnsi="Arial"/>
                <w:sz w:val="18"/>
                <w:szCs w:val="18"/>
                <w:color w:val="auto"/>
              </w:rPr>
              <w:t>741,772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Dividends Paid to Stockholders</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(32,385)</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(33,722)</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Purchase and Retirement of Common Stock</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(381,809)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(298,286)</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Payment of Excise Tax on Purchases and Retirement of Common Stock</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(2,587)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Proceeds from Stock Option Exercises</w:t>
            </w:r>
          </w:p>
        </w:tc>
        <w:tc>
          <w:tcPr>
            <w:tcW w:w="320" w:type="dxa"/>
            <w:vAlign w:val="bottom"/>
          </w:tcPr>
          <w:p>
            <w:pPr>
              <w:spacing w:after="0"/>
              <w:rPr>
                <w:sz w:val="24"/>
                <w:szCs w:val="24"/>
                <w:color w:val="auto"/>
              </w:rPr>
            </w:pPr>
          </w:p>
        </w:tc>
        <w:tc>
          <w:tcPr>
            <w:tcW w:w="1620" w:type="dxa"/>
            <w:vAlign w:val="bottom"/>
          </w:tcPr>
          <w:p>
            <w:pPr>
              <w:jc w:val="right"/>
              <w:ind w:right="192"/>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Payment of Debt Issuance Costs</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(6,851)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4"/>
                <w:szCs w:val="24"/>
                <w:color w:val="auto"/>
              </w:rPr>
            </w:pPr>
          </w:p>
        </w:tc>
      </w:tr>
      <w:tr>
        <w:trPr>
          <w:trHeight w:val="42"/>
        </w:trPr>
        <w:tc>
          <w:tcPr>
            <w:tcW w:w="728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6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Shares Redeemed to Settle Employee Taxes on Stock Compensation</w:t>
            </w:r>
          </w:p>
        </w:tc>
        <w:tc>
          <w:tcPr>
            <w:tcW w:w="32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(8,583)</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4"/>
                <w:szCs w:val="24"/>
                <w:color w:val="auto"/>
              </w:rPr>
            </w:pPr>
          </w:p>
        </w:tc>
      </w:tr>
      <w:tr>
        <w:trPr>
          <w:trHeight w:val="69"/>
        </w:trPr>
        <w:tc>
          <w:tcPr>
            <w:tcW w:w="7280" w:type="dxa"/>
            <w:vAlign w:val="bottom"/>
            <w:tcBorders>
              <w:bottom w:val="single" w:sz="8" w:color="A6A6A6"/>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Net Cash Provided by (Used in) Financing Activities</w:t>
            </w:r>
          </w:p>
        </w:tc>
        <w:tc>
          <w:tcPr>
            <w:tcW w:w="320" w:type="dxa"/>
            <w:vAlign w:val="bottom"/>
          </w:tcPr>
          <w:p>
            <w:pPr>
              <w:spacing w:after="0"/>
              <w:rPr>
                <w:sz w:val="24"/>
                <w:szCs w:val="24"/>
                <w:color w:val="auto"/>
              </w:rPr>
            </w:pPr>
          </w:p>
        </w:tc>
        <w:tc>
          <w:tcPr>
            <w:tcW w:w="1620" w:type="dxa"/>
            <w:vAlign w:val="bottom"/>
          </w:tcPr>
          <w:p>
            <w:pPr>
              <w:jc w:val="right"/>
              <w:ind w:right="192"/>
              <w:spacing w:after="0"/>
              <w:rPr>
                <w:sz w:val="20"/>
                <w:szCs w:val="20"/>
                <w:color w:val="auto"/>
              </w:rPr>
            </w:pPr>
            <w:r>
              <w:rPr>
                <w:rFonts w:ascii="Arial" w:cs="Arial" w:eastAsia="Arial" w:hAnsi="Arial"/>
                <w:sz w:val="18"/>
                <w:szCs w:val="18"/>
                <w:b w:val="1"/>
                <w:bCs w:val="1"/>
                <w:color w:val="auto"/>
              </w:rPr>
              <w:t>95,092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(192,941)</w:t>
            </w:r>
          </w:p>
        </w:tc>
        <w:tc>
          <w:tcPr>
            <w:tcW w:w="100" w:type="dxa"/>
            <w:vAlign w:val="bottom"/>
          </w:tcPr>
          <w:p>
            <w:pPr>
              <w:spacing w:after="0"/>
              <w:rPr>
                <w:sz w:val="24"/>
                <w:szCs w:val="24"/>
                <w:color w:val="auto"/>
              </w:rPr>
            </w:pPr>
          </w:p>
        </w:tc>
      </w:tr>
      <w:tr>
        <w:trPr>
          <w:trHeight w:val="69"/>
        </w:trPr>
        <w:tc>
          <w:tcPr>
            <w:tcW w:w="7280" w:type="dxa"/>
            <w:vAlign w:val="bottom"/>
            <w:tcBorders>
              <w:bottom w:val="single" w:sz="8" w:color="A6A6A6"/>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289"/>
        </w:trPr>
        <w:tc>
          <w:tcPr>
            <w:tcW w:w="7280" w:type="dxa"/>
            <w:vAlign w:val="bottom"/>
          </w:tcPr>
          <w:p>
            <w:pPr>
              <w:spacing w:after="0"/>
              <w:rPr>
                <w:sz w:val="20"/>
                <w:szCs w:val="20"/>
                <w:color w:val="auto"/>
              </w:rPr>
            </w:pPr>
            <w:r>
              <w:rPr>
                <w:rFonts w:ascii="Arial" w:cs="Arial" w:eastAsia="Arial" w:hAnsi="Arial"/>
                <w:sz w:val="18"/>
                <w:szCs w:val="18"/>
                <w:b w:val="1"/>
                <w:bCs w:val="1"/>
                <w:color w:val="004483"/>
              </w:rPr>
              <w:t>Net Increase (Decrease) in 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192"/>
              <w:spacing w:after="0"/>
              <w:rPr>
                <w:sz w:val="20"/>
                <w:szCs w:val="20"/>
                <w:color w:val="auto"/>
              </w:rPr>
            </w:pPr>
            <w:r>
              <w:rPr>
                <w:rFonts w:ascii="Arial" w:cs="Arial" w:eastAsia="Arial" w:hAnsi="Arial"/>
                <w:sz w:val="18"/>
                <w:szCs w:val="18"/>
                <w:b w:val="1"/>
                <w:bCs w:val="1"/>
                <w:color w:val="auto"/>
              </w:rPr>
              <w:t>277,519</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(14,524)</w:t>
            </w:r>
          </w:p>
        </w:tc>
        <w:tc>
          <w:tcPr>
            <w:tcW w:w="100" w:type="dxa"/>
            <w:vAlign w:val="bottom"/>
          </w:tcPr>
          <w:p>
            <w:pPr>
              <w:spacing w:after="0"/>
              <w:rPr>
                <w:sz w:val="24"/>
                <w:szCs w:val="24"/>
                <w:color w:val="auto"/>
              </w:rPr>
            </w:pPr>
          </w:p>
        </w:tc>
      </w:tr>
      <w:tr>
        <w:trPr>
          <w:trHeight w:val="42"/>
        </w:trPr>
        <w:tc>
          <w:tcPr>
            <w:tcW w:w="72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Cash Flows from Operating Activities increased by $65.6 million to $614.2 million in fiscal 2026. The increase was largely attributable to higher changes in Working Capital of $62.9 million and higher Net Earnings, adjusted for non-cash charges of $2.7 million.</w:t>
      </w:r>
    </w:p>
    <w:p>
      <w:pPr>
        <w:spacing w:after="0" w:line="46"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Working Capital increased by $267.1 million to $ 690.7 million at March 31, 2026, primarily because of higher Cash and Accounts Receivable of $277.5 million and $16.2 million, respectively. This was partially offset by an increase in Accounts Payable and Accrued Liabilities of $9.0 million and $6.1 million, respectively, and a decrease in Inventories of $6.8 million.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increase in Accounts Receivable at March 31, 2026, was primarily due to the timing of sales and collections during the quarter ended March 31, 2026. As a percentage of quarterly sales generated in the fiscal fourth quarters, Accounts Receivable was 48% at March 31, 2026, and 45% at March 31, 2025. Management measures the change in Accounts Receivable by monitoring the day’s sales outstanding monthly to determine if any deterioration has occurred in the collectability of the Accounts Receivable. No significant deterioration in the collectability of our Accounts Receivable was identified at March 31,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Inventory balance at March 31, 2026, decreased approximately $6.8 million from our balance at March 31, 2025. Within Inventories, Raw Materials and Materials-in-Progress, Finished Cement, Aggregates, and Fuel and Coal decreased by approximately $ 5.9 million, $4.4 million, $1.6 million, and $5.0 million, respectively, which was partially offset by an increase in Repair Parts and Supplies and Recycled Paperboard of $8.1 million and $2.9 million, respectively. The decreases in Raw Materials and Materials-in-Progress, and Fuel and Coal were mostly due to timing. We have less than one year’s sales of all product inventories, and our inventories have a low risk of obsolescence given that they are basic construction materials. The largest individual balance in our inventory is Repair Parts. The size and complexity of our manufacturing plants, as well as the age of certain of our plants, creates the need to stock a high level of repair parts inventory. We believe all these repair parts are necessary, and we perform semi-annual analyses to identify obsolete parts.</w:t>
      </w:r>
    </w:p>
    <w:p>
      <w:pPr>
        <w:spacing w:after="0" w:line="72"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Net Cash Used in Investing Activities in fiscal 2026 was approximately $431.7 million compared with $370.1 million in fiscal 2025, an increase of approximately $61.6 million. This was primarily due to an increase in additions to capital spending and an investment of $221.5 million and $15.0 million, respectively. This was partially offset by a reduction in acquisition spending of $174.9 million. The increase in capital spending was mainly due to the expansion and modernization of our Mountain Cement facility and our gypsum wallboard plant in Oklahoma.</w:t>
      </w:r>
    </w:p>
    <w:p>
      <w:pPr>
        <w:spacing w:after="0" w:line="6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Net Cash Provided by Financing Activities was approximately $95.1 million during fiscal 2026, compared with Net Cash Used in Financing Activities of $192.9 million in fiscal 2025. The $288.0 million increase was mainly related to higher borrowings, net of repayments, of $383.0 million, partially offset by higher Purchases and Retirement of Common Stock and Payment of Debt Issuance Costs of $83.5 million and $5.0 million, respectively, as well as lower Proceeds from Stock Option Exercises of $5.8 million.</w:t>
      </w:r>
    </w:p>
    <w:p>
      <w:pPr>
        <w:spacing w:after="0" w:line="6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debt-to -capitalization ratio and net debt-to-capitalization ratio were 54.7% and 50.1%, respectively, at March 31, 2026, compared with 46.1% and 45.7%, respectively, at March 31, 2025.</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Debt Financing Activities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March 31,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Maturity</w:t>
            </w:r>
          </w:p>
        </w:tc>
      </w:tr>
      <w:tr>
        <w:trPr>
          <w:trHeight w:val="295"/>
        </w:trPr>
        <w:tc>
          <w:tcPr>
            <w:tcW w:w="6340" w:type="dxa"/>
            <w:vAlign w:val="bottom"/>
          </w:tcPr>
          <w:p>
            <w:pPr>
              <w:spacing w:after="0"/>
              <w:rPr>
                <w:sz w:val="20"/>
                <w:szCs w:val="20"/>
                <w:color w:val="auto"/>
              </w:rPr>
            </w:pPr>
            <w:r>
              <w:rPr>
                <w:rFonts w:ascii="Arial" w:cs="Arial" w:eastAsia="Arial" w:hAnsi="Arial"/>
                <w:sz w:val="18"/>
                <w:szCs w:val="18"/>
                <w:b w:val="1"/>
                <w:bCs w:val="1"/>
                <w:color w:val="004483"/>
              </w:rPr>
              <w:t>Revolving Credit Facility</w:t>
            </w:r>
          </w:p>
        </w:tc>
        <w:tc>
          <w:tcPr>
            <w:tcW w:w="4900" w:type="dxa"/>
            <w:vAlign w:val="bottom"/>
          </w:tcPr>
          <w:p>
            <w:pPr>
              <w:jc w:val="right"/>
              <w:ind w:right="52"/>
              <w:spacing w:after="0"/>
              <w:rPr>
                <w:sz w:val="20"/>
                <w:szCs w:val="20"/>
                <w:color w:val="auto"/>
              </w:rPr>
            </w:pPr>
            <w:r>
              <w:rPr>
                <w:rFonts w:ascii="Arial" w:cs="Arial" w:eastAsia="Arial" w:hAnsi="Arial"/>
                <w:sz w:val="18"/>
                <w:szCs w:val="18"/>
                <w:color w:val="auto"/>
              </w:rPr>
              <w:t>February 2030</w:t>
            </w:r>
          </w:p>
        </w:tc>
      </w:tr>
      <w:tr>
        <w:trPr>
          <w:trHeight w:val="42"/>
        </w:trPr>
        <w:tc>
          <w:tcPr>
            <w:tcW w:w="6340" w:type="dxa"/>
            <w:vAlign w:val="bottom"/>
            <w:tcBorders>
              <w:bottom w:val="single" w:sz="8" w:color="A6A6A6"/>
            </w:tcBorders>
          </w:tcPr>
          <w:p>
            <w:pPr>
              <w:spacing w:after="0"/>
              <w:rPr>
                <w:sz w:val="3"/>
                <w:szCs w:val="3"/>
                <w:color w:val="auto"/>
              </w:rPr>
            </w:pPr>
          </w:p>
        </w:tc>
        <w:tc>
          <w:tcPr>
            <w:tcW w:w="4900" w:type="dxa"/>
            <w:vAlign w:val="bottom"/>
            <w:tcBorders>
              <w:bottom w:val="single" w:sz="8" w:color="A6A6A6"/>
            </w:tcBorders>
          </w:tcPr>
          <w:p>
            <w:pPr>
              <w:spacing w:after="0"/>
              <w:rPr>
                <w:sz w:val="3"/>
                <w:szCs w:val="3"/>
                <w:color w:val="auto"/>
              </w:rPr>
            </w:pPr>
          </w:p>
        </w:tc>
      </w:tr>
      <w:tr>
        <w:trPr>
          <w:trHeight w:val="289"/>
        </w:trPr>
        <w:tc>
          <w:tcPr>
            <w:tcW w:w="6340" w:type="dxa"/>
            <w:vAlign w:val="bottom"/>
          </w:tcPr>
          <w:p>
            <w:pPr>
              <w:spacing w:after="0"/>
              <w:rPr>
                <w:sz w:val="20"/>
                <w:szCs w:val="20"/>
                <w:color w:val="auto"/>
              </w:rPr>
            </w:pPr>
            <w:r>
              <w:rPr>
                <w:rFonts w:ascii="Arial" w:cs="Arial" w:eastAsia="Arial" w:hAnsi="Arial"/>
                <w:sz w:val="18"/>
                <w:szCs w:val="18"/>
                <w:b w:val="1"/>
                <w:bCs w:val="1"/>
                <w:color w:val="004483"/>
              </w:rPr>
              <w:t>Term Loan</w:t>
            </w:r>
          </w:p>
        </w:tc>
        <w:tc>
          <w:tcPr>
            <w:tcW w:w="4900" w:type="dxa"/>
            <w:vAlign w:val="bottom"/>
          </w:tcPr>
          <w:p>
            <w:pPr>
              <w:jc w:val="right"/>
              <w:ind w:right="52"/>
              <w:spacing w:after="0"/>
              <w:rPr>
                <w:sz w:val="20"/>
                <w:szCs w:val="20"/>
                <w:color w:val="auto"/>
              </w:rPr>
            </w:pPr>
            <w:r>
              <w:rPr>
                <w:rFonts w:ascii="Arial" w:cs="Arial" w:eastAsia="Arial" w:hAnsi="Arial"/>
                <w:sz w:val="18"/>
                <w:szCs w:val="18"/>
                <w:color w:val="auto"/>
              </w:rPr>
              <w:t>February 2030</w:t>
            </w:r>
          </w:p>
        </w:tc>
      </w:tr>
      <w:tr>
        <w:trPr>
          <w:trHeight w:val="42"/>
        </w:trPr>
        <w:tc>
          <w:tcPr>
            <w:tcW w:w="6340" w:type="dxa"/>
            <w:vAlign w:val="bottom"/>
            <w:tcBorders>
              <w:bottom w:val="single" w:sz="8" w:color="A6A6A6"/>
            </w:tcBorders>
          </w:tcPr>
          <w:p>
            <w:pPr>
              <w:spacing w:after="0"/>
              <w:rPr>
                <w:sz w:val="3"/>
                <w:szCs w:val="3"/>
                <w:color w:val="auto"/>
              </w:rPr>
            </w:pPr>
          </w:p>
        </w:tc>
        <w:tc>
          <w:tcPr>
            <w:tcW w:w="4900" w:type="dxa"/>
            <w:vAlign w:val="bottom"/>
            <w:tcBorders>
              <w:bottom w:val="single" w:sz="8" w:color="A6A6A6"/>
            </w:tcBorders>
          </w:tcPr>
          <w:p>
            <w:pPr>
              <w:spacing w:after="0"/>
              <w:rPr>
                <w:sz w:val="3"/>
                <w:szCs w:val="3"/>
                <w:color w:val="auto"/>
              </w:rPr>
            </w:pPr>
          </w:p>
        </w:tc>
      </w:tr>
      <w:tr>
        <w:trPr>
          <w:trHeight w:val="289"/>
        </w:trPr>
        <w:tc>
          <w:tcPr>
            <w:tcW w:w="6340" w:type="dxa"/>
            <w:vAlign w:val="bottom"/>
          </w:tcPr>
          <w:p>
            <w:pPr>
              <w:spacing w:after="0"/>
              <w:rPr>
                <w:sz w:val="20"/>
                <w:szCs w:val="20"/>
                <w:color w:val="auto"/>
              </w:rPr>
            </w:pPr>
            <w:r>
              <w:rPr>
                <w:rFonts w:ascii="Arial" w:cs="Arial" w:eastAsia="Arial" w:hAnsi="Arial"/>
                <w:sz w:val="18"/>
                <w:szCs w:val="18"/>
                <w:b w:val="1"/>
                <w:bCs w:val="1"/>
                <w:color w:val="004483"/>
              </w:rPr>
              <w:t>2.500% Senior Unsecured Notes</w:t>
            </w:r>
          </w:p>
        </w:tc>
        <w:tc>
          <w:tcPr>
            <w:tcW w:w="4900" w:type="dxa"/>
            <w:vAlign w:val="bottom"/>
          </w:tcPr>
          <w:p>
            <w:pPr>
              <w:jc w:val="right"/>
              <w:ind w:right="52"/>
              <w:spacing w:after="0"/>
              <w:rPr>
                <w:sz w:val="20"/>
                <w:szCs w:val="20"/>
                <w:color w:val="auto"/>
              </w:rPr>
            </w:pPr>
            <w:r>
              <w:rPr>
                <w:rFonts w:ascii="Arial" w:cs="Arial" w:eastAsia="Arial" w:hAnsi="Arial"/>
                <w:sz w:val="18"/>
                <w:szCs w:val="18"/>
                <w:color w:val="auto"/>
              </w:rPr>
              <w:t>July 2031</w:t>
            </w:r>
          </w:p>
        </w:tc>
      </w:tr>
      <w:tr>
        <w:trPr>
          <w:trHeight w:val="42"/>
        </w:trPr>
        <w:tc>
          <w:tcPr>
            <w:tcW w:w="6340" w:type="dxa"/>
            <w:vAlign w:val="bottom"/>
            <w:tcBorders>
              <w:bottom w:val="single" w:sz="8" w:color="A6A6A6"/>
            </w:tcBorders>
          </w:tcPr>
          <w:p>
            <w:pPr>
              <w:spacing w:after="0"/>
              <w:rPr>
                <w:sz w:val="3"/>
                <w:szCs w:val="3"/>
                <w:color w:val="auto"/>
              </w:rPr>
            </w:pPr>
          </w:p>
        </w:tc>
        <w:tc>
          <w:tcPr>
            <w:tcW w:w="4900" w:type="dxa"/>
            <w:vAlign w:val="bottom"/>
            <w:tcBorders>
              <w:bottom w:val="single" w:sz="8" w:color="A6A6A6"/>
            </w:tcBorders>
          </w:tcPr>
          <w:p>
            <w:pPr>
              <w:spacing w:after="0"/>
              <w:rPr>
                <w:sz w:val="3"/>
                <w:szCs w:val="3"/>
                <w:color w:val="auto"/>
              </w:rPr>
            </w:pPr>
          </w:p>
        </w:tc>
      </w:tr>
      <w:tr>
        <w:trPr>
          <w:trHeight w:val="289"/>
        </w:trPr>
        <w:tc>
          <w:tcPr>
            <w:tcW w:w="6340" w:type="dxa"/>
            <w:vAlign w:val="bottom"/>
          </w:tcPr>
          <w:p>
            <w:pPr>
              <w:spacing w:after="0"/>
              <w:rPr>
                <w:sz w:val="20"/>
                <w:szCs w:val="20"/>
                <w:color w:val="auto"/>
              </w:rPr>
            </w:pPr>
            <w:r>
              <w:rPr>
                <w:rFonts w:ascii="Arial" w:cs="Arial" w:eastAsia="Arial" w:hAnsi="Arial"/>
                <w:sz w:val="18"/>
                <w:szCs w:val="18"/>
                <w:b w:val="1"/>
                <w:bCs w:val="1"/>
                <w:color w:val="004483"/>
              </w:rPr>
              <w:t>5.000% Senior Unsecured Notes</w:t>
            </w:r>
          </w:p>
        </w:tc>
        <w:tc>
          <w:tcPr>
            <w:tcW w:w="4900" w:type="dxa"/>
            <w:vAlign w:val="bottom"/>
          </w:tcPr>
          <w:p>
            <w:pPr>
              <w:jc w:val="right"/>
              <w:ind w:right="52"/>
              <w:spacing w:after="0"/>
              <w:rPr>
                <w:sz w:val="20"/>
                <w:szCs w:val="20"/>
                <w:color w:val="auto"/>
              </w:rPr>
            </w:pPr>
            <w:r>
              <w:rPr>
                <w:rFonts w:ascii="Arial" w:cs="Arial" w:eastAsia="Arial" w:hAnsi="Arial"/>
                <w:sz w:val="18"/>
                <w:szCs w:val="18"/>
                <w:color w:val="auto"/>
              </w:rPr>
              <w:t>March 2036</w:t>
            </w:r>
          </w:p>
        </w:tc>
      </w:tr>
      <w:tr>
        <w:trPr>
          <w:trHeight w:val="42"/>
        </w:trPr>
        <w:tc>
          <w:tcPr>
            <w:tcW w:w="6340" w:type="dxa"/>
            <w:vAlign w:val="bottom"/>
            <w:tcBorders>
              <w:bottom w:val="single" w:sz="8" w:color="A6A6A6"/>
            </w:tcBorders>
          </w:tcPr>
          <w:p>
            <w:pPr>
              <w:spacing w:after="0"/>
              <w:rPr>
                <w:sz w:val="3"/>
                <w:szCs w:val="3"/>
                <w:color w:val="auto"/>
              </w:rPr>
            </w:pPr>
          </w:p>
        </w:tc>
        <w:tc>
          <w:tcPr>
            <w:tcW w:w="4900" w:type="dxa"/>
            <w:vAlign w:val="bottom"/>
            <w:tcBorders>
              <w:bottom w:val="single" w:sz="8" w:color="A6A6A6"/>
            </w:tcBorders>
          </w:tcPr>
          <w:p>
            <w:pPr>
              <w:spacing w:after="0"/>
              <w:rPr>
                <w:sz w:val="3"/>
                <w:szCs w:val="3"/>
                <w:color w:val="auto"/>
              </w:rPr>
            </w:pPr>
          </w:p>
        </w:tc>
      </w:tr>
    </w:tbl>
    <w:p>
      <w:pPr>
        <w:spacing w:after="0" w:line="8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See Footnote (F) to the Audited Consolidated Financial Statements for further details on the Company's debt facilities, including interest rates, and financial and other covenants and restrictions.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as applicable, the Revolving Loans). The Revolving Credit Facility also includes a swingline loan sublimit of $25.0 million, and a</w:t>
      </w:r>
    </w:p>
    <w:p>
      <w:pPr>
        <w:spacing w:after="0" w:line="234" w:lineRule="auto"/>
        <w:rPr>
          <w:sz w:val="20"/>
          <w:szCs w:val="20"/>
          <w:color w:val="auto"/>
        </w:rPr>
      </w:pPr>
      <w:r>
        <w:rPr>
          <w:rFonts w:ascii="Arial" w:cs="Arial" w:eastAsia="Arial" w:hAnsi="Arial"/>
          <w:sz w:val="18"/>
          <w:szCs w:val="18"/>
          <w:color w:val="auto"/>
        </w:rPr>
        <w:t>$40.0 million letter of credit facility. At March 31, 2026, we had no outstanding Revolving Loans under the Revolving Credit Facility and $9.9</w:t>
      </w:r>
    </w:p>
    <w:p>
      <w:pPr>
        <w:spacing w:after="0" w:line="235" w:lineRule="auto"/>
        <w:rPr>
          <w:sz w:val="20"/>
          <w:szCs w:val="20"/>
          <w:color w:val="auto"/>
        </w:rPr>
      </w:pPr>
      <w:r>
        <w:rPr>
          <w:rFonts w:ascii="Arial" w:cs="Arial" w:eastAsia="Arial" w:hAnsi="Arial"/>
          <w:sz w:val="18"/>
          <w:szCs w:val="18"/>
          <w:color w:val="auto"/>
        </w:rPr>
        <w:t>million of outstanding letters of credit, leaving us with $740.1 million of available borrowings under the Revolving Credit Facility, net of</w:t>
      </w:r>
    </w:p>
    <w:p>
      <w:pPr>
        <w:spacing w:after="0" w:line="235" w:lineRule="auto"/>
        <w:rPr>
          <w:sz w:val="20"/>
          <w:szCs w:val="20"/>
          <w:color w:val="auto"/>
        </w:rPr>
      </w:pPr>
      <w:r>
        <w:rPr>
          <w:rFonts w:ascii="Arial" w:cs="Arial" w:eastAsia="Arial" w:hAnsi="Arial"/>
          <w:sz w:val="18"/>
          <w:szCs w:val="18"/>
          <w:color w:val="auto"/>
        </w:rPr>
        <w:t>outstanding letters of credit. We are contingently liable for performance under $48.7 million in performance bonds relating primarily to our</w:t>
      </w:r>
    </w:p>
    <w:p>
      <w:pPr>
        <w:spacing w:after="0"/>
        <w:rPr>
          <w:sz w:val="20"/>
          <w:szCs w:val="20"/>
          <w:color w:val="auto"/>
        </w:rPr>
      </w:pPr>
      <w:r>
        <w:rPr>
          <w:rFonts w:ascii="Arial" w:cs="Arial" w:eastAsia="Arial" w:hAnsi="Arial"/>
          <w:sz w:val="18"/>
          <w:szCs w:val="18"/>
          <w:color w:val="auto"/>
        </w:rPr>
        <w:t>mining operations. We do not have any off-balance-sheet debt or any outstanding debt guarantees as of March 31, 2026.</w:t>
      </w:r>
    </w:p>
    <w:p>
      <w:pPr>
        <w:spacing w:after="0" w:line="8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debt service requirements for at least the next 12 months. However, our future liquidity and capital requirements may vary depending on several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7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5.000% Senior Unsecured Notes, the Term Loan, and any Revolving Credit Loans, in each case, in privately negotiated or open market transactions, by tender offer or otherwise. Subject to any applicable limitations contained in the agreements governing our indebtedness, any purchases we make may be funded by using cash on our balance sheet or issuing new debt. The amounts involved in any such purchase transactions, individually or in aggregate, may be material.</w:t>
      </w:r>
    </w:p>
    <w:p>
      <w:pPr>
        <w:spacing w:after="0" w:line="6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Our Senior Unsecured Notes are rated by Moody’s Investor Service (Moody’s) and Standard and Poor’s Global Ratings (S&amp;P). The ratings are typically monitored by stockholders, creditors, or suppliers, and they serve as indicators of the Company’s viability. Below is a summary of the ratings published by the agencies as of the date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0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Moody's</w:t>
            </w:r>
          </w:p>
        </w:tc>
        <w:tc>
          <w:tcPr>
            <w:tcW w:w="170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S&amp;P</w:t>
            </w:r>
          </w:p>
        </w:tc>
      </w:tr>
      <w:tr>
        <w:trPr>
          <w:trHeight w:val="295"/>
        </w:trPr>
        <w:tc>
          <w:tcPr>
            <w:tcW w:w="5020" w:type="dxa"/>
            <w:vAlign w:val="bottom"/>
          </w:tcPr>
          <w:p>
            <w:pPr>
              <w:spacing w:after="0"/>
              <w:rPr>
                <w:sz w:val="20"/>
                <w:szCs w:val="20"/>
                <w:color w:val="auto"/>
              </w:rPr>
            </w:pPr>
            <w:r>
              <w:rPr>
                <w:rFonts w:ascii="Arial" w:cs="Arial" w:eastAsia="Arial" w:hAnsi="Arial"/>
                <w:sz w:val="18"/>
                <w:szCs w:val="18"/>
                <w:b w:val="1"/>
                <w:bCs w:val="1"/>
                <w:color w:val="004483"/>
              </w:rPr>
              <w:t>Corporate/Family Rating</w:t>
            </w:r>
          </w:p>
        </w:tc>
        <w:tc>
          <w:tcPr>
            <w:tcW w:w="4520" w:type="dxa"/>
            <w:vAlign w:val="bottom"/>
          </w:tcPr>
          <w:p>
            <w:pPr>
              <w:jc w:val="right"/>
              <w:ind w:right="312"/>
              <w:spacing w:after="0"/>
              <w:rPr>
                <w:sz w:val="20"/>
                <w:szCs w:val="20"/>
                <w:color w:val="auto"/>
              </w:rPr>
            </w:pPr>
            <w:r>
              <w:rPr>
                <w:rFonts w:ascii="Arial" w:cs="Arial" w:eastAsia="Arial" w:hAnsi="Arial"/>
                <w:sz w:val="18"/>
                <w:szCs w:val="18"/>
                <w:color w:val="auto"/>
              </w:rPr>
              <w:t>Baa2</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BBB</w:t>
            </w:r>
          </w:p>
        </w:tc>
      </w:tr>
      <w:tr>
        <w:trPr>
          <w:trHeight w:val="55"/>
        </w:trPr>
        <w:tc>
          <w:tcPr>
            <w:tcW w:w="5020" w:type="dxa"/>
            <w:vAlign w:val="bottom"/>
            <w:tcBorders>
              <w:bottom w:val="single" w:sz="8" w:color="A6A6A6"/>
            </w:tcBorders>
          </w:tcPr>
          <w:p>
            <w:pPr>
              <w:spacing w:after="0"/>
              <w:rPr>
                <w:sz w:val="4"/>
                <w:szCs w:val="4"/>
                <w:color w:val="auto"/>
              </w:rPr>
            </w:pPr>
          </w:p>
        </w:tc>
        <w:tc>
          <w:tcPr>
            <w:tcW w:w="4520" w:type="dxa"/>
            <w:vAlign w:val="bottom"/>
            <w:tcBorders>
              <w:bottom w:val="single" w:sz="8" w:color="A6A6A6"/>
            </w:tcBorders>
          </w:tcPr>
          <w:p>
            <w:pPr>
              <w:spacing w:after="0"/>
              <w:rPr>
                <w:sz w:val="4"/>
                <w:szCs w:val="4"/>
                <w:color w:val="auto"/>
              </w:rPr>
            </w:pPr>
          </w:p>
        </w:tc>
        <w:tc>
          <w:tcPr>
            <w:tcW w:w="1700" w:type="dxa"/>
            <w:vAlign w:val="bottom"/>
            <w:tcBorders>
              <w:bottom w:val="single" w:sz="8" w:color="A6A6A6"/>
            </w:tcBorders>
          </w:tcPr>
          <w:p>
            <w:pPr>
              <w:spacing w:after="0"/>
              <w:rPr>
                <w:sz w:val="4"/>
                <w:szCs w:val="4"/>
                <w:color w:val="auto"/>
              </w:rPr>
            </w:pPr>
          </w:p>
        </w:tc>
      </w:tr>
      <w:tr>
        <w:trPr>
          <w:trHeight w:val="289"/>
        </w:trPr>
        <w:tc>
          <w:tcPr>
            <w:tcW w:w="5020" w:type="dxa"/>
            <w:vAlign w:val="bottom"/>
          </w:tcPr>
          <w:p>
            <w:pPr>
              <w:spacing w:after="0"/>
              <w:rPr>
                <w:sz w:val="20"/>
                <w:szCs w:val="20"/>
                <w:color w:val="auto"/>
              </w:rPr>
            </w:pPr>
            <w:r>
              <w:rPr>
                <w:rFonts w:ascii="Arial" w:cs="Arial" w:eastAsia="Arial" w:hAnsi="Arial"/>
                <w:sz w:val="18"/>
                <w:szCs w:val="18"/>
                <w:b w:val="1"/>
                <w:bCs w:val="1"/>
                <w:color w:val="004483"/>
              </w:rPr>
              <w:t>Outlook</w:t>
            </w:r>
          </w:p>
        </w:tc>
        <w:tc>
          <w:tcPr>
            <w:tcW w:w="4520" w:type="dxa"/>
            <w:vAlign w:val="bottom"/>
          </w:tcPr>
          <w:p>
            <w:pPr>
              <w:jc w:val="right"/>
              <w:ind w:right="312"/>
              <w:spacing w:after="0"/>
              <w:rPr>
                <w:sz w:val="20"/>
                <w:szCs w:val="20"/>
                <w:color w:val="auto"/>
              </w:rPr>
            </w:pPr>
            <w:r>
              <w:rPr>
                <w:rFonts w:ascii="Arial" w:cs="Arial" w:eastAsia="Arial" w:hAnsi="Arial"/>
                <w:sz w:val="18"/>
                <w:szCs w:val="18"/>
                <w:color w:val="auto"/>
              </w:rPr>
              <w:t>Stable</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Stable</w:t>
            </w:r>
          </w:p>
        </w:tc>
      </w:tr>
      <w:tr>
        <w:trPr>
          <w:trHeight w:val="55"/>
        </w:trPr>
        <w:tc>
          <w:tcPr>
            <w:tcW w:w="5020" w:type="dxa"/>
            <w:vAlign w:val="bottom"/>
            <w:tcBorders>
              <w:bottom w:val="single" w:sz="8" w:color="A6A6A6"/>
            </w:tcBorders>
          </w:tcPr>
          <w:p>
            <w:pPr>
              <w:spacing w:after="0"/>
              <w:rPr>
                <w:sz w:val="4"/>
                <w:szCs w:val="4"/>
                <w:color w:val="auto"/>
              </w:rPr>
            </w:pPr>
          </w:p>
        </w:tc>
        <w:tc>
          <w:tcPr>
            <w:tcW w:w="4520" w:type="dxa"/>
            <w:vAlign w:val="bottom"/>
            <w:tcBorders>
              <w:bottom w:val="single" w:sz="8" w:color="A6A6A6"/>
            </w:tcBorders>
          </w:tcPr>
          <w:p>
            <w:pPr>
              <w:spacing w:after="0"/>
              <w:rPr>
                <w:sz w:val="4"/>
                <w:szCs w:val="4"/>
                <w:color w:val="auto"/>
              </w:rPr>
            </w:pPr>
          </w:p>
        </w:tc>
        <w:tc>
          <w:tcPr>
            <w:tcW w:w="1700" w:type="dxa"/>
            <w:vAlign w:val="bottom"/>
            <w:tcBorders>
              <w:bottom w:val="single" w:sz="8" w:color="A6A6A6"/>
            </w:tcBorders>
          </w:tcPr>
          <w:p>
            <w:pPr>
              <w:spacing w:after="0"/>
              <w:rPr>
                <w:sz w:val="4"/>
                <w:szCs w:val="4"/>
                <w:color w:val="auto"/>
              </w:rPr>
            </w:pPr>
          </w:p>
        </w:tc>
      </w:tr>
      <w:tr>
        <w:trPr>
          <w:trHeight w:val="289"/>
        </w:trPr>
        <w:tc>
          <w:tcPr>
            <w:tcW w:w="5020" w:type="dxa"/>
            <w:vAlign w:val="bottom"/>
          </w:tcPr>
          <w:p>
            <w:pPr>
              <w:spacing w:after="0"/>
              <w:rPr>
                <w:sz w:val="20"/>
                <w:szCs w:val="20"/>
                <w:color w:val="auto"/>
              </w:rPr>
            </w:pPr>
            <w:r>
              <w:rPr>
                <w:rFonts w:ascii="Arial" w:cs="Arial" w:eastAsia="Arial" w:hAnsi="Arial"/>
                <w:sz w:val="18"/>
                <w:szCs w:val="18"/>
                <w:b w:val="1"/>
                <w:bCs w:val="1"/>
                <w:color w:val="004483"/>
              </w:rPr>
              <w:t>Guaranteed Senior Notes</w:t>
            </w:r>
          </w:p>
        </w:tc>
        <w:tc>
          <w:tcPr>
            <w:tcW w:w="4520" w:type="dxa"/>
            <w:vAlign w:val="bottom"/>
          </w:tcPr>
          <w:p>
            <w:pPr>
              <w:jc w:val="right"/>
              <w:ind w:right="312"/>
              <w:spacing w:after="0"/>
              <w:rPr>
                <w:sz w:val="20"/>
                <w:szCs w:val="20"/>
                <w:color w:val="auto"/>
              </w:rPr>
            </w:pPr>
            <w:r>
              <w:rPr>
                <w:rFonts w:ascii="Arial" w:cs="Arial" w:eastAsia="Arial" w:hAnsi="Arial"/>
                <w:sz w:val="18"/>
                <w:szCs w:val="18"/>
                <w:color w:val="auto"/>
              </w:rPr>
              <w:t>Baa2</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BBB</w:t>
            </w:r>
          </w:p>
        </w:tc>
      </w:tr>
      <w:tr>
        <w:trPr>
          <w:trHeight w:val="56"/>
        </w:trPr>
        <w:tc>
          <w:tcPr>
            <w:tcW w:w="5020" w:type="dxa"/>
            <w:vAlign w:val="bottom"/>
            <w:tcBorders>
              <w:bottom w:val="single" w:sz="8" w:color="A6A6A6"/>
            </w:tcBorders>
          </w:tcPr>
          <w:p>
            <w:pPr>
              <w:spacing w:after="0"/>
              <w:rPr>
                <w:sz w:val="4"/>
                <w:szCs w:val="4"/>
                <w:color w:val="auto"/>
              </w:rPr>
            </w:pPr>
          </w:p>
        </w:tc>
        <w:tc>
          <w:tcPr>
            <w:tcW w:w="4520" w:type="dxa"/>
            <w:vAlign w:val="bottom"/>
            <w:tcBorders>
              <w:bottom w:val="single" w:sz="8" w:color="A6A6A6"/>
            </w:tcBorders>
          </w:tcPr>
          <w:p>
            <w:pPr>
              <w:spacing w:after="0"/>
              <w:rPr>
                <w:sz w:val="4"/>
                <w:szCs w:val="4"/>
                <w:color w:val="auto"/>
              </w:rPr>
            </w:pPr>
          </w:p>
        </w:tc>
        <w:tc>
          <w:tcPr>
            <w:tcW w:w="1700" w:type="dxa"/>
            <w:vAlign w:val="bottom"/>
            <w:tcBorders>
              <w:bottom w:val="single" w:sz="8" w:color="A6A6A6"/>
            </w:tcBorders>
          </w:tcPr>
          <w:p>
            <w:pPr>
              <w:spacing w:after="0"/>
              <w:rPr>
                <w:sz w:val="4"/>
                <w:szCs w:val="4"/>
                <w:color w:val="auto"/>
              </w:rPr>
            </w:pPr>
          </w:p>
        </w:tc>
      </w:tr>
      <w:tr>
        <w:trPr>
          <w:trHeight w:val="289"/>
        </w:trPr>
        <w:tc>
          <w:tcPr>
            <w:tcW w:w="5020" w:type="dxa"/>
            <w:vAlign w:val="bottom"/>
          </w:tcPr>
          <w:p>
            <w:pPr>
              <w:spacing w:after="0"/>
              <w:rPr>
                <w:sz w:val="20"/>
                <w:szCs w:val="20"/>
                <w:color w:val="auto"/>
              </w:rPr>
            </w:pPr>
            <w:r>
              <w:rPr>
                <w:rFonts w:ascii="Arial" w:cs="Arial" w:eastAsia="Arial" w:hAnsi="Arial"/>
                <w:sz w:val="18"/>
                <w:szCs w:val="18"/>
                <w:b w:val="1"/>
                <w:bCs w:val="1"/>
                <w:color w:val="004483"/>
              </w:rPr>
              <w:t>Date of Latest Report</w:t>
            </w:r>
          </w:p>
        </w:tc>
        <w:tc>
          <w:tcPr>
            <w:tcW w:w="4520" w:type="dxa"/>
            <w:vAlign w:val="bottom"/>
          </w:tcPr>
          <w:p>
            <w:pPr>
              <w:jc w:val="right"/>
              <w:ind w:right="312"/>
              <w:spacing w:after="0"/>
              <w:rPr>
                <w:sz w:val="20"/>
                <w:szCs w:val="20"/>
                <w:color w:val="auto"/>
              </w:rPr>
            </w:pPr>
            <w:r>
              <w:rPr>
                <w:rFonts w:ascii="Arial" w:cs="Arial" w:eastAsia="Arial" w:hAnsi="Arial"/>
                <w:sz w:val="18"/>
                <w:szCs w:val="18"/>
                <w:color w:val="auto"/>
              </w:rPr>
              <w:t>November 2025</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February 2026</w:t>
            </w:r>
          </w:p>
        </w:tc>
      </w:tr>
      <w:tr>
        <w:trPr>
          <w:trHeight w:val="56"/>
        </w:trPr>
        <w:tc>
          <w:tcPr>
            <w:tcW w:w="5020" w:type="dxa"/>
            <w:vAlign w:val="bottom"/>
            <w:tcBorders>
              <w:bottom w:val="single" w:sz="8" w:color="A6A6A6"/>
            </w:tcBorders>
          </w:tcPr>
          <w:p>
            <w:pPr>
              <w:spacing w:after="0"/>
              <w:rPr>
                <w:sz w:val="4"/>
                <w:szCs w:val="4"/>
                <w:color w:val="auto"/>
              </w:rPr>
            </w:pPr>
          </w:p>
        </w:tc>
        <w:tc>
          <w:tcPr>
            <w:tcW w:w="4520" w:type="dxa"/>
            <w:vAlign w:val="bottom"/>
            <w:tcBorders>
              <w:bottom w:val="single" w:sz="8" w:color="A6A6A6"/>
            </w:tcBorders>
          </w:tcPr>
          <w:p>
            <w:pPr>
              <w:spacing w:after="0"/>
              <w:rPr>
                <w:sz w:val="4"/>
                <w:szCs w:val="4"/>
                <w:color w:val="auto"/>
              </w:rPr>
            </w:pPr>
          </w:p>
        </w:tc>
        <w:tc>
          <w:tcPr>
            <w:tcW w:w="1700" w:type="dxa"/>
            <w:vAlign w:val="bottom"/>
            <w:tcBorders>
              <w:bottom w:val="single" w:sz="8" w:color="A6A6A6"/>
            </w:tcBorders>
          </w:tcPr>
          <w:p>
            <w:pPr>
              <w:spacing w:after="0"/>
              <w:rPr>
                <w:sz w:val="4"/>
                <w:szCs w:val="4"/>
                <w:color w:val="auto"/>
              </w:rPr>
            </w:pPr>
          </w:p>
        </w:tc>
      </w:tr>
    </w:tbl>
    <w:p>
      <w:pPr>
        <w:spacing w:after="0" w:line="197"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also have approximately $36.7 million of lease liabilities at March 31, 2026, that have an average remaining life of approximately 11.7 years.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Used for Share Repurchases and Stock Repurchase Program</w:t>
      </w:r>
    </w:p>
    <w:p>
      <w:pPr>
        <w:spacing w:after="0" w:line="9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See table under Item 5. “Market for Registrant’s Common Equity, Related Stockholder Matters, and Issuer Purchases of Equity Securities” for additional information.</w:t>
      </w:r>
    </w:p>
    <w:p>
      <w:pPr>
        <w:spacing w:after="0" w:line="4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will be determined by the Company’s management, based on its evaluation of market and economic conditions and other factors. In some cases, repurchases may be made pursuant to plans, programs, or directions established from time to time by the Company’s management, including plans to comply with the safe harbor provided by Rule 10b5-1.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Capital Expenditures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Capital Expenditures in fiscal years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rPr>
              <w:t>For the Fiscal Years Ended March 31,</w:t>
            </w:r>
          </w:p>
        </w:tc>
      </w:tr>
      <w:tr>
        <w:trPr>
          <w:trHeight w:val="210"/>
        </w:trPr>
        <w:tc>
          <w:tcPr>
            <w:tcW w:w="7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r>
      <w:tr>
        <w:trPr>
          <w:trHeight w:val="203"/>
        </w:trPr>
        <w:tc>
          <w:tcPr>
            <w:tcW w:w="7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17"/>
                <w:szCs w:val="17"/>
                <w:color w:val="auto"/>
              </w:rPr>
            </w:pPr>
          </w:p>
        </w:tc>
      </w:tr>
      <w:tr>
        <w:trPr>
          <w:trHeight w:val="296"/>
        </w:trPr>
        <w:tc>
          <w:tcPr>
            <w:tcW w:w="7700" w:type="dxa"/>
            <w:vAlign w:val="bottom"/>
          </w:tcPr>
          <w:p>
            <w:pPr>
              <w:spacing w:after="0"/>
              <w:rPr>
                <w:sz w:val="20"/>
                <w:szCs w:val="20"/>
                <w:color w:val="auto"/>
              </w:rPr>
            </w:pPr>
            <w:r>
              <w:rPr>
                <w:rFonts w:ascii="Arial" w:cs="Arial" w:eastAsia="Arial" w:hAnsi="Arial"/>
                <w:sz w:val="18"/>
                <w:szCs w:val="18"/>
                <w:b w:val="1"/>
                <w:bCs w:val="1"/>
                <w:color w:val="004483"/>
              </w:rPr>
              <w:t>Land and Quarries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8,795</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9,234</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Plants</w:t>
            </w:r>
          </w:p>
        </w:tc>
        <w:tc>
          <w:tcPr>
            <w:tcW w:w="180" w:type="dxa"/>
            <w:vAlign w:val="bottom"/>
          </w:tcPr>
          <w:p>
            <w:pPr>
              <w:spacing w:after="0"/>
              <w:rPr>
                <w:sz w:val="24"/>
                <w:szCs w:val="24"/>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330,736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123,120</w:t>
            </w:r>
          </w:p>
        </w:tc>
      </w:tr>
      <w:tr>
        <w:trPr>
          <w:trHeight w:val="42"/>
        </w:trPr>
        <w:tc>
          <w:tcPr>
            <w:tcW w:w="77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4483"/>
              </w:rPr>
              <w:t>Buildings, Machinery and Equipment</w:t>
            </w:r>
          </w:p>
        </w:tc>
        <w:tc>
          <w:tcPr>
            <w:tcW w:w="180" w:type="dxa"/>
            <w:vAlign w:val="bottom"/>
          </w:tcPr>
          <w:p>
            <w:pPr>
              <w:spacing w:after="0"/>
              <w:rPr>
                <w:sz w:val="24"/>
                <w:szCs w:val="24"/>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77,211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62,927</w:t>
            </w:r>
          </w:p>
        </w:tc>
      </w:tr>
      <w:tr>
        <w:trPr>
          <w:trHeight w:val="69"/>
        </w:trPr>
        <w:tc>
          <w:tcPr>
            <w:tcW w:w="77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89"/>
        </w:trPr>
        <w:tc>
          <w:tcPr>
            <w:tcW w:w="7700" w:type="dxa"/>
            <w:vAlign w:val="bottom"/>
          </w:tcPr>
          <w:p>
            <w:pPr>
              <w:ind w:left="80"/>
              <w:spacing w:after="0"/>
              <w:rPr>
                <w:sz w:val="20"/>
                <w:szCs w:val="20"/>
                <w:color w:val="auto"/>
              </w:rPr>
            </w:pPr>
            <w:r>
              <w:rPr>
                <w:rFonts w:ascii="Arial" w:cs="Arial" w:eastAsia="Arial" w:hAnsi="Arial"/>
                <w:sz w:val="18"/>
                <w:szCs w:val="18"/>
                <w:b w:val="1"/>
                <w:bCs w:val="1"/>
                <w:color w:val="auto"/>
              </w:rPr>
              <w:t>Total Capital Expenditures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ind w:right="35"/>
              <w:spacing w:after="0"/>
              <w:rPr>
                <w:sz w:val="20"/>
                <w:szCs w:val="20"/>
                <w:color w:val="auto"/>
              </w:rPr>
            </w:pPr>
            <w:r>
              <w:rPr>
                <w:rFonts w:ascii="Arial" w:cs="Arial" w:eastAsia="Arial" w:hAnsi="Arial"/>
                <w:sz w:val="18"/>
                <w:szCs w:val="18"/>
                <w:b w:val="1"/>
                <w:bCs w:val="1"/>
                <w:color w:val="auto"/>
              </w:rPr>
              <w:t>416,742</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195,281</w:t>
            </w:r>
          </w:p>
        </w:tc>
      </w:tr>
      <w:tr>
        <w:trPr>
          <w:trHeight w:val="42"/>
        </w:trPr>
        <w:tc>
          <w:tcPr>
            <w:tcW w:w="77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Capital expenditures for fiscal 2027 are expected to range from $490.0 million to $525.0 million and to be allocated between the Heavy Materials and Light Materials sectors. These estimated capital expenditures will include the expansion and modernization of our Mountain Cement facility in Wyoming and the modernization and expansion of our gypsum wallboard plant in Oklahoma, as well as maintenance capital expenditures and improvements, and other safety and regulatory projects.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Dividends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in fiscal years 2026, 2025, and 2024 were $32.4 million, $33.7 million, and $35.3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Contractual and Other Obligations</w:t>
      </w:r>
    </w:p>
    <w:p>
      <w:pPr>
        <w:spacing w:after="0" w:line="9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have certain Contractual Obligations arising from indebtedness, operating leases, and purchase obligations. Future payments due, aggregated by type of contractual obligation, are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7"/>
          </w:tcPr>
          <w:p>
            <w:pPr>
              <w:jc w:val="right"/>
              <w:ind w:right="120"/>
              <w:spacing w:after="0"/>
              <w:rPr>
                <w:sz w:val="20"/>
                <w:szCs w:val="20"/>
                <w:color w:val="auto"/>
              </w:rPr>
            </w:pPr>
            <w:r>
              <w:rPr>
                <w:rFonts w:ascii="Arial" w:cs="Arial" w:eastAsia="Arial" w:hAnsi="Arial"/>
                <w:sz w:val="16"/>
                <w:szCs w:val="16"/>
                <w:b w:val="1"/>
                <w:bCs w:val="1"/>
                <w:color w:val="auto"/>
              </w:rPr>
              <w:t>Payments Due by Period</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9"/>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Less than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6"/>
                <w:szCs w:val="16"/>
                <w:b w:val="1"/>
                <w:bCs w:val="1"/>
                <w:color w:val="auto"/>
              </w:rPr>
              <w:t>More than</w:t>
            </w:r>
          </w:p>
        </w:tc>
      </w:tr>
      <w:tr>
        <w:trPr>
          <w:trHeight w:val="217"/>
        </w:trPr>
        <w:tc>
          <w:tcPr>
            <w:tcW w:w="4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 year</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1-3 years</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3-5 years</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5 years</w:t>
            </w:r>
          </w:p>
        </w:tc>
      </w:tr>
      <w:tr>
        <w:trPr>
          <w:trHeight w:val="203"/>
        </w:trPr>
        <w:tc>
          <w:tcPr>
            <w:tcW w:w="46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338"/>
        </w:trPr>
        <w:tc>
          <w:tcPr>
            <w:tcW w:w="466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Revolving Credit Facility </w:t>
            </w:r>
            <w:r>
              <w:rPr>
                <w:rFonts w:ascii="Arial" w:cs="Arial" w:eastAsia="Arial" w:hAnsi="Arial"/>
                <w:sz w:val="24"/>
                <w:szCs w:val="24"/>
                <w:b w:val="1"/>
                <w:bCs w:val="1"/>
                <w:color w:val="004483"/>
                <w:vertAlign w:val="superscript"/>
              </w:rPr>
              <w:t>(1)</w:t>
            </w:r>
          </w:p>
        </w:tc>
        <w:tc>
          <w:tcPr>
            <w:tcW w:w="260" w:type="dxa"/>
            <w:vAlign w:val="bottom"/>
            <w:tcBorders>
              <w:bottom w:val="single" w:sz="8" w:color="A6A6A6"/>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6A6A6"/>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6A6A6"/>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6A6A6"/>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6A6A6"/>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6A6A6"/>
            </w:tcBorders>
          </w:tcPr>
          <w:p>
            <w:pPr>
              <w:jc w:val="right"/>
              <w:ind w:right="32"/>
              <w:spacing w:after="0"/>
              <w:rPr>
                <w:sz w:val="20"/>
                <w:szCs w:val="20"/>
                <w:color w:val="auto"/>
              </w:rPr>
            </w:pPr>
            <w:r>
              <w:rPr>
                <w:rFonts w:ascii="Arial" w:cs="Arial" w:eastAsia="Arial" w:hAnsi="Arial"/>
                <w:sz w:val="18"/>
                <w:szCs w:val="18"/>
                <w:color w:val="auto"/>
              </w:rPr>
              <w:t>—</w:t>
            </w:r>
          </w:p>
        </w:tc>
      </w:tr>
      <w:tr>
        <w:trPr>
          <w:trHeight w:val="331"/>
        </w:trPr>
        <w:tc>
          <w:tcPr>
            <w:tcW w:w="466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Term Loan </w:t>
            </w:r>
            <w:r>
              <w:rPr>
                <w:rFonts w:ascii="Arial" w:cs="Arial" w:eastAsia="Arial" w:hAnsi="Arial"/>
                <w:sz w:val="24"/>
                <w:szCs w:val="24"/>
                <w:b w:val="1"/>
                <w:bCs w:val="1"/>
                <w:color w:val="004483"/>
                <w:vertAlign w:val="superscript"/>
              </w:rPr>
              <w:t>(2)</w:t>
            </w:r>
          </w:p>
        </w:tc>
        <w:tc>
          <w:tcPr>
            <w:tcW w:w="26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281,250</w:t>
            </w:r>
          </w:p>
        </w:tc>
        <w:tc>
          <w:tcPr>
            <w:tcW w:w="140" w:type="dxa"/>
            <w:vAlign w:val="bottom"/>
            <w:tcBorders>
              <w:bottom w:val="single" w:sz="8" w:color="A6A6A6"/>
            </w:tcBorders>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30,000</w:t>
            </w:r>
          </w:p>
        </w:tc>
        <w:tc>
          <w:tcPr>
            <w:tcW w:w="140" w:type="dxa"/>
            <w:vAlign w:val="bottom"/>
            <w:tcBorders>
              <w:bottom w:val="single" w:sz="8" w:color="A6A6A6"/>
            </w:tcBorders>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96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236,250</w:t>
            </w:r>
          </w:p>
        </w:tc>
        <w:tc>
          <w:tcPr>
            <w:tcW w:w="14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jc w:val="right"/>
              <w:ind w:right="32"/>
              <w:spacing w:after="0"/>
              <w:rPr>
                <w:sz w:val="20"/>
                <w:szCs w:val="20"/>
                <w:color w:val="auto"/>
              </w:rPr>
            </w:pPr>
            <w:r>
              <w:rPr>
                <w:rFonts w:ascii="Arial" w:cs="Arial" w:eastAsia="Arial" w:hAnsi="Arial"/>
                <w:sz w:val="18"/>
                <w:szCs w:val="18"/>
                <w:color w:val="auto"/>
              </w:rPr>
              <w:t>—</w:t>
            </w:r>
          </w:p>
        </w:tc>
      </w:tr>
      <w:tr>
        <w:trPr>
          <w:trHeight w:val="289"/>
        </w:trPr>
        <w:tc>
          <w:tcPr>
            <w:tcW w:w="4660" w:type="dxa"/>
            <w:vAlign w:val="bottom"/>
          </w:tcPr>
          <w:p>
            <w:pPr>
              <w:spacing w:after="0"/>
              <w:rPr>
                <w:sz w:val="20"/>
                <w:szCs w:val="20"/>
                <w:color w:val="auto"/>
              </w:rPr>
            </w:pPr>
            <w:r>
              <w:rPr>
                <w:rFonts w:ascii="Arial" w:cs="Arial" w:eastAsia="Arial" w:hAnsi="Arial"/>
                <w:sz w:val="18"/>
                <w:szCs w:val="18"/>
                <w:b w:val="1"/>
                <w:bCs w:val="1"/>
                <w:color w:val="004483"/>
              </w:rPr>
              <w:t>Senior Unsecured Notes</w:t>
            </w:r>
          </w:p>
        </w:tc>
        <w:tc>
          <w:tcPr>
            <w:tcW w:w="26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1,500,000</w:t>
            </w:r>
          </w:p>
        </w:tc>
      </w:tr>
      <w:tr>
        <w:trPr>
          <w:trHeight w:val="42"/>
        </w:trPr>
        <w:tc>
          <w:tcPr>
            <w:tcW w:w="466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331"/>
        </w:trPr>
        <w:tc>
          <w:tcPr>
            <w:tcW w:w="466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Interest and Commitment Fees on Credit Facility </w:t>
            </w:r>
            <w:r>
              <w:rPr>
                <w:rFonts w:ascii="Arial" w:cs="Arial" w:eastAsia="Arial" w:hAnsi="Arial"/>
                <w:sz w:val="24"/>
                <w:szCs w:val="24"/>
                <w:b w:val="1"/>
                <w:bCs w:val="1"/>
                <w:color w:val="004483"/>
                <w:vertAlign w:val="superscript"/>
              </w:rPr>
              <w:t>(3)</w:t>
            </w:r>
          </w:p>
        </w:tc>
        <w:tc>
          <w:tcPr>
            <w:tcW w:w="26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3,546</w:t>
            </w:r>
          </w:p>
        </w:tc>
        <w:tc>
          <w:tcPr>
            <w:tcW w:w="140" w:type="dxa"/>
            <w:vAlign w:val="bottom"/>
            <w:tcBorders>
              <w:bottom w:val="single" w:sz="8" w:color="A6A6A6"/>
            </w:tcBorders>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1,850</w:t>
            </w:r>
          </w:p>
        </w:tc>
        <w:tc>
          <w:tcPr>
            <w:tcW w:w="140" w:type="dxa"/>
            <w:vAlign w:val="bottom"/>
            <w:tcBorders>
              <w:bottom w:val="single" w:sz="8" w:color="A6A6A6"/>
            </w:tcBorders>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96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771</w:t>
            </w:r>
          </w:p>
        </w:tc>
        <w:tc>
          <w:tcPr>
            <w:tcW w:w="14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jc w:val="right"/>
              <w:ind w:right="32"/>
              <w:spacing w:after="0"/>
              <w:rPr>
                <w:sz w:val="20"/>
                <w:szCs w:val="20"/>
                <w:color w:val="auto"/>
              </w:rPr>
            </w:pPr>
            <w:r>
              <w:rPr>
                <w:rFonts w:ascii="Arial" w:cs="Arial" w:eastAsia="Arial" w:hAnsi="Arial"/>
                <w:sz w:val="18"/>
                <w:szCs w:val="18"/>
                <w:color w:val="auto"/>
              </w:rPr>
              <w:t>—</w:t>
            </w:r>
          </w:p>
        </w:tc>
      </w:tr>
      <w:tr>
        <w:trPr>
          <w:trHeight w:val="331"/>
        </w:trPr>
        <w:tc>
          <w:tcPr>
            <w:tcW w:w="466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Interest on Term Loan </w:t>
            </w:r>
            <w:r>
              <w:rPr>
                <w:rFonts w:ascii="Arial" w:cs="Arial" w:eastAsia="Arial" w:hAnsi="Arial"/>
                <w:sz w:val="24"/>
                <w:szCs w:val="24"/>
                <w:b w:val="1"/>
                <w:bCs w:val="1"/>
                <w:color w:val="004483"/>
                <w:vertAlign w:val="superscript"/>
              </w:rPr>
              <w:t>(4)</w:t>
            </w:r>
          </w:p>
        </w:tc>
        <w:tc>
          <w:tcPr>
            <w:tcW w:w="26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49,651</w:t>
            </w:r>
          </w:p>
        </w:tc>
        <w:tc>
          <w:tcPr>
            <w:tcW w:w="140" w:type="dxa"/>
            <w:vAlign w:val="bottom"/>
            <w:tcBorders>
              <w:bottom w:val="single" w:sz="8" w:color="A6A6A6"/>
            </w:tcBorders>
          </w:tcPr>
          <w:p>
            <w:pPr>
              <w:spacing w:after="0"/>
              <w:rPr>
                <w:sz w:val="24"/>
                <w:szCs w:val="24"/>
                <w:color w:val="auto"/>
              </w:rPr>
            </w:pPr>
          </w:p>
        </w:tc>
        <w:tc>
          <w:tcPr>
            <w:tcW w:w="200" w:type="dxa"/>
            <w:vAlign w:val="bottom"/>
            <w:tcBorders>
              <w:bottom w:val="single" w:sz="8" w:color="A6A6A6"/>
            </w:tcBorders>
          </w:tcPr>
          <w:p>
            <w:pPr>
              <w:spacing w:after="0"/>
              <w:rPr>
                <w:sz w:val="24"/>
                <w:szCs w:val="24"/>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25,288</w:t>
            </w:r>
          </w:p>
        </w:tc>
        <w:tc>
          <w:tcPr>
            <w:tcW w:w="140" w:type="dxa"/>
            <w:vAlign w:val="bottom"/>
            <w:tcBorders>
              <w:bottom w:val="single" w:sz="8" w:color="A6A6A6"/>
            </w:tcBorders>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960" w:type="dxa"/>
            <w:vAlign w:val="bottom"/>
            <w:tcBorders>
              <w:bottom w:val="single" w:sz="8" w:color="A6A6A6"/>
            </w:tcBorders>
          </w:tcPr>
          <w:p>
            <w:pPr>
              <w:jc w:val="right"/>
              <w:ind w:right="31"/>
              <w:spacing w:after="0"/>
              <w:rPr>
                <w:sz w:val="20"/>
                <w:szCs w:val="20"/>
                <w:color w:val="auto"/>
              </w:rPr>
            </w:pPr>
            <w:r>
              <w:rPr>
                <w:rFonts w:ascii="Arial" w:cs="Arial" w:eastAsia="Arial" w:hAnsi="Arial"/>
                <w:sz w:val="18"/>
                <w:szCs w:val="18"/>
                <w:color w:val="auto"/>
              </w:rPr>
              <w:t>10,589</w:t>
            </w:r>
          </w:p>
        </w:tc>
        <w:tc>
          <w:tcPr>
            <w:tcW w:w="14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jc w:val="right"/>
              <w:ind w:right="32"/>
              <w:spacing w:after="0"/>
              <w:rPr>
                <w:sz w:val="20"/>
                <w:szCs w:val="20"/>
                <w:color w:val="auto"/>
              </w:rPr>
            </w:pPr>
            <w:r>
              <w:rPr>
                <w:rFonts w:ascii="Arial" w:cs="Arial" w:eastAsia="Arial" w:hAnsi="Arial"/>
                <w:sz w:val="18"/>
                <w:szCs w:val="18"/>
                <w:color w:val="auto"/>
              </w:rPr>
              <w:t>—</w:t>
            </w:r>
          </w:p>
        </w:tc>
      </w:tr>
      <w:tr>
        <w:trPr>
          <w:trHeight w:val="289"/>
        </w:trPr>
        <w:tc>
          <w:tcPr>
            <w:tcW w:w="4660" w:type="dxa"/>
            <w:vAlign w:val="bottom"/>
          </w:tcPr>
          <w:p>
            <w:pPr>
              <w:spacing w:after="0"/>
              <w:rPr>
                <w:sz w:val="20"/>
                <w:szCs w:val="20"/>
                <w:color w:val="auto"/>
              </w:rPr>
            </w:pPr>
            <w:r>
              <w:rPr>
                <w:rFonts w:ascii="Arial" w:cs="Arial" w:eastAsia="Arial" w:hAnsi="Arial"/>
                <w:sz w:val="18"/>
                <w:szCs w:val="18"/>
                <w:b w:val="1"/>
                <w:bCs w:val="1"/>
                <w:color w:val="004483"/>
              </w:rPr>
              <w:t>Interest on Senior Unsecured Notes</w:t>
            </w:r>
          </w:p>
        </w:tc>
        <w:tc>
          <w:tcPr>
            <w:tcW w:w="26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470,313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112,500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112,500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189,063</w:t>
            </w:r>
          </w:p>
        </w:tc>
      </w:tr>
      <w:tr>
        <w:trPr>
          <w:trHeight w:val="42"/>
        </w:trPr>
        <w:tc>
          <w:tcPr>
            <w:tcW w:w="466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289"/>
        </w:trPr>
        <w:tc>
          <w:tcPr>
            <w:tcW w:w="4660" w:type="dxa"/>
            <w:vAlign w:val="bottom"/>
          </w:tcPr>
          <w:p>
            <w:pPr>
              <w:spacing w:after="0"/>
              <w:rPr>
                <w:sz w:val="20"/>
                <w:szCs w:val="20"/>
                <w:color w:val="auto"/>
              </w:rPr>
            </w:pPr>
            <w:r>
              <w:rPr>
                <w:rFonts w:ascii="Arial" w:cs="Arial" w:eastAsia="Arial" w:hAnsi="Arial"/>
                <w:sz w:val="18"/>
                <w:szCs w:val="18"/>
                <w:b w:val="1"/>
                <w:bCs w:val="1"/>
                <w:color w:val="004483"/>
              </w:rPr>
              <w:t>Operating Leases</w:t>
            </w:r>
          </w:p>
        </w:tc>
        <w:tc>
          <w:tcPr>
            <w:tcW w:w="26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47,904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8,511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7,928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26,238</w:t>
            </w:r>
          </w:p>
        </w:tc>
      </w:tr>
      <w:tr>
        <w:trPr>
          <w:trHeight w:val="42"/>
        </w:trPr>
        <w:tc>
          <w:tcPr>
            <w:tcW w:w="466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358"/>
        </w:trPr>
        <w:tc>
          <w:tcPr>
            <w:tcW w:w="466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Purchase Obligations </w:t>
            </w:r>
            <w:r>
              <w:rPr>
                <w:rFonts w:ascii="Arial" w:cs="Arial" w:eastAsia="Arial" w:hAnsi="Arial"/>
                <w:sz w:val="24"/>
                <w:szCs w:val="24"/>
                <w:b w:val="1"/>
                <w:bCs w:val="1"/>
                <w:color w:val="004483"/>
                <w:vertAlign w:val="superscript"/>
              </w:rPr>
              <w:t>(5)</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451,667</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409,048</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41,714</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543</w:t>
            </w:r>
          </w:p>
        </w:tc>
      </w:tr>
      <w:tr>
        <w:trPr>
          <w:trHeight w:val="289"/>
        </w:trPr>
        <w:tc>
          <w:tcPr>
            <w:tcW w:w="466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2,804,331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500,224</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219,863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368,400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1,715,844</w:t>
            </w:r>
          </w:p>
        </w:tc>
      </w:tr>
      <w:tr>
        <w:trPr>
          <w:trHeight w:val="42"/>
        </w:trPr>
        <w:tc>
          <w:tcPr>
            <w:tcW w:w="46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The Revolving Credit Facility expires in February 2030.</w:t>
      </w:r>
    </w:p>
    <w:p>
      <w:pPr>
        <w:ind w:left="180" w:hanging="172"/>
        <w:spacing w:after="0" w:line="187" w:lineRule="auto"/>
        <w:tabs>
          <w:tab w:leader="none" w:pos="18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Term Loan facility expires in February 2030.</w:t>
      </w:r>
    </w:p>
    <w:p>
      <w:pPr>
        <w:ind w:left="180" w:right="180" w:hanging="172"/>
        <w:spacing w:after="0" w:line="204" w:lineRule="auto"/>
        <w:tabs>
          <w:tab w:leader="none" w:pos="18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We estimate the future cash flows for interest and commitment fees by assuming a level repayment of the Revolving Credit Facility over its remaining term. Actual amounts paid, as well as the payment time periods, will likely differ from this estimate.</w:t>
      </w:r>
    </w:p>
    <w:p>
      <w:pPr>
        <w:spacing w:after="0" w:line="1"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future cash flows for interest on the Term Loan were calculated using the same estimated interest rates as the Revolving Credit Facility.</w:t>
      </w:r>
    </w:p>
    <w:p>
      <w:pPr>
        <w:ind w:left="180" w:right="160" w:hanging="172"/>
        <w:spacing w:after="0" w:line="230" w:lineRule="auto"/>
        <w:tabs>
          <w:tab w:leader="none" w:pos="18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Purchase obligations are noncancelable agreements to purchase coal, natural gas, slag, and synthetic gypsum, and to fund capital expenditure commitments, including the expansion and modernization of our cement plant in Wyoming, and the modernization and expansion of our Gypsum Wallboard plant in Oklahoma.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Based on our current actuarial estimates, we do not anticipate making contributions to our defined benefit plans for fiscal year 2027.</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Inflation and Changing Prices</w:t>
      </w:r>
    </w:p>
    <w:p>
      <w:pPr>
        <w:spacing w:after="0" w:line="9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Consumer Price Index (CPI) rose approximately 3.3% in fiscal 2026, 2.4% in fiscal 2025, and 3.5% in fiscal 2024. During fiscal 2026, the CPI for electricity, natural gas, gasoline, and transportation increased 4.6%, 6.4%, 18.9%, and 4.1%, respectively. We have some protection from increasing natural gas costs in fiscal 2027 as we have forward purchase contracts for approximately 20.0% of our anticipated natural gas usage. The increase in CPI for transportation and gasoline will likely raise our freight costs in the near term; however, most of the increase in gasoline prices appears to stem from the military action in the Strait of Hormuz. A resolution of this crisis would likely lead to a drop in gasoline prices. Our ability to increase sales prices to cover higher costs in the future varies with the level of activity in the construction industry; the number, size, and strength of competitors; and the availability of products to supply a local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GENERAL OUTLOOK</w:t>
      </w:r>
    </w:p>
    <w:p>
      <w:pPr>
        <w:spacing w:after="0" w:line="99"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See “Market Conditions and Outlook” within Item 7,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RECENT ACCOUNTING PRONOUNCEMENTS</w:t>
      </w:r>
    </w:p>
    <w:p>
      <w:pPr>
        <w:spacing w:after="0" w:line="104" w:lineRule="exact"/>
        <w:rPr>
          <w:sz w:val="20"/>
          <w:szCs w:val="20"/>
          <w:color w:val="auto"/>
        </w:rPr>
      </w:pPr>
    </w:p>
    <w:p>
      <w:pPr>
        <w:ind w:right="1360"/>
        <w:spacing w:after="0" w:line="271" w:lineRule="auto"/>
        <w:rPr>
          <w:sz w:val="20"/>
          <w:szCs w:val="20"/>
          <w:color w:val="auto"/>
        </w:rPr>
      </w:pPr>
      <w:r>
        <w:rPr>
          <w:rFonts w:ascii="Arial" w:cs="Arial" w:eastAsia="Arial" w:hAnsi="Arial"/>
          <w:sz w:val="18"/>
          <w:szCs w:val="18"/>
          <w:color w:val="auto"/>
        </w:rPr>
        <w:t>Refer to Footnote (A) to the Audited Consolidated Financial Statements for information regarding recently issued accounting pronouncements that may affect our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Section 21E of the Exchange Act of 1934, and the Private Securities Litigation Reform Act of 1995. Forward-looking statements may be identified by the context of the statements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interruptions in our supply chain; inability to timely execute or realize capacity expansions or efficiency gains from capital improvement projects; difficulties and delays in the development of new business lines; governmental regulation and changes in governmental and public policy (including, without limitation, climate change and other environmental regulation); changes in trade policy, including tariffs and the effects of any increases in tariffs on our business, including increases in inputs used in our facility expansion and modernization projects;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and on economic conditions, capital, and financial markets. These and other factors are described in the Company’s Annual Report on Form 10-K for the fiscal year ended March 31, 2025, and subsequent quarterly and annual reports upon filing. These reports are filed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7A. Quantitative and Qualitative Disclosures About Market Risk</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At March 31, 2026, we had no outstanding Revolving Loans under the Revolving Credit Facility and $281.3 million outstanding under the Term Loan, under which borrowings bear interest at a variable rate based on the secured overnight financing rate (SOFR). A hypothetical 100 basis point increase in interest rates on these outstanding borrowings would increase our interest expense by $2.8 million on an annual basis. At present, we do not utilize derivative financial instruments.</w:t>
      </w:r>
    </w:p>
    <w:p>
      <w:pPr>
        <w:spacing w:after="0" w:line="7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are subject to commodity risk with respect to price changes principally in coal, petroleum coke, natural gas, and power. We attempt to limit our exposure to changes in commodity prices by entering into contracts or increasing our use of alternative fuels.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 AND RELATED INFORMATION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17"/>
        </w:trPr>
        <w:tc>
          <w:tcPr>
            <w:tcW w:w="9720" w:type="dxa"/>
            <w:vAlign w:val="bottom"/>
            <w:gridSpan w:val="8"/>
          </w:tcPr>
          <w:p>
            <w:pPr>
              <w:spacing w:after="0"/>
              <w:rPr>
                <w:sz w:val="20"/>
                <w:szCs w:val="20"/>
                <w:color w:val="auto"/>
              </w:rPr>
            </w:pPr>
            <w:r>
              <w:rPr>
                <w:rFonts w:ascii="Arial" w:cs="Arial" w:eastAsia="Arial" w:hAnsi="Arial"/>
                <w:sz w:val="18"/>
                <w:szCs w:val="18"/>
                <w:b w:val="1"/>
                <w:bCs w:val="1"/>
                <w:color w:val="auto"/>
              </w:rPr>
              <w:t>Eagle Materials Inc.:</w:t>
            </w:r>
          </w:p>
        </w:tc>
        <w:tc>
          <w:tcPr>
            <w:tcW w:w="1520" w:type="dxa"/>
            <w:vAlign w:val="bottom"/>
          </w:tcPr>
          <w:p>
            <w:pPr>
              <w:spacing w:after="0"/>
              <w:rPr>
                <w:sz w:val="24"/>
                <w:szCs w:val="24"/>
                <w:color w:val="auto"/>
              </w:rPr>
            </w:pPr>
          </w:p>
        </w:tc>
      </w:tr>
      <w:tr>
        <w:trPr>
          <w:trHeight w:val="258"/>
        </w:trPr>
        <w:tc>
          <w:tcPr>
            <w:tcW w:w="9720" w:type="dxa"/>
            <w:vAlign w:val="bottom"/>
            <w:gridSpan w:val="8"/>
          </w:tcPr>
          <w:p>
            <w:pPr>
              <w:spacing w:after="0"/>
              <w:rPr>
                <w:sz w:val="20"/>
                <w:szCs w:val="20"/>
                <w:color w:val="auto"/>
              </w:rPr>
            </w:pPr>
            <w:r>
              <w:rPr>
                <w:rFonts w:ascii="Arial" w:cs="Arial" w:eastAsia="Arial" w:hAnsi="Arial"/>
                <w:sz w:val="18"/>
                <w:szCs w:val="18"/>
                <w:color w:val="auto"/>
              </w:rPr>
              <w:t>Consolidated Statements of Earnings for the Years Ended March 31, 2026, 2025, and 2024</w:t>
            </w: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90"/>
        </w:trPr>
        <w:tc>
          <w:tcPr>
            <w:tcW w:w="9720" w:type="dxa"/>
            <w:vAlign w:val="bottom"/>
            <w:gridSpan w:val="8"/>
          </w:tcPr>
          <w:p>
            <w:pPr>
              <w:spacing w:after="0"/>
              <w:rPr>
                <w:sz w:val="20"/>
                <w:szCs w:val="20"/>
                <w:color w:val="auto"/>
              </w:rPr>
            </w:pPr>
            <w:r>
              <w:rPr>
                <w:rFonts w:ascii="Arial" w:cs="Arial" w:eastAsia="Arial" w:hAnsi="Arial"/>
                <w:sz w:val="18"/>
                <w:szCs w:val="18"/>
                <w:color w:val="auto"/>
              </w:rPr>
              <w:t>Consolidated Statements of Comprehensive Earnings for the Years Ended March 31, 2026, 2025, and 2024</w:t>
            </w:r>
          </w:p>
        </w:tc>
        <w:tc>
          <w:tcPr>
            <w:tcW w:w="1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1"/>
        </w:trPr>
        <w:tc>
          <w:tcPr>
            <w:tcW w:w="83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Balance Sheets as of March 31, 2026 and 2025</w:t>
            </w:r>
          </w:p>
        </w:tc>
        <w:tc>
          <w:tcPr>
            <w:tcW w:w="1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90"/>
        </w:trPr>
        <w:tc>
          <w:tcPr>
            <w:tcW w:w="9720" w:type="dxa"/>
            <w:vAlign w:val="bottom"/>
            <w:gridSpan w:val="8"/>
          </w:tcPr>
          <w:p>
            <w:pPr>
              <w:spacing w:after="0"/>
              <w:rPr>
                <w:sz w:val="20"/>
                <w:szCs w:val="20"/>
                <w:color w:val="auto"/>
              </w:rPr>
            </w:pPr>
            <w:r>
              <w:rPr>
                <w:rFonts w:ascii="Arial" w:cs="Arial" w:eastAsia="Arial" w:hAnsi="Arial"/>
                <w:sz w:val="18"/>
                <w:szCs w:val="18"/>
                <w:color w:val="auto"/>
              </w:rPr>
              <w:t>Consolidated Statements of Cash Flows for the Years Ended March 31, 2026, 2025, and 2024</w:t>
            </w: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91"/>
        </w:trPr>
        <w:tc>
          <w:tcPr>
            <w:tcW w:w="9720" w:type="dxa"/>
            <w:vAlign w:val="bottom"/>
            <w:gridSpan w:val="8"/>
          </w:tcPr>
          <w:p>
            <w:pPr>
              <w:spacing w:after="0"/>
              <w:rPr>
                <w:sz w:val="20"/>
                <w:szCs w:val="20"/>
                <w:color w:val="auto"/>
              </w:rPr>
            </w:pPr>
            <w:r>
              <w:rPr>
                <w:rFonts w:ascii="Arial" w:cs="Arial" w:eastAsia="Arial" w:hAnsi="Arial"/>
                <w:sz w:val="18"/>
                <w:szCs w:val="18"/>
                <w:color w:val="auto"/>
              </w:rPr>
              <w:t>Consolidated Statements of Stockholders’ Equity for the Years Ended March 31, 2026, 2025, and 2024</w:t>
            </w:r>
          </w:p>
        </w:tc>
        <w:tc>
          <w:tcPr>
            <w:tcW w:w="1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91"/>
        </w:trPr>
        <w:tc>
          <w:tcPr>
            <w:tcW w:w="80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Notes to Consolidated Financial Statements</w:t>
            </w:r>
          </w:p>
        </w:tc>
        <w:tc>
          <w:tcPr>
            <w:tcW w:w="1720" w:type="dxa"/>
            <w:vAlign w:val="bottom"/>
            <w:gridSpan w:val="2"/>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3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90"/>
        </w:trPr>
        <w:tc>
          <w:tcPr>
            <w:tcW w:w="9720" w:type="dxa"/>
            <w:vAlign w:val="bottom"/>
            <w:gridSpan w:val="8"/>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35"/>
        </w:trPr>
        <w:tc>
          <w:tcPr>
            <w:tcW w:w="4600" w:type="dxa"/>
            <w:vAlign w:val="bottom"/>
            <w:tcBorders>
              <w:top w:val="single" w:sz="8" w:color="0000EE"/>
            </w:tcBorders>
            <w:gridSpan w:val="2"/>
          </w:tcPr>
          <w:p>
            <w:pPr>
              <w:ind w:left="400"/>
              <w:spacing w:after="0"/>
              <w:rPr>
                <w:sz w:val="20"/>
                <w:szCs w:val="20"/>
                <w:color w:val="auto"/>
              </w:rPr>
            </w:pPr>
            <w:r>
              <w:rPr>
                <w:rFonts w:ascii="Arial" w:cs="Arial" w:eastAsia="Arial" w:hAnsi="Arial"/>
                <w:sz w:val="18"/>
                <w:szCs w:val="18"/>
                <w:color w:val="auto"/>
              </w:rPr>
              <w:t>Auditor Name: Ernst &amp; Young LLP</w:t>
            </w:r>
          </w:p>
        </w:tc>
        <w:tc>
          <w:tcPr>
            <w:tcW w:w="5120" w:type="dxa"/>
            <w:vAlign w:val="bottom"/>
            <w:gridSpan w:val="6"/>
          </w:tcPr>
          <w:p>
            <w:pPr>
              <w:spacing w:after="0"/>
              <w:rPr>
                <w:sz w:val="24"/>
                <w:szCs w:val="24"/>
                <w:color w:val="auto"/>
              </w:rPr>
            </w:pPr>
          </w:p>
        </w:tc>
        <w:tc>
          <w:tcPr>
            <w:tcW w:w="1520" w:type="dxa"/>
            <w:vAlign w:val="bottom"/>
          </w:tcPr>
          <w:p>
            <w:pPr>
              <w:spacing w:after="0"/>
              <w:rPr>
                <w:sz w:val="24"/>
                <w:szCs w:val="24"/>
                <w:color w:val="auto"/>
              </w:rPr>
            </w:pPr>
          </w:p>
        </w:tc>
      </w:tr>
      <w:tr>
        <w:trPr>
          <w:trHeight w:val="310"/>
        </w:trPr>
        <w:tc>
          <w:tcPr>
            <w:tcW w:w="9720" w:type="dxa"/>
            <w:vAlign w:val="bottom"/>
            <w:gridSpan w:val="8"/>
          </w:tcPr>
          <w:p>
            <w:pPr>
              <w:ind w:left="400"/>
              <w:spacing w:after="0"/>
              <w:rPr>
                <w:sz w:val="20"/>
                <w:szCs w:val="20"/>
                <w:color w:val="auto"/>
              </w:rPr>
            </w:pPr>
            <w:r>
              <w:rPr>
                <w:rFonts w:ascii="Arial" w:cs="Arial" w:eastAsia="Arial" w:hAnsi="Arial"/>
                <w:sz w:val="18"/>
                <w:szCs w:val="18"/>
                <w:color w:val="auto"/>
              </w:rPr>
              <w:t>Auditor Location: Dallas, Texas</w:t>
            </w:r>
          </w:p>
        </w:tc>
        <w:tc>
          <w:tcPr>
            <w:tcW w:w="1520" w:type="dxa"/>
            <w:vAlign w:val="bottom"/>
          </w:tcPr>
          <w:p>
            <w:pPr>
              <w:spacing w:after="0"/>
              <w:rPr>
                <w:sz w:val="24"/>
                <w:szCs w:val="24"/>
                <w:color w:val="auto"/>
              </w:rPr>
            </w:pPr>
          </w:p>
        </w:tc>
      </w:tr>
      <w:tr>
        <w:trPr>
          <w:trHeight w:val="311"/>
        </w:trPr>
        <w:tc>
          <w:tcPr>
            <w:tcW w:w="9720" w:type="dxa"/>
            <w:vAlign w:val="bottom"/>
            <w:gridSpan w:val="8"/>
          </w:tcPr>
          <w:p>
            <w:pPr>
              <w:ind w:left="400"/>
              <w:spacing w:after="0"/>
              <w:rPr>
                <w:sz w:val="20"/>
                <w:szCs w:val="20"/>
                <w:color w:val="auto"/>
              </w:rPr>
            </w:pPr>
            <w:r>
              <w:rPr>
                <w:rFonts w:ascii="Arial" w:cs="Arial" w:eastAsia="Arial" w:hAnsi="Arial"/>
                <w:sz w:val="18"/>
                <w:szCs w:val="18"/>
                <w:color w:val="auto"/>
              </w:rPr>
              <w:t>Auditor Firm ID: 42</w:t>
            </w:r>
          </w:p>
        </w:tc>
        <w:tc>
          <w:tcPr>
            <w:tcW w:w="1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For the Years Ended March 31,</w:t>
            </w:r>
          </w:p>
        </w:tc>
        <w:tc>
          <w:tcPr>
            <w:tcW w:w="1260" w:type="dxa"/>
            <w:vAlign w:val="bottom"/>
            <w:tcBorders>
              <w:bottom w:val="single" w:sz="8" w:color="auto"/>
            </w:tcBorders>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2024</w:t>
            </w:r>
          </w:p>
        </w:tc>
      </w:tr>
      <w:tr>
        <w:trPr>
          <w:trHeight w:val="203"/>
        </w:trPr>
        <w:tc>
          <w:tcPr>
            <w:tcW w:w="6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7"/>
          </w:tcPr>
          <w:p>
            <w:pPr>
              <w:jc w:val="right"/>
              <w:ind w:right="731"/>
              <w:spacing w:after="0"/>
              <w:rPr>
                <w:sz w:val="20"/>
                <w:szCs w:val="20"/>
                <w:color w:val="auto"/>
              </w:rPr>
            </w:pPr>
            <w:r>
              <w:rPr>
                <w:rFonts w:ascii="Arial" w:cs="Arial" w:eastAsia="Arial" w:hAnsi="Arial"/>
                <w:sz w:val="14"/>
                <w:szCs w:val="14"/>
                <w:color w:val="auto"/>
              </w:rPr>
              <w:t>(dollars in thousands, except share and per share data)</w:t>
            </w:r>
          </w:p>
        </w:tc>
      </w:tr>
      <w:tr>
        <w:trPr>
          <w:trHeight w:val="296"/>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2,308,658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2,260,508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2,259,297</w:t>
            </w: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Cost of Goods Sold</w:t>
            </w: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1,656,115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1,587,371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1,573,976</w:t>
            </w: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89"/>
        </w:trPr>
        <w:tc>
          <w:tcPr>
            <w:tcW w:w="6200" w:type="dxa"/>
            <w:vAlign w:val="bottom"/>
          </w:tcPr>
          <w:p>
            <w:pPr>
              <w:ind w:left="240"/>
              <w:spacing w:after="0"/>
              <w:rPr>
                <w:sz w:val="20"/>
                <w:szCs w:val="20"/>
                <w:color w:val="auto"/>
              </w:rPr>
            </w:pPr>
            <w:r>
              <w:rPr>
                <w:rFonts w:ascii="Arial" w:cs="Arial" w:eastAsia="Arial" w:hAnsi="Arial"/>
                <w:sz w:val="18"/>
                <w:szCs w:val="18"/>
                <w:b w:val="1"/>
                <w:bCs w:val="1"/>
                <w:color w:val="004483"/>
              </w:rPr>
              <w:t>Gross Profit</w:t>
            </w: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652,543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673,137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685,321</w:t>
            </w: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Equity in Earnings of Unconsolidated Joint Venture</w:t>
            </w: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19,989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26,396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31,581</w:t>
            </w: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Corporate General and Administrative Expense</w:t>
            </w:r>
          </w:p>
        </w:tc>
        <w:tc>
          <w:tcPr>
            <w:tcW w:w="28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(89,182)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(73,942)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(59,795)</w:t>
            </w: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Other Nonoperating Income</w:t>
            </w: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3,087</w:t>
            </w: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Interest Expense, net</w:t>
            </w:r>
          </w:p>
        </w:tc>
        <w:tc>
          <w:tcPr>
            <w:tcW w:w="28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(46,482)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(40,526)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(42,257)</w:t>
            </w: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89"/>
        </w:trPr>
        <w:tc>
          <w:tcPr>
            <w:tcW w:w="6200" w:type="dxa"/>
            <w:vAlign w:val="bottom"/>
          </w:tcPr>
          <w:p>
            <w:pPr>
              <w:ind w:left="240"/>
              <w:spacing w:after="0"/>
              <w:rPr>
                <w:sz w:val="20"/>
                <w:szCs w:val="20"/>
                <w:color w:val="auto"/>
              </w:rPr>
            </w:pPr>
            <w:r>
              <w:rPr>
                <w:rFonts w:ascii="Arial" w:cs="Arial" w:eastAsia="Arial" w:hAnsi="Arial"/>
                <w:sz w:val="18"/>
                <w:szCs w:val="18"/>
                <w:b w:val="1"/>
                <w:bCs w:val="1"/>
                <w:color w:val="004483"/>
              </w:rPr>
              <w:t>Earnings Before Income Taxes</w:t>
            </w: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541,976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591,485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617,937</w:t>
            </w: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Income Taxes</w:t>
            </w:r>
          </w:p>
        </w:tc>
        <w:tc>
          <w:tcPr>
            <w:tcW w:w="28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(118,167)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(128,069)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(140,298)</w:t>
            </w: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89"/>
        </w:trPr>
        <w:tc>
          <w:tcPr>
            <w:tcW w:w="6200" w:type="dxa"/>
            <w:vAlign w:val="bottom"/>
          </w:tcPr>
          <w:p>
            <w:pPr>
              <w:ind w:left="24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423,809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51"/>
              <w:spacing w:after="0"/>
              <w:rPr>
                <w:sz w:val="20"/>
                <w:szCs w:val="20"/>
                <w:color w:val="auto"/>
              </w:rPr>
            </w:pPr>
            <w:r>
              <w:rPr>
                <w:rFonts w:ascii="Arial" w:cs="Arial" w:eastAsia="Arial" w:hAnsi="Arial"/>
                <w:sz w:val="18"/>
                <w:szCs w:val="18"/>
                <w:b w:val="1"/>
                <w:bCs w:val="1"/>
                <w:color w:val="auto"/>
              </w:rPr>
              <w:t>463,416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477,639</w:t>
            </w:r>
          </w:p>
        </w:tc>
      </w:tr>
      <w:tr>
        <w:trPr>
          <w:trHeight w:val="42"/>
        </w:trPr>
        <w:tc>
          <w:tcPr>
            <w:tcW w:w="6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6"/>
        </w:trPr>
        <w:tc>
          <w:tcPr>
            <w:tcW w:w="620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gridSpan w:val="2"/>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gridSpan w:val="2"/>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13.24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13.88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13.72</w:t>
            </w: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Diluted</w:t>
            </w: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13.61</w:t>
            </w: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26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Basic</w:t>
            </w: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32,014,721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33,378,050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34,811,560</w:t>
            </w: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89"/>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Diluted</w:t>
            </w:r>
          </w:p>
        </w:tc>
        <w:tc>
          <w:tcPr>
            <w:tcW w:w="2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32,193,791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33,646,395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35,097,871</w:t>
            </w:r>
          </w:p>
        </w:tc>
      </w:tr>
      <w:tr>
        <w:trPr>
          <w:trHeight w:val="69"/>
        </w:trPr>
        <w:tc>
          <w:tcPr>
            <w:tcW w:w="6200" w:type="dxa"/>
            <w:vAlign w:val="bottom"/>
            <w:tcBorders>
              <w:bottom w:val="single" w:sz="8" w:color="A6A6A6"/>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auto"/>
              </w:rPr>
              <w:t>CASH DIVIDENDS PER SHARE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1.00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51"/>
              <w:spacing w:after="0"/>
              <w:rPr>
                <w:sz w:val="20"/>
                <w:szCs w:val="20"/>
                <w:color w:val="auto"/>
              </w:rPr>
            </w:pPr>
            <w:r>
              <w:rPr>
                <w:rFonts w:ascii="Arial" w:cs="Arial" w:eastAsia="Arial" w:hAnsi="Arial"/>
                <w:sz w:val="18"/>
                <w:szCs w:val="18"/>
                <w:b w:val="1"/>
                <w:bCs w:val="1"/>
                <w:color w:val="auto"/>
              </w:rPr>
              <w:t>1.00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1.00</w:t>
            </w:r>
          </w:p>
        </w:tc>
      </w:tr>
      <w:tr>
        <w:trPr>
          <w:trHeight w:val="42"/>
        </w:trPr>
        <w:tc>
          <w:tcPr>
            <w:tcW w:w="6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For the Years Ended March 31,</w:t>
            </w:r>
          </w:p>
        </w:tc>
        <w:tc>
          <w:tcPr>
            <w:tcW w:w="1140" w:type="dxa"/>
            <w:vAlign w:val="bottom"/>
            <w:tcBorders>
              <w:bottom w:val="single" w:sz="8" w:color="auto"/>
            </w:tcBorders>
          </w:tcPr>
          <w:p>
            <w:pPr>
              <w:spacing w:after="0"/>
              <w:rPr>
                <w:sz w:val="18"/>
                <w:szCs w:val="18"/>
                <w:color w:val="auto"/>
              </w:rPr>
            </w:pPr>
          </w:p>
        </w:tc>
      </w:tr>
      <w:tr>
        <w:trPr>
          <w:trHeight w:val="209"/>
        </w:trPr>
        <w:tc>
          <w:tcPr>
            <w:tcW w:w="6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2024</w:t>
            </w:r>
          </w:p>
        </w:tc>
      </w:tr>
      <w:tr>
        <w:trPr>
          <w:trHeight w:val="203"/>
        </w:trPr>
        <w:tc>
          <w:tcPr>
            <w:tcW w:w="6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47"/>
        </w:trPr>
        <w:tc>
          <w:tcPr>
            <w:tcW w:w="6200" w:type="dxa"/>
            <w:vAlign w:val="bottom"/>
          </w:tcPr>
          <w:p>
            <w:pPr>
              <w:spacing w:after="0"/>
              <w:rPr>
                <w:sz w:val="20"/>
                <w:szCs w:val="20"/>
                <w:color w:val="auto"/>
              </w:rPr>
            </w:pPr>
            <w:r>
              <w:rPr>
                <w:rFonts w:ascii="Arial" w:cs="Arial" w:eastAsia="Arial" w:hAnsi="Arial"/>
                <w:sz w:val="18"/>
                <w:szCs w:val="18"/>
                <w:b w:val="1"/>
                <w:bCs w:val="1"/>
                <w:color w:val="004483"/>
              </w:rPr>
              <w:t>Net Earnings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423,809</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463,416</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477,639</w:t>
            </w:r>
          </w:p>
        </w:tc>
      </w:tr>
      <w:tr>
        <w:trPr>
          <w:trHeight w:val="37"/>
        </w:trPr>
        <w:tc>
          <w:tcPr>
            <w:tcW w:w="620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Net Actuarial Change in Defined Benefit Plans: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
        </w:trPr>
        <w:tc>
          <w:tcPr>
            <w:tcW w:w="620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45"/>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Unrealized Gain (Loss) During the Period, net of tax benefit</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7"/>
        </w:trPr>
        <w:tc>
          <w:tcPr>
            <w:tcW w:w="6200" w:type="dxa"/>
            <w:vAlign w:val="bottom"/>
          </w:tcPr>
          <w:p>
            <w:pPr>
              <w:ind w:left="260"/>
              <w:spacing w:after="0"/>
              <w:rPr>
                <w:sz w:val="20"/>
                <w:szCs w:val="20"/>
                <w:color w:val="auto"/>
              </w:rPr>
            </w:pPr>
            <w:r>
              <w:rPr>
                <w:rFonts w:ascii="Arial" w:cs="Arial" w:eastAsia="Arial" w:hAnsi="Arial"/>
                <w:sz w:val="18"/>
                <w:szCs w:val="18"/>
                <w:b w:val="1"/>
                <w:bCs w:val="1"/>
                <w:color w:val="004483"/>
              </w:rPr>
              <w:t>of $(463), $26, and $(24)</w:t>
            </w:r>
          </w:p>
        </w:tc>
        <w:tc>
          <w:tcPr>
            <w:tcW w:w="4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(1,438)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(53)</w:t>
            </w:r>
          </w:p>
        </w:tc>
      </w:tr>
      <w:tr>
        <w:trPr>
          <w:trHeight w:val="42"/>
        </w:trPr>
        <w:tc>
          <w:tcPr>
            <w:tcW w:w="620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45"/>
        </w:trPr>
        <w:tc>
          <w:tcPr>
            <w:tcW w:w="6200" w:type="dxa"/>
            <w:vAlign w:val="bottom"/>
          </w:tcPr>
          <w:p>
            <w:pPr>
              <w:ind w:left="120"/>
              <w:spacing w:after="0"/>
              <w:rPr>
                <w:sz w:val="20"/>
                <w:szCs w:val="20"/>
                <w:color w:val="auto"/>
              </w:rPr>
            </w:pPr>
            <w:r>
              <w:rPr>
                <w:rFonts w:ascii="Arial" w:cs="Arial" w:eastAsia="Arial" w:hAnsi="Arial"/>
                <w:sz w:val="18"/>
                <w:szCs w:val="18"/>
                <w:b w:val="1"/>
                <w:bCs w:val="1"/>
                <w:color w:val="004483"/>
              </w:rPr>
              <w:t>Amortization of Net Actuarial Gain, net of tax benefit</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7"/>
        </w:trPr>
        <w:tc>
          <w:tcPr>
            <w:tcW w:w="6200" w:type="dxa"/>
            <w:vAlign w:val="bottom"/>
          </w:tcPr>
          <w:p>
            <w:pPr>
              <w:ind w:left="260"/>
              <w:spacing w:after="0"/>
              <w:rPr>
                <w:sz w:val="20"/>
                <w:szCs w:val="20"/>
                <w:color w:val="auto"/>
              </w:rPr>
            </w:pPr>
            <w:r>
              <w:rPr>
                <w:rFonts w:ascii="Arial" w:cs="Arial" w:eastAsia="Arial" w:hAnsi="Arial"/>
                <w:sz w:val="18"/>
                <w:szCs w:val="18"/>
                <w:b w:val="1"/>
                <w:bCs w:val="1"/>
                <w:color w:val="004483"/>
              </w:rPr>
              <w:t>of $51, $63, and $59</w:t>
            </w:r>
          </w:p>
        </w:tc>
        <w:tc>
          <w:tcPr>
            <w:tcW w:w="40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192</w:t>
            </w:r>
          </w:p>
        </w:tc>
      </w:tr>
      <w:tr>
        <w:trPr>
          <w:trHeight w:val="69"/>
        </w:trPr>
        <w:tc>
          <w:tcPr>
            <w:tcW w:w="6200" w:type="dxa"/>
            <w:vAlign w:val="bottom"/>
            <w:tcBorders>
              <w:bottom w:val="single" w:sz="8" w:color="A6A6A6"/>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auto"/>
              </w:rPr>
              <w:t>Comprehensive Earnings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b w:val="1"/>
                <w:bCs w:val="1"/>
                <w:color w:val="auto"/>
              </w:rPr>
              <w:t>422,530</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b w:val="1"/>
                <w:bCs w:val="1"/>
                <w:color w:val="auto"/>
              </w:rPr>
              <w:t>463,664</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477,778</w:t>
            </w:r>
          </w:p>
        </w:tc>
      </w:tr>
      <w:tr>
        <w:trPr>
          <w:trHeight w:val="42"/>
        </w:trPr>
        <w:tc>
          <w:tcPr>
            <w:tcW w:w="62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EAGLE MATERIALS INC. AND SUBSIDIARIES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3"/>
        </w:trPr>
        <w:tc>
          <w:tcPr>
            <w:tcW w:w="7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color w:val="auto"/>
              </w:rPr>
              <w:t>(dollars in thousands)</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Current Assets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Cash and Cash Equivalents</w:t>
            </w:r>
          </w:p>
        </w:tc>
        <w:tc>
          <w:tcPr>
            <w:tcW w:w="500" w:type="dxa"/>
            <w:vAlign w:val="bottom"/>
            <w:tcBorders>
              <w:bottom w:val="single" w:sz="8" w:color="A6A6A6"/>
            </w:tcBorders>
          </w:tcPr>
          <w:p>
            <w:pPr>
              <w:jc w:val="right"/>
              <w:ind w:right="3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297,920</w:t>
            </w:r>
          </w:p>
        </w:tc>
        <w:tc>
          <w:tcPr>
            <w:tcW w:w="860" w:type="dxa"/>
            <w:vAlign w:val="bottom"/>
            <w:tcBorders>
              <w:bottom w:val="single" w:sz="8" w:color="A6A6A6"/>
            </w:tcBorders>
            <w:gridSpan w:val="2"/>
          </w:tcPr>
          <w:p>
            <w:pPr>
              <w:jc w:val="right"/>
              <w:ind w:right="60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20,401</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Accounts Receivable, net</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228,573</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212,332</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Inventories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408,391</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415,175</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Income Tax Receivable</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7,536</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10,020</w:t>
            </w:r>
          </w:p>
        </w:tc>
        <w:tc>
          <w:tcPr>
            <w:tcW w:w="0" w:type="dxa"/>
            <w:vAlign w:val="bottom"/>
          </w:tcPr>
          <w:p>
            <w:pPr>
              <w:spacing w:after="0"/>
              <w:rPr>
                <w:sz w:val="1"/>
                <w:szCs w:val="1"/>
                <w:color w:val="auto"/>
              </w:rPr>
            </w:pPr>
          </w:p>
        </w:tc>
      </w:tr>
      <w:tr>
        <w:trPr>
          <w:trHeight w:val="238"/>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Prepaid and Other Assets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8,469</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10,729</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Total Current Assets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950,889</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668,657</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Property, Plant, and Equipment, net</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2,064,622</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1,792,982</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Investment in Joint Venture</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160,078</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140,089</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Operating Lease Right-of-Use Assets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29,346</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29,313</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Goodwill and Intangible Assets, net</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585,443</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595,752</w:t>
            </w:r>
          </w:p>
        </w:tc>
        <w:tc>
          <w:tcPr>
            <w:tcW w:w="0" w:type="dxa"/>
            <w:vAlign w:val="bottom"/>
          </w:tcPr>
          <w:p>
            <w:pPr>
              <w:spacing w:after="0"/>
              <w:rPr>
                <w:sz w:val="1"/>
                <w:szCs w:val="1"/>
                <w:color w:val="auto"/>
              </w:rPr>
            </w:pPr>
          </w:p>
        </w:tc>
      </w:tr>
      <w:tr>
        <w:trPr>
          <w:trHeight w:val="238"/>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Other Assets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51,866</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37,795</w:t>
            </w:r>
          </w:p>
        </w:tc>
        <w:tc>
          <w:tcPr>
            <w:tcW w:w="0" w:type="dxa"/>
            <w:vAlign w:val="bottom"/>
          </w:tcPr>
          <w:p>
            <w:pPr>
              <w:spacing w:after="0"/>
              <w:rPr>
                <w:sz w:val="1"/>
                <w:szCs w:val="1"/>
                <w:color w:val="auto"/>
              </w:rPr>
            </w:pPr>
          </w:p>
        </w:tc>
      </w:tr>
      <w:tr>
        <w:trPr>
          <w:trHeight w:val="208"/>
        </w:trPr>
        <w:tc>
          <w:tcPr>
            <w:tcW w:w="75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500" w:type="dxa"/>
            <w:vAlign w:val="bottom"/>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48"/>
              <w:spacing w:after="0"/>
              <w:rPr>
                <w:sz w:val="20"/>
                <w:szCs w:val="20"/>
                <w:color w:val="auto"/>
              </w:rPr>
            </w:pPr>
            <w:r>
              <w:rPr>
                <w:rFonts w:ascii="Arial" w:cs="Arial" w:eastAsia="Arial" w:hAnsi="Arial"/>
                <w:sz w:val="14"/>
                <w:szCs w:val="14"/>
                <w:b w:val="1"/>
                <w:bCs w:val="1"/>
                <w:color w:val="auto"/>
              </w:rPr>
              <w:t>3,842,244</w:t>
            </w:r>
          </w:p>
        </w:tc>
        <w:tc>
          <w:tcPr>
            <w:tcW w:w="8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3,264,588</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6A6A6"/>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500" w:type="dxa"/>
            <w:vAlign w:val="bottom"/>
            <w:tcBorders>
              <w:bottom w:val="single" w:sz="8" w:color="A6A6A6"/>
            </w:tcBorders>
          </w:tcPr>
          <w:p>
            <w:pPr>
              <w:spacing w:after="0"/>
              <w:rPr>
                <w:sz w:val="17"/>
                <w:szCs w:val="17"/>
                <w:color w:val="auto"/>
              </w:rPr>
            </w:pPr>
          </w:p>
        </w:tc>
        <w:tc>
          <w:tcPr>
            <w:tcW w:w="128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Current Liabilities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Accounts Payable</w:t>
            </w:r>
          </w:p>
        </w:tc>
        <w:tc>
          <w:tcPr>
            <w:tcW w:w="500" w:type="dxa"/>
            <w:vAlign w:val="bottom"/>
            <w:tcBorders>
              <w:bottom w:val="single" w:sz="8" w:color="A6A6A6"/>
            </w:tcBorders>
          </w:tcPr>
          <w:p>
            <w:pPr>
              <w:jc w:val="right"/>
              <w:ind w:right="3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138,884</w:t>
            </w:r>
          </w:p>
        </w:tc>
        <w:tc>
          <w:tcPr>
            <w:tcW w:w="860" w:type="dxa"/>
            <w:vAlign w:val="bottom"/>
            <w:tcBorders>
              <w:bottom w:val="single" w:sz="8" w:color="A6A6A6"/>
            </w:tcBorders>
            <w:gridSpan w:val="2"/>
          </w:tcPr>
          <w:p>
            <w:pPr>
              <w:jc w:val="right"/>
              <w:ind w:right="60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129,895</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Accrued Liabilities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102,127</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96,077</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Operating Lease Liabilities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4,144</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4,032</w:t>
            </w:r>
          </w:p>
        </w:tc>
        <w:tc>
          <w:tcPr>
            <w:tcW w:w="0" w:type="dxa"/>
            <w:vAlign w:val="bottom"/>
          </w:tcPr>
          <w:p>
            <w:pPr>
              <w:spacing w:after="0"/>
              <w:rPr>
                <w:sz w:val="1"/>
                <w:szCs w:val="1"/>
                <w:color w:val="auto"/>
              </w:rPr>
            </w:pPr>
          </w:p>
        </w:tc>
      </w:tr>
      <w:tr>
        <w:trPr>
          <w:trHeight w:val="238"/>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Current Portion of Long-Term Debt</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15,000</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08"/>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Total Current Liabilities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260,155</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245,004</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Long-Term Debt</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1,745,081</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1,223,316</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Noncurrent Operating Lease Liabilities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32,559</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33,597</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Other Long-Term Liabilities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66,959</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66,029</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Deferred Income Taxes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262,662</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239,942</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Total Liabilities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2,367,416</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1,807,888</w:t>
            </w:r>
          </w:p>
        </w:tc>
        <w:tc>
          <w:tcPr>
            <w:tcW w:w="0" w:type="dxa"/>
            <w:vAlign w:val="bottom"/>
          </w:tcPr>
          <w:p>
            <w:pPr>
              <w:spacing w:after="0"/>
              <w:rPr>
                <w:sz w:val="1"/>
                <w:szCs w:val="1"/>
                <w:color w:val="auto"/>
              </w:rPr>
            </w:pPr>
          </w:p>
        </w:tc>
      </w:tr>
      <w:tr>
        <w:trPr>
          <w:trHeight w:val="208"/>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Stockholders’ Equity</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Preferred Stock, Par Value $0.01; Authorized 5,000,000 Shares; None Issued</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7500" w:type="dxa"/>
            <w:vAlign w:val="bottom"/>
          </w:tcPr>
          <w:p>
            <w:pPr>
              <w:spacing w:after="0"/>
              <w:rPr>
                <w:sz w:val="20"/>
                <w:szCs w:val="20"/>
                <w:color w:val="auto"/>
              </w:rPr>
            </w:pPr>
            <w:r>
              <w:rPr>
                <w:rFonts w:ascii="Arial" w:cs="Arial" w:eastAsia="Arial" w:hAnsi="Arial"/>
                <w:sz w:val="14"/>
                <w:szCs w:val="14"/>
                <w:b w:val="1"/>
                <w:bCs w:val="1"/>
                <w:color w:val="004483"/>
              </w:rPr>
              <w:t>Common Stock, Par Value $0.01; Authorized 100,000,000 Shares;</w:t>
            </w:r>
          </w:p>
        </w:tc>
        <w:tc>
          <w:tcPr>
            <w:tcW w:w="500" w:type="dxa"/>
            <w:vAlign w:val="bottom"/>
          </w:tcPr>
          <w:p>
            <w:pPr>
              <w:spacing w:after="0"/>
              <w:rPr>
                <w:sz w:val="15"/>
                <w:szCs w:val="15"/>
                <w:color w:val="auto"/>
              </w:rPr>
            </w:pPr>
          </w:p>
        </w:tc>
        <w:tc>
          <w:tcPr>
            <w:tcW w:w="1280" w:type="dxa"/>
            <w:vAlign w:val="bottom"/>
            <w:vMerge w:val="restart"/>
          </w:tcPr>
          <w:p>
            <w:pPr>
              <w:jc w:val="right"/>
              <w:ind w:right="148"/>
              <w:spacing w:after="0"/>
              <w:rPr>
                <w:sz w:val="20"/>
                <w:szCs w:val="20"/>
                <w:color w:val="auto"/>
              </w:rPr>
            </w:pPr>
            <w:r>
              <w:rPr>
                <w:rFonts w:ascii="Arial" w:cs="Arial" w:eastAsia="Arial" w:hAnsi="Arial"/>
                <w:sz w:val="14"/>
                <w:szCs w:val="14"/>
                <w:color w:val="auto"/>
              </w:rPr>
              <w:t>312</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09"/>
        </w:trPr>
        <w:tc>
          <w:tcPr>
            <w:tcW w:w="7500" w:type="dxa"/>
            <w:vAlign w:val="bottom"/>
            <w:vMerge w:val="restart"/>
          </w:tcPr>
          <w:p>
            <w:pPr>
              <w:ind w:left="120"/>
              <w:spacing w:after="0"/>
              <w:rPr>
                <w:sz w:val="20"/>
                <w:szCs w:val="20"/>
                <w:color w:val="auto"/>
              </w:rPr>
            </w:pPr>
            <w:r>
              <w:rPr>
                <w:rFonts w:ascii="Arial" w:cs="Arial" w:eastAsia="Arial" w:hAnsi="Arial"/>
                <w:sz w:val="14"/>
                <w:szCs w:val="14"/>
                <w:b w:val="1"/>
                <w:bCs w:val="1"/>
                <w:color w:val="004483"/>
              </w:rPr>
              <w:t>Issued and Outstanding 31,227,012 and 32,973,121 Shares, respectively</w:t>
            </w:r>
          </w:p>
        </w:tc>
        <w:tc>
          <w:tcPr>
            <w:tcW w:w="5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500" w:type="dxa"/>
            <w:vAlign w:val="bottom"/>
            <w:tcBorders>
              <w:bottom w:val="single" w:sz="8" w:color="A6A6A6"/>
            </w:tcBorders>
            <w:vMerge w:val="continue"/>
          </w:tcPr>
          <w:p>
            <w:pPr>
              <w:spacing w:after="0"/>
              <w:rPr>
                <w:sz w:val="7"/>
                <w:szCs w:val="7"/>
                <w:color w:val="auto"/>
              </w:rPr>
            </w:pPr>
          </w:p>
        </w:tc>
        <w:tc>
          <w:tcPr>
            <w:tcW w:w="500" w:type="dxa"/>
            <w:vAlign w:val="bottom"/>
            <w:tcBorders>
              <w:bottom w:val="single" w:sz="8" w:color="A6A6A6"/>
            </w:tcBorders>
          </w:tcPr>
          <w:p>
            <w:pPr>
              <w:spacing w:after="0"/>
              <w:rPr>
                <w:sz w:val="7"/>
                <w:szCs w:val="7"/>
                <w:color w:val="auto"/>
              </w:rPr>
            </w:pPr>
          </w:p>
        </w:tc>
        <w:tc>
          <w:tcPr>
            <w:tcW w:w="128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680" w:type="dxa"/>
            <w:vAlign w:val="bottom"/>
            <w:tcBorders>
              <w:bottom w:val="single" w:sz="8" w:color="A6A6A6"/>
            </w:tcBorders>
          </w:tcPr>
          <w:p>
            <w:pPr>
              <w:spacing w:after="0"/>
              <w:rPr>
                <w:sz w:val="7"/>
                <w:szCs w:val="7"/>
                <w:color w:val="auto"/>
              </w:rPr>
            </w:pPr>
          </w:p>
        </w:tc>
        <w:tc>
          <w:tcPr>
            <w:tcW w:w="110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Capital in Excess of Par Value</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Accumulated Other Comprehensive Losses</w:t>
            </w:r>
          </w:p>
        </w:tc>
        <w:tc>
          <w:tcPr>
            <w:tcW w:w="5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jc w:val="right"/>
              <w:ind w:right="88"/>
              <w:spacing w:after="0"/>
              <w:rPr>
                <w:sz w:val="20"/>
                <w:szCs w:val="20"/>
                <w:color w:val="auto"/>
              </w:rPr>
            </w:pPr>
            <w:r>
              <w:rPr>
                <w:rFonts w:ascii="Arial" w:cs="Arial" w:eastAsia="Arial" w:hAnsi="Arial"/>
                <w:sz w:val="14"/>
                <w:szCs w:val="14"/>
                <w:color w:val="auto"/>
              </w:rPr>
              <w:t>(4,404)</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ind w:right="88"/>
              <w:spacing w:after="0"/>
              <w:rPr>
                <w:sz w:val="20"/>
                <w:szCs w:val="20"/>
                <w:color w:val="auto"/>
              </w:rPr>
            </w:pPr>
            <w:r>
              <w:rPr>
                <w:rFonts w:ascii="Arial" w:cs="Arial" w:eastAsia="Arial" w:hAnsi="Arial"/>
                <w:sz w:val="14"/>
                <w:szCs w:val="14"/>
                <w:color w:val="auto"/>
              </w:rPr>
              <w:t>(3,125)</w:t>
            </w:r>
          </w:p>
        </w:tc>
        <w:tc>
          <w:tcPr>
            <w:tcW w:w="0" w:type="dxa"/>
            <w:vAlign w:val="bottom"/>
          </w:tcPr>
          <w:p>
            <w:pPr>
              <w:spacing w:after="0"/>
              <w:rPr>
                <w:sz w:val="1"/>
                <w:szCs w:val="1"/>
                <w:color w:val="auto"/>
              </w:rPr>
            </w:pPr>
          </w:p>
        </w:tc>
      </w:tr>
      <w:tr>
        <w:trPr>
          <w:trHeight w:val="238"/>
        </w:trPr>
        <w:tc>
          <w:tcPr>
            <w:tcW w:w="7500" w:type="dxa"/>
            <w:vAlign w:val="bottom"/>
            <w:tcBorders>
              <w:bottom w:val="single" w:sz="8" w:color="A6A6A6"/>
            </w:tcBorders>
          </w:tcPr>
          <w:p>
            <w:pPr>
              <w:spacing w:after="0"/>
              <w:rPr>
                <w:sz w:val="20"/>
                <w:szCs w:val="20"/>
                <w:color w:val="auto"/>
              </w:rPr>
            </w:pPr>
            <w:r>
              <w:rPr>
                <w:rFonts w:ascii="Arial" w:cs="Arial" w:eastAsia="Arial" w:hAnsi="Arial"/>
                <w:sz w:val="14"/>
                <w:szCs w:val="14"/>
                <w:b w:val="1"/>
                <w:bCs w:val="1"/>
                <w:color w:val="004483"/>
              </w:rPr>
              <w:t>Retained Earnings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1,478,920</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1,459,495</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4"/>
                <w:szCs w:val="14"/>
                <w:b w:val="1"/>
                <w:bCs w:val="1"/>
                <w:color w:val="auto"/>
              </w:rPr>
              <w:t>Total Stockholders’ Equity</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1,474,828</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1,456,700</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18"/>
                <w:szCs w:val="18"/>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Pr>
          <w:p>
            <w:pPr>
              <w:jc w:val="right"/>
              <w:ind w:right="148"/>
              <w:spacing w:after="0"/>
              <w:rPr>
                <w:sz w:val="20"/>
                <w:szCs w:val="20"/>
                <w:color w:val="auto"/>
              </w:rPr>
            </w:pPr>
            <w:r>
              <w:rPr>
                <w:rFonts w:ascii="Arial" w:cs="Arial" w:eastAsia="Arial" w:hAnsi="Arial"/>
                <w:sz w:val="14"/>
                <w:szCs w:val="14"/>
                <w:b w:val="1"/>
                <w:bCs w:val="1"/>
                <w:color w:val="auto"/>
              </w:rPr>
              <w:t>3,842,244</w:t>
            </w:r>
          </w:p>
        </w:tc>
        <w:tc>
          <w:tcPr>
            <w:tcW w:w="8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3,264,588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7"/>
              </w:rPr>
              <w:t>For the Years Ended March 31,</w:t>
            </w: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5"/>
        </w:trPr>
        <w:tc>
          <w:tcPr>
            <w:tcW w:w="5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2026</w:t>
            </w:r>
          </w:p>
        </w:tc>
        <w:tc>
          <w:tcPr>
            <w:tcW w:w="1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3"/>
                <w:szCs w:val="13"/>
                <w:color w:val="auto"/>
              </w:rPr>
            </w:pPr>
          </w:p>
        </w:tc>
      </w:tr>
      <w:tr>
        <w:trPr>
          <w:trHeight w:val="176"/>
        </w:trPr>
        <w:tc>
          <w:tcPr>
            <w:tcW w:w="5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3"/>
                <w:szCs w:val="13"/>
                <w:color w:val="auto"/>
                <w:w w:val="99"/>
              </w:rPr>
              <w:t>(dollars in thousands)</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83"/>
        </w:trPr>
        <w:tc>
          <w:tcPr>
            <w:tcW w:w="5340" w:type="dxa"/>
            <w:vAlign w:val="bottom"/>
            <w:tcBorders>
              <w:bottom w:val="single" w:sz="8" w:color="A6A6A6"/>
            </w:tcBorders>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6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r>
      <w:tr>
        <w:trPr>
          <w:trHeight w:val="194"/>
        </w:trPr>
        <w:tc>
          <w:tcPr>
            <w:tcW w:w="5340" w:type="dxa"/>
            <w:vAlign w:val="bottom"/>
          </w:tcPr>
          <w:p>
            <w:pPr>
              <w:spacing w:after="0"/>
              <w:rPr>
                <w:sz w:val="20"/>
                <w:szCs w:val="20"/>
                <w:color w:val="auto"/>
              </w:rPr>
            </w:pPr>
            <w:r>
              <w:rPr>
                <w:rFonts w:ascii="Arial" w:cs="Arial" w:eastAsia="Arial" w:hAnsi="Arial"/>
                <w:sz w:val="13"/>
                <w:szCs w:val="13"/>
                <w:b w:val="1"/>
                <w:bCs w:val="1"/>
                <w:color w:val="004483"/>
              </w:rPr>
              <w:t>Net Earnings</w:t>
            </w:r>
          </w:p>
        </w:tc>
        <w:tc>
          <w:tcPr>
            <w:tcW w:w="15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423,809</w:t>
            </w:r>
          </w:p>
        </w:tc>
        <w:tc>
          <w:tcPr>
            <w:tcW w:w="720" w:type="dxa"/>
            <w:vAlign w:val="bottom"/>
            <w:gridSpan w:val="3"/>
          </w:tcPr>
          <w:p>
            <w:pPr>
              <w:jc w:val="right"/>
              <w:ind w:right="27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463,416</w:t>
            </w:r>
          </w:p>
        </w:tc>
        <w:tc>
          <w:tcPr>
            <w:tcW w:w="120" w:type="dxa"/>
            <w:vAlign w:val="bottom"/>
          </w:tcPr>
          <w:p>
            <w:pPr>
              <w:spacing w:after="0"/>
              <w:rPr>
                <w:sz w:val="16"/>
                <w:szCs w:val="16"/>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477,639</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51"/>
        </w:trPr>
        <w:tc>
          <w:tcPr>
            <w:tcW w:w="5340" w:type="dxa"/>
            <w:vAlign w:val="bottom"/>
          </w:tcPr>
          <w:p>
            <w:pPr>
              <w:spacing w:after="0"/>
              <w:rPr>
                <w:sz w:val="20"/>
                <w:szCs w:val="20"/>
                <w:color w:val="auto"/>
              </w:rPr>
            </w:pPr>
            <w:r>
              <w:rPr>
                <w:rFonts w:ascii="Arial" w:cs="Arial" w:eastAsia="Arial" w:hAnsi="Arial"/>
                <w:sz w:val="13"/>
                <w:szCs w:val="13"/>
                <w:b w:val="1"/>
                <w:bCs w:val="1"/>
                <w:color w:val="004483"/>
              </w:rPr>
              <w:t>Adjustments to Reconcile Net Earnings to Net Cash Provided</w:t>
            </w: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2"/>
        </w:trPr>
        <w:tc>
          <w:tcPr>
            <w:tcW w:w="5340" w:type="dxa"/>
            <w:vAlign w:val="bottom"/>
          </w:tcPr>
          <w:p>
            <w:pPr>
              <w:spacing w:after="0"/>
              <w:rPr>
                <w:sz w:val="20"/>
                <w:szCs w:val="20"/>
                <w:color w:val="auto"/>
              </w:rPr>
            </w:pPr>
            <w:r>
              <w:rPr>
                <w:rFonts w:ascii="Arial" w:cs="Arial" w:eastAsia="Arial" w:hAnsi="Arial"/>
                <w:sz w:val="13"/>
                <w:szCs w:val="13"/>
                <w:b w:val="1"/>
                <w:bCs w:val="1"/>
                <w:color w:val="004483"/>
              </w:rPr>
              <w:t>by Operating Activities, Net of Effect of Non-Cash Activity:</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Depreciation, Depletion, and Amortization</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164,746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158,902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149,832</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Deferred Income Tax Provision</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22,720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7,953</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Stock Compensation Expense</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21,266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18,743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19,900</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Equity in Earnings of Unconsolidated Joint Venture</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(19,989)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(26,396)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(31,581)</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200" w:type="dxa"/>
            <w:vAlign w:val="bottom"/>
            <w:tcBorders>
              <w:bottom w:val="single" w:sz="8" w:color="A6A6A6"/>
            </w:tcBorders>
            <w:gridSpan w:val="2"/>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Distributions from Joint Venture</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7,000</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Changes in Operating Assets and Liabilities: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Accounts Receivable</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(16,241)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(7,904)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Inventories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6,784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(36,832)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(67,232)</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Accounts Payable and Accrued Liabilities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8,795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874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13,794</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Other Assets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(16,747)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(20,468)</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Income Taxes Receivable</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2,822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(653)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7,652</w:t>
            </w:r>
          </w:p>
        </w:tc>
        <w:tc>
          <w:tcPr>
            <w:tcW w:w="100" w:type="dxa"/>
            <w:vAlign w:val="bottom"/>
          </w:tcPr>
          <w:p>
            <w:pPr>
              <w:spacing w:after="0"/>
              <w:rPr>
                <w:sz w:val="16"/>
                <w:szCs w:val="16"/>
                <w:color w:val="auto"/>
              </w:rPr>
            </w:pPr>
          </w:p>
        </w:tc>
      </w:tr>
      <w:tr>
        <w:trPr>
          <w:trHeight w:val="49"/>
        </w:trPr>
        <w:tc>
          <w:tcPr>
            <w:tcW w:w="53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Net Cash Provided by Operating Activities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614,166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548,548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563,938</w:t>
            </w:r>
          </w:p>
        </w:tc>
        <w:tc>
          <w:tcPr>
            <w:tcW w:w="100" w:type="dxa"/>
            <w:vAlign w:val="bottom"/>
          </w:tcPr>
          <w:p>
            <w:pPr>
              <w:spacing w:after="0"/>
              <w:rPr>
                <w:sz w:val="16"/>
                <w:szCs w:val="16"/>
                <w:color w:val="auto"/>
              </w:rPr>
            </w:pPr>
          </w:p>
        </w:tc>
      </w:tr>
      <w:tr>
        <w:trPr>
          <w:trHeight w:val="48"/>
        </w:trPr>
        <w:tc>
          <w:tcPr>
            <w:tcW w:w="53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Additions to Property, Plant, and Equipment</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(416,739)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(195,281)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(120,305)</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200" w:type="dxa"/>
            <w:vAlign w:val="bottom"/>
            <w:tcBorders>
              <w:bottom w:val="single" w:sz="8" w:color="A6A6A6"/>
            </w:tcBorders>
            <w:gridSpan w:val="2"/>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Minority Investment</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Acquisition Spending</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(174,850)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(55,053)</w:t>
            </w:r>
          </w:p>
        </w:tc>
        <w:tc>
          <w:tcPr>
            <w:tcW w:w="100" w:type="dxa"/>
            <w:vAlign w:val="bottom"/>
          </w:tcPr>
          <w:p>
            <w:pPr>
              <w:spacing w:after="0"/>
              <w:rPr>
                <w:sz w:val="16"/>
                <w:szCs w:val="16"/>
                <w:color w:val="auto"/>
              </w:rPr>
            </w:pPr>
          </w:p>
        </w:tc>
      </w:tr>
      <w:tr>
        <w:trPr>
          <w:trHeight w:val="49"/>
        </w:trPr>
        <w:tc>
          <w:tcPr>
            <w:tcW w:w="53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Net Cash Used in Investing Activities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(431,739)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(370,131)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(175,358)</w:t>
            </w:r>
          </w:p>
        </w:tc>
        <w:tc>
          <w:tcPr>
            <w:tcW w:w="100" w:type="dxa"/>
            <w:vAlign w:val="bottom"/>
          </w:tcPr>
          <w:p>
            <w:pPr>
              <w:spacing w:after="0"/>
              <w:rPr>
                <w:sz w:val="16"/>
                <w:szCs w:val="16"/>
                <w:color w:val="auto"/>
              </w:rPr>
            </w:pPr>
          </w:p>
        </w:tc>
      </w:tr>
      <w:tr>
        <w:trPr>
          <w:trHeight w:val="49"/>
        </w:trPr>
        <w:tc>
          <w:tcPr>
            <w:tcW w:w="53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Borrowings Under Revolving Credit Facility</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145,000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335,000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13,000</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Repayment of Borrowings Under Revolving Credit Facility</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(305,000)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Borrowings Under Term Loan</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125,000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Repayment of Term Loan</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(11,250)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200" w:type="dxa"/>
            <w:vAlign w:val="bottom"/>
            <w:tcBorders>
              <w:bottom w:val="single" w:sz="8" w:color="A6A6A6"/>
            </w:tcBorders>
            <w:gridSpan w:val="2"/>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Proceeds from Issuance of 5.000% Senior Notes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741,772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Dividends Paid to Stockholders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(32,385)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(33,722)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(35,298)</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Purchase and Retirement of Common Stock</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(381,809)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(298,286)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(343,274)</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gridSpan w:val="2"/>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Payment of Excise Tax on Purchases and Retirement of Common Stock</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(2,587)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(3,331)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Proceeds from Stock Option Exercises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535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6,380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17,098</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gridSpan w:val="2"/>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Payment of Debt Issuance Costs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(6,851)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(1,834)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Shares Redeemed to Settle Employee Taxes on Stock Compensation</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(8,583)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(5,898)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(10,423)</w:t>
            </w:r>
          </w:p>
        </w:tc>
        <w:tc>
          <w:tcPr>
            <w:tcW w:w="100" w:type="dxa"/>
            <w:vAlign w:val="bottom"/>
          </w:tcPr>
          <w:p>
            <w:pPr>
              <w:spacing w:after="0"/>
              <w:rPr>
                <w:sz w:val="16"/>
                <w:szCs w:val="16"/>
                <w:color w:val="auto"/>
              </w:rPr>
            </w:pPr>
          </w:p>
        </w:tc>
      </w:tr>
      <w:tr>
        <w:trPr>
          <w:trHeight w:val="49"/>
        </w:trPr>
        <w:tc>
          <w:tcPr>
            <w:tcW w:w="53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004483"/>
              </w:rPr>
              <w:t>Net Cash Provided by (Used in) Financing Activities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95,092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(192,941)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(368,897)</w:t>
            </w:r>
          </w:p>
        </w:tc>
        <w:tc>
          <w:tcPr>
            <w:tcW w:w="100" w:type="dxa"/>
            <w:vAlign w:val="bottom"/>
          </w:tcPr>
          <w:p>
            <w:pPr>
              <w:spacing w:after="0"/>
              <w:rPr>
                <w:sz w:val="16"/>
                <w:szCs w:val="16"/>
                <w:color w:val="auto"/>
              </w:rPr>
            </w:pPr>
          </w:p>
        </w:tc>
      </w:tr>
      <w:tr>
        <w:trPr>
          <w:trHeight w:val="49"/>
        </w:trPr>
        <w:tc>
          <w:tcPr>
            <w:tcW w:w="53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277,519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(14,524)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19,683</w:t>
            </w:r>
          </w:p>
        </w:tc>
        <w:tc>
          <w:tcPr>
            <w:tcW w:w="100" w:type="dxa"/>
            <w:vAlign w:val="bottom"/>
          </w:tcPr>
          <w:p>
            <w:pPr>
              <w:spacing w:after="0"/>
              <w:rPr>
                <w:sz w:val="16"/>
                <w:szCs w:val="16"/>
                <w:color w:val="auto"/>
              </w:rPr>
            </w:pPr>
          </w:p>
        </w:tc>
      </w:tr>
      <w:tr>
        <w:trPr>
          <w:trHeight w:val="22"/>
        </w:trPr>
        <w:tc>
          <w:tcPr>
            <w:tcW w:w="53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20,401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34,925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15,242</w:t>
            </w:r>
          </w:p>
        </w:tc>
        <w:tc>
          <w:tcPr>
            <w:tcW w:w="100" w:type="dxa"/>
            <w:vAlign w:val="bottom"/>
          </w:tcPr>
          <w:p>
            <w:pPr>
              <w:spacing w:after="0"/>
              <w:rPr>
                <w:sz w:val="16"/>
                <w:szCs w:val="16"/>
                <w:color w:val="auto"/>
              </w:rPr>
            </w:pPr>
          </w:p>
        </w:tc>
      </w:tr>
      <w:tr>
        <w:trPr>
          <w:trHeight w:val="49"/>
        </w:trPr>
        <w:tc>
          <w:tcPr>
            <w:tcW w:w="53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15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297,920</w:t>
            </w:r>
          </w:p>
        </w:tc>
        <w:tc>
          <w:tcPr>
            <w:tcW w:w="720" w:type="dxa"/>
            <w:vAlign w:val="bottom"/>
            <w:gridSpan w:val="3"/>
          </w:tcPr>
          <w:p>
            <w:pPr>
              <w:jc w:val="right"/>
              <w:ind w:right="27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20,401</w:t>
            </w:r>
          </w:p>
        </w:tc>
        <w:tc>
          <w:tcPr>
            <w:tcW w:w="120" w:type="dxa"/>
            <w:vAlign w:val="bottom"/>
          </w:tcPr>
          <w:p>
            <w:pPr>
              <w:spacing w:after="0"/>
              <w:rPr>
                <w:sz w:val="16"/>
                <w:szCs w:val="16"/>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rPr>
              <w:t>34,925</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13970</wp:posOffset>
            </wp:positionV>
            <wp:extent cx="3077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-128905</wp:posOffset>
            </wp:positionV>
            <wp:extent cx="3077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Capital 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Common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Excess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1"/>
        </w:trPr>
        <w:tc>
          <w:tcPr>
            <w:tcW w:w="4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Par Value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205"/>
        </w:trPr>
        <w:tc>
          <w:tcPr>
            <w:tcW w:w="4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1339"/>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March 31, 2023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358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1,188,883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(3,547)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1,185,694</w:t>
            </w:r>
          </w:p>
        </w:tc>
      </w:tr>
      <w:tr>
        <w:trPr>
          <w:trHeight w:val="20"/>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Net Earnings</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477,639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477,639</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Option Exercises and Restricted Share Vesting</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17,096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17,098</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Compensation Expense</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19,900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19,900</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Shares Redeemed to Settle Employee Taxes</w:t>
            </w:r>
          </w:p>
        </w:tc>
        <w:tc>
          <w:tcPr>
            <w:tcW w:w="14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(10,422)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(10,423)</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Purchase and Retirement of Common Stock</w:t>
            </w:r>
          </w:p>
        </w:tc>
        <w:tc>
          <w:tcPr>
            <w:tcW w:w="14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(26,574)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(320,114)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(346,706)</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Dividends to Stockholders</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(34,841)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(34,841)</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Unfunded Pension Liability, net of tax</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174</w:t>
            </w:r>
          </w:p>
        </w:tc>
      </w:tr>
      <w:tr>
        <w:trPr>
          <w:trHeight w:val="48"/>
        </w:trPr>
        <w:tc>
          <w:tcPr>
            <w:tcW w:w="4360" w:type="dxa"/>
            <w:vAlign w:val="bottom"/>
            <w:tcBorders>
              <w:bottom w:val="single" w:sz="8" w:color="A6A6A6"/>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March 31, 2024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341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1,311,567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(3,373)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1,308,535</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Net Earnings</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463,416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463,416</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Option Exercises and Restricted Share Vesting</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6,379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6,380</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Compensation Expense</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18,743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18,743</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Shares Redeemed to Settle Employee Taxes</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(5,898)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(5,898)</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Purchase and Retirement of Common Stock</w:t>
            </w:r>
          </w:p>
        </w:tc>
        <w:tc>
          <w:tcPr>
            <w:tcW w:w="14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(19,224)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(282,032)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(301,268)</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Dividends to Stockholders</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(33,456)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(33,456)</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2"/>
        </w:trPr>
        <w:tc>
          <w:tcPr>
            <w:tcW w:w="4360" w:type="dxa"/>
            <w:vAlign w:val="bottom"/>
          </w:tcPr>
          <w:p>
            <w:pPr>
              <w:spacing w:after="0"/>
              <w:rPr>
                <w:sz w:val="20"/>
                <w:szCs w:val="20"/>
                <w:color w:val="auto"/>
              </w:rPr>
            </w:pPr>
            <w:r>
              <w:rPr>
                <w:rFonts w:ascii="Arial" w:cs="Arial" w:eastAsia="Arial" w:hAnsi="Arial"/>
                <w:sz w:val="16"/>
                <w:szCs w:val="16"/>
                <w:b w:val="1"/>
                <w:bCs w:val="1"/>
                <w:color w:val="004483"/>
              </w:rPr>
              <w:t>Unfunded Pension Liability, net of tax</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248</w:t>
            </w:r>
          </w:p>
        </w:tc>
      </w:tr>
      <w:tr>
        <w:trPr>
          <w:trHeight w:val="48"/>
        </w:trPr>
        <w:tc>
          <w:tcPr>
            <w:tcW w:w="4360" w:type="dxa"/>
            <w:vAlign w:val="bottom"/>
            <w:tcBorders>
              <w:bottom w:val="single" w:sz="8" w:color="A6A6A6"/>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March 31, 2025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330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1,459,495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(3,125)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1,456,700</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Net Earnings</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423,809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423,809</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Option Exercises and Restricted Share Vesting</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535</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Stock Compensation Expense</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21,266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21,266</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Shares Redeemed to Settle Employee Taxes</w:t>
            </w:r>
          </w:p>
        </w:tc>
        <w:tc>
          <w:tcPr>
            <w:tcW w:w="14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(10,769)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(8,583)</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Purchase and Retirement of Common Stock</w:t>
            </w:r>
          </w:p>
        </w:tc>
        <w:tc>
          <w:tcPr>
            <w:tcW w:w="14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(11,032)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(374,587)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(385,636)</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Dividends to Stockholders</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(31,984)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(31,984)</w:t>
            </w:r>
          </w:p>
        </w:tc>
      </w:tr>
      <w:tr>
        <w:trPr>
          <w:trHeight w:val="21"/>
        </w:trPr>
        <w:tc>
          <w:tcPr>
            <w:tcW w:w="436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004483"/>
              </w:rPr>
              <w:t>Unfunded Pension Liability, net of tax</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(1,279)</w:t>
            </w:r>
          </w:p>
        </w:tc>
      </w:tr>
      <w:tr>
        <w:trPr>
          <w:trHeight w:val="48"/>
        </w:trPr>
        <w:tc>
          <w:tcPr>
            <w:tcW w:w="4360" w:type="dxa"/>
            <w:vAlign w:val="bottom"/>
            <w:tcBorders>
              <w:bottom w:val="single" w:sz="8" w:color="A6A6A6"/>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March 31, 2026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312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1,478,920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(4,404)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1,474,828</w:t>
            </w:r>
          </w:p>
        </w:tc>
      </w:tr>
      <w:tr>
        <w:trPr>
          <w:trHeight w:val="21"/>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7" w:name="page78"/>
    <w:bookmarkEnd w:id="77"/>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right="7260" w:firstLine="8"/>
        <w:spacing w:after="0" w:line="340" w:lineRule="auto"/>
        <w:tabs>
          <w:tab w:leader="none" w:pos="330" w:val="left"/>
        </w:tabs>
        <w:numPr>
          <w:ilvl w:val="0"/>
          <w:numId w:val="29"/>
        </w:numPr>
        <w:rPr>
          <w:rFonts w:ascii="Arial" w:cs="Arial" w:eastAsia="Arial" w:hAnsi="Arial"/>
          <w:sz w:val="20"/>
          <w:szCs w:val="20"/>
          <w:b w:val="1"/>
          <w:bCs w:val="1"/>
          <w:color w:val="004483"/>
        </w:rPr>
      </w:pPr>
      <w:r>
        <w:rPr>
          <w:rFonts w:ascii="Arial" w:cs="Arial" w:eastAsia="Arial" w:hAnsi="Arial"/>
          <w:sz w:val="20"/>
          <w:szCs w:val="20"/>
          <w:b w:val="1"/>
          <w:bCs w:val="1"/>
          <w:color w:val="004483"/>
        </w:rPr>
        <w:t xml:space="preserve">SIGNIFICANT ACCOUNTING POLICIES </w:t>
      </w:r>
      <w:r>
        <w:rPr>
          <w:rFonts w:ascii="Arial" w:cs="Arial" w:eastAsia="Arial" w:hAnsi="Arial"/>
          <w:sz w:val="20"/>
          <w:szCs w:val="20"/>
          <w:b w:val="1"/>
          <w:bCs w:val="1"/>
          <w:u w:val="single" w:color="auto"/>
          <w:color w:val="004483"/>
        </w:rPr>
        <w:t>Basis of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the accounts of Eagle Materials Inc. and its majority-owned subsidiaries (the Company), which may be referred to as we, our, or us. All intercompany balances and transactions have been eliminated. The Company is a holding company whose assets consist of its investments in its subsidiaries, a joint venture, intercompany balances, and holdings of cash and cash equivalents. The businesses of the consolidated group are conducted through the Company’s subsidiaries. The Company conducts one of its cement plant operations through a joint venture, Texas Lehigh Cement Company L.P., which is located in Buda, Texas (the Joint Venture). Our investment in the Joint Venture is accounted for using the equity method of accounting, and those results have been included for the same period as our March 31 fiscal year end.</w:t>
      </w:r>
    </w:p>
    <w:p>
      <w:pPr>
        <w:spacing w:after="0" w:line="7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and Cash Equivalents</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Cash Equivalents include short-term, highly liquid investments with original maturities of three months or less and are recorded at cost, which approximates market value.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Accounts Receivable</w:t>
      </w:r>
    </w:p>
    <w:p>
      <w:pPr>
        <w:spacing w:after="0" w:line="9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Accounts Receivable have been shown net of the allowance for doubtful accounts of $6.3 million and $6.4 million at March 31, 2026, and 2025, respectively. We perform ongoing credit evaluations of our customers’ financial condition and generally require no collateral from our customers. The allowance for non-collection of receivables is based on our assessment of the collectability of outstanding Accounts Receivable, and includes a provision for probable losses based on historical write-offs, adjusted for current economic trends in the construction industry, and a specific reserve for accounts deemed at risk. We have no significant credit risk concentration among our diversified customer bases. Bad debt expense was approximately $0.8 million, $0.2 million, and $0.3 million for the fiscal years ended March 31, 2026, 2025, and 2024, respectively. Write-offs of Accounts Receivable were approximately $0.9 million, $0.6 million, and $0.6 million for the fiscal years ended March 31, 2026, 2025, and 2024, respectively.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Inventories</w:t>
      </w:r>
    </w:p>
    <w:p>
      <w:pPr>
        <w:spacing w:after="0" w:line="99"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then converted to tonnage using standard inventory density factors. Inventories consist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r>
      <w:tr>
        <w:trPr>
          <w:trHeight w:val="209"/>
        </w:trPr>
        <w:tc>
          <w:tcPr>
            <w:tcW w:w="78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2025</w:t>
            </w:r>
          </w:p>
        </w:tc>
      </w:tr>
      <w:tr>
        <w:trPr>
          <w:trHeight w:val="203"/>
        </w:trPr>
        <w:tc>
          <w:tcPr>
            <w:tcW w:w="7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(dollars in thousands)</w:t>
            </w:r>
          </w:p>
        </w:tc>
        <w:tc>
          <w:tcPr>
            <w:tcW w:w="920" w:type="dxa"/>
            <w:vAlign w:val="bottom"/>
            <w:tcBorders>
              <w:bottom w:val="single" w:sz="8" w:color="auto"/>
            </w:tcBorders>
          </w:tcPr>
          <w:p>
            <w:pPr>
              <w:spacing w:after="0"/>
              <w:rPr>
                <w:sz w:val="17"/>
                <w:szCs w:val="17"/>
                <w:color w:val="auto"/>
              </w:rPr>
            </w:pPr>
          </w:p>
        </w:tc>
      </w:tr>
      <w:tr>
        <w:trPr>
          <w:trHeight w:val="295"/>
        </w:trPr>
        <w:tc>
          <w:tcPr>
            <w:tcW w:w="7860" w:type="dxa"/>
            <w:vAlign w:val="bottom"/>
          </w:tcPr>
          <w:p>
            <w:pPr>
              <w:spacing w:after="0"/>
              <w:rPr>
                <w:sz w:val="20"/>
                <w:szCs w:val="20"/>
                <w:color w:val="auto"/>
              </w:rPr>
            </w:pPr>
            <w:r>
              <w:rPr>
                <w:rFonts w:ascii="Arial" w:cs="Arial" w:eastAsia="Arial" w:hAnsi="Arial"/>
                <w:sz w:val="18"/>
                <w:szCs w:val="18"/>
                <w:b w:val="1"/>
                <w:bCs w:val="1"/>
                <w:color w:val="004483"/>
              </w:rPr>
              <w:t>Raw Materials and Materials-in-Progress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158,829</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164,683</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386191"/>
              </w:rPr>
              <w:t>Finished Cement</w:t>
            </w:r>
          </w:p>
        </w:tc>
        <w:tc>
          <w:tcPr>
            <w:tcW w:w="46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63,293</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67,711</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00AAC6"/>
              </w:rPr>
              <w:t>Aggregates</w:t>
            </w:r>
          </w:p>
        </w:tc>
        <w:tc>
          <w:tcPr>
            <w:tcW w:w="46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16,073</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17,681</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77943C"/>
              </w:rPr>
              <w:t>Gypsum Wallboard</w:t>
            </w:r>
          </w:p>
        </w:tc>
        <w:tc>
          <w:tcPr>
            <w:tcW w:w="46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4,809</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5,708</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85B271"/>
              </w:rPr>
              <w:t>Recycled Paperboard</w:t>
            </w:r>
          </w:p>
        </w:tc>
        <w:tc>
          <w:tcPr>
            <w:tcW w:w="46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10,675</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7,814</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004483"/>
              </w:rPr>
              <w:t>Repair Parts and Supplies</w:t>
            </w:r>
          </w:p>
        </w:tc>
        <w:tc>
          <w:tcPr>
            <w:tcW w:w="46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135,110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126,983</w:t>
            </w:r>
          </w:p>
        </w:tc>
      </w:tr>
      <w:tr>
        <w:trPr>
          <w:trHeight w:val="42"/>
        </w:trPr>
        <w:tc>
          <w:tcPr>
            <w:tcW w:w="78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8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r>
      <w:tr>
        <w:trPr>
          <w:trHeight w:val="289"/>
        </w:trPr>
        <w:tc>
          <w:tcPr>
            <w:tcW w:w="7860" w:type="dxa"/>
            <w:vAlign w:val="bottom"/>
          </w:tcPr>
          <w:p>
            <w:pPr>
              <w:spacing w:after="0"/>
              <w:rPr>
                <w:sz w:val="20"/>
                <w:szCs w:val="20"/>
                <w:color w:val="auto"/>
              </w:rPr>
            </w:pPr>
            <w:r>
              <w:rPr>
                <w:rFonts w:ascii="Arial" w:cs="Arial" w:eastAsia="Arial" w:hAnsi="Arial"/>
                <w:sz w:val="18"/>
                <w:szCs w:val="18"/>
                <w:b w:val="1"/>
                <w:bCs w:val="1"/>
                <w:color w:val="004483"/>
              </w:rPr>
              <w:t>Fuel and Coal</w:t>
            </w:r>
          </w:p>
        </w:tc>
        <w:tc>
          <w:tcPr>
            <w:tcW w:w="46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19,602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24,595</w:t>
            </w:r>
          </w:p>
        </w:tc>
      </w:tr>
      <w:tr>
        <w:trPr>
          <w:trHeight w:val="69"/>
        </w:trPr>
        <w:tc>
          <w:tcPr>
            <w:tcW w:w="7860" w:type="dxa"/>
            <w:vAlign w:val="bottom"/>
            <w:tcBorders>
              <w:bottom w:val="single" w:sz="8" w:color="A6A6A6"/>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89"/>
        </w:trPr>
        <w:tc>
          <w:tcPr>
            <w:tcW w:w="786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408,391</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415,175</w:t>
            </w:r>
          </w:p>
        </w:tc>
      </w:tr>
      <w:tr>
        <w:trPr>
          <w:trHeight w:val="42"/>
        </w:trPr>
        <w:tc>
          <w:tcPr>
            <w:tcW w:w="78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
        </w:trPr>
        <w:tc>
          <w:tcPr>
            <w:tcW w:w="7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Property, Plant, and Equipment</w:t>
      </w:r>
    </w:p>
    <w:p>
      <w:pPr>
        <w:spacing w:after="0" w:line="9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Property, Plant, and Equipment are stated at cost. Major renewals and improvements are capitalized and depreciated. Annual maintenance is expensed as incurred. Depreciation is provided on a straight-line basis over the estimated useful lives of depreciable assets and totaled $149.5 million, $147.6 million, and $139.5 million, for the fiscal years ended March 31, 2026, 2025, and 2024, respectively. Raw material deposits are depleted as such deposits are extracted for production utilizing the units-of-production method. Costs and accumulated depreciation applicable to assets retired or sold are eliminated from the accounts, and any resulting gains or losses are recognized at such time. The estimated useful lives of the related assets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4483"/>
              </w:rPr>
              <w:t>Plants</w:t>
            </w:r>
          </w:p>
        </w:tc>
        <w:tc>
          <w:tcPr>
            <w:tcW w:w="5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to 30 years</w:t>
            </w:r>
          </w:p>
        </w:tc>
      </w:tr>
      <w:tr>
        <w:trPr>
          <w:trHeight w:val="37"/>
        </w:trPr>
        <w:tc>
          <w:tcPr>
            <w:tcW w:w="6160" w:type="dxa"/>
            <w:vAlign w:val="bottom"/>
            <w:tcBorders>
              <w:bottom w:val="single" w:sz="8" w:color="A6A6A6"/>
            </w:tcBorders>
          </w:tcPr>
          <w:p>
            <w:pPr>
              <w:spacing w:after="0"/>
              <w:rPr>
                <w:sz w:val="3"/>
                <w:szCs w:val="3"/>
                <w:color w:val="auto"/>
              </w:rPr>
            </w:pPr>
          </w:p>
        </w:tc>
        <w:tc>
          <w:tcPr>
            <w:tcW w:w="5080" w:type="dxa"/>
            <w:vAlign w:val="bottom"/>
            <w:tcBorders>
              <w:bottom w:val="single" w:sz="8" w:color="A6A6A6"/>
            </w:tcBorders>
          </w:tcPr>
          <w:p>
            <w:pPr>
              <w:spacing w:after="0"/>
              <w:rPr>
                <w:sz w:val="3"/>
                <w:szCs w:val="3"/>
                <w:color w:val="auto"/>
              </w:rPr>
            </w:pPr>
          </w:p>
        </w:tc>
      </w:tr>
      <w:tr>
        <w:trPr>
          <w:trHeight w:val="289"/>
        </w:trPr>
        <w:tc>
          <w:tcPr>
            <w:tcW w:w="6160" w:type="dxa"/>
            <w:vAlign w:val="bottom"/>
          </w:tcPr>
          <w:p>
            <w:pPr>
              <w:spacing w:after="0"/>
              <w:rPr>
                <w:sz w:val="20"/>
                <w:szCs w:val="20"/>
                <w:color w:val="auto"/>
              </w:rPr>
            </w:pPr>
            <w:r>
              <w:rPr>
                <w:rFonts w:ascii="Arial" w:cs="Arial" w:eastAsia="Arial" w:hAnsi="Arial"/>
                <w:sz w:val="18"/>
                <w:szCs w:val="18"/>
                <w:b w:val="1"/>
                <w:bCs w:val="1"/>
                <w:color w:val="004483"/>
              </w:rPr>
              <w:t>Buildings</w:t>
            </w:r>
          </w:p>
        </w:tc>
        <w:tc>
          <w:tcPr>
            <w:tcW w:w="5080" w:type="dxa"/>
            <w:vAlign w:val="bottom"/>
          </w:tcPr>
          <w:p>
            <w:pPr>
              <w:jc w:val="right"/>
              <w:spacing w:after="0"/>
              <w:rPr>
                <w:sz w:val="20"/>
                <w:szCs w:val="20"/>
                <w:color w:val="auto"/>
              </w:rPr>
            </w:pPr>
            <w:r>
              <w:rPr>
                <w:rFonts w:ascii="Arial" w:cs="Arial" w:eastAsia="Arial" w:hAnsi="Arial"/>
                <w:sz w:val="18"/>
                <w:szCs w:val="18"/>
                <w:color w:val="auto"/>
              </w:rPr>
              <w:t>20 to 40 years</w:t>
            </w:r>
          </w:p>
        </w:tc>
      </w:tr>
      <w:tr>
        <w:trPr>
          <w:trHeight w:val="42"/>
        </w:trPr>
        <w:tc>
          <w:tcPr>
            <w:tcW w:w="6160" w:type="dxa"/>
            <w:vAlign w:val="bottom"/>
            <w:tcBorders>
              <w:bottom w:val="single" w:sz="8" w:color="A6A6A6"/>
            </w:tcBorders>
          </w:tcPr>
          <w:p>
            <w:pPr>
              <w:spacing w:after="0"/>
              <w:rPr>
                <w:sz w:val="3"/>
                <w:szCs w:val="3"/>
                <w:color w:val="auto"/>
              </w:rPr>
            </w:pPr>
          </w:p>
        </w:tc>
        <w:tc>
          <w:tcPr>
            <w:tcW w:w="5080" w:type="dxa"/>
            <w:vAlign w:val="bottom"/>
            <w:tcBorders>
              <w:bottom w:val="single" w:sz="8" w:color="A6A6A6"/>
            </w:tcBorders>
          </w:tcPr>
          <w:p>
            <w:pPr>
              <w:spacing w:after="0"/>
              <w:rPr>
                <w:sz w:val="3"/>
                <w:szCs w:val="3"/>
                <w:color w:val="auto"/>
              </w:rPr>
            </w:pPr>
          </w:p>
        </w:tc>
      </w:tr>
      <w:tr>
        <w:trPr>
          <w:trHeight w:val="289"/>
        </w:trPr>
        <w:tc>
          <w:tcPr>
            <w:tcW w:w="6160" w:type="dxa"/>
            <w:vAlign w:val="bottom"/>
          </w:tcPr>
          <w:p>
            <w:pPr>
              <w:spacing w:after="0"/>
              <w:rPr>
                <w:sz w:val="20"/>
                <w:szCs w:val="20"/>
                <w:color w:val="auto"/>
              </w:rPr>
            </w:pPr>
            <w:r>
              <w:rPr>
                <w:rFonts w:ascii="Arial" w:cs="Arial" w:eastAsia="Arial" w:hAnsi="Arial"/>
                <w:sz w:val="18"/>
                <w:szCs w:val="18"/>
                <w:b w:val="1"/>
                <w:bCs w:val="1"/>
                <w:color w:val="004483"/>
              </w:rPr>
              <w:t>Machinery and Equipment</w:t>
            </w:r>
          </w:p>
        </w:tc>
        <w:tc>
          <w:tcPr>
            <w:tcW w:w="5080" w:type="dxa"/>
            <w:vAlign w:val="bottom"/>
          </w:tcPr>
          <w:p>
            <w:pPr>
              <w:jc w:val="right"/>
              <w:spacing w:after="0"/>
              <w:rPr>
                <w:sz w:val="20"/>
                <w:szCs w:val="20"/>
                <w:color w:val="auto"/>
              </w:rPr>
            </w:pPr>
            <w:r>
              <w:rPr>
                <w:rFonts w:ascii="Arial" w:cs="Arial" w:eastAsia="Arial" w:hAnsi="Arial"/>
                <w:sz w:val="18"/>
                <w:szCs w:val="18"/>
                <w:color w:val="auto"/>
              </w:rPr>
              <w:t>3 to 25 years</w:t>
            </w:r>
          </w:p>
        </w:tc>
      </w:tr>
      <w:tr>
        <w:trPr>
          <w:trHeight w:val="42"/>
        </w:trPr>
        <w:tc>
          <w:tcPr>
            <w:tcW w:w="6160" w:type="dxa"/>
            <w:vAlign w:val="bottom"/>
            <w:tcBorders>
              <w:bottom w:val="single" w:sz="8" w:color="A6A6A6"/>
            </w:tcBorders>
          </w:tcPr>
          <w:p>
            <w:pPr>
              <w:spacing w:after="0"/>
              <w:rPr>
                <w:sz w:val="3"/>
                <w:szCs w:val="3"/>
                <w:color w:val="auto"/>
              </w:rPr>
            </w:pPr>
          </w:p>
        </w:tc>
        <w:tc>
          <w:tcPr>
            <w:tcW w:w="5080" w:type="dxa"/>
            <w:vAlign w:val="bottom"/>
            <w:tcBorders>
              <w:bottom w:val="single" w:sz="8" w:color="A6A6A6"/>
            </w:tcBorders>
          </w:tcPr>
          <w:p>
            <w:pPr>
              <w:spacing w:after="0"/>
              <w:rPr>
                <w:sz w:val="3"/>
                <w:szCs w:val="3"/>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 expenses are included in each segment’s costs and expenses. We incurred $244.2 million, $248.4 million, and</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$220.1 million of maintenance and repair expenses in the fiscal years ended March 31, 2026, 2025, and 2024, respectively, which is included in Cost of Goods Sold on the Consolidated Statement of Earnings.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Goodwill and 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GOODWILL</w:t>
      </w:r>
    </w:p>
    <w:p>
      <w:pPr>
        <w:spacing w:after="0" w:line="10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We annually assess Goodwill in the fourth quarter of our fiscal year, or more frequently when indicators of impairment exist. Impairment testing for Goodwill is done at the reporting unit, which is consistent with the reportable segment.</w:t>
      </w:r>
    </w:p>
    <w:p>
      <w:pPr>
        <w:spacing w:after="0" w:line="4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test. The qualitative analysis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Step 1 quantitative test is not required. If we are unable to conclude that it is more likely than not that the fair value of the reporting unit exceeds its carrying value, then we proceed to the Step 1 quantitative test.</w:t>
      </w:r>
    </w:p>
    <w:p>
      <w:pPr>
        <w:spacing w:after="0" w:line="7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quantitative test and the carrying value of the reporting unit exceeds its fair value, then an impairment charge equal to the difference, not to exceed the total amount of Goodwill, is recorded.</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We also perform an overall comparison of all reporting units to our market capitalization to test the reasonableness of our fair value calculations.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We performed qualitative assessments on all our reporting units in the fourth quarter of fiscal 2026. As a result of these qualitative assessments, we determined it was not more likely than not that an impairment existed; therefore, we did not perform a Step 1 quantitative test in fiscal 2026. We performed a step 1 quantitative test on all our reporting units with Goodwill during the fourth quarter of fiscal 2024. We estimated the fair value of the reporting units using a discounted cash flow model as well as a market analysis. Key assumptions in the model included estimated average net sales prices, sales volumes, and the estimated weighted-average cost of capital specific to each industry. Based on the results of the Step 1 quantitative analysis, we concluded that the fair values of the reporting units substantially exceeded their carrying values, and therefore no impairment was recognized.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GOODWILL AND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at March 31, 2026, and 2025,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March 31, 2026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82"/>
        </w:trPr>
        <w:tc>
          <w:tcPr>
            <w:tcW w:w="4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180"/>
              <w:spacing w:after="0" w:line="182" w:lineRule="exact"/>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7"/>
        </w:trPr>
        <w:tc>
          <w:tcPr>
            <w:tcW w:w="4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Period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Adjustments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Net</w:t>
            </w:r>
          </w:p>
        </w:tc>
      </w:tr>
      <w:tr>
        <w:trPr>
          <w:trHeight w:val="203"/>
        </w:trPr>
        <w:tc>
          <w:tcPr>
            <w:tcW w:w="4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(dollars in thousands)</w:t>
            </w: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96"/>
        </w:trPr>
        <w:tc>
          <w:tcPr>
            <w:tcW w:w="4480" w:type="dxa"/>
            <w:vAlign w:val="bottom"/>
          </w:tcPr>
          <w:p>
            <w:pPr>
              <w:spacing w:after="0"/>
              <w:rPr>
                <w:sz w:val="20"/>
                <w:szCs w:val="20"/>
                <w:color w:val="auto"/>
              </w:rPr>
            </w:pPr>
            <w:r>
              <w:rPr>
                <w:rFonts w:ascii="Arial" w:cs="Arial" w:eastAsia="Arial" w:hAnsi="Arial"/>
                <w:sz w:val="18"/>
                <w:szCs w:val="18"/>
                <w:b w:val="1"/>
                <w:bCs w:val="1"/>
                <w:color w:val="004483"/>
              </w:rPr>
              <w:t>Goodwill and Intangible Assets: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
        </w:trPr>
        <w:tc>
          <w:tcPr>
            <w:tcW w:w="448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gridSpan w:val="2"/>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gridSpan w:val="2"/>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8"/>
                <w:szCs w:val="18"/>
                <w:b w:val="1"/>
                <w:bCs w:val="1"/>
                <w:color w:val="004483"/>
              </w:rPr>
              <w:t>Customer Contracts and Relationships</w:t>
            </w:r>
          </w:p>
        </w:tc>
        <w:tc>
          <w:tcPr>
            <w:tcW w:w="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15 years</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197,503</w:t>
            </w:r>
          </w:p>
        </w:tc>
        <w:tc>
          <w:tcPr>
            <w:tcW w:w="40" w:type="dxa"/>
            <w:vAlign w:val="bottom"/>
          </w:tcPr>
          <w:p>
            <w:pPr>
              <w:spacing w:after="0"/>
              <w:rPr>
                <w:sz w:val="24"/>
                <w:szCs w:val="24"/>
                <w:color w:val="auto"/>
              </w:rPr>
            </w:pPr>
          </w:p>
        </w:tc>
        <w:tc>
          <w:tcPr>
            <w:tcW w:w="26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(98,712)</w:t>
            </w:r>
          </w:p>
        </w:tc>
        <w:tc>
          <w:tcPr>
            <w:tcW w:w="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97,981</w:t>
            </w:r>
          </w:p>
        </w:tc>
      </w:tr>
      <w:tr>
        <w:trPr>
          <w:trHeight w:val="42"/>
        </w:trPr>
        <w:tc>
          <w:tcPr>
            <w:tcW w:w="448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gridSpan w:val="2"/>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8"/>
                <w:szCs w:val="18"/>
                <w:b w:val="1"/>
                <w:bCs w:val="1"/>
                <w:color w:val="004483"/>
              </w:rPr>
              <w:t>Permits</w:t>
            </w:r>
          </w:p>
        </w:tc>
        <w:tc>
          <w:tcPr>
            <w:tcW w:w="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25-40 years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30,760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(15,215)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15,545</w:t>
            </w:r>
          </w:p>
        </w:tc>
      </w:tr>
      <w:tr>
        <w:trPr>
          <w:trHeight w:val="42"/>
        </w:trPr>
        <w:tc>
          <w:tcPr>
            <w:tcW w:w="448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gridSpan w:val="2"/>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8"/>
                <w:szCs w:val="18"/>
                <w:b w:val="1"/>
                <w:bCs w:val="1"/>
                <w:color w:val="004483"/>
              </w:rPr>
              <w:t>Trade Name</w:t>
            </w:r>
          </w:p>
        </w:tc>
        <w:tc>
          <w:tcPr>
            <w:tcW w:w="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15 years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2,400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1,244</w:t>
            </w:r>
          </w:p>
        </w:tc>
      </w:tr>
      <w:tr>
        <w:trPr>
          <w:trHeight w:val="42"/>
        </w:trPr>
        <w:tc>
          <w:tcPr>
            <w:tcW w:w="448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8"/>
                <w:szCs w:val="18"/>
                <w:b w:val="1"/>
                <w:bCs w:val="1"/>
                <w:color w:val="004483"/>
              </w:rPr>
              <w:t>Goodwill</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469,894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470,673</w:t>
            </w:r>
          </w:p>
        </w:tc>
      </w:tr>
      <w:tr>
        <w:trPr>
          <w:trHeight w:val="69"/>
        </w:trPr>
        <w:tc>
          <w:tcPr>
            <w:tcW w:w="4480" w:type="dxa"/>
            <w:vAlign w:val="bottom"/>
            <w:tcBorders>
              <w:bottom w:val="single" w:sz="8" w:color="A6A6A6"/>
            </w:tcBorders>
          </w:tcPr>
          <w:p>
            <w:pPr>
              <w:spacing w:after="0"/>
              <w:rPr>
                <w:sz w:val="6"/>
                <w:szCs w:val="6"/>
                <w:color w:val="auto"/>
              </w:rPr>
            </w:pPr>
          </w:p>
        </w:tc>
        <w:tc>
          <w:tcPr>
            <w:tcW w:w="60" w:type="dxa"/>
            <w:vAlign w:val="bottom"/>
            <w:tcBorders>
              <w:bottom w:val="single" w:sz="8" w:color="A6A6A6"/>
            </w:tcBorders>
          </w:tcPr>
          <w:p>
            <w:pPr>
              <w:spacing w:after="0"/>
              <w:rPr>
                <w:sz w:val="6"/>
                <w:szCs w:val="6"/>
                <w:color w:val="auto"/>
              </w:rPr>
            </w:pPr>
          </w:p>
        </w:tc>
        <w:tc>
          <w:tcPr>
            <w:tcW w:w="1100" w:type="dxa"/>
            <w:vAlign w:val="bottom"/>
            <w:tcBorders>
              <w:bottom w:val="single" w:sz="8" w:color="A6A6A6"/>
            </w:tcBorders>
          </w:tcPr>
          <w:p>
            <w:pPr>
              <w:spacing w:after="0"/>
              <w:rPr>
                <w:sz w:val="6"/>
                <w:szCs w:val="6"/>
                <w:color w:val="auto"/>
              </w:rPr>
            </w:pPr>
          </w:p>
        </w:tc>
        <w:tc>
          <w:tcPr>
            <w:tcW w:w="60" w:type="dxa"/>
            <w:vAlign w:val="bottom"/>
            <w:tcBorders>
              <w:bottom w:val="single" w:sz="8" w:color="A6A6A6"/>
            </w:tcBorders>
          </w:tcPr>
          <w:p>
            <w:pPr>
              <w:spacing w:after="0"/>
              <w:rPr>
                <w:sz w:val="6"/>
                <w:szCs w:val="6"/>
                <w:color w:val="auto"/>
              </w:rPr>
            </w:pPr>
          </w:p>
        </w:tc>
        <w:tc>
          <w:tcPr>
            <w:tcW w:w="40" w:type="dxa"/>
            <w:vAlign w:val="bottom"/>
            <w:tcBorders>
              <w:bottom w:val="single" w:sz="8" w:color="A6A6A6"/>
            </w:tcBorders>
          </w:tcPr>
          <w:p>
            <w:pPr>
              <w:spacing w:after="0"/>
              <w:rPr>
                <w:sz w:val="6"/>
                <w:szCs w:val="6"/>
                <w:color w:val="auto"/>
              </w:rPr>
            </w:pPr>
          </w:p>
        </w:tc>
        <w:tc>
          <w:tcPr>
            <w:tcW w:w="60" w:type="dxa"/>
            <w:vAlign w:val="bottom"/>
            <w:tcBorders>
              <w:bottom w:val="single" w:sz="8" w:color="A6A6A6"/>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89"/>
        </w:trPr>
        <w:tc>
          <w:tcPr>
            <w:tcW w:w="4480" w:type="dxa"/>
            <w:vAlign w:val="bottom"/>
          </w:tcPr>
          <w:p>
            <w:pPr>
              <w:ind w:left="80"/>
              <w:spacing w:after="0"/>
              <w:rPr>
                <w:sz w:val="20"/>
                <w:szCs w:val="20"/>
                <w:color w:val="auto"/>
              </w:rPr>
            </w:pPr>
            <w:r>
              <w:rPr>
                <w:rFonts w:ascii="Arial" w:cs="Arial" w:eastAsia="Arial" w:hAnsi="Arial"/>
                <w:sz w:val="18"/>
                <w:szCs w:val="18"/>
                <w:b w:val="1"/>
                <w:bCs w:val="1"/>
                <w:color w:val="auto"/>
              </w:rPr>
              <w:t>Total Goodwill and Intangible Assets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700,557</w:t>
            </w:r>
          </w:p>
        </w:tc>
        <w:tc>
          <w:tcPr>
            <w:tcW w:w="40" w:type="dxa"/>
            <w:vAlign w:val="bottom"/>
          </w:tcPr>
          <w:p>
            <w:pPr>
              <w:spacing w:after="0"/>
              <w:rPr>
                <w:sz w:val="24"/>
                <w:szCs w:val="24"/>
                <w:color w:val="auto"/>
              </w:rPr>
            </w:pPr>
          </w:p>
        </w:tc>
        <w:tc>
          <w:tcPr>
            <w:tcW w:w="260" w:type="dxa"/>
            <w:vAlign w:val="bottom"/>
            <w:gridSpan w:val="4"/>
          </w:tcPr>
          <w:p>
            <w:pPr>
              <w:ind w:left="1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b w:val="1"/>
                <w:bCs w:val="1"/>
                <w:color w:val="auto"/>
              </w:rPr>
              <w:t>(115,083)</w:t>
            </w:r>
          </w:p>
        </w:tc>
        <w:tc>
          <w:tcPr>
            <w:tcW w:w="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b w:val="1"/>
                <w:bCs w:val="1"/>
                <w:color w:val="auto"/>
              </w:rPr>
              <w:t>585,443</w:t>
            </w:r>
          </w:p>
        </w:tc>
      </w:tr>
      <w:tr>
        <w:trPr>
          <w:trHeight w:val="42"/>
        </w:trPr>
        <w:tc>
          <w:tcPr>
            <w:tcW w:w="4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9"/>
        </w:trPr>
        <w:tc>
          <w:tcPr>
            <w:tcW w:w="44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rPr>
              <w:t>March 31, 2025</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2"/>
        </w:trPr>
        <w:tc>
          <w:tcPr>
            <w:tcW w:w="4480" w:type="dxa"/>
            <w:vAlign w:val="bottom"/>
          </w:tcPr>
          <w:p>
            <w:pPr>
              <w:spacing w:after="0"/>
              <w:rPr>
                <w:sz w:val="15"/>
                <w:szCs w:val="15"/>
                <w:color w:val="auto"/>
              </w:rPr>
            </w:pPr>
          </w:p>
        </w:tc>
        <w:tc>
          <w:tcPr>
            <w:tcW w:w="12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7"/>
        </w:trPr>
        <w:tc>
          <w:tcPr>
            <w:tcW w:w="4480" w:type="dxa"/>
            <w:vAlign w:val="bottom"/>
          </w:tcPr>
          <w:p>
            <w:pPr>
              <w:spacing w:after="0"/>
              <w:rPr>
                <w:sz w:val="18"/>
                <w:szCs w:val="18"/>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Additions</w:t>
            </w: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Net</w:t>
            </w:r>
          </w:p>
        </w:tc>
      </w:tr>
      <w:tr>
        <w:trPr>
          <w:trHeight w:val="203"/>
        </w:trPr>
        <w:tc>
          <w:tcPr>
            <w:tcW w:w="4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color w:val="auto"/>
              </w:rPr>
              <w:t>(dollars in thousands)</w:t>
            </w: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95"/>
        </w:trPr>
        <w:tc>
          <w:tcPr>
            <w:tcW w:w="4480" w:type="dxa"/>
            <w:vAlign w:val="bottom"/>
          </w:tcPr>
          <w:p>
            <w:pPr>
              <w:spacing w:after="0"/>
              <w:rPr>
                <w:sz w:val="20"/>
                <w:szCs w:val="20"/>
                <w:color w:val="auto"/>
              </w:rPr>
            </w:pPr>
            <w:r>
              <w:rPr>
                <w:rFonts w:ascii="Arial" w:cs="Arial" w:eastAsia="Arial" w:hAnsi="Arial"/>
                <w:sz w:val="18"/>
                <w:szCs w:val="18"/>
                <w:b w:val="1"/>
                <w:bCs w:val="1"/>
                <w:color w:val="004483"/>
              </w:rPr>
              <w:t>Goodwill and Intangible Assets: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
        </w:trPr>
        <w:tc>
          <w:tcPr>
            <w:tcW w:w="448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gridSpan w:val="3"/>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60" w:type="dxa"/>
            <w:vAlign w:val="bottom"/>
            <w:tcBorders>
              <w:bottom w:val="single" w:sz="8" w:color="A6A6A6"/>
            </w:tcBorders>
            <w:gridSpan w:val="2"/>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gridSpan w:val="2"/>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gridSpan w:val="3"/>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8"/>
                <w:szCs w:val="18"/>
                <w:b w:val="1"/>
                <w:bCs w:val="1"/>
                <w:color w:val="004483"/>
              </w:rPr>
              <w:t>Customer Contracts and Relationships</w:t>
            </w: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15 years</w:t>
            </w: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157,294</w:t>
            </w:r>
          </w:p>
        </w:tc>
        <w:tc>
          <w:tcPr>
            <w:tcW w:w="40" w:type="dxa"/>
            <w:vAlign w:val="bottom"/>
          </w:tcPr>
          <w:p>
            <w:pPr>
              <w:spacing w:after="0"/>
              <w:rPr>
                <w:sz w:val="24"/>
                <w:szCs w:val="24"/>
                <w:color w:val="auto"/>
              </w:rPr>
            </w:pP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40,209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(89,444)</w:t>
            </w:r>
          </w:p>
        </w:tc>
        <w:tc>
          <w:tcPr>
            <w:tcW w:w="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108,059</w:t>
            </w:r>
          </w:p>
        </w:tc>
      </w:tr>
      <w:tr>
        <w:trPr>
          <w:trHeight w:val="42"/>
        </w:trPr>
        <w:tc>
          <w:tcPr>
            <w:tcW w:w="448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gridSpan w:val="3"/>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gridSpan w:val="3"/>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8"/>
                <w:szCs w:val="18"/>
                <w:b w:val="1"/>
                <w:bCs w:val="1"/>
                <w:color w:val="004483"/>
              </w:rPr>
              <w:t>Permits</w:t>
            </w: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25-40 years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30,760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(14,358)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16,402</w:t>
            </w:r>
          </w:p>
        </w:tc>
      </w:tr>
      <w:tr>
        <w:trPr>
          <w:trHeight w:val="42"/>
        </w:trPr>
        <w:tc>
          <w:tcPr>
            <w:tcW w:w="448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gridSpan w:val="3"/>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8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8"/>
                <w:szCs w:val="18"/>
                <w:b w:val="1"/>
                <w:bCs w:val="1"/>
                <w:color w:val="004483"/>
              </w:rPr>
              <w:t>Trade Name</w:t>
            </w: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15 years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1,900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1,397</w:t>
            </w:r>
          </w:p>
        </w:tc>
      </w:tr>
      <w:tr>
        <w:trPr>
          <w:trHeight w:val="42"/>
        </w:trPr>
        <w:tc>
          <w:tcPr>
            <w:tcW w:w="448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4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300" w:type="dxa"/>
            <w:vAlign w:val="bottom"/>
            <w:tcBorders>
              <w:bottom w:val="single" w:sz="8" w:color="A6A6A6"/>
            </w:tcBorders>
            <w:gridSpan w:val="2"/>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4480" w:type="dxa"/>
            <w:vAlign w:val="bottom"/>
          </w:tcPr>
          <w:p>
            <w:pPr>
              <w:spacing w:after="0"/>
              <w:rPr>
                <w:sz w:val="20"/>
                <w:szCs w:val="20"/>
                <w:color w:val="auto"/>
              </w:rPr>
            </w:pPr>
            <w:r>
              <w:rPr>
                <w:rFonts w:ascii="Arial" w:cs="Arial" w:eastAsia="Arial" w:hAnsi="Arial"/>
                <w:sz w:val="18"/>
                <w:szCs w:val="18"/>
                <w:b w:val="1"/>
                <w:bCs w:val="1"/>
                <w:color w:val="004483"/>
              </w:rPr>
              <w:t>Goodwill</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392,569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77,325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469,894</w:t>
            </w:r>
          </w:p>
        </w:tc>
      </w:tr>
      <w:tr>
        <w:trPr>
          <w:trHeight w:val="69"/>
        </w:trPr>
        <w:tc>
          <w:tcPr>
            <w:tcW w:w="4480" w:type="dxa"/>
            <w:vAlign w:val="bottom"/>
            <w:tcBorders>
              <w:bottom w:val="single" w:sz="8" w:color="A6A6A6"/>
            </w:tcBorders>
          </w:tcPr>
          <w:p>
            <w:pPr>
              <w:spacing w:after="0"/>
              <w:rPr>
                <w:sz w:val="6"/>
                <w:szCs w:val="6"/>
                <w:color w:val="auto"/>
              </w:rPr>
            </w:pPr>
          </w:p>
        </w:tc>
        <w:tc>
          <w:tcPr>
            <w:tcW w:w="60" w:type="dxa"/>
            <w:vAlign w:val="bottom"/>
            <w:tcBorders>
              <w:bottom w:val="single" w:sz="8" w:color="A6A6A6"/>
            </w:tcBorders>
          </w:tcPr>
          <w:p>
            <w:pPr>
              <w:spacing w:after="0"/>
              <w:rPr>
                <w:sz w:val="6"/>
                <w:szCs w:val="6"/>
                <w:color w:val="auto"/>
              </w:rPr>
            </w:pPr>
          </w:p>
        </w:tc>
        <w:tc>
          <w:tcPr>
            <w:tcW w:w="1100" w:type="dxa"/>
            <w:vAlign w:val="bottom"/>
            <w:tcBorders>
              <w:bottom w:val="single" w:sz="8" w:color="A6A6A6"/>
            </w:tcBorders>
          </w:tcPr>
          <w:p>
            <w:pPr>
              <w:spacing w:after="0"/>
              <w:rPr>
                <w:sz w:val="6"/>
                <w:szCs w:val="6"/>
                <w:color w:val="auto"/>
              </w:rPr>
            </w:pPr>
          </w:p>
        </w:tc>
        <w:tc>
          <w:tcPr>
            <w:tcW w:w="60" w:type="dxa"/>
            <w:vAlign w:val="bottom"/>
            <w:tcBorders>
              <w:bottom w:val="single" w:sz="8" w:color="A6A6A6"/>
            </w:tcBorders>
          </w:tcPr>
          <w:p>
            <w:pPr>
              <w:spacing w:after="0"/>
              <w:rPr>
                <w:sz w:val="6"/>
                <w:szCs w:val="6"/>
                <w:color w:val="auto"/>
              </w:rPr>
            </w:pPr>
          </w:p>
        </w:tc>
        <w:tc>
          <w:tcPr>
            <w:tcW w:w="40" w:type="dxa"/>
            <w:vAlign w:val="bottom"/>
            <w:tcBorders>
              <w:bottom w:val="single" w:sz="8" w:color="A6A6A6"/>
            </w:tcBorders>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89"/>
        </w:trPr>
        <w:tc>
          <w:tcPr>
            <w:tcW w:w="4480" w:type="dxa"/>
            <w:vAlign w:val="bottom"/>
          </w:tcPr>
          <w:p>
            <w:pPr>
              <w:ind w:left="80"/>
              <w:spacing w:after="0"/>
              <w:rPr>
                <w:sz w:val="20"/>
                <w:szCs w:val="20"/>
                <w:color w:val="auto"/>
              </w:rPr>
            </w:pPr>
            <w:r>
              <w:rPr>
                <w:rFonts w:ascii="Arial" w:cs="Arial" w:eastAsia="Arial" w:hAnsi="Arial"/>
                <w:sz w:val="18"/>
                <w:szCs w:val="18"/>
                <w:b w:val="1"/>
                <w:bCs w:val="1"/>
                <w:color w:val="auto"/>
              </w:rPr>
              <w:t>Total Goodwill and Intangible Assets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582,523</w:t>
            </w:r>
          </w:p>
        </w:tc>
        <w:tc>
          <w:tcPr>
            <w:tcW w:w="40" w:type="dxa"/>
            <w:vAlign w:val="bottom"/>
          </w:tcPr>
          <w:p>
            <w:pPr>
              <w:spacing w:after="0"/>
              <w:rPr>
                <w:sz w:val="24"/>
                <w:szCs w:val="24"/>
                <w:color w:val="auto"/>
              </w:rPr>
            </w:pPr>
          </w:p>
        </w:tc>
        <w:tc>
          <w:tcPr>
            <w:tcW w:w="1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rPr>
              <w:t>118,034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(104,805)</w:t>
            </w:r>
          </w:p>
        </w:tc>
        <w:tc>
          <w:tcPr>
            <w:tcW w:w="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595,752</w:t>
            </w:r>
          </w:p>
        </w:tc>
      </w:tr>
      <w:tr>
        <w:trPr>
          <w:trHeight w:val="42"/>
        </w:trPr>
        <w:tc>
          <w:tcPr>
            <w:tcW w:w="4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Amortization expense of intangibles was $10.3 million, $8.4 million, and $7.9 million for the fiscal years ended March 31, 2026, 2025, and 2024, respectively. Amortization expense is expected to be approximately $10.2 million in fiscal 2027, $10.0 million in fiscal 2028, and $9.8 million in fiscal 2029, fiscal 2030 and fiscal 2031.</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Impairment or Disposal of Long-Lived and Intangible Assets</w:t>
      </w:r>
    </w:p>
    <w:p>
      <w:pPr>
        <w:spacing w:after="0" w:line="9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assess our long-lived assets, including mining and related assets, for impairment whenever events or changes in circumstances indicate that the carrying amount of an asset, or group of assets, may not be recoverable. Long-lived assets, or group of assets, are evaluated for impairment at the lowest level for which cash flows are largely independent of the cash flows of other assets.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an impairment is indicated. If such assets, or group of assets, are considered to be impaired, the impairment is recognized as the amount by which the carrying amount of the asset, or group of assets, exceeds the fair value of the asset, or group of assets. Any assets held for sale are reflected at the lower of their carrying amount or fair value less cost to sell. There were no indicators of impairment related to our long-lived assets during fiscal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Other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primarily composed of financing costs related to our Revolving Credit Facility, deferred expenses, and deposits.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Income Taxes</w:t>
      </w:r>
    </w:p>
    <w:p>
      <w:pPr>
        <w:spacing w:after="0" w:line="9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account for Income Taxes using the asset and liability method. The effect on deferred taxes of a change in tax rates is recognized in earnings in the period that includes the enactment date. We recognize deferred taxes for the differences between financial statement carrying amounts and the tax bases of existing assets and liabilities by applying enacted statutory tax rates for future years. In addition, we recognize future tax benefits to the extent that such benefits are more likely than not to be realized. See Footnote (I)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Stock Repurchases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Shares repurchased by the Company are considered retired and available for future issuance. When shares are repurchased, the Company first reduces Capital in Excess of Par Value, and if there is no balance in this account, the purchases are recorded as a reduction of Retained Earnings.</w:t>
      </w:r>
    </w:p>
    <w:p>
      <w:pPr>
        <w:spacing w:after="0" w:line="6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On May 17, 2022, the Board authorized the Company to repurchase an additional 7,500,000 shares. During fiscal years 2026, 2025, and 2024, we repurchased 1,739,625, 1,214,173, and 1,863,534 shares, respectively, at average prices of $219.48, $245.67, and $184.21, respectively. At March 31, 2026, the remaining authorized shares for repurchase totaled 2,929,872 shares.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Revenue Recognition</w:t>
      </w:r>
    </w:p>
    <w:p>
      <w:pPr>
        <w:spacing w:after="0" w:line="9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majority of Revenue from the sale of concrete, aggregates, and gypsum wallboard is originated by purchase orders from our customers, who are mainly third-party contractors and suppliers. Revenue from the sale of cement is sold point-of-sale to customers under sales orders. Revenue from our Recycled Paperboard segment is generated mostly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which is not under long-term supply agreements, is recognized upon shipment of the related products to customers, which is when title and ownership are transferred, and the customer is obligated to pay.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8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occurs at the time the product is shipped from the production facility. Our long-term supply agreements with customers define, among other commitments, the volume of product we must provide and the volume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agreement is reached with the customer and there is no risk of reversal.</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6"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incurred for shipping and handling are recorded as expenses and included in Cost of Goods Sold.</w:t>
      </w:r>
    </w:p>
    <w:p>
      <w:pPr>
        <w:spacing w:after="0" w:line="6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Approximately $215.1 million, $211.2 million, and $215.3 million of freight for the fiscal years ended March 31, 2026, 2025, and 2024, respectively, were included in both Revenue and Cost of Goods Sold in our Consolidated Statement of Earnings.</w:t>
      </w:r>
    </w:p>
    <w:p>
      <w:pPr>
        <w:spacing w:after="0" w:line="4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and trucking income, as well as other miscellaneous revenue items and costs that have not been allocated to a business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Footnote (H) for disaggregation of Revenue by segment.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Comprehensive Income/Losses</w:t>
      </w:r>
    </w:p>
    <w:p>
      <w:pPr>
        <w:spacing w:after="0" w:line="9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As of March 31, 2026, we have an Accumulated Other Comprehensive Loss of $4.4 million, which is net of income taxes of $1.4 million, in connection with recognizing the difference between the fair value of the pension assets and the projected benefit obligation.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Consolidated Cash Flows – Supplemental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For the Years Ended March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360" w:type="dxa"/>
            <w:vAlign w:val="bottom"/>
          </w:tcPr>
          <w:p>
            <w:pPr>
              <w:spacing w:after="0"/>
              <w:rPr>
                <w:sz w:val="20"/>
                <w:szCs w:val="20"/>
                <w:color w:val="auto"/>
              </w:rPr>
            </w:pPr>
            <w:r>
              <w:rPr>
                <w:rFonts w:ascii="Arial" w:cs="Arial" w:eastAsia="Arial" w:hAnsi="Arial"/>
                <w:sz w:val="18"/>
                <w:szCs w:val="18"/>
                <w:b w:val="1"/>
                <w:bCs w:val="1"/>
                <w:color w:val="auto"/>
              </w:rPr>
              <w:t>Cash Payments: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36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580" w:type="dxa"/>
            <w:vAlign w:val="bottom"/>
            <w:tcBorders>
              <w:bottom w:val="single" w:sz="8" w:color="A6A6A6"/>
            </w:tcBorders>
            <w:gridSpan w:val="2"/>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620" w:type="dxa"/>
            <w:vAlign w:val="bottom"/>
            <w:tcBorders>
              <w:bottom w:val="single" w:sz="8" w:color="A6A6A6"/>
            </w:tcBorders>
            <w:gridSpan w:val="2"/>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360" w:type="dxa"/>
            <w:vAlign w:val="bottom"/>
          </w:tcPr>
          <w:p>
            <w:pPr>
              <w:ind w:left="60"/>
              <w:spacing w:after="0"/>
              <w:rPr>
                <w:sz w:val="20"/>
                <w:szCs w:val="20"/>
                <w:color w:val="auto"/>
              </w:rPr>
            </w:pPr>
            <w:r>
              <w:rPr>
                <w:rFonts w:ascii="Arial" w:cs="Arial" w:eastAsia="Arial" w:hAnsi="Arial"/>
                <w:sz w:val="18"/>
                <w:szCs w:val="18"/>
                <w:b w:val="1"/>
                <w:bCs w:val="1"/>
                <w:color w:val="004483"/>
              </w:rPr>
              <w:t>Interest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58,810</w:t>
            </w:r>
          </w:p>
        </w:tc>
        <w:tc>
          <w:tcPr>
            <w:tcW w:w="58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42,368</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43,663</w:t>
            </w:r>
          </w:p>
        </w:tc>
        <w:tc>
          <w:tcPr>
            <w:tcW w:w="0" w:type="dxa"/>
            <w:vAlign w:val="bottom"/>
          </w:tcPr>
          <w:p>
            <w:pPr>
              <w:spacing w:after="0"/>
              <w:rPr>
                <w:sz w:val="1"/>
                <w:szCs w:val="1"/>
                <w:color w:val="auto"/>
              </w:rPr>
            </w:pPr>
          </w:p>
        </w:tc>
      </w:tr>
      <w:tr>
        <w:trPr>
          <w:trHeight w:val="42"/>
        </w:trPr>
        <w:tc>
          <w:tcPr>
            <w:tcW w:w="636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360" w:type="dxa"/>
            <w:vAlign w:val="bottom"/>
          </w:tcPr>
          <w:p>
            <w:pPr>
              <w:ind w:left="60"/>
              <w:spacing w:after="0"/>
              <w:rPr>
                <w:sz w:val="20"/>
                <w:szCs w:val="20"/>
                <w:color w:val="auto"/>
              </w:rPr>
            </w:pPr>
            <w:r>
              <w:rPr>
                <w:rFonts w:ascii="Arial" w:cs="Arial" w:eastAsia="Arial" w:hAnsi="Arial"/>
                <w:sz w:val="18"/>
                <w:szCs w:val="18"/>
                <w:b w:val="1"/>
                <w:bCs w:val="1"/>
                <w:color w:val="004483"/>
              </w:rPr>
              <w:t>Income Taxes</w:t>
            </w:r>
          </w:p>
        </w:tc>
        <w:tc>
          <w:tcPr>
            <w:tcW w:w="48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91,771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140,786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124,482</w:t>
            </w:r>
          </w:p>
        </w:tc>
        <w:tc>
          <w:tcPr>
            <w:tcW w:w="0" w:type="dxa"/>
            <w:vAlign w:val="bottom"/>
          </w:tcPr>
          <w:p>
            <w:pPr>
              <w:spacing w:after="0"/>
              <w:rPr>
                <w:sz w:val="1"/>
                <w:szCs w:val="1"/>
                <w:color w:val="auto"/>
              </w:rPr>
            </w:pPr>
          </w:p>
        </w:tc>
      </w:tr>
      <w:tr>
        <w:trPr>
          <w:trHeight w:val="42"/>
        </w:trPr>
        <w:tc>
          <w:tcPr>
            <w:tcW w:w="636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360" w:type="dxa"/>
            <w:vAlign w:val="bottom"/>
          </w:tcPr>
          <w:p>
            <w:pPr>
              <w:ind w:left="60"/>
              <w:spacing w:after="0"/>
              <w:rPr>
                <w:sz w:val="20"/>
                <w:szCs w:val="20"/>
                <w:color w:val="auto"/>
              </w:rPr>
            </w:pPr>
            <w:r>
              <w:rPr>
                <w:rFonts w:ascii="Arial" w:cs="Arial" w:eastAsia="Arial" w:hAnsi="Arial"/>
                <w:sz w:val="18"/>
                <w:szCs w:val="18"/>
                <w:b w:val="1"/>
                <w:bCs w:val="1"/>
                <w:color w:val="004483"/>
              </w:rPr>
              <w:t>Operating Cash Flows Used for Operating Leases</w:t>
            </w:r>
          </w:p>
        </w:tc>
        <w:tc>
          <w:tcPr>
            <w:tcW w:w="48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5,858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8,708</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42"/>
        </w:trPr>
        <w:tc>
          <w:tcPr>
            <w:tcW w:w="636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636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104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440" w:type="dxa"/>
            <w:vAlign w:val="bottom"/>
            <w:tcBorders>
              <w:bottom w:val="single" w:sz="8" w:color="A6A6A6"/>
            </w:tcBorders>
          </w:tcPr>
          <w:p>
            <w:pPr>
              <w:spacing w:after="0"/>
              <w:rPr>
                <w:sz w:val="24"/>
                <w:szCs w:val="24"/>
                <w:color w:val="auto"/>
              </w:rPr>
            </w:pPr>
          </w:p>
        </w:tc>
        <w:tc>
          <w:tcPr>
            <w:tcW w:w="110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36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36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360" w:type="dxa"/>
            <w:vAlign w:val="bottom"/>
          </w:tcPr>
          <w:p>
            <w:pPr>
              <w:ind w:left="60"/>
              <w:spacing w:after="0"/>
              <w:rPr>
                <w:sz w:val="20"/>
                <w:szCs w:val="20"/>
                <w:color w:val="auto"/>
              </w:rPr>
            </w:pPr>
            <w:r>
              <w:rPr>
                <w:rFonts w:ascii="Arial" w:cs="Arial" w:eastAsia="Arial" w:hAnsi="Arial"/>
                <w:sz w:val="18"/>
                <w:szCs w:val="18"/>
                <w:b w:val="1"/>
                <w:bCs w:val="1"/>
                <w:color w:val="004483"/>
              </w:rPr>
              <w:t>Right-of-Use Assets Obtained for Capitalized Operating</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3"/>
              <w:spacing w:after="0"/>
              <w:rPr>
                <w:sz w:val="20"/>
                <w:szCs w:val="20"/>
                <w:color w:val="auto"/>
              </w:rPr>
            </w:pPr>
            <w:r>
              <w:rPr>
                <w:rFonts w:ascii="Arial" w:cs="Arial" w:eastAsia="Arial" w:hAnsi="Arial"/>
                <w:sz w:val="18"/>
                <w:szCs w:val="18"/>
                <w:color w:val="auto"/>
              </w:rPr>
              <w:t>3,325</w:t>
            </w:r>
          </w:p>
        </w:tc>
        <w:tc>
          <w:tcPr>
            <w:tcW w:w="580" w:type="dxa"/>
            <w:vAlign w:val="bottom"/>
            <w:gridSpan w:val="2"/>
            <w:vMerge w:val="restart"/>
          </w:tcPr>
          <w:p>
            <w:pPr>
              <w:jc w:val="right"/>
              <w:ind w:right="268"/>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18,373</w:t>
            </w:r>
          </w:p>
        </w:tc>
        <w:tc>
          <w:tcPr>
            <w:tcW w:w="6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2"/>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131"/>
        </w:trPr>
        <w:tc>
          <w:tcPr>
            <w:tcW w:w="6360" w:type="dxa"/>
            <w:vAlign w:val="bottom"/>
            <w:vMerge w:val="restart"/>
          </w:tcPr>
          <w:p>
            <w:pPr>
              <w:ind w:left="220"/>
              <w:spacing w:after="0"/>
              <w:rPr>
                <w:sz w:val="20"/>
                <w:szCs w:val="20"/>
                <w:color w:val="auto"/>
              </w:rPr>
            </w:pPr>
            <w:r>
              <w:rPr>
                <w:rFonts w:ascii="Arial" w:cs="Arial" w:eastAsia="Arial" w:hAnsi="Arial"/>
                <w:sz w:val="18"/>
                <w:szCs w:val="18"/>
                <w:b w:val="1"/>
                <w:bCs w:val="1"/>
                <w:color w:val="004483"/>
              </w:rPr>
              <w:t>Leases</w:t>
            </w:r>
          </w:p>
        </w:tc>
        <w:tc>
          <w:tcPr>
            <w:tcW w:w="4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3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636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360" w:type="dxa"/>
            <w:vAlign w:val="bottom"/>
          </w:tcPr>
          <w:p>
            <w:pPr>
              <w:ind w:left="60"/>
              <w:spacing w:after="0"/>
              <w:rPr>
                <w:sz w:val="20"/>
                <w:szCs w:val="20"/>
                <w:color w:val="auto"/>
              </w:rPr>
            </w:pPr>
            <w:r>
              <w:rPr>
                <w:rFonts w:ascii="Arial" w:cs="Arial" w:eastAsia="Arial" w:hAnsi="Arial"/>
                <w:sz w:val="18"/>
                <w:szCs w:val="18"/>
                <w:b w:val="1"/>
                <w:bCs w:val="1"/>
                <w:color w:val="004483"/>
              </w:rPr>
              <w:t>Excise Tax on Share Repurchases</w:t>
            </w:r>
          </w:p>
        </w:tc>
        <w:tc>
          <w:tcPr>
            <w:tcW w:w="48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3,819</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2,982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Selling, General, and Administrative Expenses</w:t>
      </w:r>
    </w:p>
    <w:p>
      <w:pPr>
        <w:spacing w:after="0" w:line="9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Selling, General, and Administrative Expenses of the operating units are included in Cost of Goods Sold on the Consolidated Statements of Earnings. Corporate General and Administrative (Corporate G&amp;A) Expenses include administration, financial, legal, employee benefits, and other corporate activities, and are shown separately in the Consolidated Statements of Earnings. Corporate G&amp;A also includes stock compensation expense. See Footnote (K)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Total Selling, General, and Administrative Expenses for the past three fiscal years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For the Years Ended March 31,</w:t>
            </w:r>
          </w:p>
        </w:tc>
        <w:tc>
          <w:tcPr>
            <w:tcW w:w="1060" w:type="dxa"/>
            <w:vAlign w:val="bottom"/>
            <w:tcBorders>
              <w:bottom w:val="single" w:sz="8" w:color="auto"/>
            </w:tcBorders>
          </w:tcPr>
          <w:p>
            <w:pPr>
              <w:spacing w:after="0"/>
              <w:rPr>
                <w:sz w:val="18"/>
                <w:szCs w:val="18"/>
                <w:color w:val="auto"/>
              </w:rPr>
            </w:pPr>
          </w:p>
        </w:tc>
      </w:tr>
      <w:tr>
        <w:trPr>
          <w:trHeight w:val="210"/>
        </w:trPr>
        <w:tc>
          <w:tcPr>
            <w:tcW w:w="6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2024</w:t>
            </w:r>
          </w:p>
        </w:tc>
      </w:tr>
      <w:tr>
        <w:trPr>
          <w:trHeight w:val="203"/>
        </w:trPr>
        <w:tc>
          <w:tcPr>
            <w:tcW w:w="6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95"/>
        </w:trPr>
        <w:tc>
          <w:tcPr>
            <w:tcW w:w="6360" w:type="dxa"/>
            <w:vAlign w:val="bottom"/>
          </w:tcPr>
          <w:p>
            <w:pPr>
              <w:spacing w:after="0"/>
              <w:rPr>
                <w:sz w:val="20"/>
                <w:szCs w:val="20"/>
                <w:color w:val="auto"/>
              </w:rPr>
            </w:pPr>
            <w:r>
              <w:rPr>
                <w:rFonts w:ascii="Arial" w:cs="Arial" w:eastAsia="Arial" w:hAnsi="Arial"/>
                <w:sz w:val="18"/>
                <w:szCs w:val="18"/>
                <w:b w:val="1"/>
                <w:bCs w:val="1"/>
                <w:color w:val="004483"/>
              </w:rPr>
              <w:t>Operating Units Selling, G&amp;A</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77,944</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74,713</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75,001</w:t>
            </w:r>
          </w:p>
        </w:tc>
      </w:tr>
      <w:tr>
        <w:trPr>
          <w:trHeight w:val="42"/>
        </w:trPr>
        <w:tc>
          <w:tcPr>
            <w:tcW w:w="636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r>
      <w:tr>
        <w:trPr>
          <w:trHeight w:val="289"/>
        </w:trPr>
        <w:tc>
          <w:tcPr>
            <w:tcW w:w="6360" w:type="dxa"/>
            <w:vAlign w:val="bottom"/>
          </w:tcPr>
          <w:p>
            <w:pPr>
              <w:spacing w:after="0"/>
              <w:rPr>
                <w:sz w:val="20"/>
                <w:szCs w:val="20"/>
                <w:color w:val="auto"/>
              </w:rPr>
            </w:pPr>
            <w:r>
              <w:rPr>
                <w:rFonts w:ascii="Arial" w:cs="Arial" w:eastAsia="Arial" w:hAnsi="Arial"/>
                <w:sz w:val="18"/>
                <w:szCs w:val="18"/>
                <w:b w:val="1"/>
                <w:bCs w:val="1"/>
                <w:color w:val="004483"/>
              </w:rPr>
              <w:t>Corporate G&amp;A</w:t>
            </w:r>
          </w:p>
        </w:tc>
        <w:tc>
          <w:tcPr>
            <w:tcW w:w="420" w:type="dxa"/>
            <w:vAlign w:val="bottom"/>
          </w:tcPr>
          <w:p>
            <w:pPr>
              <w:spacing w:after="0"/>
              <w:rPr>
                <w:sz w:val="24"/>
                <w:szCs w:val="24"/>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89,182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73,942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59,795</w:t>
            </w:r>
          </w:p>
        </w:tc>
      </w:tr>
      <w:tr>
        <w:trPr>
          <w:trHeight w:val="69"/>
        </w:trPr>
        <w:tc>
          <w:tcPr>
            <w:tcW w:w="6360" w:type="dxa"/>
            <w:vAlign w:val="bottom"/>
            <w:tcBorders>
              <w:bottom w:val="single" w:sz="8" w:color="A6A6A6"/>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289"/>
        </w:trPr>
        <w:tc>
          <w:tcPr>
            <w:tcW w:w="636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167,126</w:t>
            </w:r>
          </w:p>
        </w:tc>
        <w:tc>
          <w:tcPr>
            <w:tcW w:w="5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148,655</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134,796</w:t>
            </w:r>
          </w:p>
        </w:tc>
      </w:tr>
      <w:tr>
        <w:trPr>
          <w:trHeight w:val="42"/>
        </w:trPr>
        <w:tc>
          <w:tcPr>
            <w:tcW w:w="63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u w:val="single" w:color="auto"/>
          <w:color w:val="004483"/>
        </w:rPr>
        <w:t>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20" w:type="dxa"/>
            <w:vAlign w:val="bottom"/>
          </w:tcPr>
          <w:p>
            <w:pPr>
              <w:spacing w:after="0"/>
              <w:rPr>
                <w:sz w:val="18"/>
                <w:szCs w:val="18"/>
                <w:color w:val="auto"/>
              </w:rPr>
            </w:pPr>
          </w:p>
        </w:tc>
        <w:tc>
          <w:tcPr>
            <w:tcW w:w="358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For the Years Ended March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2026</w:t>
            </w:r>
          </w:p>
        </w:tc>
        <w:tc>
          <w:tcPr>
            <w:tcW w:w="1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96"/>
        </w:trPr>
        <w:tc>
          <w:tcPr>
            <w:tcW w:w="6420" w:type="dxa"/>
            <w:vAlign w:val="bottom"/>
          </w:tcPr>
          <w:p>
            <w:pPr>
              <w:spacing w:after="0"/>
              <w:rPr>
                <w:sz w:val="20"/>
                <w:szCs w:val="20"/>
                <w:color w:val="auto"/>
              </w:rPr>
            </w:pPr>
            <w:r>
              <w:rPr>
                <w:rFonts w:ascii="Arial" w:cs="Arial" w:eastAsia="Arial" w:hAnsi="Arial"/>
                <w:sz w:val="18"/>
                <w:szCs w:val="18"/>
                <w:b w:val="1"/>
                <w:bCs w:val="1"/>
                <w:color w:val="004483"/>
              </w:rPr>
              <w:t>Weighted-Average Shares of Common Stock Outstanding</w:t>
            </w: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32,014,721</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33,378,050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34,811,560</w:t>
            </w:r>
          </w:p>
        </w:tc>
        <w:tc>
          <w:tcPr>
            <w:tcW w:w="0" w:type="dxa"/>
            <w:vAlign w:val="bottom"/>
          </w:tcPr>
          <w:p>
            <w:pPr>
              <w:spacing w:after="0"/>
              <w:rPr>
                <w:sz w:val="1"/>
                <w:szCs w:val="1"/>
                <w:color w:val="auto"/>
              </w:rPr>
            </w:pPr>
          </w:p>
        </w:tc>
      </w:tr>
      <w:tr>
        <w:trPr>
          <w:trHeight w:val="42"/>
        </w:trPr>
        <w:tc>
          <w:tcPr>
            <w:tcW w:w="642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420" w:type="dxa"/>
            <w:vAlign w:val="bottom"/>
          </w:tcPr>
          <w:p>
            <w:pPr>
              <w:spacing w:after="0"/>
              <w:rPr>
                <w:sz w:val="20"/>
                <w:szCs w:val="20"/>
                <w:color w:val="auto"/>
              </w:rPr>
            </w:pPr>
            <w:r>
              <w:rPr>
                <w:rFonts w:ascii="Arial" w:cs="Arial" w:eastAsia="Arial" w:hAnsi="Arial"/>
                <w:sz w:val="18"/>
                <w:szCs w:val="18"/>
                <w:b w:val="1"/>
                <w:bCs w:val="1"/>
                <w:color w:val="004483"/>
              </w:rPr>
              <w:t>Effect of Dilutive Shares:</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42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420" w:type="dxa"/>
            <w:vAlign w:val="bottom"/>
          </w:tcPr>
          <w:p>
            <w:pPr>
              <w:spacing w:after="0"/>
              <w:rPr>
                <w:sz w:val="20"/>
                <w:szCs w:val="20"/>
                <w:color w:val="auto"/>
              </w:rPr>
            </w:pPr>
            <w:r>
              <w:rPr>
                <w:rFonts w:ascii="Arial" w:cs="Arial" w:eastAsia="Arial" w:hAnsi="Arial"/>
                <w:sz w:val="18"/>
                <w:szCs w:val="18"/>
                <w:b w:val="1"/>
                <w:bCs w:val="1"/>
                <w:color w:val="004483"/>
              </w:rPr>
              <w:t>Assumed Exercise of Outstanding Dilutive Options</w:t>
            </w: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174,539</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218,434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304,889</w:t>
            </w:r>
          </w:p>
        </w:tc>
        <w:tc>
          <w:tcPr>
            <w:tcW w:w="0" w:type="dxa"/>
            <w:vAlign w:val="bottom"/>
          </w:tcPr>
          <w:p>
            <w:pPr>
              <w:spacing w:after="0"/>
              <w:rPr>
                <w:sz w:val="1"/>
                <w:szCs w:val="1"/>
                <w:color w:val="auto"/>
              </w:rPr>
            </w:pPr>
          </w:p>
        </w:tc>
      </w:tr>
      <w:tr>
        <w:trPr>
          <w:trHeight w:val="42"/>
        </w:trPr>
        <w:tc>
          <w:tcPr>
            <w:tcW w:w="642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420" w:type="dxa"/>
            <w:vAlign w:val="bottom"/>
          </w:tcPr>
          <w:p>
            <w:pPr>
              <w:spacing w:after="0"/>
              <w:rPr>
                <w:sz w:val="20"/>
                <w:szCs w:val="20"/>
                <w:color w:val="auto"/>
              </w:rPr>
            </w:pPr>
            <w:r>
              <w:rPr>
                <w:rFonts w:ascii="Arial" w:cs="Arial" w:eastAsia="Arial" w:hAnsi="Arial"/>
                <w:sz w:val="18"/>
                <w:szCs w:val="18"/>
                <w:b w:val="1"/>
                <w:bCs w:val="1"/>
                <w:color w:val="004483"/>
              </w:rPr>
              <w:t>Less Shares Repurchased from Proceeds of Assumed Exercised</w:t>
            </w:r>
          </w:p>
        </w:tc>
        <w:tc>
          <w:tcPr>
            <w:tcW w:w="1560" w:type="dxa"/>
            <w:vAlign w:val="bottom"/>
            <w:vMerge w:val="restart"/>
          </w:tcPr>
          <w:p>
            <w:pPr>
              <w:jc w:val="right"/>
              <w:ind w:right="93"/>
              <w:spacing w:after="0"/>
              <w:rPr>
                <w:sz w:val="20"/>
                <w:szCs w:val="20"/>
                <w:color w:val="auto"/>
              </w:rPr>
            </w:pPr>
            <w:r>
              <w:rPr>
                <w:rFonts w:ascii="Arial" w:cs="Arial" w:eastAsia="Arial" w:hAnsi="Arial"/>
                <w:sz w:val="18"/>
                <w:szCs w:val="18"/>
                <w:color w:val="auto"/>
              </w:rPr>
              <w:t>(75,142)</w:t>
            </w:r>
          </w:p>
        </w:tc>
        <w:tc>
          <w:tcPr>
            <w:tcW w:w="16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(82,734)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color w:val="auto"/>
              </w:rPr>
              <w:t>(157,457)</w:t>
            </w:r>
          </w:p>
        </w:tc>
        <w:tc>
          <w:tcPr>
            <w:tcW w:w="0" w:type="dxa"/>
            <w:vAlign w:val="bottom"/>
          </w:tcPr>
          <w:p>
            <w:pPr>
              <w:spacing w:after="0"/>
              <w:rPr>
                <w:sz w:val="1"/>
                <w:szCs w:val="1"/>
                <w:color w:val="auto"/>
              </w:rPr>
            </w:pPr>
          </w:p>
        </w:tc>
      </w:tr>
      <w:tr>
        <w:trPr>
          <w:trHeight w:val="131"/>
        </w:trPr>
        <w:tc>
          <w:tcPr>
            <w:tcW w:w="6420" w:type="dxa"/>
            <w:vAlign w:val="bottom"/>
            <w:vMerge w:val="restart"/>
          </w:tcPr>
          <w:p>
            <w:pPr>
              <w:ind w:left="160"/>
              <w:spacing w:after="0"/>
              <w:rPr>
                <w:sz w:val="20"/>
                <w:szCs w:val="20"/>
                <w:color w:val="auto"/>
              </w:rPr>
            </w:pPr>
            <w:r>
              <w:rPr>
                <w:rFonts w:ascii="Arial" w:cs="Arial" w:eastAsia="Arial" w:hAnsi="Arial"/>
                <w:sz w:val="18"/>
                <w:szCs w:val="18"/>
                <w:b w:val="1"/>
                <w:bCs w:val="1"/>
                <w:color w:val="004483"/>
              </w:rPr>
              <w:t>Options</w:t>
            </w:r>
          </w:p>
        </w:tc>
        <w:tc>
          <w:tcPr>
            <w:tcW w:w="156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4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6420" w:type="dxa"/>
            <w:vAlign w:val="bottom"/>
            <w:tcBorders>
              <w:bottom w:val="single" w:sz="8" w:color="A6A6A6"/>
            </w:tcBorders>
          </w:tcPr>
          <w:p>
            <w:pPr>
              <w:spacing w:after="0"/>
              <w:rPr>
                <w:sz w:val="3"/>
                <w:szCs w:val="3"/>
                <w:color w:val="auto"/>
              </w:rPr>
            </w:pPr>
          </w:p>
        </w:tc>
        <w:tc>
          <w:tcPr>
            <w:tcW w:w="15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6420" w:type="dxa"/>
            <w:vAlign w:val="bottom"/>
          </w:tcPr>
          <w:p>
            <w:pPr>
              <w:spacing w:after="0"/>
              <w:rPr>
                <w:sz w:val="20"/>
                <w:szCs w:val="20"/>
                <w:color w:val="auto"/>
              </w:rPr>
            </w:pPr>
            <w:r>
              <w:rPr>
                <w:rFonts w:ascii="Arial" w:cs="Arial" w:eastAsia="Arial" w:hAnsi="Arial"/>
                <w:sz w:val="18"/>
                <w:szCs w:val="18"/>
                <w:b w:val="1"/>
                <w:bCs w:val="1"/>
                <w:color w:val="004483"/>
              </w:rPr>
              <w:t>Restricted Stock and Restricted Stock Units</w:t>
            </w: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79,673</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132,645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138,879</w:t>
            </w:r>
          </w:p>
        </w:tc>
        <w:tc>
          <w:tcPr>
            <w:tcW w:w="0" w:type="dxa"/>
            <w:vAlign w:val="bottom"/>
          </w:tcPr>
          <w:p>
            <w:pPr>
              <w:spacing w:after="0"/>
              <w:rPr>
                <w:sz w:val="1"/>
                <w:szCs w:val="1"/>
                <w:color w:val="auto"/>
              </w:rPr>
            </w:pPr>
          </w:p>
        </w:tc>
      </w:tr>
      <w:tr>
        <w:trPr>
          <w:trHeight w:val="69"/>
        </w:trPr>
        <w:tc>
          <w:tcPr>
            <w:tcW w:w="6420" w:type="dxa"/>
            <w:vAlign w:val="bottom"/>
            <w:tcBorders>
              <w:bottom w:val="single" w:sz="8" w:color="A6A6A6"/>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6420" w:type="dxa"/>
            <w:vAlign w:val="bottom"/>
          </w:tcPr>
          <w:p>
            <w:pPr>
              <w:spacing w:after="0"/>
              <w:rPr>
                <w:sz w:val="20"/>
                <w:szCs w:val="20"/>
                <w:color w:val="auto"/>
              </w:rPr>
            </w:pPr>
            <w:r>
              <w:rPr>
                <w:rFonts w:ascii="Arial" w:cs="Arial" w:eastAsia="Arial" w:hAnsi="Arial"/>
                <w:sz w:val="18"/>
                <w:szCs w:val="18"/>
                <w:b w:val="1"/>
                <w:bCs w:val="1"/>
                <w:color w:val="auto"/>
              </w:rPr>
              <w:t>Weighted-Average Common Stock and Dilutive Securities</w:t>
            </w:r>
          </w:p>
        </w:tc>
        <w:tc>
          <w:tcPr>
            <w:tcW w:w="156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32,193,791</w:t>
            </w:r>
          </w:p>
        </w:tc>
        <w:tc>
          <w:tcPr>
            <w:tcW w:w="16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33,646,395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35,097,871</w:t>
            </w:r>
          </w:p>
        </w:tc>
        <w:tc>
          <w:tcPr>
            <w:tcW w:w="0" w:type="dxa"/>
            <w:vAlign w:val="bottom"/>
          </w:tcPr>
          <w:p>
            <w:pPr>
              <w:spacing w:after="0"/>
              <w:rPr>
                <w:sz w:val="1"/>
                <w:szCs w:val="1"/>
                <w:color w:val="auto"/>
              </w:rPr>
            </w:pPr>
          </w:p>
        </w:tc>
      </w:tr>
      <w:tr>
        <w:trPr>
          <w:trHeight w:val="125"/>
        </w:trPr>
        <w:tc>
          <w:tcPr>
            <w:tcW w:w="6420" w:type="dxa"/>
            <w:vAlign w:val="bottom"/>
            <w:vMerge w:val="restart"/>
          </w:tcPr>
          <w:p>
            <w:pPr>
              <w:ind w:left="160"/>
              <w:spacing w:after="0" w:line="161" w:lineRule="exact"/>
              <w:rPr>
                <w:sz w:val="20"/>
                <w:szCs w:val="20"/>
                <w:color w:val="auto"/>
              </w:rPr>
            </w:pPr>
            <w:r>
              <w:rPr>
                <w:rFonts w:ascii="Arial" w:cs="Arial" w:eastAsia="Arial" w:hAnsi="Arial"/>
                <w:sz w:val="18"/>
                <w:szCs w:val="18"/>
                <w:b w:val="1"/>
                <w:bCs w:val="1"/>
                <w:color w:val="auto"/>
              </w:rPr>
              <w:t>Outstanding</w:t>
            </w:r>
          </w:p>
        </w:tc>
        <w:tc>
          <w:tcPr>
            <w:tcW w:w="1560" w:type="dxa"/>
            <w:vAlign w:val="bottom"/>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6420" w:type="dxa"/>
            <w:vAlign w:val="bottom"/>
            <w:vMerge w:val="continue"/>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line Less Shares Repurchased from Proceeds of Assumed Exercised Options includes unearned compensation related to outstanding stock options.</w:t>
      </w:r>
    </w:p>
    <w:p>
      <w:pPr>
        <w:spacing w:after="0" w:line="46"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For the fiscal years ended March 31, 2026, 2025, and 2024, there were 31,222, 4,404, and 16,609 stock options at an average exercise price of $219.14 per share, $240.32 per share, and $133.91 per share, respectively, that were excluded from the computation of diluted earnings per share, because including these options would have been anti-dilutive.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Share-Based Compensation</w:t>
      </w:r>
    </w:p>
    <w:p>
      <w:pPr>
        <w:spacing w:after="0" w:line="9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All share-based compensation is valued at the grant date and expensed over the requisite service period, which is generally identical to the vesting period of the award. Forfeitures of share-based awards are recognized in the period in which they occur.</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Fair Value Measures</w:t>
      </w:r>
    </w:p>
    <w:p>
      <w:pPr>
        <w:spacing w:after="0" w:line="9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Certain assets and liabilities are required to be recorded or disclosed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and liabilities in active markets;</w:t>
      </w:r>
    </w:p>
    <w:p>
      <w:pPr>
        <w:spacing w:after="0" w:line="104"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quoted prices for identical or similar assets and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and</w:t>
      </w:r>
    </w:p>
    <w:p>
      <w:pPr>
        <w:spacing w:after="0" w:line="46"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These include certain pricing models, discounted cash flow methodologies, and similar techniques that use significant unobservable inputs.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5" w:name="page86"/>
    <w:bookmarkEnd w:id="85"/>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Recent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w:t>
      </w:r>
    </w:p>
    <w:p>
      <w:pPr>
        <w:spacing w:after="0" w:line="10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During fiscal 2026, the Company retroactively adopted Financial Accounting Standards Board (FASB) Accounting Standards Update No. 2023-09, Income Taxes (Topic 740): Improvements to Income Tax Disclosures (ASU 2023-09), which focused on the rate reconciliation and income taxes paid. The adoption of this guidance did not affect the Company's results of operations, cash flows, or financial condition. See Footnote (I) of the Audited Consolidated Financial Statements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November 2024, the FASB issued Accounting Standards Update No. 2024-03, "Income Statement-Reporting Comprehensive Income-Expense Disaggregation Disclosures (Subtopic 220-40): Disaggregation of Income and Expenses" (ASU 2024-03). ASU 2024-03 requires public business entities to disclose additional information about certain key expense categories within major income statement captions in the Notes to the Consolidated Financial Statements. The new standard is effective for fiscal years beginning after December 15, 2026, and is to be applied prospectively. Early adoption is permitted. The Company is currently evaluating the impact of adopting this guidance on its Consolidated Financial Statements.</w:t>
      </w:r>
    </w:p>
    <w:p>
      <w:pPr>
        <w:spacing w:after="0" w:line="7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July 2025, the FASB issued Accounting Standards Update No. 2025-05, Credit Losses (Topic 326) – Measurement of Credit Losses for Accounts Receivable and Contract Assets. The amendments provide all entities with a practical expedient to assume that the current conditions as of the balance sheet date will remain unchanged for the remaining life of the asset when developing a reasonable and supportable forecast as part of estimating expected credit losses on current accounts receivable and current contract assets arising from transactions accounted for under ASC 606, Revenue from Contracts with Customers. The new standard is effective for annual reporting periods beginning after December 15, 2025, and interim reporting periods within those annual reporting periods. Early adoption is permitted for both interim and annual financial statements that have not yet been issued or made available for issuance. Entities that use the practical expedient and, if applicable, make the accounting policy election are required to apply the amendments prospectively. The Company is currently evaluating the impact of adopting this guidance on its Consolidated Financial Statements.</w:t>
      </w:r>
    </w:p>
    <w:p>
      <w:pPr>
        <w:spacing w:after="0" w:line="7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September 2025, the FASB issued Accounting Standards Update No. 2025 -06, Intangibles—Goodwill and Other—Internal-Use Software (Subtopic 350-40): Targeted Improvements to the Accounting for Internal-Use Software (ASU 2025-06), to modernize the accounting for and disclosure of internal-use software costs. The guidance removes all references to project stages, defines the threshold to begin capitalizing costs, and clarifies the disclosure requirements of capitalized software costs. The new standard is effective for annual periods beginning after December 15, 2027, and interim periods within those fiscal years, and can be applied retrospectively, prospectively, or on a modified transition approach. Early adoption is permitted. The Company is currently evaluating the impact of adopting this guidance on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(B)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Western Pennsylvania Acquisition</w:t>
      </w:r>
    </w:p>
    <w:p>
      <w:pPr>
        <w:spacing w:after="0" w:line="9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January 7, 2025, we purchased Bullskin Stone &amp; Lime, LLC, an aggregates business located in Western Pennsylvania (the Western Pennsylvania Acquisition), which was accounted for under the acquisition method. The purchase price of the Pennsylvania Acquisition was approximately $149.9 million, subject to customary post-closing adjustments. The purchase price was funded through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5"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borrowings under our Revolving Credit Facility. Operations related to the Pennsylvania Acquisition are included in the Concrete and Aggregates segment of our segment reporting.</w:t>
      </w:r>
    </w:p>
    <w:p>
      <w:pPr>
        <w:spacing w:after="0" w:line="4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following table summarizes the allocation of the purchase price to the fair value of assets acquired and liabilities assumed (based on Level 3 inputs) as of March 31,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(dollars in thousands)</w:t>
            </w:r>
          </w:p>
        </w:tc>
      </w:tr>
      <w:tr>
        <w:trPr>
          <w:trHeight w:val="296"/>
        </w:trPr>
        <w:tc>
          <w:tcPr>
            <w:tcW w:w="9220" w:type="dxa"/>
            <w:vAlign w:val="bottom"/>
          </w:tcPr>
          <w:p>
            <w:pPr>
              <w:spacing w:after="0"/>
              <w:rPr>
                <w:sz w:val="20"/>
                <w:szCs w:val="20"/>
                <w:color w:val="auto"/>
              </w:rPr>
            </w:pPr>
            <w:r>
              <w:rPr>
                <w:rFonts w:ascii="Arial" w:cs="Arial" w:eastAsia="Arial" w:hAnsi="Arial"/>
                <w:sz w:val="18"/>
                <w:szCs w:val="18"/>
                <w:b w:val="1"/>
                <w:bCs w:val="1"/>
                <w:color w:val="004483"/>
              </w:rPr>
              <w:t>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1,443</w:t>
            </w:r>
          </w:p>
        </w:tc>
      </w:tr>
      <w:tr>
        <w:trPr>
          <w:trHeight w:val="42"/>
        </w:trPr>
        <w:tc>
          <w:tcPr>
            <w:tcW w:w="92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9220" w:type="dxa"/>
            <w:vAlign w:val="bottom"/>
          </w:tcPr>
          <w:p>
            <w:pPr>
              <w:spacing w:after="0"/>
              <w:rPr>
                <w:sz w:val="20"/>
                <w:szCs w:val="20"/>
                <w:color w:val="auto"/>
              </w:rPr>
            </w:pPr>
            <w:r>
              <w:rPr>
                <w:rFonts w:ascii="Arial" w:cs="Arial" w:eastAsia="Arial" w:hAnsi="Arial"/>
                <w:sz w:val="18"/>
                <w:szCs w:val="18"/>
                <w:b w:val="1"/>
                <w:bCs w:val="1"/>
                <w:color w:val="004483"/>
              </w:rPr>
              <w:t>Inventories</w:t>
            </w:r>
          </w:p>
        </w:tc>
        <w:tc>
          <w:tcPr>
            <w:tcW w:w="160" w:type="dxa"/>
            <w:vAlign w:val="bottom"/>
          </w:tcPr>
          <w:p>
            <w:pPr>
              <w:spacing w:after="0"/>
              <w:rPr>
                <w:sz w:val="24"/>
                <w:szCs w:val="24"/>
                <w:color w:val="auto"/>
              </w:rPr>
            </w:pP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3,354</w:t>
            </w:r>
          </w:p>
        </w:tc>
      </w:tr>
      <w:tr>
        <w:trPr>
          <w:trHeight w:val="42"/>
        </w:trPr>
        <w:tc>
          <w:tcPr>
            <w:tcW w:w="92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9220" w:type="dxa"/>
            <w:vAlign w:val="bottom"/>
          </w:tcPr>
          <w:p>
            <w:pPr>
              <w:spacing w:after="0"/>
              <w:rPr>
                <w:sz w:val="20"/>
                <w:szCs w:val="20"/>
                <w:color w:val="auto"/>
              </w:rPr>
            </w:pPr>
            <w:r>
              <w:rPr>
                <w:rFonts w:ascii="Arial" w:cs="Arial" w:eastAsia="Arial" w:hAnsi="Arial"/>
                <w:sz w:val="18"/>
                <w:szCs w:val="18"/>
                <w:b w:val="1"/>
                <w:bCs w:val="1"/>
                <w:color w:val="004483"/>
              </w:rPr>
              <w:t>Prepaid and Other Current Assets</w:t>
            </w:r>
          </w:p>
        </w:tc>
        <w:tc>
          <w:tcPr>
            <w:tcW w:w="160" w:type="dxa"/>
            <w:vAlign w:val="bottom"/>
          </w:tcPr>
          <w:p>
            <w:pPr>
              <w:spacing w:after="0"/>
              <w:rPr>
                <w:sz w:val="24"/>
                <w:szCs w:val="24"/>
                <w:color w:val="auto"/>
              </w:rPr>
            </w:pP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229</w:t>
            </w:r>
          </w:p>
        </w:tc>
      </w:tr>
      <w:tr>
        <w:trPr>
          <w:trHeight w:val="42"/>
        </w:trPr>
        <w:tc>
          <w:tcPr>
            <w:tcW w:w="92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9220" w:type="dxa"/>
            <w:vAlign w:val="bottom"/>
          </w:tcPr>
          <w:p>
            <w:pPr>
              <w:spacing w:after="0"/>
              <w:rPr>
                <w:sz w:val="20"/>
                <w:szCs w:val="20"/>
                <w:color w:val="auto"/>
              </w:rPr>
            </w:pPr>
            <w:r>
              <w:rPr>
                <w:rFonts w:ascii="Arial" w:cs="Arial" w:eastAsia="Arial" w:hAnsi="Arial"/>
                <w:sz w:val="18"/>
                <w:szCs w:val="18"/>
                <w:b w:val="1"/>
                <w:bCs w:val="1"/>
                <w:color w:val="004483"/>
              </w:rPr>
              <w:t>Property, Plant, and Equipment</w:t>
            </w:r>
          </w:p>
        </w:tc>
        <w:tc>
          <w:tcPr>
            <w:tcW w:w="160" w:type="dxa"/>
            <w:vAlign w:val="bottom"/>
          </w:tcPr>
          <w:p>
            <w:pPr>
              <w:spacing w:after="0"/>
              <w:rPr>
                <w:sz w:val="24"/>
                <w:szCs w:val="24"/>
                <w:color w:val="auto"/>
              </w:rPr>
            </w:pP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35,097</w:t>
            </w:r>
          </w:p>
        </w:tc>
      </w:tr>
      <w:tr>
        <w:trPr>
          <w:trHeight w:val="42"/>
        </w:trPr>
        <w:tc>
          <w:tcPr>
            <w:tcW w:w="92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9220" w:type="dxa"/>
            <w:vAlign w:val="bottom"/>
          </w:tcPr>
          <w:p>
            <w:pPr>
              <w:spacing w:after="0"/>
              <w:rPr>
                <w:sz w:val="20"/>
                <w:szCs w:val="20"/>
                <w:color w:val="auto"/>
              </w:rPr>
            </w:pPr>
            <w:r>
              <w:rPr>
                <w:rFonts w:ascii="Arial" w:cs="Arial" w:eastAsia="Arial" w:hAnsi="Arial"/>
                <w:sz w:val="18"/>
                <w:szCs w:val="18"/>
                <w:b w:val="1"/>
                <w:bCs w:val="1"/>
                <w:color w:val="004483"/>
              </w:rPr>
              <w:t>Intangible Assets</w:t>
            </w:r>
          </w:p>
        </w:tc>
        <w:tc>
          <w:tcPr>
            <w:tcW w:w="160" w:type="dxa"/>
            <w:vAlign w:val="bottom"/>
          </w:tcPr>
          <w:p>
            <w:pPr>
              <w:spacing w:after="0"/>
              <w:rPr>
                <w:sz w:val="24"/>
                <w:szCs w:val="24"/>
                <w:color w:val="auto"/>
              </w:rPr>
            </w:pP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38,600</w:t>
            </w:r>
          </w:p>
        </w:tc>
      </w:tr>
      <w:tr>
        <w:trPr>
          <w:trHeight w:val="42"/>
        </w:trPr>
        <w:tc>
          <w:tcPr>
            <w:tcW w:w="92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9220" w:type="dxa"/>
            <w:vAlign w:val="bottom"/>
          </w:tcPr>
          <w:p>
            <w:pPr>
              <w:spacing w:after="0"/>
              <w:rPr>
                <w:sz w:val="20"/>
                <w:szCs w:val="20"/>
                <w:color w:val="auto"/>
              </w:rPr>
            </w:pPr>
            <w:r>
              <w:rPr>
                <w:rFonts w:ascii="Arial" w:cs="Arial" w:eastAsia="Arial" w:hAnsi="Arial"/>
                <w:sz w:val="18"/>
                <w:szCs w:val="18"/>
                <w:b w:val="1"/>
                <w:bCs w:val="1"/>
                <w:color w:val="004483"/>
              </w:rPr>
              <w:t>Accounts Payable and Accrued Liabilities</w:t>
            </w:r>
          </w:p>
        </w:tc>
        <w:tc>
          <w:tcPr>
            <w:tcW w:w="160" w:type="dxa"/>
            <w:vAlign w:val="bottom"/>
          </w:tcPr>
          <w:p>
            <w:pPr>
              <w:spacing w:after="0"/>
              <w:rPr>
                <w:sz w:val="24"/>
                <w:szCs w:val="24"/>
                <w:color w:val="auto"/>
              </w:rPr>
            </w:pP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(327)</w:t>
            </w:r>
          </w:p>
        </w:tc>
      </w:tr>
      <w:tr>
        <w:trPr>
          <w:trHeight w:val="42"/>
        </w:trPr>
        <w:tc>
          <w:tcPr>
            <w:tcW w:w="92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9220" w:type="dxa"/>
            <w:vAlign w:val="bottom"/>
          </w:tcPr>
          <w:p>
            <w:pPr>
              <w:spacing w:after="0"/>
              <w:rPr>
                <w:sz w:val="20"/>
                <w:szCs w:val="20"/>
                <w:color w:val="auto"/>
              </w:rPr>
            </w:pPr>
            <w:r>
              <w:rPr>
                <w:rFonts w:ascii="Arial" w:cs="Arial" w:eastAsia="Arial" w:hAnsi="Arial"/>
                <w:sz w:val="18"/>
                <w:szCs w:val="18"/>
                <w:b w:val="1"/>
                <w:bCs w:val="1"/>
                <w:color w:val="004483"/>
              </w:rPr>
              <w:t>Other Long-Term Liabilities</w:t>
            </w:r>
          </w:p>
        </w:tc>
        <w:tc>
          <w:tcPr>
            <w:tcW w:w="160" w:type="dxa"/>
            <w:vAlign w:val="bottom"/>
          </w:tcPr>
          <w:p>
            <w:pPr>
              <w:spacing w:after="0"/>
              <w:rPr>
                <w:sz w:val="24"/>
                <w:szCs w:val="24"/>
                <w:color w:val="auto"/>
              </w:rPr>
            </w:pPr>
          </w:p>
        </w:tc>
        <w:tc>
          <w:tcPr>
            <w:tcW w:w="1860" w:type="dxa"/>
            <w:vAlign w:val="bottom"/>
          </w:tcPr>
          <w:p>
            <w:pPr>
              <w:jc w:val="right"/>
              <w:ind w:right="92"/>
              <w:spacing w:after="0"/>
              <w:rPr>
                <w:sz w:val="20"/>
                <w:szCs w:val="20"/>
                <w:color w:val="auto"/>
              </w:rPr>
            </w:pPr>
            <w:r>
              <w:rPr>
                <w:rFonts w:ascii="Arial" w:cs="Arial" w:eastAsia="Arial" w:hAnsi="Arial"/>
                <w:sz w:val="18"/>
                <w:szCs w:val="18"/>
                <w:color w:val="auto"/>
              </w:rPr>
              <w:t>(792)</w:t>
            </w:r>
          </w:p>
        </w:tc>
      </w:tr>
      <w:tr>
        <w:trPr>
          <w:trHeight w:val="69"/>
        </w:trPr>
        <w:tc>
          <w:tcPr>
            <w:tcW w:w="922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89"/>
        </w:trPr>
        <w:tc>
          <w:tcPr>
            <w:tcW w:w="9220" w:type="dxa"/>
            <w:vAlign w:val="bottom"/>
          </w:tcPr>
          <w:p>
            <w:pPr>
              <w:ind w:left="180"/>
              <w:spacing w:after="0"/>
              <w:rPr>
                <w:sz w:val="20"/>
                <w:szCs w:val="20"/>
                <w:color w:val="auto"/>
              </w:rPr>
            </w:pPr>
            <w:r>
              <w:rPr>
                <w:rFonts w:ascii="Arial" w:cs="Arial" w:eastAsia="Arial" w:hAnsi="Arial"/>
                <w:sz w:val="18"/>
                <w:szCs w:val="18"/>
                <w:b w:val="1"/>
                <w:bCs w:val="1"/>
                <w:color w:val="auto"/>
              </w:rPr>
              <w:t>Total Net Assets Acquired</w:t>
            </w:r>
          </w:p>
        </w:tc>
        <w:tc>
          <w:tcPr>
            <w:tcW w:w="160" w:type="dxa"/>
            <w:vAlign w:val="bottom"/>
          </w:tcPr>
          <w:p>
            <w:pPr>
              <w:spacing w:after="0"/>
              <w:rPr>
                <w:sz w:val="24"/>
                <w:szCs w:val="24"/>
                <w:color w:val="auto"/>
              </w:rPr>
            </w:pP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77,604</w:t>
            </w:r>
          </w:p>
        </w:tc>
      </w:tr>
      <w:tr>
        <w:trPr>
          <w:trHeight w:val="42"/>
        </w:trPr>
        <w:tc>
          <w:tcPr>
            <w:tcW w:w="92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9220" w:type="dxa"/>
            <w:vAlign w:val="bottom"/>
          </w:tcPr>
          <w:p>
            <w:pPr>
              <w:spacing w:after="0"/>
              <w:rPr>
                <w:sz w:val="20"/>
                <w:szCs w:val="20"/>
                <w:color w:val="auto"/>
              </w:rPr>
            </w:pPr>
            <w:r>
              <w:rPr>
                <w:rFonts w:ascii="Arial" w:cs="Arial" w:eastAsia="Arial" w:hAnsi="Arial"/>
                <w:sz w:val="18"/>
                <w:szCs w:val="18"/>
                <w:b w:val="1"/>
                <w:bCs w:val="1"/>
                <w:color w:val="004483"/>
              </w:rPr>
              <w:t>Goodwill</w:t>
            </w:r>
          </w:p>
        </w:tc>
        <w:tc>
          <w:tcPr>
            <w:tcW w:w="160" w:type="dxa"/>
            <w:vAlign w:val="bottom"/>
          </w:tcPr>
          <w:p>
            <w:pPr>
              <w:spacing w:after="0"/>
              <w:rPr>
                <w:sz w:val="24"/>
                <w:szCs w:val="24"/>
                <w:color w:val="auto"/>
              </w:rPr>
            </w:pPr>
          </w:p>
        </w:tc>
        <w:tc>
          <w:tcPr>
            <w:tcW w:w="1860" w:type="dxa"/>
            <w:vAlign w:val="bottom"/>
          </w:tcPr>
          <w:p>
            <w:pPr>
              <w:jc w:val="right"/>
              <w:ind w:right="172"/>
              <w:spacing w:after="0"/>
              <w:rPr>
                <w:sz w:val="20"/>
                <w:szCs w:val="20"/>
                <w:color w:val="auto"/>
              </w:rPr>
            </w:pPr>
            <w:r>
              <w:rPr>
                <w:rFonts w:ascii="Arial" w:cs="Arial" w:eastAsia="Arial" w:hAnsi="Arial"/>
                <w:sz w:val="18"/>
                <w:szCs w:val="18"/>
                <w:color w:val="auto"/>
              </w:rPr>
              <w:t>72,343</w:t>
            </w:r>
          </w:p>
        </w:tc>
      </w:tr>
      <w:tr>
        <w:trPr>
          <w:trHeight w:val="69"/>
        </w:trPr>
        <w:tc>
          <w:tcPr>
            <w:tcW w:w="9220" w:type="dxa"/>
            <w:vAlign w:val="bottom"/>
            <w:tcBorders>
              <w:bottom w:val="single" w:sz="8" w:color="A6A6A6"/>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89"/>
        </w:trPr>
        <w:tc>
          <w:tcPr>
            <w:tcW w:w="9220" w:type="dxa"/>
            <w:vAlign w:val="bottom"/>
          </w:tcPr>
          <w:p>
            <w:pPr>
              <w:ind w:left="180"/>
              <w:spacing w:after="0"/>
              <w:rPr>
                <w:sz w:val="20"/>
                <w:szCs w:val="20"/>
                <w:color w:val="auto"/>
              </w:rPr>
            </w:pPr>
            <w:r>
              <w:rPr>
                <w:rFonts w:ascii="Arial" w:cs="Arial" w:eastAsia="Arial" w:hAnsi="Arial"/>
                <w:sz w:val="18"/>
                <w:szCs w:val="18"/>
                <w:b w:val="1"/>
                <w:bCs w:val="1"/>
                <w:color w:val="auto"/>
              </w:rPr>
              <w:t>Total Purchase Price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Pr>
          <w:p>
            <w:pPr>
              <w:jc w:val="right"/>
              <w:ind w:right="172"/>
              <w:spacing w:after="0"/>
              <w:rPr>
                <w:sz w:val="20"/>
                <w:szCs w:val="20"/>
                <w:color w:val="auto"/>
              </w:rPr>
            </w:pPr>
            <w:r>
              <w:rPr>
                <w:rFonts w:ascii="Arial" w:cs="Arial" w:eastAsia="Arial" w:hAnsi="Arial"/>
                <w:sz w:val="18"/>
                <w:szCs w:val="18"/>
                <w:b w:val="1"/>
                <w:bCs w:val="1"/>
                <w:color w:val="auto"/>
              </w:rPr>
              <w:t>149,947</w:t>
            </w:r>
          </w:p>
        </w:tc>
      </w:tr>
      <w:tr>
        <w:trPr>
          <w:trHeight w:val="42"/>
        </w:trPr>
        <w:tc>
          <w:tcPr>
            <w:tcW w:w="9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0"/>
        </w:trPr>
        <w:tc>
          <w:tcPr>
            <w:tcW w:w="9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estimated useful lives assigned to Property, Plant, and Equipment range from 5 to 30 years. Goodwill represents the excess purchase price over the fair value of the assets acquired and the liabilities assumed. The Goodwill was generated by the availability of co-product sales and the opportunity associated with the expansion of our Aggregates business to the Western Pennsylvania region of the United States. All Goodwill generated from the Western Pennsylvania Acquisition is deductible for income tax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fair value estimates of the identifiable intangible assets and their weighted-average useful lives.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1740" w:type="dxa"/>
            <w:vAlign w:val="bottom"/>
          </w:tcPr>
          <w:p>
            <w:pPr>
              <w:jc w:val="right"/>
              <w:ind w:right="75"/>
              <w:spacing w:after="0"/>
              <w:rPr>
                <w:sz w:val="20"/>
                <w:szCs w:val="20"/>
                <w:color w:val="auto"/>
              </w:rPr>
            </w:pPr>
            <w:r>
              <w:rPr>
                <w:rFonts w:ascii="Arial" w:cs="Arial" w:eastAsia="Arial" w:hAnsi="Arial"/>
                <w:sz w:val="16"/>
                <w:szCs w:val="16"/>
                <w:b w:val="1"/>
                <w:bCs w:val="1"/>
                <w:color w:val="auto"/>
              </w:rPr>
              <w:t>Weighted-Average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ind w:right="34"/>
              <w:spacing w:after="0"/>
              <w:rPr>
                <w:sz w:val="20"/>
                <w:szCs w:val="20"/>
                <w:color w:val="auto"/>
              </w:rPr>
            </w:pPr>
            <w:r>
              <w:rPr>
                <w:rFonts w:ascii="Arial" w:cs="Arial" w:eastAsia="Arial" w:hAnsi="Arial"/>
                <w:sz w:val="16"/>
                <w:szCs w:val="16"/>
                <w:b w:val="1"/>
                <w:bCs w:val="1"/>
                <w:color w:val="auto"/>
              </w:rPr>
              <w:t>Estimated Fair Value</w:t>
            </w:r>
          </w:p>
        </w:tc>
      </w:tr>
      <w:tr>
        <w:trPr>
          <w:trHeight w:val="237"/>
        </w:trPr>
        <w:tc>
          <w:tcPr>
            <w:tcW w:w="7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Life</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(dollars in thousands)</w:t>
            </w:r>
          </w:p>
        </w:tc>
      </w:tr>
      <w:tr>
        <w:trPr>
          <w:trHeight w:val="295"/>
        </w:trPr>
        <w:tc>
          <w:tcPr>
            <w:tcW w:w="7220" w:type="dxa"/>
            <w:vAlign w:val="bottom"/>
          </w:tcPr>
          <w:p>
            <w:pPr>
              <w:spacing w:after="0"/>
              <w:rPr>
                <w:sz w:val="20"/>
                <w:szCs w:val="20"/>
                <w:color w:val="auto"/>
              </w:rPr>
            </w:pPr>
            <w:r>
              <w:rPr>
                <w:rFonts w:ascii="Arial" w:cs="Arial" w:eastAsia="Arial" w:hAnsi="Arial"/>
                <w:sz w:val="18"/>
                <w:szCs w:val="18"/>
                <w:b w:val="1"/>
                <w:bCs w:val="1"/>
                <w:color w:val="004483"/>
              </w:rPr>
              <w:t>Customer Relationships</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38,100</w:t>
            </w:r>
          </w:p>
        </w:tc>
      </w:tr>
      <w:tr>
        <w:trPr>
          <w:trHeight w:val="42"/>
        </w:trPr>
        <w:tc>
          <w:tcPr>
            <w:tcW w:w="722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900" w:type="dxa"/>
            <w:vAlign w:val="bottom"/>
            <w:tcBorders>
              <w:bottom w:val="single" w:sz="8" w:color="A6A6A6"/>
            </w:tcBorders>
          </w:tcPr>
          <w:p>
            <w:pPr>
              <w:spacing w:after="0"/>
              <w:rPr>
                <w:sz w:val="3"/>
                <w:szCs w:val="3"/>
                <w:color w:val="auto"/>
              </w:rPr>
            </w:pPr>
          </w:p>
        </w:tc>
      </w:tr>
      <w:tr>
        <w:trPr>
          <w:trHeight w:val="289"/>
        </w:trPr>
        <w:tc>
          <w:tcPr>
            <w:tcW w:w="7220" w:type="dxa"/>
            <w:vAlign w:val="bottom"/>
          </w:tcPr>
          <w:p>
            <w:pPr>
              <w:spacing w:after="0"/>
              <w:rPr>
                <w:sz w:val="20"/>
                <w:szCs w:val="20"/>
                <w:color w:val="auto"/>
              </w:rPr>
            </w:pPr>
            <w:r>
              <w:rPr>
                <w:rFonts w:ascii="Arial" w:cs="Arial" w:eastAsia="Arial" w:hAnsi="Arial"/>
                <w:sz w:val="18"/>
                <w:szCs w:val="18"/>
                <w:b w:val="1"/>
                <w:bCs w:val="1"/>
                <w:color w:val="004483"/>
              </w:rPr>
              <w:t>Trade Name and Technology</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500</w:t>
            </w:r>
          </w:p>
        </w:tc>
      </w:tr>
      <w:tr>
        <w:trPr>
          <w:trHeight w:val="69"/>
        </w:trPr>
        <w:tc>
          <w:tcPr>
            <w:tcW w:w="7220" w:type="dxa"/>
            <w:vAlign w:val="bottom"/>
            <w:tcBorders>
              <w:bottom w:val="single" w:sz="8" w:color="A6A6A6"/>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r>
      <w:tr>
        <w:trPr>
          <w:trHeight w:val="289"/>
        </w:trPr>
        <w:tc>
          <w:tcPr>
            <w:tcW w:w="722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74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ind w:right="34"/>
              <w:spacing w:after="0"/>
              <w:rPr>
                <w:sz w:val="20"/>
                <w:szCs w:val="20"/>
                <w:color w:val="auto"/>
              </w:rPr>
            </w:pPr>
            <w:r>
              <w:rPr>
                <w:rFonts w:ascii="Arial" w:cs="Arial" w:eastAsia="Arial" w:hAnsi="Arial"/>
                <w:sz w:val="18"/>
                <w:szCs w:val="18"/>
                <w:b w:val="1"/>
                <w:bCs w:val="1"/>
                <w:color w:val="auto"/>
              </w:rPr>
              <w:t>38,600</w:t>
            </w:r>
          </w:p>
        </w:tc>
      </w:tr>
      <w:tr>
        <w:trPr>
          <w:trHeight w:val="42"/>
        </w:trPr>
        <w:tc>
          <w:tcPr>
            <w:tcW w:w="72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0"/>
        </w:trPr>
        <w:tc>
          <w:tcPr>
            <w:tcW w:w="7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right="60"/>
        <w:spacing w:after="0" w:line="271" w:lineRule="auto"/>
        <w:rPr>
          <w:sz w:val="20"/>
          <w:szCs w:val="20"/>
          <w:color w:val="auto"/>
        </w:rPr>
      </w:pPr>
      <w:r>
        <w:rPr>
          <w:rFonts w:ascii="Arial" w:cs="Arial" w:eastAsia="Arial" w:hAnsi="Arial"/>
          <w:sz w:val="18"/>
          <w:szCs w:val="18"/>
          <w:color w:val="auto"/>
        </w:rPr>
        <w:t>The following table presents the Revenue and Operating Earnings related to the Western Pennsylvania Acquisition that has been included in our Consolidated Statement of Earnings for the fiscal year ended March 31, 2026.</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960" w:type="dxa"/>
            <w:vAlign w:val="bottom"/>
          </w:tcPr>
          <w:p>
            <w:pPr>
              <w:jc w:val="right"/>
              <w:ind w:right="177"/>
              <w:spacing w:after="0"/>
              <w:rPr>
                <w:sz w:val="20"/>
                <w:szCs w:val="20"/>
                <w:color w:val="auto"/>
              </w:rPr>
            </w:pPr>
            <w:r>
              <w:rPr>
                <w:rFonts w:ascii="Arial" w:cs="Arial" w:eastAsia="Arial" w:hAnsi="Arial"/>
                <w:sz w:val="16"/>
                <w:szCs w:val="16"/>
                <w:b w:val="1"/>
                <w:bCs w:val="1"/>
                <w:color w:val="auto"/>
              </w:rPr>
              <w:t>For the Year Ended March 31, 2026</w:t>
            </w:r>
          </w:p>
        </w:tc>
      </w:tr>
      <w:tr>
        <w:trPr>
          <w:trHeight w:val="205"/>
        </w:trPr>
        <w:tc>
          <w:tcPr>
            <w:tcW w:w="49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color w:val="auto"/>
              </w:rPr>
              <w:t>(dollars in thousands)</w:t>
            </w:r>
          </w:p>
        </w:tc>
      </w:tr>
      <w:tr>
        <w:trPr>
          <w:trHeight w:val="295"/>
        </w:trPr>
        <w:tc>
          <w:tcPr>
            <w:tcW w:w="4920" w:type="dxa"/>
            <w:vAlign w:val="bottom"/>
          </w:tcPr>
          <w:p>
            <w:pPr>
              <w:spacing w:after="0"/>
              <w:rPr>
                <w:sz w:val="20"/>
                <w:szCs w:val="20"/>
                <w:color w:val="auto"/>
              </w:rPr>
            </w:pPr>
            <w:r>
              <w:rPr>
                <w:rFonts w:ascii="Arial" w:cs="Arial" w:eastAsia="Arial" w:hAnsi="Arial"/>
                <w:sz w:val="18"/>
                <w:szCs w:val="18"/>
                <w:b w:val="1"/>
                <w:bCs w:val="1"/>
                <w:color w:val="004483"/>
              </w:rPr>
              <w:t>Revenue</w:t>
            </w:r>
          </w:p>
        </w:tc>
        <w:tc>
          <w:tcPr>
            <w:tcW w:w="3360" w:type="dxa"/>
            <w:vAlign w:val="bottom"/>
          </w:tcPr>
          <w:p>
            <w:pPr>
              <w:jc w:val="right"/>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37"/>
              <w:spacing w:after="0"/>
              <w:rPr>
                <w:sz w:val="20"/>
                <w:szCs w:val="20"/>
                <w:color w:val="auto"/>
              </w:rPr>
            </w:pPr>
            <w:r>
              <w:rPr>
                <w:rFonts w:ascii="Arial" w:cs="Arial" w:eastAsia="Arial" w:hAnsi="Arial"/>
                <w:sz w:val="18"/>
                <w:szCs w:val="18"/>
                <w:color w:val="auto"/>
              </w:rPr>
              <w:t>28,612</w:t>
            </w:r>
          </w:p>
        </w:tc>
      </w:tr>
      <w:tr>
        <w:trPr>
          <w:trHeight w:val="42"/>
        </w:trPr>
        <w:tc>
          <w:tcPr>
            <w:tcW w:w="4920" w:type="dxa"/>
            <w:vAlign w:val="bottom"/>
            <w:tcBorders>
              <w:bottom w:val="single" w:sz="8" w:color="A6A6A6"/>
            </w:tcBorders>
          </w:tcPr>
          <w:p>
            <w:pPr>
              <w:spacing w:after="0"/>
              <w:rPr>
                <w:sz w:val="3"/>
                <w:szCs w:val="3"/>
                <w:color w:val="auto"/>
              </w:rPr>
            </w:pPr>
          </w:p>
        </w:tc>
        <w:tc>
          <w:tcPr>
            <w:tcW w:w="3360" w:type="dxa"/>
            <w:vAlign w:val="bottom"/>
            <w:tcBorders>
              <w:bottom w:val="single" w:sz="8" w:color="A6A6A6"/>
            </w:tcBorders>
          </w:tcPr>
          <w:p>
            <w:pPr>
              <w:spacing w:after="0"/>
              <w:rPr>
                <w:sz w:val="3"/>
                <w:szCs w:val="3"/>
                <w:color w:val="auto"/>
              </w:rPr>
            </w:pPr>
          </w:p>
        </w:tc>
        <w:tc>
          <w:tcPr>
            <w:tcW w:w="2960" w:type="dxa"/>
            <w:vAlign w:val="bottom"/>
            <w:tcBorders>
              <w:bottom w:val="single" w:sz="8" w:color="A6A6A6"/>
            </w:tcBorders>
          </w:tcPr>
          <w:p>
            <w:pPr>
              <w:spacing w:after="0"/>
              <w:rPr>
                <w:sz w:val="3"/>
                <w:szCs w:val="3"/>
                <w:color w:val="auto"/>
              </w:rPr>
            </w:pPr>
          </w:p>
        </w:tc>
      </w:tr>
      <w:tr>
        <w:trPr>
          <w:trHeight w:val="289"/>
        </w:trPr>
        <w:tc>
          <w:tcPr>
            <w:tcW w:w="4920" w:type="dxa"/>
            <w:vAlign w:val="bottom"/>
          </w:tcPr>
          <w:p>
            <w:pPr>
              <w:spacing w:after="0"/>
              <w:rPr>
                <w:sz w:val="20"/>
                <w:szCs w:val="20"/>
                <w:color w:val="auto"/>
              </w:rPr>
            </w:pPr>
            <w:r>
              <w:rPr>
                <w:rFonts w:ascii="Arial" w:cs="Arial" w:eastAsia="Arial" w:hAnsi="Arial"/>
                <w:sz w:val="18"/>
                <w:szCs w:val="18"/>
                <w:b w:val="1"/>
                <w:bCs w:val="1"/>
                <w:color w:val="004483"/>
              </w:rPr>
              <w:t>Operating Earnings</w:t>
            </w:r>
          </w:p>
        </w:tc>
        <w:tc>
          <w:tcPr>
            <w:tcW w:w="3360" w:type="dxa"/>
            <w:vAlign w:val="bottom"/>
          </w:tcPr>
          <w:p>
            <w:pPr>
              <w:jc w:val="right"/>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37"/>
              <w:spacing w:after="0"/>
              <w:rPr>
                <w:sz w:val="20"/>
                <w:szCs w:val="20"/>
                <w:color w:val="auto"/>
              </w:rPr>
            </w:pPr>
            <w:r>
              <w:rPr>
                <w:rFonts w:ascii="Arial" w:cs="Arial" w:eastAsia="Arial" w:hAnsi="Arial"/>
                <w:sz w:val="18"/>
                <w:szCs w:val="18"/>
                <w:color w:val="auto"/>
              </w:rPr>
              <w:t>5,377</w:t>
            </w:r>
          </w:p>
        </w:tc>
      </w:tr>
      <w:tr>
        <w:trPr>
          <w:trHeight w:val="42"/>
        </w:trPr>
        <w:tc>
          <w:tcPr>
            <w:tcW w:w="4920" w:type="dxa"/>
            <w:vAlign w:val="bottom"/>
            <w:tcBorders>
              <w:bottom w:val="single" w:sz="8" w:color="A6A6A6"/>
            </w:tcBorders>
          </w:tcPr>
          <w:p>
            <w:pPr>
              <w:spacing w:after="0"/>
              <w:rPr>
                <w:sz w:val="3"/>
                <w:szCs w:val="3"/>
                <w:color w:val="auto"/>
              </w:rPr>
            </w:pPr>
          </w:p>
        </w:tc>
        <w:tc>
          <w:tcPr>
            <w:tcW w:w="3360" w:type="dxa"/>
            <w:vAlign w:val="bottom"/>
            <w:tcBorders>
              <w:bottom w:val="single" w:sz="8" w:color="A6A6A6"/>
            </w:tcBorders>
          </w:tcPr>
          <w:p>
            <w:pPr>
              <w:spacing w:after="0"/>
              <w:rPr>
                <w:sz w:val="3"/>
                <w:szCs w:val="3"/>
                <w:color w:val="auto"/>
              </w:rPr>
            </w:pPr>
          </w:p>
        </w:tc>
        <w:tc>
          <w:tcPr>
            <w:tcW w:w="2960" w:type="dxa"/>
            <w:vAlign w:val="bottom"/>
            <w:tcBorders>
              <w:bottom w:val="single" w:sz="8" w:color="A6A6A6"/>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Included in Operating Earnings shown above is approximately $6.7 million related to depreciation and amortization.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(C) PROPERTY, PLANT, AND EQUIPMENT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Cost by major category and Accumulated Depreciation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196"/>
        </w:trPr>
        <w:tc>
          <w:tcPr>
            <w:tcW w:w="7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2025</w:t>
            </w:r>
          </w:p>
        </w:tc>
      </w:tr>
      <w:tr>
        <w:trPr>
          <w:trHeight w:val="203"/>
        </w:trPr>
        <w:tc>
          <w:tcPr>
            <w:tcW w:w="7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rPr>
              <w:t>(dollars in thousands)</w:t>
            </w:r>
          </w:p>
        </w:tc>
        <w:tc>
          <w:tcPr>
            <w:tcW w:w="1220" w:type="dxa"/>
            <w:vAlign w:val="bottom"/>
            <w:tcBorders>
              <w:bottom w:val="single" w:sz="8" w:color="auto"/>
            </w:tcBorders>
          </w:tcPr>
          <w:p>
            <w:pPr>
              <w:spacing w:after="0"/>
              <w:rPr>
                <w:sz w:val="17"/>
                <w:szCs w:val="17"/>
                <w:color w:val="auto"/>
              </w:rPr>
            </w:pPr>
          </w:p>
        </w:tc>
      </w:tr>
      <w:tr>
        <w:trPr>
          <w:trHeight w:val="296"/>
        </w:trPr>
        <w:tc>
          <w:tcPr>
            <w:tcW w:w="7400" w:type="dxa"/>
            <w:vAlign w:val="bottom"/>
          </w:tcPr>
          <w:p>
            <w:pPr>
              <w:spacing w:after="0"/>
              <w:rPr>
                <w:sz w:val="20"/>
                <w:szCs w:val="20"/>
                <w:color w:val="auto"/>
              </w:rPr>
            </w:pPr>
            <w:r>
              <w:rPr>
                <w:rFonts w:ascii="Arial" w:cs="Arial" w:eastAsia="Arial" w:hAnsi="Arial"/>
                <w:sz w:val="18"/>
                <w:szCs w:val="18"/>
                <w:b w:val="1"/>
                <w:bCs w:val="1"/>
                <w:color w:val="004483"/>
              </w:rPr>
              <w:t>Land and Quarries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377,572</w:t>
            </w: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364,547</w:t>
            </w:r>
          </w:p>
        </w:tc>
      </w:tr>
      <w:tr>
        <w:trPr>
          <w:trHeight w:val="42"/>
        </w:trPr>
        <w:tc>
          <w:tcPr>
            <w:tcW w:w="740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r>
      <w:tr>
        <w:trPr>
          <w:trHeight w:val="289"/>
        </w:trPr>
        <w:tc>
          <w:tcPr>
            <w:tcW w:w="7400" w:type="dxa"/>
            <w:vAlign w:val="bottom"/>
          </w:tcPr>
          <w:p>
            <w:pPr>
              <w:spacing w:after="0"/>
              <w:rPr>
                <w:sz w:val="20"/>
                <w:szCs w:val="20"/>
                <w:color w:val="auto"/>
              </w:rPr>
            </w:pPr>
            <w:r>
              <w:rPr>
                <w:rFonts w:ascii="Arial" w:cs="Arial" w:eastAsia="Arial" w:hAnsi="Arial"/>
                <w:sz w:val="18"/>
                <w:szCs w:val="18"/>
                <w:b w:val="1"/>
                <w:bCs w:val="1"/>
                <w:color w:val="004483"/>
              </w:rPr>
              <w:t>Plants</w:t>
            </w:r>
          </w:p>
        </w:tc>
        <w:tc>
          <w:tcPr>
            <w:tcW w:w="40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2,730,743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2,567,537</w:t>
            </w:r>
          </w:p>
        </w:tc>
      </w:tr>
      <w:tr>
        <w:trPr>
          <w:trHeight w:val="42"/>
        </w:trPr>
        <w:tc>
          <w:tcPr>
            <w:tcW w:w="740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r>
      <w:tr>
        <w:trPr>
          <w:trHeight w:val="289"/>
        </w:trPr>
        <w:tc>
          <w:tcPr>
            <w:tcW w:w="7400" w:type="dxa"/>
            <w:vAlign w:val="bottom"/>
          </w:tcPr>
          <w:p>
            <w:pPr>
              <w:spacing w:after="0"/>
              <w:rPr>
                <w:sz w:val="20"/>
                <w:szCs w:val="20"/>
                <w:color w:val="auto"/>
              </w:rPr>
            </w:pPr>
            <w:r>
              <w:rPr>
                <w:rFonts w:ascii="Arial" w:cs="Arial" w:eastAsia="Arial" w:hAnsi="Arial"/>
                <w:sz w:val="18"/>
                <w:szCs w:val="18"/>
                <w:b w:val="1"/>
                <w:bCs w:val="1"/>
                <w:color w:val="004483"/>
              </w:rPr>
              <w:t>Buildings, Machinery, and Equipment</w:t>
            </w:r>
          </w:p>
        </w:tc>
        <w:tc>
          <w:tcPr>
            <w:tcW w:w="40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301,209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312,872</w:t>
            </w:r>
          </w:p>
        </w:tc>
      </w:tr>
      <w:tr>
        <w:trPr>
          <w:trHeight w:val="42"/>
        </w:trPr>
        <w:tc>
          <w:tcPr>
            <w:tcW w:w="740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13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5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r>
      <w:tr>
        <w:trPr>
          <w:trHeight w:val="289"/>
        </w:trPr>
        <w:tc>
          <w:tcPr>
            <w:tcW w:w="7400" w:type="dxa"/>
            <w:vAlign w:val="bottom"/>
          </w:tcPr>
          <w:p>
            <w:pPr>
              <w:spacing w:after="0"/>
              <w:rPr>
                <w:sz w:val="20"/>
                <w:szCs w:val="20"/>
                <w:color w:val="auto"/>
              </w:rPr>
            </w:pPr>
            <w:r>
              <w:rPr>
                <w:rFonts w:ascii="Arial" w:cs="Arial" w:eastAsia="Arial" w:hAnsi="Arial"/>
                <w:sz w:val="18"/>
                <w:szCs w:val="18"/>
                <w:b w:val="1"/>
                <w:bCs w:val="1"/>
                <w:color w:val="004483"/>
              </w:rPr>
              <w:t>Construction in Progress</w:t>
            </w:r>
          </w:p>
        </w:tc>
        <w:tc>
          <w:tcPr>
            <w:tcW w:w="40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417,798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178,172</w:t>
            </w:r>
          </w:p>
        </w:tc>
      </w:tr>
      <w:tr>
        <w:trPr>
          <w:trHeight w:val="69"/>
        </w:trPr>
        <w:tc>
          <w:tcPr>
            <w:tcW w:w="7400" w:type="dxa"/>
            <w:vAlign w:val="bottom"/>
            <w:tcBorders>
              <w:bottom w:val="single" w:sz="8" w:color="A6A6A6"/>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81"/>
        </w:trPr>
        <w:tc>
          <w:tcPr>
            <w:tcW w:w="7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3,827,322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3,423,128</w:t>
            </w:r>
          </w:p>
        </w:tc>
      </w:tr>
      <w:tr>
        <w:trPr>
          <w:trHeight w:val="50"/>
        </w:trPr>
        <w:tc>
          <w:tcPr>
            <w:tcW w:w="7400" w:type="dxa"/>
            <w:vAlign w:val="bottom"/>
            <w:tcBorders>
              <w:bottom w:val="single" w:sz="8" w:color="A6A6A6"/>
            </w:tcBorders>
          </w:tcPr>
          <w:p>
            <w:pPr>
              <w:spacing w:after="0"/>
              <w:rPr>
                <w:sz w:val="4"/>
                <w:szCs w:val="4"/>
                <w:color w:val="auto"/>
              </w:rPr>
            </w:pPr>
          </w:p>
        </w:tc>
        <w:tc>
          <w:tcPr>
            <w:tcW w:w="400" w:type="dxa"/>
            <w:vAlign w:val="bottom"/>
            <w:tcBorders>
              <w:bottom w:val="single" w:sz="8" w:color="A6A6A6"/>
            </w:tcBorders>
          </w:tcPr>
          <w:p>
            <w:pPr>
              <w:spacing w:after="0"/>
              <w:rPr>
                <w:sz w:val="4"/>
                <w:szCs w:val="4"/>
                <w:color w:val="auto"/>
              </w:rPr>
            </w:pPr>
          </w:p>
        </w:tc>
        <w:tc>
          <w:tcPr>
            <w:tcW w:w="132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540" w:type="dxa"/>
            <w:vAlign w:val="bottom"/>
            <w:tcBorders>
              <w:bottom w:val="single" w:sz="8" w:color="A6A6A6"/>
            </w:tcBorders>
          </w:tcPr>
          <w:p>
            <w:pPr>
              <w:spacing w:after="0"/>
              <w:rPr>
                <w:sz w:val="4"/>
                <w:szCs w:val="4"/>
                <w:color w:val="auto"/>
              </w:rPr>
            </w:pPr>
          </w:p>
        </w:tc>
        <w:tc>
          <w:tcPr>
            <w:tcW w:w="1220" w:type="dxa"/>
            <w:vAlign w:val="bottom"/>
            <w:tcBorders>
              <w:bottom w:val="single" w:sz="8" w:color="A6A6A6"/>
            </w:tcBorders>
          </w:tcPr>
          <w:p>
            <w:pPr>
              <w:spacing w:after="0"/>
              <w:rPr>
                <w:sz w:val="4"/>
                <w:szCs w:val="4"/>
                <w:color w:val="auto"/>
              </w:rPr>
            </w:pPr>
          </w:p>
        </w:tc>
      </w:tr>
      <w:tr>
        <w:trPr>
          <w:trHeight w:val="289"/>
        </w:trPr>
        <w:tc>
          <w:tcPr>
            <w:tcW w:w="7400" w:type="dxa"/>
            <w:vAlign w:val="bottom"/>
          </w:tcPr>
          <w:p>
            <w:pPr>
              <w:spacing w:after="0"/>
              <w:rPr>
                <w:sz w:val="20"/>
                <w:szCs w:val="20"/>
                <w:color w:val="auto"/>
              </w:rPr>
            </w:pPr>
            <w:r>
              <w:rPr>
                <w:rFonts w:ascii="Arial" w:cs="Arial" w:eastAsia="Arial" w:hAnsi="Arial"/>
                <w:sz w:val="18"/>
                <w:szCs w:val="18"/>
                <w:b w:val="1"/>
                <w:bCs w:val="1"/>
                <w:color w:val="004483"/>
              </w:rPr>
              <w:t>Accumulated Depreciation</w:t>
            </w: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(1,762,700)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(1,630,146)</w:t>
            </w:r>
          </w:p>
        </w:tc>
      </w:tr>
      <w:tr>
        <w:trPr>
          <w:trHeight w:val="69"/>
        </w:trPr>
        <w:tc>
          <w:tcPr>
            <w:tcW w:w="7400" w:type="dxa"/>
            <w:vAlign w:val="bottom"/>
            <w:tcBorders>
              <w:bottom w:val="single" w:sz="8" w:color="A6A6A6"/>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89"/>
        </w:trPr>
        <w:tc>
          <w:tcPr>
            <w:tcW w:w="74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54"/>
              <w:spacing w:after="0"/>
              <w:rPr>
                <w:sz w:val="20"/>
                <w:szCs w:val="20"/>
                <w:color w:val="auto"/>
              </w:rPr>
            </w:pPr>
            <w:r>
              <w:rPr>
                <w:rFonts w:ascii="Arial" w:cs="Arial" w:eastAsia="Arial" w:hAnsi="Arial"/>
                <w:sz w:val="18"/>
                <w:szCs w:val="18"/>
                <w:b w:val="1"/>
                <w:bCs w:val="1"/>
                <w:color w:val="auto"/>
              </w:rPr>
              <w:t>2,064,622</w:t>
            </w:r>
          </w:p>
        </w:tc>
        <w:tc>
          <w:tcPr>
            <w:tcW w:w="9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b w:val="1"/>
                <w:bCs w:val="1"/>
                <w:color w:val="auto"/>
              </w:rPr>
              <w:t>1,792,982</w:t>
            </w:r>
          </w:p>
        </w:tc>
      </w:tr>
      <w:tr>
        <w:trPr>
          <w:trHeight w:val="42"/>
        </w:trPr>
        <w:tc>
          <w:tcPr>
            <w:tcW w:w="74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
        </w:trPr>
        <w:tc>
          <w:tcPr>
            <w:tcW w:w="7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(D) ACCRUED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2025</w:t>
            </w:r>
          </w:p>
        </w:tc>
      </w:tr>
      <w:tr>
        <w:trPr>
          <w:trHeight w:val="203"/>
        </w:trPr>
        <w:tc>
          <w:tcPr>
            <w:tcW w:w="74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(dollars in thousands)</w:t>
            </w:r>
          </w:p>
        </w:tc>
        <w:tc>
          <w:tcPr>
            <w:tcW w:w="980" w:type="dxa"/>
            <w:vAlign w:val="bottom"/>
            <w:tcBorders>
              <w:bottom w:val="single" w:sz="8" w:color="auto"/>
            </w:tcBorders>
          </w:tcPr>
          <w:p>
            <w:pPr>
              <w:spacing w:after="0"/>
              <w:rPr>
                <w:sz w:val="17"/>
                <w:szCs w:val="17"/>
                <w:color w:val="auto"/>
              </w:rPr>
            </w:pPr>
          </w:p>
        </w:tc>
      </w:tr>
      <w:tr>
        <w:trPr>
          <w:trHeight w:val="295"/>
        </w:trPr>
        <w:tc>
          <w:tcPr>
            <w:tcW w:w="7440" w:type="dxa"/>
            <w:vAlign w:val="bottom"/>
          </w:tcPr>
          <w:p>
            <w:pPr>
              <w:spacing w:after="0"/>
              <w:rPr>
                <w:sz w:val="20"/>
                <w:szCs w:val="20"/>
                <w:color w:val="auto"/>
              </w:rPr>
            </w:pPr>
            <w:r>
              <w:rPr>
                <w:rFonts w:ascii="Arial" w:cs="Arial" w:eastAsia="Arial" w:hAnsi="Arial"/>
                <w:sz w:val="18"/>
                <w:szCs w:val="18"/>
                <w:b w:val="1"/>
                <w:bCs w:val="1"/>
                <w:color w:val="004483"/>
              </w:rPr>
              <w:t>Payroll and Incentive Compensation</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35,642</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31,918</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Benefits</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17,336</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16,950</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Interest</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7,208</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7,689</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Dividends</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8,062</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8,463</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Property Taxes</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7,887</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5,836</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Power and Fuel</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2,949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4,045</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Freight</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3,738</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3,664</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Excise Tax</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5,052</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3,822</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Legal and Professional</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4,534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3,953</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Sales and Use Tax</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1,613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1,500</w:t>
            </w:r>
          </w:p>
        </w:tc>
      </w:tr>
      <w:tr>
        <w:trPr>
          <w:trHeight w:val="42"/>
        </w:trPr>
        <w:tc>
          <w:tcPr>
            <w:tcW w:w="744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r>
      <w:tr>
        <w:trPr>
          <w:trHeight w:val="289"/>
        </w:trPr>
        <w:tc>
          <w:tcPr>
            <w:tcW w:w="7440" w:type="dxa"/>
            <w:vAlign w:val="bottom"/>
          </w:tcPr>
          <w:p>
            <w:pPr>
              <w:spacing w:after="0"/>
              <w:rPr>
                <w:sz w:val="20"/>
                <w:szCs w:val="20"/>
                <w:color w:val="auto"/>
              </w:rPr>
            </w:pPr>
            <w:r>
              <w:rPr>
                <w:rFonts w:ascii="Arial" w:cs="Arial" w:eastAsia="Arial" w:hAnsi="Arial"/>
                <w:sz w:val="18"/>
                <w:szCs w:val="18"/>
                <w:b w:val="1"/>
                <w:bCs w:val="1"/>
                <w:color w:val="004483"/>
              </w:rPr>
              <w:t>Other</w:t>
            </w:r>
          </w:p>
        </w:tc>
        <w:tc>
          <w:tcPr>
            <w:tcW w:w="5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8,106</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8,237</w:t>
            </w:r>
          </w:p>
        </w:tc>
      </w:tr>
      <w:tr>
        <w:trPr>
          <w:trHeight w:val="69"/>
        </w:trPr>
        <w:tc>
          <w:tcPr>
            <w:tcW w:w="7440" w:type="dxa"/>
            <w:vAlign w:val="bottom"/>
            <w:tcBorders>
              <w:bottom w:val="single" w:sz="8" w:color="A6A6A6"/>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89"/>
        </w:trPr>
        <w:tc>
          <w:tcPr>
            <w:tcW w:w="744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102,127</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96,077</w:t>
            </w:r>
          </w:p>
        </w:tc>
      </w:tr>
      <w:tr>
        <w:trPr>
          <w:trHeight w:val="42"/>
        </w:trPr>
        <w:tc>
          <w:tcPr>
            <w:tcW w:w="74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
        </w:trPr>
        <w:tc>
          <w:tcPr>
            <w:tcW w:w="7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(E) LEASES</w:t>
      </w:r>
    </w:p>
    <w:p>
      <w:pPr>
        <w:spacing w:after="0" w:line="9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lease certain real estate, buildings, and equipment, including rail cars and barges.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These short-term equipment leases are not recorded on the balance sheet.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shown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6"/>
                <w:szCs w:val="16"/>
                <w:b w:val="1"/>
                <w:bCs w:val="1"/>
                <w:color w:val="auto"/>
              </w:rPr>
              <w:t>For the Years Ended March 31,</w:t>
            </w:r>
          </w:p>
        </w:tc>
        <w:tc>
          <w:tcPr>
            <w:tcW w:w="920" w:type="dxa"/>
            <w:vAlign w:val="bottom"/>
            <w:tcBorders>
              <w:bottom w:val="single" w:sz="8" w:color="auto"/>
            </w:tcBorders>
          </w:tcPr>
          <w:p>
            <w:pPr>
              <w:spacing w:after="0"/>
              <w:rPr>
                <w:sz w:val="18"/>
                <w:szCs w:val="18"/>
                <w:color w:val="auto"/>
              </w:rPr>
            </w:pPr>
          </w:p>
        </w:tc>
      </w:tr>
      <w:tr>
        <w:trPr>
          <w:trHeight w:val="209"/>
        </w:trPr>
        <w:tc>
          <w:tcPr>
            <w:tcW w:w="65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2024</w:t>
            </w:r>
          </w:p>
        </w:tc>
      </w:tr>
      <w:tr>
        <w:trPr>
          <w:trHeight w:val="203"/>
        </w:trPr>
        <w:tc>
          <w:tcPr>
            <w:tcW w:w="65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95"/>
        </w:trPr>
        <w:tc>
          <w:tcPr>
            <w:tcW w:w="6500" w:type="dxa"/>
            <w:vAlign w:val="bottom"/>
          </w:tcPr>
          <w:p>
            <w:pPr>
              <w:spacing w:after="0"/>
              <w:rPr>
                <w:sz w:val="20"/>
                <w:szCs w:val="20"/>
                <w:color w:val="auto"/>
              </w:rPr>
            </w:pPr>
            <w:r>
              <w:rPr>
                <w:rFonts w:ascii="Arial" w:cs="Arial" w:eastAsia="Arial" w:hAnsi="Arial"/>
                <w:sz w:val="18"/>
                <w:szCs w:val="18"/>
                <w:b w:val="1"/>
                <w:bCs w:val="1"/>
                <w:color w:val="004483"/>
              </w:rPr>
              <w:t>Operating Lease Cost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8,804</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7,953</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8,030</w:t>
            </w:r>
          </w:p>
        </w:tc>
      </w:tr>
      <w:tr>
        <w:trPr>
          <w:trHeight w:val="42"/>
        </w:trPr>
        <w:tc>
          <w:tcPr>
            <w:tcW w:w="650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r>
      <w:tr>
        <w:trPr>
          <w:trHeight w:val="289"/>
        </w:trPr>
        <w:tc>
          <w:tcPr>
            <w:tcW w:w="6500" w:type="dxa"/>
            <w:vAlign w:val="bottom"/>
          </w:tcPr>
          <w:p>
            <w:pPr>
              <w:spacing w:after="0"/>
              <w:rPr>
                <w:sz w:val="20"/>
                <w:szCs w:val="20"/>
                <w:color w:val="auto"/>
              </w:rPr>
            </w:pPr>
            <w:r>
              <w:rPr>
                <w:rFonts w:ascii="Arial" w:cs="Arial" w:eastAsia="Arial" w:hAnsi="Arial"/>
                <w:sz w:val="18"/>
                <w:szCs w:val="18"/>
                <w:b w:val="1"/>
                <w:bCs w:val="1"/>
                <w:color w:val="004483"/>
              </w:rPr>
              <w:t>Short-term Lease Cost</w:t>
            </w:r>
          </w:p>
        </w:tc>
        <w:tc>
          <w:tcPr>
            <w:tcW w:w="44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2,165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691</w:t>
            </w:r>
          </w:p>
        </w:tc>
      </w:tr>
      <w:tr>
        <w:trPr>
          <w:trHeight w:val="69"/>
        </w:trPr>
        <w:tc>
          <w:tcPr>
            <w:tcW w:w="6500" w:type="dxa"/>
            <w:vAlign w:val="bottom"/>
            <w:tcBorders>
              <w:bottom w:val="single" w:sz="8" w:color="A6A6A6"/>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89"/>
        </w:trPr>
        <w:tc>
          <w:tcPr>
            <w:tcW w:w="6500" w:type="dxa"/>
            <w:vAlign w:val="bottom"/>
          </w:tcPr>
          <w:p>
            <w:pPr>
              <w:spacing w:after="0"/>
              <w:rPr>
                <w:sz w:val="20"/>
                <w:szCs w:val="20"/>
                <w:color w:val="auto"/>
              </w:rPr>
            </w:pPr>
            <w:r>
              <w:rPr>
                <w:rFonts w:ascii="Arial" w:cs="Arial" w:eastAsia="Arial" w:hAnsi="Arial"/>
                <w:sz w:val="18"/>
                <w:szCs w:val="18"/>
                <w:b w:val="1"/>
                <w:bCs w:val="1"/>
                <w:color w:val="auto"/>
              </w:rPr>
              <w:t>Total Lease Cost</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10,969</w:t>
            </w:r>
          </w:p>
        </w:tc>
        <w:tc>
          <w:tcPr>
            <w:tcW w:w="6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9,259</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8,721</w:t>
            </w:r>
          </w:p>
        </w:tc>
      </w:tr>
      <w:tr>
        <w:trPr>
          <w:trHeight w:val="42"/>
        </w:trPr>
        <w:tc>
          <w:tcPr>
            <w:tcW w:w="65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
        </w:trPr>
        <w:tc>
          <w:tcPr>
            <w:tcW w:w="6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2025</w:t>
            </w:r>
          </w:p>
        </w:tc>
      </w:tr>
      <w:tr>
        <w:trPr>
          <w:trHeight w:val="203"/>
        </w:trPr>
        <w:tc>
          <w:tcPr>
            <w:tcW w:w="7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(dollars in thousands)</w:t>
            </w:r>
          </w:p>
        </w:tc>
        <w:tc>
          <w:tcPr>
            <w:tcW w:w="940" w:type="dxa"/>
            <w:vAlign w:val="bottom"/>
            <w:tcBorders>
              <w:bottom w:val="single" w:sz="8" w:color="auto"/>
            </w:tcBorders>
          </w:tcPr>
          <w:p>
            <w:pPr>
              <w:spacing w:after="0"/>
              <w:rPr>
                <w:sz w:val="17"/>
                <w:szCs w:val="17"/>
                <w:color w:val="auto"/>
              </w:rPr>
            </w:pPr>
          </w:p>
        </w:tc>
      </w:tr>
      <w:tr>
        <w:trPr>
          <w:trHeight w:val="295"/>
        </w:trPr>
        <w:tc>
          <w:tcPr>
            <w:tcW w:w="760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Operating Lease Right-of-Use Assets</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29,346</w:t>
            </w:r>
          </w:p>
        </w:tc>
        <w:tc>
          <w:tcPr>
            <w:tcW w:w="10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29,313</w:t>
            </w: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r>
      <w:tr>
        <w:trPr>
          <w:trHeight w:val="331"/>
        </w:trPr>
        <w:tc>
          <w:tcPr>
            <w:tcW w:w="7600" w:type="dxa"/>
            <w:vAlign w:val="bottom"/>
            <w:tcBorders>
              <w:bottom w:val="single" w:sz="8" w:color="A6A6A6"/>
            </w:tcBorders>
          </w:tcPr>
          <w:p>
            <w:pPr>
              <w:spacing w:after="0"/>
              <w:rPr>
                <w:sz w:val="24"/>
                <w:szCs w:val="24"/>
                <w:color w:val="auto"/>
              </w:rPr>
            </w:pPr>
          </w:p>
        </w:tc>
        <w:tc>
          <w:tcPr>
            <w:tcW w:w="560" w:type="dxa"/>
            <w:vAlign w:val="bottom"/>
            <w:tcBorders>
              <w:bottom w:val="single" w:sz="8" w:color="A6A6A6"/>
            </w:tcBorders>
          </w:tcPr>
          <w:p>
            <w:pPr>
              <w:spacing w:after="0"/>
              <w:rPr>
                <w:sz w:val="24"/>
                <w:szCs w:val="24"/>
                <w:color w:val="auto"/>
              </w:rPr>
            </w:pPr>
          </w:p>
        </w:tc>
        <w:tc>
          <w:tcPr>
            <w:tcW w:w="114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gridSpan w:val="2"/>
          </w:tcPr>
          <w:p>
            <w:pPr>
              <w:spacing w:after="0"/>
              <w:rPr>
                <w:sz w:val="24"/>
                <w:szCs w:val="24"/>
                <w:color w:val="auto"/>
              </w:rPr>
            </w:pPr>
          </w:p>
        </w:tc>
        <w:tc>
          <w:tcPr>
            <w:tcW w:w="940" w:type="dxa"/>
            <w:vAlign w:val="bottom"/>
            <w:tcBorders>
              <w:bottom w:val="single" w:sz="8" w:color="A6A6A6"/>
            </w:tcBorders>
          </w:tcPr>
          <w:p>
            <w:pPr>
              <w:spacing w:after="0"/>
              <w:rPr>
                <w:sz w:val="24"/>
                <w:szCs w:val="24"/>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Current Operating Lease Liabilities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4,144</w:t>
            </w:r>
          </w:p>
        </w:tc>
        <w:tc>
          <w:tcPr>
            <w:tcW w:w="10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4,032</w:t>
            </w:r>
          </w:p>
        </w:tc>
      </w:tr>
      <w:tr>
        <w:trPr>
          <w:trHeight w:val="42"/>
        </w:trPr>
        <w:tc>
          <w:tcPr>
            <w:tcW w:w="76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8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004483"/>
              </w:rPr>
              <w:t>Noncurrent Operating Lease Liabilities</w:t>
            </w:r>
          </w:p>
        </w:tc>
        <w:tc>
          <w:tcPr>
            <w:tcW w:w="560" w:type="dxa"/>
            <w:vAlign w:val="bottom"/>
          </w:tcPr>
          <w:p>
            <w:pPr>
              <w:spacing w:after="0"/>
              <w:rPr>
                <w:sz w:val="24"/>
                <w:szCs w:val="24"/>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32,559</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33,597</w:t>
            </w:r>
          </w:p>
        </w:tc>
      </w:tr>
      <w:tr>
        <w:trPr>
          <w:trHeight w:val="69"/>
        </w:trPr>
        <w:tc>
          <w:tcPr>
            <w:tcW w:w="7600" w:type="dxa"/>
            <w:vAlign w:val="bottom"/>
            <w:tcBorders>
              <w:bottom w:val="single" w:sz="8" w:color="A6A6A6"/>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36,703</w:t>
            </w:r>
          </w:p>
        </w:tc>
        <w:tc>
          <w:tcPr>
            <w:tcW w:w="10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37,629</w:t>
            </w:r>
          </w:p>
        </w:tc>
      </w:tr>
      <w:tr>
        <w:trPr>
          <w:trHeight w:val="42"/>
        </w:trPr>
        <w:tc>
          <w:tcPr>
            <w:tcW w:w="76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7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for operating leases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vMerge w:val="restart"/>
          </w:tcPr>
          <w:p>
            <w:pPr>
              <w:spacing w:after="0"/>
              <w:rPr>
                <w:sz w:val="20"/>
                <w:szCs w:val="20"/>
                <w:color w:val="auto"/>
              </w:rPr>
            </w:pPr>
            <w:r>
              <w:rPr>
                <w:rFonts w:ascii="Arial" w:cs="Arial" w:eastAsia="Arial" w:hAnsi="Arial"/>
                <w:sz w:val="16"/>
                <w:szCs w:val="16"/>
                <w:b w:val="1"/>
                <w:bCs w:val="1"/>
                <w:color w:val="auto"/>
              </w:rPr>
              <w:t>Fiscal Year</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21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31"/>
        </w:trPr>
        <w:tc>
          <w:tcPr>
            <w:tcW w:w="508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95"/>
        </w:trPr>
        <w:tc>
          <w:tcPr>
            <w:tcW w:w="5080" w:type="dxa"/>
            <w:vAlign w:val="bottom"/>
          </w:tcPr>
          <w:p>
            <w:pPr>
              <w:spacing w:after="0"/>
              <w:rPr>
                <w:sz w:val="20"/>
                <w:szCs w:val="20"/>
                <w:color w:val="auto"/>
              </w:rPr>
            </w:pPr>
            <w:r>
              <w:rPr>
                <w:rFonts w:ascii="Arial" w:cs="Arial" w:eastAsia="Arial" w:hAnsi="Arial"/>
                <w:sz w:val="18"/>
                <w:szCs w:val="18"/>
                <w:b w:val="1"/>
                <w:bCs w:val="1"/>
                <w:color w:val="004483"/>
              </w:rPr>
              <w:t>2027</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56"/>
        </w:trPr>
        <w:tc>
          <w:tcPr>
            <w:tcW w:w="5080" w:type="dxa"/>
            <w:vAlign w:val="bottom"/>
            <w:tcBorders>
              <w:bottom w:val="single" w:sz="8" w:color="A6A6A6"/>
            </w:tcBorders>
          </w:tcPr>
          <w:p>
            <w:pPr>
              <w:spacing w:after="0"/>
              <w:rPr>
                <w:sz w:val="4"/>
                <w:szCs w:val="4"/>
                <w:color w:val="auto"/>
              </w:rPr>
            </w:pPr>
          </w:p>
        </w:tc>
        <w:tc>
          <w:tcPr>
            <w:tcW w:w="238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52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62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2028</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56"/>
        </w:trPr>
        <w:tc>
          <w:tcPr>
            <w:tcW w:w="5080" w:type="dxa"/>
            <w:vAlign w:val="bottom"/>
            <w:tcBorders>
              <w:bottom w:val="single" w:sz="8" w:color="A6A6A6"/>
            </w:tcBorders>
          </w:tcPr>
          <w:p>
            <w:pPr>
              <w:spacing w:after="0"/>
              <w:rPr>
                <w:sz w:val="4"/>
                <w:szCs w:val="4"/>
                <w:color w:val="auto"/>
              </w:rPr>
            </w:pPr>
          </w:p>
        </w:tc>
        <w:tc>
          <w:tcPr>
            <w:tcW w:w="238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52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62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2029</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56"/>
        </w:trPr>
        <w:tc>
          <w:tcPr>
            <w:tcW w:w="5080" w:type="dxa"/>
            <w:vAlign w:val="bottom"/>
            <w:tcBorders>
              <w:bottom w:val="single" w:sz="8" w:color="A6A6A6"/>
            </w:tcBorders>
          </w:tcPr>
          <w:p>
            <w:pPr>
              <w:spacing w:after="0"/>
              <w:rPr>
                <w:sz w:val="4"/>
                <w:szCs w:val="4"/>
                <w:color w:val="auto"/>
              </w:rPr>
            </w:pPr>
          </w:p>
        </w:tc>
        <w:tc>
          <w:tcPr>
            <w:tcW w:w="238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52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62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2030</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56"/>
        </w:trPr>
        <w:tc>
          <w:tcPr>
            <w:tcW w:w="5080" w:type="dxa"/>
            <w:vAlign w:val="bottom"/>
            <w:tcBorders>
              <w:bottom w:val="single" w:sz="8" w:color="A6A6A6"/>
            </w:tcBorders>
          </w:tcPr>
          <w:p>
            <w:pPr>
              <w:spacing w:after="0"/>
              <w:rPr>
                <w:sz w:val="4"/>
                <w:szCs w:val="4"/>
                <w:color w:val="auto"/>
              </w:rPr>
            </w:pPr>
          </w:p>
        </w:tc>
        <w:tc>
          <w:tcPr>
            <w:tcW w:w="238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52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62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2031</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55"/>
        </w:trPr>
        <w:tc>
          <w:tcPr>
            <w:tcW w:w="5080" w:type="dxa"/>
            <w:vAlign w:val="bottom"/>
            <w:tcBorders>
              <w:bottom w:val="single" w:sz="8" w:color="A6A6A6"/>
            </w:tcBorders>
          </w:tcPr>
          <w:p>
            <w:pPr>
              <w:spacing w:after="0"/>
              <w:rPr>
                <w:sz w:val="4"/>
                <w:szCs w:val="4"/>
                <w:color w:val="auto"/>
              </w:rPr>
            </w:pPr>
          </w:p>
        </w:tc>
        <w:tc>
          <w:tcPr>
            <w:tcW w:w="238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52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62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Thereafter</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26,237</w:t>
            </w:r>
          </w:p>
        </w:tc>
        <w:tc>
          <w:tcPr>
            <w:tcW w:w="0" w:type="dxa"/>
            <w:vAlign w:val="bottom"/>
          </w:tcPr>
          <w:p>
            <w:pPr>
              <w:spacing w:after="0"/>
              <w:rPr>
                <w:sz w:val="1"/>
                <w:szCs w:val="1"/>
                <w:color w:val="auto"/>
              </w:rPr>
            </w:pPr>
          </w:p>
        </w:tc>
      </w:tr>
      <w:tr>
        <w:trPr>
          <w:trHeight w:val="83"/>
        </w:trPr>
        <w:tc>
          <w:tcPr>
            <w:tcW w:w="5080" w:type="dxa"/>
            <w:vAlign w:val="bottom"/>
            <w:tcBorders>
              <w:bottom w:val="single" w:sz="8" w:color="A6A6A6"/>
            </w:tcBorders>
          </w:tcPr>
          <w:p>
            <w:pPr>
              <w:spacing w:after="0"/>
              <w:rPr>
                <w:sz w:val="7"/>
                <w:szCs w:val="7"/>
                <w:color w:val="auto"/>
              </w:rPr>
            </w:pPr>
          </w:p>
        </w:tc>
        <w:tc>
          <w:tcPr>
            <w:tcW w:w="2380" w:type="dxa"/>
            <w:vAlign w:val="bottom"/>
            <w:tcBorders>
              <w:bottom w:val="single" w:sz="8" w:color="A6A6A6"/>
            </w:tcBorders>
          </w:tcPr>
          <w:p>
            <w:pPr>
              <w:spacing w:after="0"/>
              <w:rPr>
                <w:sz w:val="7"/>
                <w:szCs w:val="7"/>
                <w:color w:val="auto"/>
              </w:rPr>
            </w:pPr>
          </w:p>
        </w:tc>
        <w:tc>
          <w:tcPr>
            <w:tcW w:w="440" w:type="dxa"/>
            <w:vAlign w:val="bottom"/>
            <w:tcBorders>
              <w:bottom w:val="single" w:sz="8" w:color="A6A6A6"/>
            </w:tcBorders>
          </w:tcPr>
          <w:p>
            <w:pPr>
              <w:spacing w:after="0"/>
              <w:rPr>
                <w:sz w:val="7"/>
                <w:szCs w:val="7"/>
                <w:color w:val="auto"/>
              </w:rPr>
            </w:pPr>
          </w:p>
        </w:tc>
        <w:tc>
          <w:tcPr>
            <w:tcW w:w="520" w:type="dxa"/>
            <w:vAlign w:val="bottom"/>
            <w:tcBorders>
              <w:bottom w:val="single" w:sz="8" w:color="A6A6A6"/>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Lease Payments</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47,903</w:t>
            </w:r>
          </w:p>
        </w:tc>
        <w:tc>
          <w:tcPr>
            <w:tcW w:w="0" w:type="dxa"/>
            <w:vAlign w:val="bottom"/>
          </w:tcPr>
          <w:p>
            <w:pPr>
              <w:spacing w:after="0"/>
              <w:rPr>
                <w:sz w:val="1"/>
                <w:szCs w:val="1"/>
                <w:color w:val="auto"/>
              </w:rPr>
            </w:pPr>
          </w:p>
        </w:tc>
      </w:tr>
      <w:tr>
        <w:trPr>
          <w:trHeight w:val="55"/>
        </w:trPr>
        <w:tc>
          <w:tcPr>
            <w:tcW w:w="5080" w:type="dxa"/>
            <w:vAlign w:val="bottom"/>
            <w:tcBorders>
              <w:bottom w:val="single" w:sz="8" w:color="A6A6A6"/>
            </w:tcBorders>
          </w:tcPr>
          <w:p>
            <w:pPr>
              <w:spacing w:after="0"/>
              <w:rPr>
                <w:sz w:val="4"/>
                <w:szCs w:val="4"/>
                <w:color w:val="auto"/>
              </w:rPr>
            </w:pPr>
          </w:p>
        </w:tc>
        <w:tc>
          <w:tcPr>
            <w:tcW w:w="238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52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62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Less: Imputed Interest</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83"/>
        </w:trPr>
        <w:tc>
          <w:tcPr>
            <w:tcW w:w="5080" w:type="dxa"/>
            <w:vAlign w:val="bottom"/>
            <w:tcBorders>
              <w:bottom w:val="single" w:sz="8" w:color="A6A6A6"/>
            </w:tcBorders>
          </w:tcPr>
          <w:p>
            <w:pPr>
              <w:spacing w:after="0"/>
              <w:rPr>
                <w:sz w:val="7"/>
                <w:szCs w:val="7"/>
                <w:color w:val="auto"/>
              </w:rPr>
            </w:pPr>
          </w:p>
        </w:tc>
        <w:tc>
          <w:tcPr>
            <w:tcW w:w="2380" w:type="dxa"/>
            <w:vAlign w:val="bottom"/>
            <w:tcBorders>
              <w:bottom w:val="single" w:sz="8" w:color="A6A6A6"/>
            </w:tcBorders>
          </w:tcPr>
          <w:p>
            <w:pPr>
              <w:spacing w:after="0"/>
              <w:rPr>
                <w:sz w:val="7"/>
                <w:szCs w:val="7"/>
                <w:color w:val="auto"/>
              </w:rPr>
            </w:pPr>
          </w:p>
        </w:tc>
        <w:tc>
          <w:tcPr>
            <w:tcW w:w="440" w:type="dxa"/>
            <w:vAlign w:val="bottom"/>
            <w:tcBorders>
              <w:bottom w:val="single" w:sz="8" w:color="A6A6A6"/>
            </w:tcBorders>
          </w:tcPr>
          <w:p>
            <w:pPr>
              <w:spacing w:after="0"/>
              <w:rPr>
                <w:sz w:val="7"/>
                <w:szCs w:val="7"/>
                <w:color w:val="auto"/>
              </w:rPr>
            </w:pPr>
          </w:p>
        </w:tc>
        <w:tc>
          <w:tcPr>
            <w:tcW w:w="520" w:type="dxa"/>
            <w:vAlign w:val="bottom"/>
            <w:tcBorders>
              <w:bottom w:val="single" w:sz="8" w:color="A6A6A6"/>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659"/>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b w:val="1"/>
                <w:bCs w:val="1"/>
                <w:color w:val="auto"/>
              </w:rPr>
              <w:t>36,703</w:t>
            </w:r>
          </w:p>
        </w:tc>
        <w:tc>
          <w:tcPr>
            <w:tcW w:w="0" w:type="dxa"/>
            <w:vAlign w:val="bottom"/>
          </w:tcPr>
          <w:p>
            <w:pPr>
              <w:spacing w:after="0"/>
              <w:rPr>
                <w:sz w:val="1"/>
                <w:szCs w:val="1"/>
                <w:color w:val="auto"/>
              </w:rPr>
            </w:pPr>
          </w:p>
        </w:tc>
      </w:tr>
      <w:tr>
        <w:trPr>
          <w:trHeight w:val="56"/>
        </w:trPr>
        <w:tc>
          <w:tcPr>
            <w:tcW w:w="5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6A6A6"/>
            </w:tcBorders>
          </w:tcPr>
          <w:p>
            <w:pPr>
              <w:spacing w:after="0" w:line="20" w:lineRule="exact"/>
              <w:rPr>
                <w:sz w:val="1"/>
                <w:szCs w:val="1"/>
                <w:color w:val="auto"/>
              </w:rPr>
            </w:pPr>
          </w:p>
        </w:tc>
        <w:tc>
          <w:tcPr>
            <w:tcW w:w="238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80" w:type="dxa"/>
            <w:vAlign w:val="bottom"/>
            <w:tcBorders>
              <w:bottom w:val="single" w:sz="8" w:color="A6A6A6"/>
            </w:tcBorders>
          </w:tcPr>
          <w:p>
            <w:pPr>
              <w:spacing w:after="0"/>
              <w:rPr>
                <w:sz w:val="24"/>
                <w:szCs w:val="24"/>
                <w:color w:val="auto"/>
              </w:rPr>
            </w:pPr>
          </w:p>
        </w:tc>
        <w:tc>
          <w:tcPr>
            <w:tcW w:w="2380" w:type="dxa"/>
            <w:vAlign w:val="bottom"/>
            <w:tcBorders>
              <w:bottom w:val="single" w:sz="8" w:color="A6A6A6"/>
            </w:tcBorders>
          </w:tcPr>
          <w:p>
            <w:pPr>
              <w:spacing w:after="0"/>
              <w:rPr>
                <w:sz w:val="24"/>
                <w:szCs w:val="24"/>
                <w:color w:val="auto"/>
              </w:rPr>
            </w:pPr>
          </w:p>
        </w:tc>
        <w:tc>
          <w:tcPr>
            <w:tcW w:w="440" w:type="dxa"/>
            <w:vAlign w:val="bottom"/>
            <w:tcBorders>
              <w:bottom w:val="single" w:sz="8" w:color="A6A6A6"/>
            </w:tcBorders>
          </w:tcPr>
          <w:p>
            <w:pPr>
              <w:spacing w:after="0"/>
              <w:rPr>
                <w:sz w:val="24"/>
                <w:szCs w:val="24"/>
                <w:color w:val="auto"/>
              </w:rPr>
            </w:pPr>
          </w:p>
        </w:tc>
        <w:tc>
          <w:tcPr>
            <w:tcW w:w="520" w:type="dxa"/>
            <w:vAlign w:val="bottom"/>
            <w:tcBorders>
              <w:bottom w:val="single" w:sz="8" w:color="A6A6A6"/>
            </w:tcBorders>
          </w:tcPr>
          <w:p>
            <w:pPr>
              <w:spacing w:after="0"/>
              <w:rPr>
                <w:sz w:val="24"/>
                <w:szCs w:val="24"/>
                <w:color w:val="auto"/>
              </w:rPr>
            </w:pPr>
          </w:p>
        </w:tc>
        <w:tc>
          <w:tcPr>
            <w:tcW w:w="84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620" w:type="dxa"/>
            <w:vAlign w:val="bottom"/>
            <w:tcBorders>
              <w:bottom w:val="single" w:sz="8" w:color="A6A6A6"/>
            </w:tcBorders>
          </w:tcPr>
          <w:p>
            <w:pPr>
              <w:spacing w:after="0"/>
              <w:rPr>
                <w:sz w:val="24"/>
                <w:szCs w:val="24"/>
                <w:color w:val="auto"/>
              </w:rPr>
            </w:pPr>
          </w:p>
        </w:tc>
        <w:tc>
          <w:tcPr>
            <w:tcW w:w="11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56"/>
        </w:trPr>
        <w:tc>
          <w:tcPr>
            <w:tcW w:w="5080" w:type="dxa"/>
            <w:vAlign w:val="bottom"/>
            <w:tcBorders>
              <w:bottom w:val="single" w:sz="8" w:color="A6A6A6"/>
            </w:tcBorders>
          </w:tcPr>
          <w:p>
            <w:pPr>
              <w:spacing w:after="0"/>
              <w:rPr>
                <w:sz w:val="4"/>
                <w:szCs w:val="4"/>
                <w:color w:val="auto"/>
              </w:rPr>
            </w:pPr>
          </w:p>
        </w:tc>
        <w:tc>
          <w:tcPr>
            <w:tcW w:w="238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52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62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55"/>
        </w:trPr>
        <w:tc>
          <w:tcPr>
            <w:tcW w:w="5080" w:type="dxa"/>
            <w:vAlign w:val="bottom"/>
            <w:tcBorders>
              <w:bottom w:val="single" w:sz="8" w:color="A6A6A6"/>
            </w:tcBorders>
          </w:tcPr>
          <w:p>
            <w:pPr>
              <w:spacing w:after="0"/>
              <w:rPr>
                <w:sz w:val="4"/>
                <w:szCs w:val="4"/>
                <w:color w:val="auto"/>
              </w:rPr>
            </w:pPr>
          </w:p>
        </w:tc>
        <w:tc>
          <w:tcPr>
            <w:tcW w:w="238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52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62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20"/>
                <w:szCs w:val="20"/>
                <w:b w:val="1"/>
                <w:bCs w:val="1"/>
                <w:color w:val="004483"/>
              </w:rPr>
              <w:t>(F) INDEBTEDNESS</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5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6"/>
                <w:szCs w:val="16"/>
                <w:b w:val="1"/>
                <w:bCs w:val="1"/>
                <w:color w:val="auto"/>
              </w:rPr>
              <w:t>As of March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(dollars in thousands)</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080" w:type="dxa"/>
            <w:vAlign w:val="bottom"/>
          </w:tcPr>
          <w:p>
            <w:pPr>
              <w:spacing w:after="0"/>
              <w:rPr>
                <w:sz w:val="20"/>
                <w:szCs w:val="20"/>
                <w:color w:val="auto"/>
              </w:rPr>
            </w:pPr>
            <w:r>
              <w:rPr>
                <w:rFonts w:ascii="Arial" w:cs="Arial" w:eastAsia="Arial" w:hAnsi="Arial"/>
                <w:sz w:val="18"/>
                <w:szCs w:val="18"/>
                <w:b w:val="1"/>
                <w:bCs w:val="1"/>
                <w:color w:val="004483"/>
              </w:rPr>
              <w:t>Revolving Credit Facility</w:t>
            </w:r>
          </w:p>
        </w:tc>
        <w:tc>
          <w:tcPr>
            <w:tcW w:w="2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4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42"/>
        </w:trPr>
        <w:tc>
          <w:tcPr>
            <w:tcW w:w="5080" w:type="dxa"/>
            <w:vAlign w:val="bottom"/>
            <w:tcBorders>
              <w:bottom w:val="single" w:sz="8" w:color="A6A6A6"/>
            </w:tcBorders>
          </w:tcPr>
          <w:p>
            <w:pPr>
              <w:spacing w:after="0"/>
              <w:rPr>
                <w:sz w:val="3"/>
                <w:szCs w:val="3"/>
                <w:color w:val="auto"/>
              </w:rPr>
            </w:pPr>
          </w:p>
        </w:tc>
        <w:tc>
          <w:tcPr>
            <w:tcW w:w="238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gridSpan w:val="2"/>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2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2.500% Senior Unsecured Notes Due 2031</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42"/>
        </w:trPr>
        <w:tc>
          <w:tcPr>
            <w:tcW w:w="5080" w:type="dxa"/>
            <w:vAlign w:val="bottom"/>
            <w:tcBorders>
              <w:bottom w:val="single" w:sz="8" w:color="A6A6A6"/>
            </w:tcBorders>
          </w:tcPr>
          <w:p>
            <w:pPr>
              <w:spacing w:after="0"/>
              <w:rPr>
                <w:sz w:val="3"/>
                <w:szCs w:val="3"/>
                <w:color w:val="auto"/>
              </w:rPr>
            </w:pPr>
          </w:p>
        </w:tc>
        <w:tc>
          <w:tcPr>
            <w:tcW w:w="238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gridSpan w:val="2"/>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2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5.000% Senior Unsecured Notes Due 2036</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
        </w:trPr>
        <w:tc>
          <w:tcPr>
            <w:tcW w:w="5080" w:type="dxa"/>
            <w:vAlign w:val="bottom"/>
            <w:tcBorders>
              <w:bottom w:val="single" w:sz="8" w:color="A6A6A6"/>
            </w:tcBorders>
          </w:tcPr>
          <w:p>
            <w:pPr>
              <w:spacing w:after="0"/>
              <w:rPr>
                <w:sz w:val="3"/>
                <w:szCs w:val="3"/>
                <w:color w:val="auto"/>
              </w:rPr>
            </w:pPr>
          </w:p>
        </w:tc>
        <w:tc>
          <w:tcPr>
            <w:tcW w:w="238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gridSpan w:val="2"/>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2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Term Loan</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281,250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296,250</w:t>
            </w:r>
          </w:p>
        </w:tc>
        <w:tc>
          <w:tcPr>
            <w:tcW w:w="0" w:type="dxa"/>
            <w:vAlign w:val="bottom"/>
          </w:tcPr>
          <w:p>
            <w:pPr>
              <w:spacing w:after="0"/>
              <w:rPr>
                <w:sz w:val="1"/>
                <w:szCs w:val="1"/>
                <w:color w:val="auto"/>
              </w:rPr>
            </w:pPr>
          </w:p>
        </w:tc>
      </w:tr>
      <w:tr>
        <w:trPr>
          <w:trHeight w:val="69"/>
        </w:trPr>
        <w:tc>
          <w:tcPr>
            <w:tcW w:w="5080" w:type="dxa"/>
            <w:vAlign w:val="bottom"/>
            <w:tcBorders>
              <w:bottom w:val="single" w:sz="8" w:color="A6A6A6"/>
            </w:tcBorders>
          </w:tcPr>
          <w:p>
            <w:pPr>
              <w:spacing w:after="0"/>
              <w:rPr>
                <w:sz w:val="6"/>
                <w:szCs w:val="6"/>
                <w:color w:val="auto"/>
              </w:rPr>
            </w:pPr>
          </w:p>
        </w:tc>
        <w:tc>
          <w:tcPr>
            <w:tcW w:w="2380" w:type="dxa"/>
            <w:vAlign w:val="bottom"/>
            <w:tcBorders>
              <w:bottom w:val="single" w:sz="8" w:color="A6A6A6"/>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5080" w:type="dxa"/>
            <w:vAlign w:val="bottom"/>
          </w:tcPr>
          <w:p>
            <w:pPr>
              <w:ind w:left="140"/>
              <w:spacing w:after="0"/>
              <w:rPr>
                <w:sz w:val="20"/>
                <w:szCs w:val="20"/>
                <w:color w:val="auto"/>
              </w:rPr>
            </w:pPr>
            <w:r>
              <w:rPr>
                <w:rFonts w:ascii="Arial" w:cs="Arial" w:eastAsia="Arial" w:hAnsi="Arial"/>
                <w:sz w:val="18"/>
                <w:szCs w:val="18"/>
                <w:b w:val="1"/>
                <w:bCs w:val="1"/>
                <w:color w:val="004483"/>
              </w:rPr>
              <w:t>Total Debt</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8"/>
                <w:szCs w:val="18"/>
                <w:color w:val="auto"/>
              </w:rPr>
              <w:t>1,781,250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1,246,250</w:t>
            </w:r>
          </w:p>
        </w:tc>
        <w:tc>
          <w:tcPr>
            <w:tcW w:w="0" w:type="dxa"/>
            <w:vAlign w:val="bottom"/>
          </w:tcPr>
          <w:p>
            <w:pPr>
              <w:spacing w:after="0"/>
              <w:rPr>
                <w:sz w:val="1"/>
                <w:szCs w:val="1"/>
                <w:color w:val="auto"/>
              </w:rPr>
            </w:pPr>
          </w:p>
        </w:tc>
      </w:tr>
      <w:tr>
        <w:trPr>
          <w:trHeight w:val="42"/>
        </w:trPr>
        <w:tc>
          <w:tcPr>
            <w:tcW w:w="5080" w:type="dxa"/>
            <w:vAlign w:val="bottom"/>
            <w:tcBorders>
              <w:bottom w:val="single" w:sz="8" w:color="A6A6A6"/>
            </w:tcBorders>
          </w:tcPr>
          <w:p>
            <w:pPr>
              <w:spacing w:after="0"/>
              <w:rPr>
                <w:sz w:val="3"/>
                <w:szCs w:val="3"/>
                <w:color w:val="auto"/>
              </w:rPr>
            </w:pPr>
          </w:p>
        </w:tc>
        <w:tc>
          <w:tcPr>
            <w:tcW w:w="238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gridSpan w:val="2"/>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2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Less: Current Portion of Long-Term Debt</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79"/>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42"/>
        </w:trPr>
        <w:tc>
          <w:tcPr>
            <w:tcW w:w="5080" w:type="dxa"/>
            <w:vAlign w:val="bottom"/>
            <w:tcBorders>
              <w:bottom w:val="single" w:sz="8" w:color="A6A6A6"/>
            </w:tcBorders>
          </w:tcPr>
          <w:p>
            <w:pPr>
              <w:spacing w:after="0"/>
              <w:rPr>
                <w:sz w:val="3"/>
                <w:szCs w:val="3"/>
                <w:color w:val="auto"/>
              </w:rPr>
            </w:pPr>
          </w:p>
        </w:tc>
        <w:tc>
          <w:tcPr>
            <w:tcW w:w="238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gridSpan w:val="2"/>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2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0"/>
                <w:szCs w:val="20"/>
                <w:color w:val="auto"/>
              </w:rPr>
            </w:pPr>
            <w:r>
              <w:rPr>
                <w:rFonts w:ascii="Arial" w:cs="Arial" w:eastAsia="Arial" w:hAnsi="Arial"/>
                <w:sz w:val="18"/>
                <w:szCs w:val="18"/>
                <w:b w:val="1"/>
                <w:bCs w:val="1"/>
                <w:color w:val="004483"/>
              </w:rPr>
              <w:t>Less: Unamortized Discount and Debt Issuance Costs</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79"/>
              <w:spacing w:after="0"/>
              <w:rPr>
                <w:sz w:val="20"/>
                <w:szCs w:val="20"/>
                <w:color w:val="auto"/>
              </w:rPr>
            </w:pPr>
            <w:r>
              <w:rPr>
                <w:rFonts w:ascii="Arial" w:cs="Arial" w:eastAsia="Arial" w:hAnsi="Arial"/>
                <w:sz w:val="18"/>
                <w:szCs w:val="18"/>
                <w:color w:val="auto"/>
              </w:rPr>
              <w:t>(21,169)</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69"/>
        </w:trPr>
        <w:tc>
          <w:tcPr>
            <w:tcW w:w="5080" w:type="dxa"/>
            <w:vAlign w:val="bottom"/>
            <w:tcBorders>
              <w:bottom w:val="single" w:sz="8" w:color="A6A6A6"/>
            </w:tcBorders>
          </w:tcPr>
          <w:p>
            <w:pPr>
              <w:spacing w:after="0"/>
              <w:rPr>
                <w:sz w:val="6"/>
                <w:szCs w:val="6"/>
                <w:color w:val="auto"/>
              </w:rPr>
            </w:pPr>
          </w:p>
        </w:tc>
        <w:tc>
          <w:tcPr>
            <w:tcW w:w="2380" w:type="dxa"/>
            <w:vAlign w:val="bottom"/>
            <w:tcBorders>
              <w:bottom w:val="single" w:sz="8" w:color="A6A6A6"/>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5080" w:type="dxa"/>
            <w:vAlign w:val="bottom"/>
          </w:tcPr>
          <w:p>
            <w:pPr>
              <w:ind w:left="140"/>
              <w:spacing w:after="0"/>
              <w:rPr>
                <w:sz w:val="20"/>
                <w:szCs w:val="20"/>
                <w:color w:val="auto"/>
              </w:rPr>
            </w:pPr>
            <w:r>
              <w:rPr>
                <w:rFonts w:ascii="Arial" w:cs="Arial" w:eastAsia="Arial" w:hAnsi="Arial"/>
                <w:sz w:val="18"/>
                <w:szCs w:val="18"/>
                <w:b w:val="1"/>
                <w:bCs w:val="1"/>
                <w:color w:val="auto"/>
              </w:rPr>
              <w:t>Long-Term Debt</w:t>
            </w:r>
          </w:p>
        </w:tc>
        <w:tc>
          <w:tcPr>
            <w:tcW w:w="2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59"/>
              <w:spacing w:after="0"/>
              <w:rPr>
                <w:sz w:val="20"/>
                <w:szCs w:val="20"/>
                <w:color w:val="auto"/>
              </w:rPr>
            </w:pPr>
            <w:r>
              <w:rPr>
                <w:rFonts w:ascii="Arial" w:cs="Arial" w:eastAsia="Arial" w:hAnsi="Arial"/>
                <w:sz w:val="18"/>
                <w:szCs w:val="18"/>
                <w:b w:val="1"/>
                <w:bCs w:val="1"/>
                <w:color w:val="auto"/>
              </w:rPr>
              <w:t>1,745,081</w:t>
            </w:r>
          </w:p>
        </w:tc>
        <w:tc>
          <w:tcPr>
            <w:tcW w:w="80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1,223,316</w:t>
            </w:r>
          </w:p>
        </w:tc>
        <w:tc>
          <w:tcPr>
            <w:tcW w:w="0" w:type="dxa"/>
            <w:vAlign w:val="bottom"/>
          </w:tcPr>
          <w:p>
            <w:pPr>
              <w:spacing w:after="0"/>
              <w:rPr>
                <w:sz w:val="1"/>
                <w:szCs w:val="1"/>
                <w:color w:val="auto"/>
              </w:rPr>
            </w:pPr>
          </w:p>
        </w:tc>
      </w:tr>
      <w:tr>
        <w:trPr>
          <w:trHeight w:val="42"/>
        </w:trPr>
        <w:tc>
          <w:tcPr>
            <w:tcW w:w="5080" w:type="dxa"/>
            <w:vAlign w:val="bottom"/>
          </w:tcPr>
          <w:p>
            <w:pPr>
              <w:spacing w:after="0"/>
              <w:rPr>
                <w:sz w:val="3"/>
                <w:szCs w:val="3"/>
                <w:color w:val="auto"/>
              </w:rPr>
            </w:pPr>
          </w:p>
        </w:tc>
        <w:tc>
          <w:tcPr>
            <w:tcW w:w="2380" w:type="dxa"/>
            <w:vAlign w:val="bottom"/>
            <w:vMerge w:val="restart"/>
          </w:tcPr>
          <w:p>
            <w:pPr>
              <w:jc w:val="right"/>
              <w:ind w:right="1650"/>
              <w:spacing w:after="0"/>
              <w:rPr>
                <w:sz w:val="20"/>
                <w:szCs w:val="20"/>
                <w:color w:val="auto"/>
              </w:rPr>
            </w:pPr>
            <w:r>
              <w:rPr>
                <w:rFonts w:ascii="Arial" w:cs="Arial" w:eastAsia="Arial" w:hAnsi="Arial"/>
                <w:sz w:val="18"/>
                <w:szCs w:val="18"/>
                <w:color w:val="auto"/>
              </w:rPr>
              <w:t>89</w:t>
            </w:r>
          </w:p>
        </w:tc>
        <w:tc>
          <w:tcPr>
            <w:tcW w:w="4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50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5"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The weighted-average interest rates of borrowings under our Revolving Credit Facility during fiscal years 2026, 2025, and 2024 were approximately 5.7%, 6.5%, and 6.6%, respectively. The weighted-average interest rates on our Term Loan were approximately 5.5% and</w:t>
      </w:r>
    </w:p>
    <w:p>
      <w:pPr>
        <w:spacing w:after="0" w:line="1"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6.3% during fiscal years 2026 and 2025, respectively. The interest rates on the Term Loan was approximately 5.0% and 5.7% at March 31, 2026, and 2025, respectively. The interest rate on the Revolving Credit Facility was 5.7% at March 31, 2025. There was no outstanding balance on the Revolving Credit Facility at March 31,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Revolving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have an unsecured $750.0 million revolving credit facility, which includes a separate term loan facility (Term Loan), that was amended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2025. Under the terms of the amendment, we extended the expiration date to February 4, 2030 and increased the Term Loan</w:t>
      </w:r>
    </w:p>
    <w:p>
      <w:pPr>
        <w:spacing w:after="0" w:line="234" w:lineRule="auto"/>
        <w:rPr>
          <w:sz w:val="20"/>
          <w:szCs w:val="20"/>
          <w:color w:val="auto"/>
        </w:rPr>
      </w:pPr>
      <w:r>
        <w:rPr>
          <w:rFonts w:ascii="Arial" w:cs="Arial" w:eastAsia="Arial" w:hAnsi="Arial"/>
          <w:sz w:val="18"/>
          <w:szCs w:val="18"/>
          <w:color w:val="auto"/>
        </w:rPr>
        <w:t>portion of the facility from $200.0 million to $300.0 million (such facility, as amended, the Revolving Credit Facility). The Revolving Credit</w:t>
      </w:r>
    </w:p>
    <w:p>
      <w:pPr>
        <w:spacing w:after="0" w:line="235" w:lineRule="auto"/>
        <w:rPr>
          <w:sz w:val="20"/>
          <w:szCs w:val="20"/>
          <w:color w:val="auto"/>
        </w:rPr>
      </w:pPr>
      <w:r>
        <w:rPr>
          <w:rFonts w:ascii="Arial" w:cs="Arial" w:eastAsia="Arial" w:hAnsi="Arial"/>
          <w:sz w:val="18"/>
          <w:szCs w:val="18"/>
          <w:color w:val="auto"/>
        </w:rPr>
        <w:t>Facility also provides the Company the option to increase the borrowing capacity by up to $375.0 million (for a total borrowing capacity of</w:t>
      </w:r>
    </w:p>
    <w:p>
      <w:pPr>
        <w:spacing w:after="0" w:line="235" w:lineRule="auto"/>
        <w:rPr>
          <w:sz w:val="20"/>
          <w:szCs w:val="20"/>
          <w:color w:val="auto"/>
        </w:rPr>
      </w:pPr>
      <w:r>
        <w:rPr>
          <w:rFonts w:ascii="Arial" w:cs="Arial" w:eastAsia="Arial" w:hAnsi="Arial"/>
          <w:sz w:val="18"/>
          <w:szCs w:val="18"/>
          <w:color w:val="auto"/>
        </w:rPr>
        <w:t>$1,125.0 million, excluding the Term Loan), provided that the existing lenders, or new lenders, agree to such increase. The Revolving Credit</w:t>
      </w:r>
    </w:p>
    <w:p>
      <w:pPr>
        <w:spacing w:after="0"/>
        <w:rPr>
          <w:sz w:val="20"/>
          <w:szCs w:val="20"/>
          <w:color w:val="auto"/>
        </w:rPr>
      </w:pPr>
      <w:r>
        <w:rPr>
          <w:rFonts w:ascii="Arial" w:cs="Arial" w:eastAsia="Arial" w:hAnsi="Arial"/>
          <w:sz w:val="18"/>
          <w:szCs w:val="18"/>
          <w:color w:val="auto"/>
        </w:rPr>
        <w:t>Facility includes a $40.0 million letter of credit facility and a swingline loan sub-facility of $25.0 million.</w:t>
      </w:r>
    </w:p>
    <w:p>
      <w:pPr>
        <w:spacing w:after="0" w:line="8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6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7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Company pays each lender a participation fee with respect to such lender’s participation in letters of credit, and the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amendment or extensions of letters of credit and other processing fees, and other standard costs and charges relating to such issuing bank’s letters of credit from time to time.</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There were no outstanding borrowings under the Revolving Credit Facility, and $9.9 million of outstanding letters of credit as of March 31, 2026, leaving us with $740.1 million of available borrowings under the Revolving Credit Facility, net of outstanding letters of credit. We were in compliance with all covenants at March 31, 2026; therefore, all $740.1 million is available for future borrowings.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Term Loan</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February 4, 2025, we increased our Term Loan borrowings under the Revolving Credit Facility to $300.0 million, and used these proceeds to, among other things, pay down a portion of the Revolving Credit Facility. The Term Loan requires quarterly principal payments of $3.8 million, with any unpaid amounts due upon maturity on February 4, 2030.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2.500% Senior Unsecured Notes Due 2031</w:t>
      </w:r>
    </w:p>
    <w:p>
      <w:pPr>
        <w:spacing w:after="0" w:line="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the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change-of-control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5.000% Senior Unsecured Notes Due 2036</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November 13, 2025, we issued $750.0 million aggregate principal amount of 5.000% senior notes due March 2036 (the 5.000% Senior Unsecured Notes). The 5.000% Senior Unsecured Notes are senior unsecured obligations of the Company and are not guaranteed by any of our subsidiaries. The 5.000% Senior Unsecured Notes were issued net of original issue discount of $8.2 million and have an effective interest rate of approximately 5.1%. The original issue discount is being amortized by the effective interest method over the term of the notes. The 5.000% Senior Unsecured Notes are redeemable prior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December 15, 2035, at a redemption price equal to the greater of (i) the present value of remaining scheduled payments of principal and interest from the applicable redemption date to December 15, 2035, discounted to the redemption date on a semi-annual basis at the Treasury rate plus 20 basis points, less interest accrued to the applicable redemption date and (ii) 100% of the aggregate principal amount of the 5.000% Senior Unsecured Notes being redeemed, plus, in either case, accrued and unpaid interest to, but excluding, the applicable redemption date. The 5.000% Senior Unsecured Notes are redeemable on or after December 15, 2035, at a redemption price equal to 100% of the aggregate principal amount of the 5.000% Senior Unsecured Notes being redeemed, plus accrued and unpaid interest to, but excluding, the applicable redemption date. If we experience certain change of control triggering events, we would be required to offer to repurchase the 5.000% Senior Unsecured Notes at a purchase price equal to 101% of the aggregate principal amount of the 5.000% Senior Unsecured Notes being repurchased, plus accrued and unpaid interest to, but excluding, the applicable repurchase date. The indenture governing the 5.000%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5.000% Senior Unsecured Notes to become or be declared due and payable.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Our maturities of long-term debt during the next five fiscal years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Fiscal Year</w:t>
            </w:r>
          </w:p>
        </w:tc>
        <w:tc>
          <w:tcPr>
            <w:tcW w:w="4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(dollars in thousands)</w:t>
            </w:r>
          </w:p>
        </w:tc>
      </w:tr>
      <w:tr>
        <w:trPr>
          <w:trHeight w:val="295"/>
        </w:trPr>
        <w:tc>
          <w:tcPr>
            <w:tcW w:w="8920" w:type="dxa"/>
            <w:vAlign w:val="bottom"/>
          </w:tcPr>
          <w:p>
            <w:pPr>
              <w:spacing w:after="0"/>
              <w:rPr>
                <w:sz w:val="20"/>
                <w:szCs w:val="20"/>
                <w:color w:val="auto"/>
              </w:rPr>
            </w:pPr>
            <w:r>
              <w:rPr>
                <w:rFonts w:ascii="Arial" w:cs="Arial" w:eastAsia="Arial" w:hAnsi="Arial"/>
                <w:sz w:val="18"/>
                <w:szCs w:val="18"/>
                <w:b w:val="1"/>
                <w:bCs w:val="1"/>
                <w:color w:val="004483"/>
              </w:rPr>
              <w:t>2027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32"/>
              <w:spacing w:after="0"/>
              <w:rPr>
                <w:sz w:val="20"/>
                <w:szCs w:val="20"/>
                <w:color w:val="auto"/>
              </w:rPr>
            </w:pPr>
            <w:r>
              <w:rPr>
                <w:rFonts w:ascii="Arial" w:cs="Arial" w:eastAsia="Arial" w:hAnsi="Arial"/>
                <w:sz w:val="18"/>
                <w:szCs w:val="18"/>
                <w:color w:val="auto"/>
              </w:rPr>
              <w:t>15,000</w:t>
            </w:r>
          </w:p>
        </w:tc>
      </w:tr>
      <w:tr>
        <w:trPr>
          <w:trHeight w:val="42"/>
        </w:trPr>
        <w:tc>
          <w:tcPr>
            <w:tcW w:w="892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8920" w:type="dxa"/>
            <w:vAlign w:val="bottom"/>
          </w:tcPr>
          <w:p>
            <w:pPr>
              <w:spacing w:after="0"/>
              <w:rPr>
                <w:sz w:val="20"/>
                <w:szCs w:val="20"/>
                <w:color w:val="auto"/>
              </w:rPr>
            </w:pPr>
            <w:r>
              <w:rPr>
                <w:rFonts w:ascii="Arial" w:cs="Arial" w:eastAsia="Arial" w:hAnsi="Arial"/>
                <w:sz w:val="18"/>
                <w:szCs w:val="18"/>
                <w:b w:val="1"/>
                <w:bCs w:val="1"/>
                <w:color w:val="004483"/>
              </w:rPr>
              <w:t>2028</w:t>
            </w:r>
          </w:p>
        </w:tc>
        <w:tc>
          <w:tcPr>
            <w:tcW w:w="460" w:type="dxa"/>
            <w:vAlign w:val="bottom"/>
          </w:tcPr>
          <w:p>
            <w:pPr>
              <w:spacing w:after="0"/>
              <w:rPr>
                <w:sz w:val="24"/>
                <w:szCs w:val="24"/>
                <w:color w:val="auto"/>
              </w:rPr>
            </w:pPr>
          </w:p>
        </w:tc>
        <w:tc>
          <w:tcPr>
            <w:tcW w:w="1860" w:type="dxa"/>
            <w:vAlign w:val="bottom"/>
          </w:tcPr>
          <w:p>
            <w:pPr>
              <w:jc w:val="right"/>
              <w:ind w:right="32"/>
              <w:spacing w:after="0"/>
              <w:rPr>
                <w:sz w:val="20"/>
                <w:szCs w:val="20"/>
                <w:color w:val="auto"/>
              </w:rPr>
            </w:pPr>
            <w:r>
              <w:rPr>
                <w:rFonts w:ascii="Arial" w:cs="Arial" w:eastAsia="Arial" w:hAnsi="Arial"/>
                <w:sz w:val="18"/>
                <w:szCs w:val="18"/>
                <w:color w:val="auto"/>
              </w:rPr>
              <w:t>15,000</w:t>
            </w:r>
          </w:p>
        </w:tc>
      </w:tr>
      <w:tr>
        <w:trPr>
          <w:trHeight w:val="42"/>
        </w:trPr>
        <w:tc>
          <w:tcPr>
            <w:tcW w:w="892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8920" w:type="dxa"/>
            <w:vAlign w:val="bottom"/>
          </w:tcPr>
          <w:p>
            <w:pPr>
              <w:spacing w:after="0"/>
              <w:rPr>
                <w:sz w:val="20"/>
                <w:szCs w:val="20"/>
                <w:color w:val="auto"/>
              </w:rPr>
            </w:pPr>
            <w:r>
              <w:rPr>
                <w:rFonts w:ascii="Arial" w:cs="Arial" w:eastAsia="Arial" w:hAnsi="Arial"/>
                <w:sz w:val="18"/>
                <w:szCs w:val="18"/>
                <w:b w:val="1"/>
                <w:bCs w:val="1"/>
                <w:color w:val="004483"/>
              </w:rPr>
              <w:t>2029</w:t>
            </w:r>
          </w:p>
        </w:tc>
        <w:tc>
          <w:tcPr>
            <w:tcW w:w="460" w:type="dxa"/>
            <w:vAlign w:val="bottom"/>
          </w:tcPr>
          <w:p>
            <w:pPr>
              <w:spacing w:after="0"/>
              <w:rPr>
                <w:sz w:val="24"/>
                <w:szCs w:val="24"/>
                <w:color w:val="auto"/>
              </w:rPr>
            </w:pPr>
          </w:p>
        </w:tc>
        <w:tc>
          <w:tcPr>
            <w:tcW w:w="1860" w:type="dxa"/>
            <w:vAlign w:val="bottom"/>
          </w:tcPr>
          <w:p>
            <w:pPr>
              <w:jc w:val="right"/>
              <w:ind w:right="32"/>
              <w:spacing w:after="0"/>
              <w:rPr>
                <w:sz w:val="20"/>
                <w:szCs w:val="20"/>
                <w:color w:val="auto"/>
              </w:rPr>
            </w:pPr>
            <w:r>
              <w:rPr>
                <w:rFonts w:ascii="Arial" w:cs="Arial" w:eastAsia="Arial" w:hAnsi="Arial"/>
                <w:sz w:val="18"/>
                <w:szCs w:val="18"/>
                <w:color w:val="auto"/>
              </w:rPr>
              <w:t>15,000</w:t>
            </w:r>
          </w:p>
        </w:tc>
      </w:tr>
      <w:tr>
        <w:trPr>
          <w:trHeight w:val="42"/>
        </w:trPr>
        <w:tc>
          <w:tcPr>
            <w:tcW w:w="892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8920" w:type="dxa"/>
            <w:vAlign w:val="bottom"/>
          </w:tcPr>
          <w:p>
            <w:pPr>
              <w:spacing w:after="0"/>
              <w:rPr>
                <w:sz w:val="20"/>
                <w:szCs w:val="20"/>
                <w:color w:val="auto"/>
              </w:rPr>
            </w:pPr>
            <w:r>
              <w:rPr>
                <w:rFonts w:ascii="Arial" w:cs="Arial" w:eastAsia="Arial" w:hAnsi="Arial"/>
                <w:sz w:val="18"/>
                <w:szCs w:val="18"/>
                <w:b w:val="1"/>
                <w:bCs w:val="1"/>
                <w:color w:val="004483"/>
              </w:rPr>
              <w:t>2030</w:t>
            </w:r>
          </w:p>
        </w:tc>
        <w:tc>
          <w:tcPr>
            <w:tcW w:w="460" w:type="dxa"/>
            <w:vAlign w:val="bottom"/>
          </w:tcPr>
          <w:p>
            <w:pPr>
              <w:spacing w:after="0"/>
              <w:rPr>
                <w:sz w:val="24"/>
                <w:szCs w:val="24"/>
                <w:color w:val="auto"/>
              </w:rPr>
            </w:pPr>
          </w:p>
        </w:tc>
        <w:tc>
          <w:tcPr>
            <w:tcW w:w="1860" w:type="dxa"/>
            <w:vAlign w:val="bottom"/>
          </w:tcPr>
          <w:p>
            <w:pPr>
              <w:jc w:val="right"/>
              <w:ind w:right="32"/>
              <w:spacing w:after="0"/>
              <w:rPr>
                <w:sz w:val="20"/>
                <w:szCs w:val="20"/>
                <w:color w:val="auto"/>
              </w:rPr>
            </w:pPr>
            <w:r>
              <w:rPr>
                <w:rFonts w:ascii="Arial" w:cs="Arial" w:eastAsia="Arial" w:hAnsi="Arial"/>
                <w:sz w:val="18"/>
                <w:szCs w:val="18"/>
                <w:color w:val="auto"/>
              </w:rPr>
              <w:t>236,250</w:t>
            </w:r>
          </w:p>
        </w:tc>
      </w:tr>
      <w:tr>
        <w:trPr>
          <w:trHeight w:val="42"/>
        </w:trPr>
        <w:tc>
          <w:tcPr>
            <w:tcW w:w="892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8920" w:type="dxa"/>
            <w:vAlign w:val="bottom"/>
          </w:tcPr>
          <w:p>
            <w:pPr>
              <w:spacing w:after="0"/>
              <w:rPr>
                <w:sz w:val="20"/>
                <w:szCs w:val="20"/>
                <w:color w:val="auto"/>
              </w:rPr>
            </w:pPr>
            <w:r>
              <w:rPr>
                <w:rFonts w:ascii="Arial" w:cs="Arial" w:eastAsia="Arial" w:hAnsi="Arial"/>
                <w:sz w:val="18"/>
                <w:szCs w:val="18"/>
                <w:b w:val="1"/>
                <w:bCs w:val="1"/>
                <w:color w:val="004483"/>
              </w:rPr>
              <w:t>2031</w:t>
            </w:r>
          </w:p>
        </w:tc>
        <w:tc>
          <w:tcPr>
            <w:tcW w:w="460" w:type="dxa"/>
            <w:vAlign w:val="bottom"/>
          </w:tcPr>
          <w:p>
            <w:pPr>
              <w:spacing w:after="0"/>
              <w:rPr>
                <w:sz w:val="24"/>
                <w:szCs w:val="24"/>
                <w:color w:val="auto"/>
              </w:rPr>
            </w:pPr>
          </w:p>
        </w:tc>
        <w:tc>
          <w:tcPr>
            <w:tcW w:w="18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42"/>
        </w:trPr>
        <w:tc>
          <w:tcPr>
            <w:tcW w:w="892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1860" w:type="dxa"/>
            <w:vAlign w:val="bottom"/>
            <w:tcBorders>
              <w:bottom w:val="single" w:sz="8" w:color="A6A6A6"/>
            </w:tcBorders>
          </w:tcPr>
          <w:p>
            <w:pPr>
              <w:spacing w:after="0"/>
              <w:rPr>
                <w:sz w:val="3"/>
                <w:szCs w:val="3"/>
                <w:color w:val="auto"/>
              </w:rPr>
            </w:pPr>
          </w:p>
        </w:tc>
      </w:tr>
      <w:tr>
        <w:trPr>
          <w:trHeight w:val="289"/>
        </w:trPr>
        <w:tc>
          <w:tcPr>
            <w:tcW w:w="8920" w:type="dxa"/>
            <w:vAlign w:val="bottom"/>
          </w:tcPr>
          <w:p>
            <w:pPr>
              <w:spacing w:after="0"/>
              <w:rPr>
                <w:sz w:val="20"/>
                <w:szCs w:val="20"/>
                <w:color w:val="auto"/>
              </w:rPr>
            </w:pPr>
            <w:r>
              <w:rPr>
                <w:rFonts w:ascii="Arial" w:cs="Arial" w:eastAsia="Arial" w:hAnsi="Arial"/>
                <w:sz w:val="18"/>
                <w:szCs w:val="18"/>
                <w:b w:val="1"/>
                <w:bCs w:val="1"/>
                <w:color w:val="004483"/>
              </w:rPr>
              <w:t>Thereafter</w:t>
            </w:r>
          </w:p>
        </w:tc>
        <w:tc>
          <w:tcPr>
            <w:tcW w:w="460" w:type="dxa"/>
            <w:vAlign w:val="bottom"/>
          </w:tcPr>
          <w:p>
            <w:pPr>
              <w:spacing w:after="0"/>
              <w:rPr>
                <w:sz w:val="24"/>
                <w:szCs w:val="24"/>
                <w:color w:val="auto"/>
              </w:rPr>
            </w:pPr>
          </w:p>
        </w:tc>
        <w:tc>
          <w:tcPr>
            <w:tcW w:w="1860" w:type="dxa"/>
            <w:vAlign w:val="bottom"/>
          </w:tcPr>
          <w:p>
            <w:pPr>
              <w:jc w:val="right"/>
              <w:ind w:right="32"/>
              <w:spacing w:after="0"/>
              <w:rPr>
                <w:sz w:val="20"/>
                <w:szCs w:val="20"/>
                <w:color w:val="auto"/>
              </w:rPr>
            </w:pPr>
            <w:r>
              <w:rPr>
                <w:rFonts w:ascii="Arial" w:cs="Arial" w:eastAsia="Arial" w:hAnsi="Arial"/>
                <w:sz w:val="18"/>
                <w:szCs w:val="18"/>
                <w:color w:val="auto"/>
              </w:rPr>
              <w:t>1,500,000</w:t>
            </w:r>
          </w:p>
        </w:tc>
      </w:tr>
      <w:tr>
        <w:trPr>
          <w:trHeight w:val="69"/>
        </w:trPr>
        <w:tc>
          <w:tcPr>
            <w:tcW w:w="8920" w:type="dxa"/>
            <w:vAlign w:val="bottom"/>
            <w:tcBorders>
              <w:bottom w:val="single" w:sz="8" w:color="A6A6A6"/>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89"/>
        </w:trPr>
        <w:tc>
          <w:tcPr>
            <w:tcW w:w="8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Pr>
          <w:p>
            <w:pPr>
              <w:jc w:val="right"/>
              <w:ind w:right="32"/>
              <w:spacing w:after="0"/>
              <w:rPr>
                <w:sz w:val="20"/>
                <w:szCs w:val="20"/>
                <w:color w:val="auto"/>
              </w:rPr>
            </w:pPr>
            <w:r>
              <w:rPr>
                <w:rFonts w:ascii="Arial" w:cs="Arial" w:eastAsia="Arial" w:hAnsi="Arial"/>
                <w:sz w:val="18"/>
                <w:szCs w:val="18"/>
                <w:b w:val="1"/>
                <w:bCs w:val="1"/>
                <w:color w:val="auto"/>
              </w:rPr>
              <w:t>1,781,250</w:t>
            </w:r>
          </w:p>
        </w:tc>
      </w:tr>
      <w:tr>
        <w:trPr>
          <w:trHeight w:val="42"/>
        </w:trPr>
        <w:tc>
          <w:tcPr>
            <w:tcW w:w="89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0"/>
        </w:trPr>
        <w:tc>
          <w:tcPr>
            <w:tcW w:w="8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 FAIR VALUE OF FINANCIAL INSTRUMENTS</w:t>
      </w:r>
    </w:p>
    <w:p>
      <w:pPr>
        <w:spacing w:after="0" w:line="9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fair value of our senior notes has been estimated based upon our current incremental borrowing rates for similar types of borrowing arrangements. The fair value of our Senior Unsecured Notes at March 31, 2026,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740" w:type="dxa"/>
            <w:vAlign w:val="bottom"/>
          </w:tcPr>
          <w:p>
            <w:pPr>
              <w:jc w:val="right"/>
              <w:ind w:right="37"/>
              <w:spacing w:after="0"/>
              <w:rPr>
                <w:sz w:val="20"/>
                <w:szCs w:val="20"/>
                <w:color w:val="auto"/>
              </w:rPr>
            </w:pPr>
            <w:r>
              <w:rPr>
                <w:rFonts w:ascii="Arial" w:cs="Arial" w:eastAsia="Arial" w:hAnsi="Arial"/>
                <w:sz w:val="16"/>
                <w:szCs w:val="16"/>
                <w:b w:val="1"/>
                <w:bCs w:val="1"/>
                <w:color w:val="auto"/>
              </w:rPr>
              <w:t>Fair Value</w:t>
            </w:r>
          </w:p>
        </w:tc>
      </w:tr>
      <w:tr>
        <w:trPr>
          <w:trHeight w:val="205"/>
        </w:trPr>
        <w:tc>
          <w:tcPr>
            <w:tcW w:w="456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(dollars in thousands)</w:t>
            </w:r>
          </w:p>
        </w:tc>
      </w:tr>
      <w:tr>
        <w:trPr>
          <w:trHeight w:val="295"/>
        </w:trPr>
        <w:tc>
          <w:tcPr>
            <w:tcW w:w="4560" w:type="dxa"/>
            <w:vAlign w:val="bottom"/>
          </w:tcPr>
          <w:p>
            <w:pPr>
              <w:spacing w:after="0"/>
              <w:rPr>
                <w:sz w:val="20"/>
                <w:szCs w:val="20"/>
                <w:color w:val="auto"/>
              </w:rPr>
            </w:pPr>
            <w:r>
              <w:rPr>
                <w:rFonts w:ascii="Arial" w:cs="Arial" w:eastAsia="Arial" w:hAnsi="Arial"/>
                <w:sz w:val="18"/>
                <w:szCs w:val="18"/>
                <w:b w:val="1"/>
                <w:bCs w:val="1"/>
                <w:color w:val="004483"/>
              </w:rPr>
              <w:t>2.500% Senior Unsecured Notes Due 2031</w:t>
            </w:r>
          </w:p>
        </w:tc>
        <w:tc>
          <w:tcPr>
            <w:tcW w:w="4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667,000</w:t>
            </w:r>
          </w:p>
        </w:tc>
      </w:tr>
      <w:tr>
        <w:trPr>
          <w:trHeight w:val="42"/>
        </w:trPr>
        <w:tc>
          <w:tcPr>
            <w:tcW w:w="4560" w:type="dxa"/>
            <w:vAlign w:val="bottom"/>
            <w:tcBorders>
              <w:bottom w:val="single" w:sz="8" w:color="A6A6A6"/>
            </w:tcBorders>
          </w:tcPr>
          <w:p>
            <w:pPr>
              <w:spacing w:after="0"/>
              <w:rPr>
                <w:sz w:val="3"/>
                <w:szCs w:val="3"/>
                <w:color w:val="auto"/>
              </w:rPr>
            </w:pPr>
          </w:p>
        </w:tc>
        <w:tc>
          <w:tcPr>
            <w:tcW w:w="494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r>
      <w:tr>
        <w:trPr>
          <w:trHeight w:val="289"/>
        </w:trPr>
        <w:tc>
          <w:tcPr>
            <w:tcW w:w="4560" w:type="dxa"/>
            <w:vAlign w:val="bottom"/>
          </w:tcPr>
          <w:p>
            <w:pPr>
              <w:spacing w:after="0"/>
              <w:rPr>
                <w:sz w:val="20"/>
                <w:szCs w:val="20"/>
                <w:color w:val="auto"/>
              </w:rPr>
            </w:pPr>
            <w:r>
              <w:rPr>
                <w:rFonts w:ascii="Arial" w:cs="Arial" w:eastAsia="Arial" w:hAnsi="Arial"/>
                <w:sz w:val="18"/>
                <w:szCs w:val="18"/>
                <w:b w:val="1"/>
                <w:bCs w:val="1"/>
                <w:color w:val="004483"/>
              </w:rPr>
              <w:t>5.000% Senior Unsecured Notes Due 2036</w:t>
            </w:r>
          </w:p>
        </w:tc>
        <w:tc>
          <w:tcPr>
            <w:tcW w:w="4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718,000</w:t>
            </w:r>
          </w:p>
        </w:tc>
      </w:tr>
      <w:tr>
        <w:trPr>
          <w:trHeight w:val="42"/>
        </w:trPr>
        <w:tc>
          <w:tcPr>
            <w:tcW w:w="4560" w:type="dxa"/>
            <w:vAlign w:val="bottom"/>
            <w:tcBorders>
              <w:bottom w:val="single" w:sz="8" w:color="A6A6A6"/>
            </w:tcBorders>
          </w:tcPr>
          <w:p>
            <w:pPr>
              <w:spacing w:after="0"/>
              <w:rPr>
                <w:sz w:val="3"/>
                <w:szCs w:val="3"/>
                <w:color w:val="auto"/>
              </w:rPr>
            </w:pPr>
          </w:p>
        </w:tc>
        <w:tc>
          <w:tcPr>
            <w:tcW w:w="4940" w:type="dxa"/>
            <w:vAlign w:val="bottom"/>
            <w:tcBorders>
              <w:bottom w:val="single" w:sz="8" w:color="A6A6A6"/>
            </w:tcBorders>
          </w:tcPr>
          <w:p>
            <w:pPr>
              <w:spacing w:after="0"/>
              <w:rPr>
                <w:sz w:val="3"/>
                <w:szCs w:val="3"/>
                <w:color w:val="auto"/>
              </w:rPr>
            </w:pPr>
          </w:p>
        </w:tc>
        <w:tc>
          <w:tcPr>
            <w:tcW w:w="1740" w:type="dxa"/>
            <w:vAlign w:val="bottom"/>
            <w:tcBorders>
              <w:bottom w:val="single" w:sz="8" w:color="A6A6A6"/>
            </w:tcBorders>
          </w:tcPr>
          <w:p>
            <w:pPr>
              <w:spacing w:after="0"/>
              <w:rPr>
                <w:sz w:val="3"/>
                <w:szCs w:val="3"/>
                <w:color w:val="auto"/>
              </w:rPr>
            </w:pPr>
          </w:p>
        </w:tc>
      </w:tr>
      <w:tr>
        <w:trPr>
          <w:trHeight w:val="875"/>
        </w:trPr>
        <w:tc>
          <w:tcPr>
            <w:tcW w:w="4560" w:type="dxa"/>
            <w:vAlign w:val="bottom"/>
          </w:tcPr>
          <w:p>
            <w:pPr>
              <w:spacing w:after="0"/>
              <w:rPr>
                <w:sz w:val="24"/>
                <w:szCs w:val="24"/>
                <w:color w:val="auto"/>
              </w:rPr>
            </w:pPr>
          </w:p>
        </w:tc>
        <w:tc>
          <w:tcPr>
            <w:tcW w:w="4940" w:type="dxa"/>
            <w:vAlign w:val="bottom"/>
          </w:tcPr>
          <w:p>
            <w:pPr>
              <w:jc w:val="right"/>
              <w:ind w:right="3690"/>
              <w:spacing w:after="0"/>
              <w:rPr>
                <w:sz w:val="20"/>
                <w:szCs w:val="20"/>
                <w:color w:val="auto"/>
              </w:rPr>
            </w:pPr>
            <w:r>
              <w:rPr>
                <w:rFonts w:ascii="Arial" w:cs="Arial" w:eastAsia="Arial" w:hAnsi="Arial"/>
                <w:sz w:val="18"/>
                <w:szCs w:val="18"/>
                <w:color w:val="auto"/>
              </w:rPr>
              <w:t>92</w:t>
            </w:r>
          </w:p>
        </w:tc>
        <w:tc>
          <w:tcPr>
            <w:tcW w:w="1740" w:type="dxa"/>
            <w:vAlign w:val="bottom"/>
          </w:tcPr>
          <w:p>
            <w:pPr>
              <w:spacing w:after="0"/>
              <w:rPr>
                <w:sz w:val="24"/>
                <w:szCs w:val="24"/>
                <w:color w:val="auto"/>
              </w:rPr>
            </w:pPr>
          </w:p>
        </w:tc>
      </w:tr>
      <w:tr>
        <w:trPr>
          <w:trHeight w:val="745"/>
        </w:trPr>
        <w:tc>
          <w:tcPr>
            <w:tcW w:w="45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right="280"/>
        <w:spacing w:after="0" w:line="247" w:lineRule="auto"/>
        <w:rPr>
          <w:sz w:val="20"/>
          <w:szCs w:val="20"/>
          <w:color w:val="auto"/>
        </w:rPr>
      </w:pPr>
      <w:r>
        <w:rPr>
          <w:rFonts w:ascii="Arial" w:cs="Arial" w:eastAsia="Arial" w:hAnsi="Arial"/>
          <w:sz w:val="18"/>
          <w:szCs w:val="18"/>
          <w:color w:val="auto"/>
        </w:rPr>
        <w:t>The estimated fair value of our long-term debt was based on publicly quoted prices of these debt instruments (level 1 input). The carrying values of cash and cash equivalents, accounts receivable, accounts payable, and accrued liabilities approximate their fair values at March 31, 2026, due to the short-term maturities of these assets and liabilities. The fair value of our Term Loan also approximates its carrying values at March 31,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(H) BUSINESS SEGMENTS</w:t>
      </w:r>
    </w:p>
    <w:p>
      <w:pPr>
        <w:spacing w:after="0" w:line="9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(CODM), who is our President and Chief Executive Officer, to assist in allocating resources and assessing performance. This assessment is primarily based on segment earnings from operations, as management believes this is the best metric for segment operating performance. The CODM uses segment operating earnings as part of their review of the monthly operating results on a segment basis. The actual monthly results are reviewed against budgeted amounts as well as the current year reforecast and prior year actual amounts. Interest and taxes are managed on a centralized basis, and not included in segment operating information.</w:t>
      </w:r>
    </w:p>
    <w:p>
      <w:pPr>
        <w:spacing w:after="0" w:line="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 The Company's operating segments are the same as the Company's reporting segments.</w:t>
      </w:r>
    </w:p>
    <w:p>
      <w:pPr>
        <w:spacing w:after="0" w:line="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primary products, cement and gypsum wallboard, are essential for building, expanding and repairing roads, highways, and residential, commercial and industrial structures across America. We manufacture and sell our products through a network of more than 70 facilities spanning 21 states. Demand for our products is generally cyclical and seasonal, depending on economic and geographic conditions. Our operations are conducted in the U.S. and include the mining of limestone for the manufacture, production, distribution, and sale of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7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operate eight modern cement plants, two slag grinding facilities, and over 30 cement distribution terminals. One cement plant and one slag plant is operated though our joint venture located in Buda, Texas. Our cement companies focus on the U.S. heartland and operate as an integrated network selling product primarily in California, Colorado, Illinois, Indiana, Iowa, Kansas, Kentucky, Missouri, Nebraska, Nevada, Ohio, Oklahoma, Tennessee, and Texas. We operate over 25 readymix concrete batch plants and seven aggregates processing plants in markets that are complementary to our cement network.</w:t>
      </w:r>
    </w:p>
    <w:p>
      <w:pPr>
        <w:spacing w:after="0" w:line="6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spacing w:after="0" w:line="8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tables set forth certain financial information relating to our operations by segment. We do not allocate interest or taxes at the segment level, only at the consolidated company level.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Concrete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6"/>
                <w:szCs w:val="16"/>
                <w:b w:val="1"/>
                <w:bCs w:val="1"/>
                <w:color w:val="auto"/>
              </w:rPr>
              <w:t>Year Ended March 31, 2026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Cement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and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Gypsum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Recycled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Aggregates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rPr>
              <w:t>Wallboard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Paperboard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External Customers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1,144,031</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283,275</w:t>
            </w:r>
          </w:p>
        </w:tc>
        <w:tc>
          <w:tcPr>
            <w:tcW w:w="10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764,493</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116,859</w:t>
            </w:r>
          </w:p>
        </w:tc>
        <w:tc>
          <w:tcPr>
            <w:tcW w:w="1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2,308,658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Intersegment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134,596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Joint Venture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119,341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119,341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1,299,383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764,493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199,215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2,562,595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740" w:type="dxa"/>
            <w:vAlign w:val="bottom"/>
            <w:tcBorders>
              <w:bottom w:val="single" w:sz="8" w:color="A6A6A6"/>
            </w:tcBorders>
          </w:tcPr>
          <w:p>
            <w:pPr>
              <w:spacing w:after="0"/>
              <w:rPr>
                <w:sz w:val="4"/>
                <w:szCs w:val="4"/>
                <w:color w:val="auto"/>
              </w:rPr>
            </w:pPr>
          </w:p>
        </w:tc>
        <w:tc>
          <w:tcPr>
            <w:tcW w:w="1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94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9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Reconciliation of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Intersegment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(134,596)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Joint Venture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(119,341)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90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88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Consolidated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2,308,658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492"/>
        </w:trPr>
        <w:tc>
          <w:tcPr>
            <w:tcW w:w="4740" w:type="dxa"/>
            <w:vAlign w:val="bottom"/>
          </w:tcPr>
          <w:p>
            <w:pPr>
              <w:spacing w:after="0"/>
              <w:rPr>
                <w:sz w:val="20"/>
                <w:szCs w:val="20"/>
                <w:color w:val="auto"/>
              </w:rPr>
            </w:pPr>
            <w:r>
              <w:rPr>
                <w:rFonts w:ascii="Arial" w:cs="Arial" w:eastAsia="Arial" w:hAnsi="Arial"/>
                <w:sz w:val="18"/>
                <w:szCs w:val="18"/>
                <w:b w:val="1"/>
                <w:bCs w:val="1"/>
                <w:color w:val="004483"/>
              </w:rPr>
              <w:t>Less: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gridSpan w:val="2"/>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gridSpan w:val="2"/>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Freight and Delivery</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104,342</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28,664</w:t>
            </w:r>
          </w:p>
        </w:tc>
        <w:tc>
          <w:tcPr>
            <w:tcW w:w="10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140,719</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273,782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Parts, Supplies, and Services (Includes Maintenance)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302,769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Energy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141,867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Raw Materials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109,946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172,058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461,673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Labor and Fixed Costs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173,562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301,030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474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Depreciation, Depletion, and Amortization </w:t>
            </w:r>
            <w:r>
              <w:rPr>
                <w:rFonts w:ascii="Arial" w:cs="Arial" w:eastAsia="Arial" w:hAnsi="Arial"/>
                <w:sz w:val="24"/>
                <w:szCs w:val="24"/>
                <w:b w:val="1"/>
                <w:bCs w:val="1"/>
                <w:color w:val="004483"/>
                <w:vertAlign w:val="superscript"/>
              </w:rPr>
              <w:t>(1)</w:t>
            </w:r>
          </w:p>
        </w:tc>
        <w:tc>
          <w:tcPr>
            <w:tcW w:w="16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94,380</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28,159</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23,890</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13,210</w:t>
            </w:r>
          </w:p>
        </w:tc>
        <w:tc>
          <w:tcPr>
            <w:tcW w:w="120" w:type="dxa"/>
            <w:vAlign w:val="bottom"/>
            <w:tcBorders>
              <w:bottom w:val="single" w:sz="8" w:color="A6A6A6"/>
            </w:tcBorders>
          </w:tcPr>
          <w:p>
            <w:pPr>
              <w:spacing w:after="0"/>
              <w:rPr>
                <w:sz w:val="24"/>
                <w:szCs w:val="24"/>
                <w:color w:val="auto"/>
              </w:rPr>
            </w:pPr>
          </w:p>
        </w:tc>
        <w:tc>
          <w:tcPr>
            <w:tcW w:w="10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159,639</w:t>
            </w:r>
          </w:p>
        </w:tc>
        <w:tc>
          <w:tcPr>
            <w:tcW w:w="12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Purchased Cement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Other Segment Items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Segment Operating Earnings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328,306</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12,864</w:t>
            </w:r>
          </w:p>
        </w:tc>
        <w:tc>
          <w:tcPr>
            <w:tcW w:w="10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286,831</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44,531</w:t>
            </w: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672,532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740" w:type="dxa"/>
            <w:vAlign w:val="bottom"/>
          </w:tcPr>
          <w:p>
            <w:pPr>
              <w:spacing w:after="0"/>
              <w:rPr>
                <w:sz w:val="20"/>
                <w:szCs w:val="20"/>
                <w:color w:val="auto"/>
              </w:rPr>
            </w:pPr>
            <w:r>
              <w:rPr>
                <w:rFonts w:ascii="Arial" w:cs="Arial" w:eastAsia="Arial" w:hAnsi="Arial"/>
                <w:sz w:val="18"/>
                <w:szCs w:val="18"/>
                <w:b w:val="1"/>
                <w:bCs w:val="1"/>
                <w:color w:val="004483"/>
              </w:rPr>
              <w:t>Reconciliation of Segment Operating Earnings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Corporate General and Administrative Expense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Other Non-Operating Earnings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Interest Expense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90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88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541,976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Concrete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6"/>
                <w:szCs w:val="16"/>
                <w:b w:val="1"/>
                <w:bCs w:val="1"/>
                <w:color w:val="auto"/>
              </w:rPr>
              <w:t>Year Ended March 31, 2025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Cement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and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Gypsum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Recycled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Aggregates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rPr>
              <w:t>Wallboard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Paperboard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External Customers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1,053,620</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237,723</w:t>
            </w:r>
          </w:p>
        </w:tc>
        <w:tc>
          <w:tcPr>
            <w:tcW w:w="10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846,499</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122,666</w:t>
            </w:r>
          </w:p>
        </w:tc>
        <w:tc>
          <w:tcPr>
            <w:tcW w:w="1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2,260,508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Intersegment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89,058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Joint Venture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1,201,362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251,636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846,499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2,511,221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740" w:type="dxa"/>
            <w:vAlign w:val="bottom"/>
            <w:tcBorders>
              <w:bottom w:val="single" w:sz="8" w:color="A6A6A6"/>
            </w:tcBorders>
          </w:tcPr>
          <w:p>
            <w:pPr>
              <w:spacing w:after="0"/>
              <w:rPr>
                <w:sz w:val="4"/>
                <w:szCs w:val="4"/>
                <w:color w:val="auto"/>
              </w:rPr>
            </w:pPr>
          </w:p>
        </w:tc>
        <w:tc>
          <w:tcPr>
            <w:tcW w:w="1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94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9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Reconciliation of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Intersegment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Joint Venture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90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88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Consolidated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2,260,508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491"/>
        </w:trPr>
        <w:tc>
          <w:tcPr>
            <w:tcW w:w="4740" w:type="dxa"/>
            <w:vAlign w:val="bottom"/>
          </w:tcPr>
          <w:p>
            <w:pPr>
              <w:spacing w:after="0"/>
              <w:rPr>
                <w:sz w:val="20"/>
                <w:szCs w:val="20"/>
                <w:color w:val="auto"/>
              </w:rPr>
            </w:pPr>
            <w:r>
              <w:rPr>
                <w:rFonts w:ascii="Arial" w:cs="Arial" w:eastAsia="Arial" w:hAnsi="Arial"/>
                <w:sz w:val="18"/>
                <w:szCs w:val="18"/>
                <w:b w:val="1"/>
                <w:bCs w:val="1"/>
                <w:color w:val="004483"/>
              </w:rPr>
              <w:t>Less: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gridSpan w:val="2"/>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gridSpan w:val="2"/>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Freight and Delivery</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90,996</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32,593</w:t>
            </w:r>
          </w:p>
        </w:tc>
        <w:tc>
          <w:tcPr>
            <w:tcW w:w="10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146,000</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269,685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Parts, Supplies, and Services (Includes Maintenance)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231,530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302,269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Energy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140,754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196,329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Raw Materials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84,669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109,587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179,142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94,769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468,167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Labor and Fixed Costs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162,741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282,862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474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Depreciation, Depletion, and Amortization </w:t>
            </w:r>
            <w:r>
              <w:rPr>
                <w:rFonts w:ascii="Arial" w:cs="Arial" w:eastAsia="Arial" w:hAnsi="Arial"/>
                <w:sz w:val="24"/>
                <w:szCs w:val="24"/>
                <w:b w:val="1"/>
                <w:bCs w:val="1"/>
                <w:color w:val="004483"/>
                <w:vertAlign w:val="superscript"/>
              </w:rPr>
              <w:t>(1)</w:t>
            </w:r>
          </w:p>
        </w:tc>
        <w:tc>
          <w:tcPr>
            <w:tcW w:w="16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91,817</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23,247</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25,807</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14,782</w:t>
            </w:r>
          </w:p>
        </w:tc>
        <w:tc>
          <w:tcPr>
            <w:tcW w:w="120" w:type="dxa"/>
            <w:vAlign w:val="bottom"/>
            <w:tcBorders>
              <w:bottom w:val="single" w:sz="8" w:color="A6A6A6"/>
            </w:tcBorders>
          </w:tcPr>
          <w:p>
            <w:pPr>
              <w:spacing w:after="0"/>
              <w:rPr>
                <w:sz w:val="24"/>
                <w:szCs w:val="24"/>
                <w:color w:val="auto"/>
              </w:rPr>
            </w:pPr>
          </w:p>
        </w:tc>
        <w:tc>
          <w:tcPr>
            <w:tcW w:w="10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155,653</w:t>
            </w:r>
          </w:p>
        </w:tc>
        <w:tc>
          <w:tcPr>
            <w:tcW w:w="12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Purchased Cement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Other Segment Items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Segment Operating Earnings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319,456</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350,764</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38,078</w:t>
            </w: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699,533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740" w:type="dxa"/>
            <w:vAlign w:val="bottom"/>
          </w:tcPr>
          <w:p>
            <w:pPr>
              <w:spacing w:after="0"/>
              <w:rPr>
                <w:sz w:val="20"/>
                <w:szCs w:val="20"/>
                <w:color w:val="auto"/>
              </w:rPr>
            </w:pPr>
            <w:r>
              <w:rPr>
                <w:rFonts w:ascii="Arial" w:cs="Arial" w:eastAsia="Arial" w:hAnsi="Arial"/>
                <w:sz w:val="18"/>
                <w:szCs w:val="18"/>
                <w:b w:val="1"/>
                <w:bCs w:val="1"/>
                <w:color w:val="004483"/>
              </w:rPr>
              <w:t>Reconciliation of Segment Operating Earnings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Corporate General and Administrative Expense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(73,942)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Other Non-Operating Earnings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Interest Expense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90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88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591,485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97" w:name="page98"/>
    <w:bookmarkEnd w:id="97"/>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Concrete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6"/>
                <w:szCs w:val="16"/>
                <w:b w:val="1"/>
                <w:bCs w:val="1"/>
                <w:color w:val="auto"/>
              </w:rPr>
              <w:t>Year Ended March 31, 2024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Cement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and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Gypsum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Recycled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Aggregates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rPr>
              <w:t>Wallboard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Paperboard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External Customers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1,077,918</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240,012</w:t>
            </w:r>
          </w:p>
        </w:tc>
        <w:tc>
          <w:tcPr>
            <w:tcW w:w="10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839,530</w:t>
            </w:r>
          </w:p>
        </w:tc>
        <w:tc>
          <w:tcPr>
            <w:tcW w:w="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101,837</w:t>
            </w:r>
          </w:p>
        </w:tc>
        <w:tc>
          <w:tcPr>
            <w:tcW w:w="1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2,259,297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Intersegment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130,654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Joint Venture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252,952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839,530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184,188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2,502,687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740" w:type="dxa"/>
            <w:vAlign w:val="bottom"/>
            <w:tcBorders>
              <w:bottom w:val="single" w:sz="8" w:color="A6A6A6"/>
            </w:tcBorders>
          </w:tcPr>
          <w:p>
            <w:pPr>
              <w:spacing w:after="0"/>
              <w:rPr>
                <w:sz w:val="4"/>
                <w:szCs w:val="4"/>
                <w:color w:val="auto"/>
              </w:rPr>
            </w:pPr>
          </w:p>
        </w:tc>
        <w:tc>
          <w:tcPr>
            <w:tcW w:w="16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94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9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Reconciliation of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Intersegment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(130,654)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Revenue from Joint Venture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90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88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Consolidated Revenue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2,259,297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492"/>
        </w:trPr>
        <w:tc>
          <w:tcPr>
            <w:tcW w:w="4740" w:type="dxa"/>
            <w:vAlign w:val="bottom"/>
          </w:tcPr>
          <w:p>
            <w:pPr>
              <w:spacing w:after="0"/>
              <w:rPr>
                <w:sz w:val="20"/>
                <w:szCs w:val="20"/>
                <w:color w:val="auto"/>
              </w:rPr>
            </w:pPr>
            <w:r>
              <w:rPr>
                <w:rFonts w:ascii="Arial" w:cs="Arial" w:eastAsia="Arial" w:hAnsi="Arial"/>
                <w:sz w:val="18"/>
                <w:szCs w:val="18"/>
                <w:b w:val="1"/>
                <w:bCs w:val="1"/>
                <w:color w:val="004483"/>
              </w:rPr>
              <w:t>Less: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gridSpan w:val="2"/>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gridSpan w:val="2"/>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Freight and Delivery</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94,031</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33,976</w:t>
            </w:r>
          </w:p>
        </w:tc>
        <w:tc>
          <w:tcPr>
            <w:tcW w:w="10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149,441</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278,071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Parts, Supplies, and Services (Includes Maintenance)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217,393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282,162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Energy</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154,925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217,670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Raw Materials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178,340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83,784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461,725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Labor and Fixed Costs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155,118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268,803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474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Depreciation, Depletion, and Amortization </w:t>
            </w:r>
            <w:r>
              <w:rPr>
                <w:rFonts w:ascii="Arial" w:cs="Arial" w:eastAsia="Arial" w:hAnsi="Arial"/>
                <w:sz w:val="24"/>
                <w:szCs w:val="24"/>
                <w:b w:val="1"/>
                <w:bCs w:val="1"/>
                <w:color w:val="004483"/>
                <w:vertAlign w:val="superscript"/>
              </w:rPr>
              <w:t>(1)</w:t>
            </w:r>
          </w:p>
        </w:tc>
        <w:tc>
          <w:tcPr>
            <w:tcW w:w="16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89,138</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23,038</w:t>
            </w:r>
          </w:p>
        </w:tc>
        <w:tc>
          <w:tcPr>
            <w:tcW w:w="10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14,811</w:t>
            </w:r>
          </w:p>
        </w:tc>
        <w:tc>
          <w:tcPr>
            <w:tcW w:w="120" w:type="dxa"/>
            <w:vAlign w:val="bottom"/>
            <w:tcBorders>
              <w:bottom w:val="single" w:sz="8" w:color="A6A6A6"/>
            </w:tcBorders>
          </w:tcPr>
          <w:p>
            <w:pPr>
              <w:spacing w:after="0"/>
              <w:rPr>
                <w:sz w:val="24"/>
                <w:szCs w:val="24"/>
                <w:color w:val="auto"/>
              </w:rPr>
            </w:pPr>
          </w:p>
        </w:tc>
        <w:tc>
          <w:tcPr>
            <w:tcW w:w="100" w:type="dxa"/>
            <w:vAlign w:val="bottom"/>
            <w:tcBorders>
              <w:bottom w:val="single" w:sz="8" w:color="A6A6A6"/>
            </w:tcBorders>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146,715</w:t>
            </w:r>
          </w:p>
        </w:tc>
        <w:tc>
          <w:tcPr>
            <w:tcW w:w="12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Purchased Cement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Other Segment Items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Segment Operating Earnings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338,349</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334,536</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31,616</w:t>
            </w: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716,902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740" w:type="dxa"/>
            <w:vAlign w:val="bottom"/>
          </w:tcPr>
          <w:p>
            <w:pPr>
              <w:spacing w:after="0"/>
              <w:rPr>
                <w:sz w:val="20"/>
                <w:szCs w:val="20"/>
                <w:color w:val="auto"/>
              </w:rPr>
            </w:pPr>
            <w:r>
              <w:rPr>
                <w:rFonts w:ascii="Arial" w:cs="Arial" w:eastAsia="Arial" w:hAnsi="Arial"/>
                <w:sz w:val="18"/>
                <w:szCs w:val="18"/>
                <w:b w:val="1"/>
                <w:bCs w:val="1"/>
                <w:color w:val="004483"/>
              </w:rPr>
              <w:t>Reconciliation of Segment Operating Earnings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Corporate General and Administrative Expense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Other Non-Operating Earnings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88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004483"/>
              </w:rPr>
              <w:t>Interest Expense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74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90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88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94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00" w:type="dxa"/>
            <w:vAlign w:val="bottom"/>
            <w:tcBorders>
              <w:bottom w:val="single" w:sz="8" w:color="A6A6A6"/>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617,937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20" w:right="620" w:hanging="212"/>
        <w:spacing w:after="0" w:line="341" w:lineRule="auto"/>
        <w:tabs>
          <w:tab w:leader="none" w:pos="191" w:val="left"/>
        </w:tabs>
        <w:numPr>
          <w:ilvl w:val="0"/>
          <w:numId w:val="30"/>
        </w:numPr>
        <w:rPr>
          <w:rFonts w:ascii="Arial" w:cs="Arial" w:eastAsia="Arial" w:hAnsi="Arial"/>
          <w:sz w:val="12"/>
          <w:szCs w:val="12"/>
          <w:color w:val="auto"/>
        </w:rPr>
      </w:pPr>
      <w:r>
        <w:rPr>
          <w:rFonts w:ascii="Arial" w:cs="Arial" w:eastAsia="Arial" w:hAnsi="Arial"/>
          <w:sz w:val="12"/>
          <w:szCs w:val="12"/>
          <w:color w:val="auto"/>
        </w:rPr>
        <w:t>Depreciation, Depletion, and Amortization for corporate assets was $5,107, $3,249, and $3,117, in fiscal 2026, 2025, and 2024, respectively. These amounts are included in Corporate General and Administrative Expense.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our segments is included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6"/>
                <w:szCs w:val="16"/>
                <w:b w:val="1"/>
                <w:bCs w:val="1"/>
                <w:color w:val="auto"/>
              </w:rPr>
              <w:t>For the Years Ended March 31,</w:t>
            </w:r>
          </w:p>
        </w:tc>
        <w:tc>
          <w:tcPr>
            <w:tcW w:w="1000" w:type="dxa"/>
            <w:vAlign w:val="bottom"/>
            <w:tcBorders>
              <w:bottom w:val="single" w:sz="8" w:color="auto"/>
            </w:tcBorders>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3"/>
        </w:trPr>
        <w:tc>
          <w:tcPr>
            <w:tcW w:w="45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30"/>
        </w:trPr>
        <w:tc>
          <w:tcPr>
            <w:tcW w:w="456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386191"/>
              </w:rPr>
              <w:t>Capital Expenditures</w:t>
            </w:r>
          </w:p>
        </w:tc>
        <w:tc>
          <w:tcPr>
            <w:tcW w:w="1920" w:type="dxa"/>
            <w:vAlign w:val="bottom"/>
            <w:tcBorders>
              <w:bottom w:val="single" w:sz="8" w:color="A6A6A6"/>
            </w:tcBorders>
          </w:tcPr>
          <w:p>
            <w:pPr>
              <w:spacing w:after="0"/>
              <w:rPr>
                <w:sz w:val="19"/>
                <w:szCs w:val="19"/>
                <w:color w:val="auto"/>
              </w:rPr>
            </w:pPr>
          </w:p>
        </w:tc>
        <w:tc>
          <w:tcPr>
            <w:tcW w:w="380" w:type="dxa"/>
            <w:vAlign w:val="bottom"/>
            <w:tcBorders>
              <w:bottom w:val="single" w:sz="8" w:color="A6A6A6"/>
            </w:tcBorders>
          </w:tcPr>
          <w:p>
            <w:pPr>
              <w:spacing w:after="0"/>
              <w:rPr>
                <w:sz w:val="19"/>
                <w:szCs w:val="19"/>
                <w:color w:val="auto"/>
              </w:rPr>
            </w:pPr>
          </w:p>
        </w:tc>
        <w:tc>
          <w:tcPr>
            <w:tcW w:w="1080" w:type="dxa"/>
            <w:vAlign w:val="bottom"/>
            <w:tcBorders>
              <w:bottom w:val="single" w:sz="8" w:color="A6A6A6"/>
            </w:tcBorders>
          </w:tcPr>
          <w:p>
            <w:pPr>
              <w:spacing w:after="0"/>
              <w:rPr>
                <w:sz w:val="19"/>
                <w:szCs w:val="19"/>
                <w:color w:val="auto"/>
              </w:rPr>
            </w:pPr>
          </w:p>
        </w:tc>
        <w:tc>
          <w:tcPr>
            <w:tcW w:w="16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36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60" w:type="dxa"/>
            <w:vAlign w:val="bottom"/>
            <w:tcBorders>
              <w:bottom w:val="single" w:sz="8" w:color="A6A6A6"/>
            </w:tcBorders>
          </w:tcPr>
          <w:p>
            <w:pPr>
              <w:spacing w:after="0"/>
              <w:rPr>
                <w:sz w:val="19"/>
                <w:szCs w:val="19"/>
                <w:color w:val="auto"/>
              </w:rPr>
            </w:pPr>
          </w:p>
        </w:tc>
        <w:tc>
          <w:tcPr>
            <w:tcW w:w="50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r>
      <w:tr>
        <w:trPr>
          <w:trHeight w:val="245"/>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277EBF"/>
              </w:rPr>
              <w:t>Cement</w:t>
            </w:r>
          </w:p>
        </w:tc>
        <w:tc>
          <w:tcPr>
            <w:tcW w:w="230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257,850</w:t>
            </w:r>
          </w:p>
        </w:tc>
        <w:tc>
          <w:tcPr>
            <w:tcW w:w="28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139,965</w:t>
            </w:r>
          </w:p>
        </w:tc>
        <w:tc>
          <w:tcPr>
            <w:tcW w:w="100" w:type="dxa"/>
            <w:vAlign w:val="bottom"/>
            <w:tcBorders>
              <w:bottom w:val="single" w:sz="8" w:color="A6A6A6"/>
            </w:tcBorders>
          </w:tcPr>
          <w:p>
            <w:pPr>
              <w:spacing w:after="0"/>
              <w:rPr>
                <w:sz w:val="21"/>
                <w:szCs w:val="21"/>
                <w:color w:val="auto"/>
              </w:rPr>
            </w:pPr>
          </w:p>
        </w:tc>
        <w:tc>
          <w:tcPr>
            <w:tcW w:w="560" w:type="dxa"/>
            <w:vAlign w:val="bottom"/>
            <w:tcBorders>
              <w:bottom w:val="single" w:sz="8" w:color="A6A6A6"/>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65,442</w:t>
            </w:r>
          </w:p>
        </w:tc>
      </w:tr>
      <w:tr>
        <w:trPr>
          <w:trHeight w:val="275"/>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00AAC6"/>
              </w:rPr>
              <w:t>Concrete and Aggregates</w:t>
            </w:r>
          </w:p>
        </w:tc>
        <w:tc>
          <w:tcPr>
            <w:tcW w:w="1920" w:type="dxa"/>
            <w:vAlign w:val="bottom"/>
            <w:tcBorders>
              <w:bottom w:val="single" w:sz="8" w:color="A6A6A6"/>
            </w:tcBorders>
          </w:tcPr>
          <w:p>
            <w:pPr>
              <w:spacing w:after="0"/>
              <w:rPr>
                <w:sz w:val="23"/>
                <w:szCs w:val="23"/>
                <w:color w:val="auto"/>
              </w:rPr>
            </w:pPr>
          </w:p>
        </w:tc>
        <w:tc>
          <w:tcPr>
            <w:tcW w:w="380" w:type="dxa"/>
            <w:vAlign w:val="bottom"/>
            <w:tcBorders>
              <w:bottom w:val="single" w:sz="8" w:color="A6A6A6"/>
            </w:tcBorders>
          </w:tcPr>
          <w:p>
            <w:pPr>
              <w:spacing w:after="0"/>
              <w:rPr>
                <w:sz w:val="23"/>
                <w:szCs w:val="23"/>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26,455</w:t>
            </w:r>
          </w:p>
        </w:tc>
        <w:tc>
          <w:tcPr>
            <w:tcW w:w="160" w:type="dxa"/>
            <w:vAlign w:val="bottom"/>
            <w:tcBorders>
              <w:bottom w:val="single" w:sz="8" w:color="A6A6A6"/>
            </w:tcBorders>
          </w:tcPr>
          <w:p>
            <w:pPr>
              <w:spacing w:after="0"/>
              <w:rPr>
                <w:sz w:val="23"/>
                <w:szCs w:val="23"/>
                <w:color w:val="auto"/>
              </w:rPr>
            </w:pPr>
          </w:p>
        </w:tc>
        <w:tc>
          <w:tcPr>
            <w:tcW w:w="120" w:type="dxa"/>
            <w:vAlign w:val="bottom"/>
            <w:tcBorders>
              <w:bottom w:val="single" w:sz="8" w:color="A6A6A6"/>
            </w:tcBorders>
          </w:tcPr>
          <w:p>
            <w:pPr>
              <w:spacing w:after="0"/>
              <w:rPr>
                <w:sz w:val="23"/>
                <w:szCs w:val="23"/>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20,571</w:t>
            </w:r>
          </w:p>
        </w:tc>
        <w:tc>
          <w:tcPr>
            <w:tcW w:w="100" w:type="dxa"/>
            <w:vAlign w:val="bottom"/>
            <w:tcBorders>
              <w:bottom w:val="single" w:sz="8" w:color="A6A6A6"/>
            </w:tcBorders>
          </w:tcPr>
          <w:p>
            <w:pPr>
              <w:spacing w:after="0"/>
              <w:rPr>
                <w:sz w:val="23"/>
                <w:szCs w:val="23"/>
                <w:color w:val="auto"/>
              </w:rPr>
            </w:pPr>
          </w:p>
        </w:tc>
        <w:tc>
          <w:tcPr>
            <w:tcW w:w="60" w:type="dxa"/>
            <w:vAlign w:val="bottom"/>
            <w:tcBorders>
              <w:bottom w:val="single" w:sz="8" w:color="A6A6A6"/>
            </w:tcBorders>
          </w:tcPr>
          <w:p>
            <w:pPr>
              <w:spacing w:after="0"/>
              <w:rPr>
                <w:sz w:val="23"/>
                <w:szCs w:val="23"/>
                <w:color w:val="auto"/>
              </w:rPr>
            </w:pPr>
          </w:p>
        </w:tc>
        <w:tc>
          <w:tcPr>
            <w:tcW w:w="500" w:type="dxa"/>
            <w:vAlign w:val="bottom"/>
            <w:tcBorders>
              <w:bottom w:val="single" w:sz="8" w:color="A6A6A6"/>
            </w:tcBorders>
          </w:tcPr>
          <w:p>
            <w:pPr>
              <w:spacing w:after="0"/>
              <w:rPr>
                <w:sz w:val="23"/>
                <w:szCs w:val="23"/>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15,103</w:t>
            </w:r>
          </w:p>
        </w:tc>
      </w:tr>
      <w:tr>
        <w:trPr>
          <w:trHeight w:val="277"/>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77943C"/>
              </w:rPr>
              <w:t>Gypsum Wallboard</w:t>
            </w:r>
          </w:p>
        </w:tc>
        <w:tc>
          <w:tcPr>
            <w:tcW w:w="1920" w:type="dxa"/>
            <w:vAlign w:val="bottom"/>
            <w:tcBorders>
              <w:bottom w:val="single" w:sz="8" w:color="A6A6A6"/>
            </w:tcBorders>
          </w:tcPr>
          <w:p>
            <w:pPr>
              <w:spacing w:after="0"/>
              <w:rPr>
                <w:sz w:val="24"/>
                <w:szCs w:val="24"/>
                <w:color w:val="auto"/>
              </w:rPr>
            </w:pPr>
          </w:p>
        </w:tc>
        <w:tc>
          <w:tcPr>
            <w:tcW w:w="380" w:type="dxa"/>
            <w:vAlign w:val="bottom"/>
            <w:tcBorders>
              <w:bottom w:val="single" w:sz="8" w:color="A6A6A6"/>
            </w:tcBorders>
          </w:tcPr>
          <w:p>
            <w:pPr>
              <w:spacing w:after="0"/>
              <w:rPr>
                <w:sz w:val="24"/>
                <w:szCs w:val="24"/>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118,102</w:t>
            </w:r>
          </w:p>
        </w:tc>
        <w:tc>
          <w:tcPr>
            <w:tcW w:w="16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15,843</w:t>
            </w:r>
          </w:p>
        </w:tc>
        <w:tc>
          <w:tcPr>
            <w:tcW w:w="100" w:type="dxa"/>
            <w:vAlign w:val="bottom"/>
            <w:tcBorders>
              <w:bottom w:val="single" w:sz="8" w:color="A6A6A6"/>
            </w:tcBorders>
          </w:tcPr>
          <w:p>
            <w:pPr>
              <w:spacing w:after="0"/>
              <w:rPr>
                <w:sz w:val="24"/>
                <w:szCs w:val="24"/>
                <w:color w:val="auto"/>
              </w:rPr>
            </w:pPr>
          </w:p>
        </w:tc>
        <w:tc>
          <w:tcPr>
            <w:tcW w:w="60" w:type="dxa"/>
            <w:vAlign w:val="bottom"/>
            <w:tcBorders>
              <w:bottom w:val="single" w:sz="8" w:color="A6A6A6"/>
            </w:tcBorders>
          </w:tcPr>
          <w:p>
            <w:pPr>
              <w:spacing w:after="0"/>
              <w:rPr>
                <w:sz w:val="24"/>
                <w:szCs w:val="24"/>
                <w:color w:val="auto"/>
              </w:rPr>
            </w:pPr>
          </w:p>
        </w:tc>
        <w:tc>
          <w:tcPr>
            <w:tcW w:w="50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29,127</w:t>
            </w:r>
          </w:p>
        </w:tc>
      </w:tr>
      <w:tr>
        <w:trPr>
          <w:trHeight w:val="277"/>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85B372"/>
              </w:rPr>
              <w:t>Recycled Paperboard</w:t>
            </w:r>
          </w:p>
        </w:tc>
        <w:tc>
          <w:tcPr>
            <w:tcW w:w="1920" w:type="dxa"/>
            <w:vAlign w:val="bottom"/>
            <w:tcBorders>
              <w:bottom w:val="single" w:sz="8" w:color="A6A6A6"/>
            </w:tcBorders>
          </w:tcPr>
          <w:p>
            <w:pPr>
              <w:spacing w:after="0"/>
              <w:rPr>
                <w:sz w:val="24"/>
                <w:szCs w:val="24"/>
                <w:color w:val="auto"/>
              </w:rPr>
            </w:pPr>
          </w:p>
        </w:tc>
        <w:tc>
          <w:tcPr>
            <w:tcW w:w="380" w:type="dxa"/>
            <w:vAlign w:val="bottom"/>
            <w:tcBorders>
              <w:bottom w:val="single" w:sz="8" w:color="A6A6A6"/>
            </w:tcBorders>
          </w:tcPr>
          <w:p>
            <w:pPr>
              <w:spacing w:after="0"/>
              <w:rPr>
                <w:sz w:val="24"/>
                <w:szCs w:val="24"/>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11,002</w:t>
            </w:r>
          </w:p>
        </w:tc>
        <w:tc>
          <w:tcPr>
            <w:tcW w:w="16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15,193</w:t>
            </w:r>
          </w:p>
        </w:tc>
        <w:tc>
          <w:tcPr>
            <w:tcW w:w="100" w:type="dxa"/>
            <w:vAlign w:val="bottom"/>
            <w:tcBorders>
              <w:bottom w:val="single" w:sz="8" w:color="A6A6A6"/>
            </w:tcBorders>
          </w:tcPr>
          <w:p>
            <w:pPr>
              <w:spacing w:after="0"/>
              <w:rPr>
                <w:sz w:val="24"/>
                <w:szCs w:val="24"/>
                <w:color w:val="auto"/>
              </w:rPr>
            </w:pPr>
          </w:p>
        </w:tc>
        <w:tc>
          <w:tcPr>
            <w:tcW w:w="60" w:type="dxa"/>
            <w:vAlign w:val="bottom"/>
            <w:tcBorders>
              <w:bottom w:val="single" w:sz="8" w:color="A6A6A6"/>
            </w:tcBorders>
          </w:tcPr>
          <w:p>
            <w:pPr>
              <w:spacing w:after="0"/>
              <w:rPr>
                <w:sz w:val="24"/>
                <w:szCs w:val="24"/>
                <w:color w:val="auto"/>
              </w:rPr>
            </w:pPr>
          </w:p>
        </w:tc>
        <w:tc>
          <w:tcPr>
            <w:tcW w:w="50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8"/>
                <w:szCs w:val="18"/>
                <w:color w:val="auto"/>
              </w:rPr>
              <w:t>10,085</w:t>
            </w:r>
          </w:p>
        </w:tc>
      </w:tr>
      <w:tr>
        <w:trPr>
          <w:trHeight w:val="311"/>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004483"/>
              </w:rPr>
              <w:t>Corporate and Other</w:t>
            </w:r>
          </w:p>
        </w:tc>
        <w:tc>
          <w:tcPr>
            <w:tcW w:w="1920" w:type="dxa"/>
            <w:vAlign w:val="bottom"/>
            <w:tcBorders>
              <w:bottom w:val="single" w:sz="8" w:color="A6A6A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70"/>
        </w:trPr>
        <w:tc>
          <w:tcPr>
            <w:tcW w:w="4560" w:type="dxa"/>
            <w:vAlign w:val="bottom"/>
          </w:tcPr>
          <w:p>
            <w:pPr>
              <w:spacing w:after="0"/>
              <w:rPr>
                <w:sz w:val="23"/>
                <w:szCs w:val="23"/>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416,739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195,281</w:t>
            </w:r>
          </w:p>
        </w:tc>
        <w:tc>
          <w:tcPr>
            <w:tcW w:w="100" w:type="dxa"/>
            <w:vAlign w:val="bottom"/>
          </w:tcPr>
          <w:p>
            <w:pPr>
              <w:spacing w:after="0"/>
              <w:rPr>
                <w:sz w:val="23"/>
                <w:szCs w:val="2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120,305</w:t>
            </w:r>
          </w:p>
        </w:tc>
      </w:tr>
      <w:tr>
        <w:trPr>
          <w:trHeight w:val="20"/>
        </w:trPr>
        <w:tc>
          <w:tcPr>
            <w:tcW w:w="4560" w:type="dxa"/>
            <w:vAlign w:val="bottom"/>
            <w:tcBorders>
              <w:bottom w:val="single" w:sz="8" w:color="A6A6A6"/>
            </w:tcBorders>
          </w:tcPr>
          <w:p>
            <w:pPr>
              <w:spacing w:after="0" w:line="20" w:lineRule="exact"/>
              <w:rPr>
                <w:sz w:val="1"/>
                <w:szCs w:val="1"/>
                <w:color w:val="auto"/>
              </w:rPr>
            </w:pPr>
          </w:p>
        </w:tc>
        <w:tc>
          <w:tcPr>
            <w:tcW w:w="1920" w:type="dxa"/>
            <w:vAlign w:val="bottom"/>
            <w:tcBorders>
              <w:bottom w:val="single" w:sz="8" w:color="A6A6A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56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386191"/>
              </w:rPr>
              <w:t>Segment Assets</w:t>
            </w:r>
          </w:p>
        </w:tc>
        <w:tc>
          <w:tcPr>
            <w:tcW w:w="1920" w:type="dxa"/>
            <w:vAlign w:val="bottom"/>
            <w:tcBorders>
              <w:bottom w:val="single" w:sz="8" w:color="A6A6A6"/>
            </w:tcBorders>
          </w:tcPr>
          <w:p>
            <w:pPr>
              <w:spacing w:after="0"/>
              <w:rPr>
                <w:sz w:val="24"/>
                <w:szCs w:val="24"/>
                <w:color w:val="auto"/>
              </w:rPr>
            </w:pPr>
          </w:p>
        </w:tc>
        <w:tc>
          <w:tcPr>
            <w:tcW w:w="380" w:type="dxa"/>
            <w:vAlign w:val="bottom"/>
            <w:tcBorders>
              <w:bottom w:val="single" w:sz="8" w:color="A6A6A6"/>
            </w:tcBorders>
          </w:tcPr>
          <w:p>
            <w:pPr>
              <w:spacing w:after="0"/>
              <w:rPr>
                <w:sz w:val="24"/>
                <w:szCs w:val="24"/>
                <w:color w:val="auto"/>
              </w:rPr>
            </w:pPr>
          </w:p>
        </w:tc>
        <w:tc>
          <w:tcPr>
            <w:tcW w:w="1080" w:type="dxa"/>
            <w:vAlign w:val="bottom"/>
            <w:tcBorders>
              <w:bottom w:val="single" w:sz="8" w:color="A6A6A6"/>
            </w:tcBorders>
          </w:tcPr>
          <w:p>
            <w:pPr>
              <w:spacing w:after="0"/>
              <w:rPr>
                <w:sz w:val="24"/>
                <w:szCs w:val="24"/>
                <w:color w:val="auto"/>
              </w:rPr>
            </w:pPr>
          </w:p>
        </w:tc>
        <w:tc>
          <w:tcPr>
            <w:tcW w:w="16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360" w:type="dxa"/>
            <w:vAlign w:val="bottom"/>
            <w:tcBorders>
              <w:bottom w:val="single" w:sz="8" w:color="A6A6A6"/>
            </w:tcBorders>
          </w:tcPr>
          <w:p>
            <w:pPr>
              <w:spacing w:after="0"/>
              <w:rPr>
                <w:sz w:val="24"/>
                <w:szCs w:val="24"/>
                <w:color w:val="auto"/>
              </w:rPr>
            </w:pPr>
          </w:p>
        </w:tc>
        <w:tc>
          <w:tcPr>
            <w:tcW w:w="100" w:type="dxa"/>
            <w:vAlign w:val="bottom"/>
            <w:tcBorders>
              <w:bottom w:val="single" w:sz="8" w:color="A6A6A6"/>
            </w:tcBorders>
          </w:tcPr>
          <w:p>
            <w:pPr>
              <w:spacing w:after="0"/>
              <w:rPr>
                <w:sz w:val="24"/>
                <w:szCs w:val="24"/>
                <w:color w:val="auto"/>
              </w:rPr>
            </w:pPr>
          </w:p>
        </w:tc>
        <w:tc>
          <w:tcPr>
            <w:tcW w:w="60" w:type="dxa"/>
            <w:vAlign w:val="bottom"/>
            <w:tcBorders>
              <w:bottom w:val="single" w:sz="8" w:color="A6A6A6"/>
            </w:tcBorders>
          </w:tcPr>
          <w:p>
            <w:pPr>
              <w:spacing w:after="0"/>
              <w:rPr>
                <w:sz w:val="24"/>
                <w:szCs w:val="24"/>
                <w:color w:val="auto"/>
              </w:rPr>
            </w:pPr>
          </w:p>
        </w:tc>
        <w:tc>
          <w:tcPr>
            <w:tcW w:w="50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spacing w:after="0"/>
              <w:rPr>
                <w:sz w:val="24"/>
                <w:szCs w:val="24"/>
                <w:color w:val="auto"/>
              </w:rPr>
            </w:pPr>
          </w:p>
        </w:tc>
      </w:tr>
      <w:tr>
        <w:trPr>
          <w:trHeight w:val="277"/>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277EBF"/>
              </w:rPr>
              <w:t>Cement</w:t>
            </w:r>
          </w:p>
        </w:tc>
        <w:tc>
          <w:tcPr>
            <w:tcW w:w="230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2,361,230</w:t>
            </w:r>
          </w:p>
        </w:tc>
        <w:tc>
          <w:tcPr>
            <w:tcW w:w="28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2,172,459</w:t>
            </w:r>
          </w:p>
        </w:tc>
        <w:tc>
          <w:tcPr>
            <w:tcW w:w="100" w:type="dxa"/>
            <w:vAlign w:val="bottom"/>
            <w:tcBorders>
              <w:bottom w:val="single" w:sz="8" w:color="A6A6A6"/>
            </w:tcBorders>
          </w:tcPr>
          <w:p>
            <w:pPr>
              <w:spacing w:after="0"/>
              <w:rPr>
                <w:sz w:val="24"/>
                <w:szCs w:val="24"/>
                <w:color w:val="auto"/>
              </w:rPr>
            </w:pPr>
          </w:p>
        </w:tc>
        <w:tc>
          <w:tcPr>
            <w:tcW w:w="560" w:type="dxa"/>
            <w:vAlign w:val="bottom"/>
            <w:tcBorders>
              <w:bottom w:val="single" w:sz="8" w:color="A6A6A6"/>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2,042,499</w:t>
            </w:r>
          </w:p>
        </w:tc>
      </w:tr>
      <w:tr>
        <w:trPr>
          <w:trHeight w:val="277"/>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00AAC6"/>
              </w:rPr>
              <w:t>Concrete and Aggregates</w:t>
            </w:r>
          </w:p>
        </w:tc>
        <w:tc>
          <w:tcPr>
            <w:tcW w:w="1920" w:type="dxa"/>
            <w:vAlign w:val="bottom"/>
            <w:tcBorders>
              <w:bottom w:val="single" w:sz="8" w:color="A6A6A6"/>
            </w:tcBorders>
          </w:tcPr>
          <w:p>
            <w:pPr>
              <w:spacing w:after="0"/>
              <w:rPr>
                <w:sz w:val="24"/>
                <w:szCs w:val="24"/>
                <w:color w:val="auto"/>
              </w:rPr>
            </w:pPr>
          </w:p>
        </w:tc>
        <w:tc>
          <w:tcPr>
            <w:tcW w:w="380" w:type="dxa"/>
            <w:vAlign w:val="bottom"/>
            <w:tcBorders>
              <w:bottom w:val="single" w:sz="8" w:color="A6A6A6"/>
            </w:tcBorders>
          </w:tcPr>
          <w:p>
            <w:pPr>
              <w:spacing w:after="0"/>
              <w:rPr>
                <w:sz w:val="24"/>
                <w:szCs w:val="24"/>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404,766</w:t>
            </w:r>
          </w:p>
        </w:tc>
        <w:tc>
          <w:tcPr>
            <w:tcW w:w="16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408,792</w:t>
            </w:r>
          </w:p>
        </w:tc>
        <w:tc>
          <w:tcPr>
            <w:tcW w:w="100" w:type="dxa"/>
            <w:vAlign w:val="bottom"/>
            <w:tcBorders>
              <w:bottom w:val="single" w:sz="8" w:color="A6A6A6"/>
            </w:tcBorders>
          </w:tcPr>
          <w:p>
            <w:pPr>
              <w:spacing w:after="0"/>
              <w:rPr>
                <w:sz w:val="24"/>
                <w:szCs w:val="24"/>
                <w:color w:val="auto"/>
              </w:rPr>
            </w:pPr>
          </w:p>
        </w:tc>
        <w:tc>
          <w:tcPr>
            <w:tcW w:w="60" w:type="dxa"/>
            <w:vAlign w:val="bottom"/>
            <w:tcBorders>
              <w:bottom w:val="single" w:sz="8" w:color="A6A6A6"/>
            </w:tcBorders>
          </w:tcPr>
          <w:p>
            <w:pPr>
              <w:spacing w:after="0"/>
              <w:rPr>
                <w:sz w:val="24"/>
                <w:szCs w:val="24"/>
                <w:color w:val="auto"/>
              </w:rPr>
            </w:pPr>
          </w:p>
        </w:tc>
        <w:tc>
          <w:tcPr>
            <w:tcW w:w="50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225,485</w:t>
            </w:r>
          </w:p>
        </w:tc>
      </w:tr>
      <w:tr>
        <w:trPr>
          <w:trHeight w:val="277"/>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77943C"/>
              </w:rPr>
              <w:t>Gypsum Wallboard</w:t>
            </w:r>
          </w:p>
        </w:tc>
        <w:tc>
          <w:tcPr>
            <w:tcW w:w="1920" w:type="dxa"/>
            <w:vAlign w:val="bottom"/>
            <w:tcBorders>
              <w:bottom w:val="single" w:sz="8" w:color="A6A6A6"/>
            </w:tcBorders>
          </w:tcPr>
          <w:p>
            <w:pPr>
              <w:spacing w:after="0"/>
              <w:rPr>
                <w:sz w:val="24"/>
                <w:szCs w:val="24"/>
                <w:color w:val="auto"/>
              </w:rPr>
            </w:pPr>
          </w:p>
        </w:tc>
        <w:tc>
          <w:tcPr>
            <w:tcW w:w="380" w:type="dxa"/>
            <w:vAlign w:val="bottom"/>
            <w:tcBorders>
              <w:bottom w:val="single" w:sz="8" w:color="A6A6A6"/>
            </w:tcBorders>
          </w:tcPr>
          <w:p>
            <w:pPr>
              <w:spacing w:after="0"/>
              <w:rPr>
                <w:sz w:val="24"/>
                <w:szCs w:val="24"/>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522,861</w:t>
            </w:r>
          </w:p>
        </w:tc>
        <w:tc>
          <w:tcPr>
            <w:tcW w:w="16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429,268</w:t>
            </w:r>
          </w:p>
        </w:tc>
        <w:tc>
          <w:tcPr>
            <w:tcW w:w="100" w:type="dxa"/>
            <w:vAlign w:val="bottom"/>
            <w:tcBorders>
              <w:bottom w:val="single" w:sz="8" w:color="A6A6A6"/>
            </w:tcBorders>
          </w:tcPr>
          <w:p>
            <w:pPr>
              <w:spacing w:after="0"/>
              <w:rPr>
                <w:sz w:val="24"/>
                <w:szCs w:val="24"/>
                <w:color w:val="auto"/>
              </w:rPr>
            </w:pPr>
          </w:p>
        </w:tc>
        <w:tc>
          <w:tcPr>
            <w:tcW w:w="60" w:type="dxa"/>
            <w:vAlign w:val="bottom"/>
            <w:tcBorders>
              <w:bottom w:val="single" w:sz="8" w:color="A6A6A6"/>
            </w:tcBorders>
          </w:tcPr>
          <w:p>
            <w:pPr>
              <w:spacing w:after="0"/>
              <w:rPr>
                <w:sz w:val="24"/>
                <w:szCs w:val="24"/>
                <w:color w:val="auto"/>
              </w:rPr>
            </w:pPr>
          </w:p>
        </w:tc>
        <w:tc>
          <w:tcPr>
            <w:tcW w:w="50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432,122</w:t>
            </w:r>
          </w:p>
        </w:tc>
      </w:tr>
      <w:tr>
        <w:trPr>
          <w:trHeight w:val="277"/>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85B372"/>
              </w:rPr>
              <w:t>Recycled Paperboard</w:t>
            </w:r>
          </w:p>
        </w:tc>
        <w:tc>
          <w:tcPr>
            <w:tcW w:w="1920" w:type="dxa"/>
            <w:vAlign w:val="bottom"/>
            <w:tcBorders>
              <w:bottom w:val="single" w:sz="8" w:color="A6A6A6"/>
            </w:tcBorders>
          </w:tcPr>
          <w:p>
            <w:pPr>
              <w:spacing w:after="0"/>
              <w:rPr>
                <w:sz w:val="24"/>
                <w:szCs w:val="24"/>
                <w:color w:val="auto"/>
              </w:rPr>
            </w:pPr>
          </w:p>
        </w:tc>
        <w:tc>
          <w:tcPr>
            <w:tcW w:w="380" w:type="dxa"/>
            <w:vAlign w:val="bottom"/>
            <w:tcBorders>
              <w:bottom w:val="single" w:sz="8" w:color="A6A6A6"/>
            </w:tcBorders>
          </w:tcPr>
          <w:p>
            <w:pPr>
              <w:spacing w:after="0"/>
              <w:rPr>
                <w:sz w:val="24"/>
                <w:szCs w:val="24"/>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169,630</w:t>
            </w:r>
          </w:p>
        </w:tc>
        <w:tc>
          <w:tcPr>
            <w:tcW w:w="16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166,673</w:t>
            </w:r>
          </w:p>
        </w:tc>
        <w:tc>
          <w:tcPr>
            <w:tcW w:w="100" w:type="dxa"/>
            <w:vAlign w:val="bottom"/>
            <w:tcBorders>
              <w:bottom w:val="single" w:sz="8" w:color="A6A6A6"/>
            </w:tcBorders>
          </w:tcPr>
          <w:p>
            <w:pPr>
              <w:spacing w:after="0"/>
              <w:rPr>
                <w:sz w:val="24"/>
                <w:szCs w:val="24"/>
                <w:color w:val="auto"/>
              </w:rPr>
            </w:pPr>
          </w:p>
        </w:tc>
        <w:tc>
          <w:tcPr>
            <w:tcW w:w="60" w:type="dxa"/>
            <w:vAlign w:val="bottom"/>
            <w:tcBorders>
              <w:bottom w:val="single" w:sz="8" w:color="A6A6A6"/>
            </w:tcBorders>
          </w:tcPr>
          <w:p>
            <w:pPr>
              <w:spacing w:after="0"/>
              <w:rPr>
                <w:sz w:val="24"/>
                <w:szCs w:val="24"/>
                <w:color w:val="auto"/>
              </w:rPr>
            </w:pPr>
          </w:p>
        </w:tc>
        <w:tc>
          <w:tcPr>
            <w:tcW w:w="50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170,832</w:t>
            </w:r>
          </w:p>
        </w:tc>
      </w:tr>
      <w:tr>
        <w:trPr>
          <w:trHeight w:val="284"/>
        </w:trPr>
        <w:tc>
          <w:tcPr>
            <w:tcW w:w="456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004483"/>
              </w:rPr>
              <w:t>Corporate and Other</w:t>
            </w:r>
          </w:p>
        </w:tc>
        <w:tc>
          <w:tcPr>
            <w:tcW w:w="1920" w:type="dxa"/>
            <w:vAlign w:val="bottom"/>
            <w:tcBorders>
              <w:bottom w:val="single" w:sz="8" w:color="A6A6A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383,757</w:t>
            </w:r>
          </w:p>
        </w:tc>
        <w:tc>
          <w:tcPr>
            <w:tcW w:w="160" w:type="dxa"/>
            <w:vAlign w:val="bottom"/>
            <w:tcBorders>
              <w:bottom w:val="single" w:sz="8" w:color="A6A6A6"/>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87,396</w:t>
            </w:r>
          </w:p>
        </w:tc>
        <w:tc>
          <w:tcPr>
            <w:tcW w:w="100" w:type="dxa"/>
            <w:vAlign w:val="bottom"/>
            <w:tcBorders>
              <w:bottom w:val="single" w:sz="8" w:color="A6A6A6"/>
            </w:tcBorders>
          </w:tcPr>
          <w:p>
            <w:pPr>
              <w:spacing w:after="0"/>
              <w:rPr>
                <w:sz w:val="24"/>
                <w:szCs w:val="24"/>
                <w:color w:val="auto"/>
              </w:rPr>
            </w:pPr>
          </w:p>
        </w:tc>
        <w:tc>
          <w:tcPr>
            <w:tcW w:w="60" w:type="dxa"/>
            <w:vAlign w:val="bottom"/>
            <w:tcBorders>
              <w:bottom w:val="single" w:sz="8" w:color="A6A6A6"/>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76,081</w:t>
            </w:r>
          </w:p>
        </w:tc>
      </w:tr>
      <w:tr>
        <w:trPr>
          <w:trHeight w:val="270"/>
        </w:trPr>
        <w:tc>
          <w:tcPr>
            <w:tcW w:w="4560" w:type="dxa"/>
            <w:vAlign w:val="bottom"/>
          </w:tcPr>
          <w:p>
            <w:pPr>
              <w:spacing w:after="0"/>
              <w:rPr>
                <w:sz w:val="23"/>
                <w:szCs w:val="23"/>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3,842,244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3,264,588</w:t>
            </w:r>
          </w:p>
        </w:tc>
        <w:tc>
          <w:tcPr>
            <w:tcW w:w="100" w:type="dxa"/>
            <w:vAlign w:val="bottom"/>
          </w:tcPr>
          <w:p>
            <w:pPr>
              <w:spacing w:after="0"/>
              <w:rPr>
                <w:sz w:val="23"/>
                <w:szCs w:val="2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2,947,019</w:t>
            </w:r>
          </w:p>
        </w:tc>
      </w:tr>
      <w:tr>
        <w:trPr>
          <w:trHeight w:val="20"/>
        </w:trPr>
        <w:tc>
          <w:tcPr>
            <w:tcW w:w="4560" w:type="dxa"/>
            <w:vAlign w:val="bottom"/>
            <w:tcBorders>
              <w:bottom w:val="single" w:sz="8" w:color="A6A6A6"/>
            </w:tcBorders>
          </w:tcPr>
          <w:p>
            <w:pPr>
              <w:spacing w:after="0" w:line="20" w:lineRule="exact"/>
              <w:rPr>
                <w:sz w:val="1"/>
                <w:szCs w:val="1"/>
                <w:color w:val="auto"/>
              </w:rPr>
            </w:pPr>
          </w:p>
        </w:tc>
        <w:tc>
          <w:tcPr>
            <w:tcW w:w="1920" w:type="dxa"/>
            <w:vAlign w:val="bottom"/>
            <w:tcBorders>
              <w:bottom w:val="single" w:sz="8" w:color="A6A6A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12"/>
        </w:trPr>
        <w:tc>
          <w:tcPr>
            <w:tcW w:w="4560" w:type="dxa"/>
            <w:vAlign w:val="bottom"/>
          </w:tcPr>
          <w:p>
            <w:pPr>
              <w:spacing w:after="0"/>
              <w:rPr>
                <w:sz w:val="20"/>
                <w:szCs w:val="20"/>
                <w:color w:val="auto"/>
              </w:rPr>
            </w:pPr>
            <w:r>
              <w:rPr>
                <w:rFonts w:ascii="Arial" w:cs="Arial" w:eastAsia="Arial" w:hAnsi="Arial"/>
                <w:sz w:val="18"/>
                <w:szCs w:val="18"/>
                <w:b w:val="1"/>
                <w:bCs w:val="1"/>
                <w:color w:val="004483"/>
              </w:rPr>
              <w:t>Cement Operating Earnings</w:t>
            </w: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
        </w:trPr>
        <w:tc>
          <w:tcPr>
            <w:tcW w:w="4560" w:type="dxa"/>
            <w:vAlign w:val="bottom"/>
            <w:tcBorders>
              <w:bottom w:val="single" w:sz="8" w:color="A6A6A6"/>
            </w:tcBorders>
          </w:tcPr>
          <w:p>
            <w:pPr>
              <w:spacing w:after="0"/>
              <w:rPr>
                <w:sz w:val="3"/>
                <w:szCs w:val="3"/>
                <w:color w:val="auto"/>
              </w:rPr>
            </w:pPr>
          </w:p>
        </w:tc>
        <w:tc>
          <w:tcPr>
            <w:tcW w:w="2300" w:type="dxa"/>
            <w:vAlign w:val="bottom"/>
            <w:tcBorders>
              <w:bottom w:val="single" w:sz="8" w:color="A6A6A6"/>
            </w:tcBorders>
            <w:gridSpan w:val="2"/>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gridSpan w:val="2"/>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gridSpan w:val="2"/>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289"/>
        </w:trPr>
        <w:tc>
          <w:tcPr>
            <w:tcW w:w="4560" w:type="dxa"/>
            <w:vAlign w:val="bottom"/>
          </w:tcPr>
          <w:p>
            <w:pPr>
              <w:ind w:left="120"/>
              <w:spacing w:after="0"/>
              <w:rPr>
                <w:sz w:val="20"/>
                <w:szCs w:val="20"/>
                <w:color w:val="auto"/>
              </w:rPr>
            </w:pPr>
            <w:r>
              <w:rPr>
                <w:rFonts w:ascii="Arial" w:cs="Arial" w:eastAsia="Arial" w:hAnsi="Arial"/>
                <w:sz w:val="18"/>
                <w:szCs w:val="18"/>
                <w:b w:val="1"/>
                <w:bCs w:val="1"/>
                <w:color w:val="004483"/>
              </w:rPr>
              <w:t>Wholly Owned</w:t>
            </w: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308,317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293,060</w:t>
            </w:r>
          </w:p>
        </w:tc>
        <w:tc>
          <w:tcPr>
            <w:tcW w:w="100" w:type="dxa"/>
            <w:vAlign w:val="bottom"/>
          </w:tcPr>
          <w:p>
            <w:pPr>
              <w:spacing w:after="0"/>
              <w:rPr>
                <w:sz w:val="24"/>
                <w:szCs w:val="24"/>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306,768</w:t>
            </w:r>
          </w:p>
        </w:tc>
      </w:tr>
      <w:tr>
        <w:trPr>
          <w:trHeight w:val="42"/>
        </w:trPr>
        <w:tc>
          <w:tcPr>
            <w:tcW w:w="4560" w:type="dxa"/>
            <w:vAlign w:val="bottom"/>
            <w:tcBorders>
              <w:bottom w:val="single" w:sz="8" w:color="A6A6A6"/>
            </w:tcBorders>
          </w:tcPr>
          <w:p>
            <w:pPr>
              <w:spacing w:after="0"/>
              <w:rPr>
                <w:sz w:val="3"/>
                <w:szCs w:val="3"/>
                <w:color w:val="auto"/>
              </w:rPr>
            </w:pPr>
          </w:p>
        </w:tc>
        <w:tc>
          <w:tcPr>
            <w:tcW w:w="192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289"/>
        </w:trPr>
        <w:tc>
          <w:tcPr>
            <w:tcW w:w="4560" w:type="dxa"/>
            <w:vAlign w:val="bottom"/>
          </w:tcPr>
          <w:p>
            <w:pPr>
              <w:ind w:left="120"/>
              <w:spacing w:after="0"/>
              <w:rPr>
                <w:sz w:val="20"/>
                <w:szCs w:val="20"/>
                <w:color w:val="auto"/>
              </w:rPr>
            </w:pPr>
            <w:r>
              <w:rPr>
                <w:rFonts w:ascii="Arial" w:cs="Arial" w:eastAsia="Arial" w:hAnsi="Arial"/>
                <w:sz w:val="18"/>
                <w:szCs w:val="18"/>
                <w:b w:val="1"/>
                <w:bCs w:val="1"/>
                <w:color w:val="004483"/>
              </w:rPr>
              <w:t>Joint Venture</w:t>
            </w: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19,989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26,396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31,581</w:t>
            </w:r>
          </w:p>
        </w:tc>
      </w:tr>
      <w:tr>
        <w:trPr>
          <w:trHeight w:val="69"/>
        </w:trPr>
        <w:tc>
          <w:tcPr>
            <w:tcW w:w="4560" w:type="dxa"/>
            <w:vAlign w:val="bottom"/>
            <w:tcBorders>
              <w:bottom w:val="single" w:sz="8" w:color="A6A6A6"/>
            </w:tcBorders>
          </w:tcPr>
          <w:p>
            <w:pPr>
              <w:spacing w:after="0"/>
              <w:rPr>
                <w:sz w:val="6"/>
                <w:szCs w:val="6"/>
                <w:color w:val="auto"/>
              </w:rPr>
            </w:pPr>
          </w:p>
        </w:tc>
        <w:tc>
          <w:tcPr>
            <w:tcW w:w="192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89"/>
        </w:trPr>
        <w:tc>
          <w:tcPr>
            <w:tcW w:w="4560" w:type="dxa"/>
            <w:vAlign w:val="bottom"/>
          </w:tcPr>
          <w:p>
            <w:pPr>
              <w:spacing w:after="0"/>
              <w:rPr>
                <w:sz w:val="24"/>
                <w:szCs w:val="24"/>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328,306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319,456</w:t>
            </w:r>
          </w:p>
        </w:tc>
        <w:tc>
          <w:tcPr>
            <w:tcW w:w="100" w:type="dxa"/>
            <w:vAlign w:val="bottom"/>
          </w:tcPr>
          <w:p>
            <w:pPr>
              <w:spacing w:after="0"/>
              <w:rPr>
                <w:sz w:val="24"/>
                <w:szCs w:val="24"/>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338,349</w:t>
            </w:r>
          </w:p>
        </w:tc>
      </w:tr>
      <w:tr>
        <w:trPr>
          <w:trHeight w:val="42"/>
        </w:trPr>
        <w:tc>
          <w:tcPr>
            <w:tcW w:w="45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4560" w:type="dxa"/>
            <w:vAlign w:val="bottom"/>
            <w:tcBorders>
              <w:bottom w:val="single" w:sz="8" w:color="A6A6A6"/>
            </w:tcBorders>
          </w:tcPr>
          <w:p>
            <w:pPr>
              <w:spacing w:after="0" w:line="20" w:lineRule="exact"/>
              <w:rPr>
                <w:sz w:val="1"/>
                <w:szCs w:val="1"/>
                <w:color w:val="auto"/>
              </w:rPr>
            </w:pPr>
          </w:p>
        </w:tc>
        <w:tc>
          <w:tcPr>
            <w:tcW w:w="19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8"/>
                <w:szCs w:val="18"/>
                <w:b w:val="1"/>
                <w:bCs w:val="1"/>
                <w:color w:val="004483"/>
              </w:rPr>
              <w:t>Cement Sales Volume (M tons)</w:t>
            </w: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
        </w:trPr>
        <w:tc>
          <w:tcPr>
            <w:tcW w:w="4560" w:type="dxa"/>
            <w:vAlign w:val="bottom"/>
            <w:tcBorders>
              <w:bottom w:val="single" w:sz="8" w:color="A6A6A6"/>
            </w:tcBorders>
          </w:tcPr>
          <w:p>
            <w:pPr>
              <w:spacing w:after="0"/>
              <w:rPr>
                <w:sz w:val="3"/>
                <w:szCs w:val="3"/>
                <w:color w:val="auto"/>
              </w:rPr>
            </w:pPr>
          </w:p>
        </w:tc>
        <w:tc>
          <w:tcPr>
            <w:tcW w:w="192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289"/>
        </w:trPr>
        <w:tc>
          <w:tcPr>
            <w:tcW w:w="4560" w:type="dxa"/>
            <w:vAlign w:val="bottom"/>
          </w:tcPr>
          <w:p>
            <w:pPr>
              <w:ind w:left="120"/>
              <w:spacing w:after="0"/>
              <w:rPr>
                <w:sz w:val="20"/>
                <w:szCs w:val="20"/>
                <w:color w:val="auto"/>
              </w:rPr>
            </w:pPr>
            <w:r>
              <w:rPr>
                <w:rFonts w:ascii="Arial" w:cs="Arial" w:eastAsia="Arial" w:hAnsi="Arial"/>
                <w:sz w:val="18"/>
                <w:szCs w:val="18"/>
                <w:b w:val="1"/>
                <w:bCs w:val="1"/>
                <w:color w:val="004483"/>
              </w:rPr>
              <w:t>Wholly Owned</w:t>
            </w: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6,610</w:t>
            </w:r>
          </w:p>
        </w:tc>
      </w:tr>
      <w:tr>
        <w:trPr>
          <w:trHeight w:val="42"/>
        </w:trPr>
        <w:tc>
          <w:tcPr>
            <w:tcW w:w="4560" w:type="dxa"/>
            <w:vAlign w:val="bottom"/>
            <w:tcBorders>
              <w:bottom w:val="single" w:sz="8" w:color="A6A6A6"/>
            </w:tcBorders>
          </w:tcPr>
          <w:p>
            <w:pPr>
              <w:spacing w:after="0"/>
              <w:rPr>
                <w:sz w:val="3"/>
                <w:szCs w:val="3"/>
                <w:color w:val="auto"/>
              </w:rPr>
            </w:pPr>
          </w:p>
        </w:tc>
        <w:tc>
          <w:tcPr>
            <w:tcW w:w="1920" w:type="dxa"/>
            <w:vAlign w:val="bottom"/>
            <w:tcBorders>
              <w:bottom w:val="single" w:sz="8" w:color="A6A6A6"/>
            </w:tcBorders>
          </w:tcPr>
          <w:p>
            <w:pPr>
              <w:spacing w:after="0"/>
              <w:rPr>
                <w:sz w:val="3"/>
                <w:szCs w:val="3"/>
                <w:color w:val="auto"/>
              </w:rPr>
            </w:pPr>
          </w:p>
        </w:tc>
        <w:tc>
          <w:tcPr>
            <w:tcW w:w="38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6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289"/>
        </w:trPr>
        <w:tc>
          <w:tcPr>
            <w:tcW w:w="4560" w:type="dxa"/>
            <w:vAlign w:val="bottom"/>
          </w:tcPr>
          <w:p>
            <w:pPr>
              <w:ind w:left="120"/>
              <w:spacing w:after="0"/>
              <w:rPr>
                <w:sz w:val="20"/>
                <w:szCs w:val="20"/>
                <w:color w:val="auto"/>
              </w:rPr>
            </w:pPr>
            <w:r>
              <w:rPr>
                <w:rFonts w:ascii="Arial" w:cs="Arial" w:eastAsia="Arial" w:hAnsi="Arial"/>
                <w:sz w:val="18"/>
                <w:szCs w:val="18"/>
                <w:b w:val="1"/>
                <w:bCs w:val="1"/>
                <w:color w:val="004483"/>
              </w:rPr>
              <w:t>Joint Venture</w:t>
            </w: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69"/>
        </w:trPr>
        <w:tc>
          <w:tcPr>
            <w:tcW w:w="4560" w:type="dxa"/>
            <w:vAlign w:val="bottom"/>
            <w:tcBorders>
              <w:bottom w:val="single" w:sz="8" w:color="A6A6A6"/>
            </w:tcBorders>
          </w:tcPr>
          <w:p>
            <w:pPr>
              <w:spacing w:after="0"/>
              <w:rPr>
                <w:sz w:val="6"/>
                <w:szCs w:val="6"/>
                <w:color w:val="auto"/>
              </w:rPr>
            </w:pPr>
          </w:p>
        </w:tc>
        <w:tc>
          <w:tcPr>
            <w:tcW w:w="192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89"/>
        </w:trPr>
        <w:tc>
          <w:tcPr>
            <w:tcW w:w="4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7,471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6,912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7,289</w:t>
            </w:r>
          </w:p>
        </w:tc>
      </w:tr>
      <w:tr>
        <w:trPr>
          <w:trHeight w:val="42"/>
        </w:trPr>
        <w:tc>
          <w:tcPr>
            <w:tcW w:w="45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4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ind w:right="420"/>
        <w:spacing w:after="0" w:line="244"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Segment Operating Earnings do not include certain nonrecurring losses, such as impairment and legal settlements. We account for intersegment sales at market prices. Corporate assets consist primarily of cash and cash equivalents, general office assets, and miscellaneous other assets.</w:t>
      </w:r>
    </w:p>
    <w:p>
      <w:pPr>
        <w:spacing w:after="0" w:line="6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Consolidated Balance Sheets and Consolidated Statements of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2026, and 2025 is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For the Years Ended March 31,</w:t>
            </w:r>
          </w:p>
        </w:tc>
      </w:tr>
      <w:tr>
        <w:trPr>
          <w:trHeight w:val="210"/>
        </w:trPr>
        <w:tc>
          <w:tcPr>
            <w:tcW w:w="7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r>
      <w:tr>
        <w:trPr>
          <w:trHeight w:val="203"/>
        </w:trPr>
        <w:tc>
          <w:tcPr>
            <w:tcW w:w="7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17"/>
                <w:szCs w:val="17"/>
                <w:color w:val="auto"/>
              </w:rPr>
            </w:pPr>
          </w:p>
        </w:tc>
      </w:tr>
      <w:tr>
        <w:trPr>
          <w:trHeight w:val="296"/>
        </w:trPr>
        <w:tc>
          <w:tcPr>
            <w:tcW w:w="7700" w:type="dxa"/>
            <w:vAlign w:val="bottom"/>
          </w:tcPr>
          <w:p>
            <w:pPr>
              <w:spacing w:after="0"/>
              <w:rPr>
                <w:sz w:val="20"/>
                <w:szCs w:val="20"/>
                <w:color w:val="auto"/>
              </w:rPr>
            </w:pPr>
            <w:r>
              <w:rPr>
                <w:rFonts w:ascii="Arial" w:cs="Arial" w:eastAsia="Arial" w:hAnsi="Arial"/>
                <w:sz w:val="18"/>
                <w:szCs w:val="18"/>
                <w:b w:val="1"/>
                <w:bCs w:val="1"/>
                <w:color w:val="3983C5"/>
              </w:rPr>
              <w:t>Cement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227,639</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227,639</w:t>
            </w:r>
          </w:p>
        </w:tc>
      </w:tr>
      <w:tr>
        <w:trPr>
          <w:trHeight w:val="42"/>
        </w:trPr>
        <w:tc>
          <w:tcPr>
            <w:tcW w:w="770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00AAC6"/>
              </w:rPr>
              <w:t>Concrete and Aggregates</w:t>
            </w:r>
          </w:p>
        </w:tc>
        <w:tc>
          <w:tcPr>
            <w:tcW w:w="320" w:type="dxa"/>
            <w:vAlign w:val="bottom"/>
          </w:tcPr>
          <w:p>
            <w:pPr>
              <w:spacing w:after="0"/>
              <w:rPr>
                <w:sz w:val="24"/>
                <w:szCs w:val="24"/>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118,878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118,099</w:t>
            </w:r>
          </w:p>
        </w:tc>
      </w:tr>
      <w:tr>
        <w:trPr>
          <w:trHeight w:val="42"/>
        </w:trPr>
        <w:tc>
          <w:tcPr>
            <w:tcW w:w="770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77943C"/>
              </w:rPr>
              <w:t>Gypsum Wallboard</w:t>
            </w:r>
          </w:p>
        </w:tc>
        <w:tc>
          <w:tcPr>
            <w:tcW w:w="320" w:type="dxa"/>
            <w:vAlign w:val="bottom"/>
          </w:tcPr>
          <w:p>
            <w:pPr>
              <w:spacing w:after="0"/>
              <w:rPr>
                <w:sz w:val="24"/>
                <w:szCs w:val="24"/>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116,618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116,618</w:t>
            </w:r>
          </w:p>
        </w:tc>
      </w:tr>
      <w:tr>
        <w:trPr>
          <w:trHeight w:val="42"/>
        </w:trPr>
        <w:tc>
          <w:tcPr>
            <w:tcW w:w="770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7700" w:type="dxa"/>
            <w:vAlign w:val="bottom"/>
          </w:tcPr>
          <w:p>
            <w:pPr>
              <w:spacing w:after="0"/>
              <w:rPr>
                <w:sz w:val="20"/>
                <w:szCs w:val="20"/>
                <w:color w:val="auto"/>
              </w:rPr>
            </w:pPr>
            <w:r>
              <w:rPr>
                <w:rFonts w:ascii="Arial" w:cs="Arial" w:eastAsia="Arial" w:hAnsi="Arial"/>
                <w:sz w:val="18"/>
                <w:szCs w:val="18"/>
                <w:b w:val="1"/>
                <w:bCs w:val="1"/>
                <w:color w:val="85B372"/>
              </w:rPr>
              <w:t>Recycled Paperboard</w:t>
            </w:r>
          </w:p>
        </w:tc>
        <w:tc>
          <w:tcPr>
            <w:tcW w:w="320" w:type="dxa"/>
            <w:vAlign w:val="bottom"/>
          </w:tcPr>
          <w:p>
            <w:pPr>
              <w:spacing w:after="0"/>
              <w:rPr>
                <w:sz w:val="24"/>
                <w:szCs w:val="24"/>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7,538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7,538</w:t>
            </w:r>
          </w:p>
        </w:tc>
      </w:tr>
      <w:tr>
        <w:trPr>
          <w:trHeight w:val="69"/>
        </w:trPr>
        <w:tc>
          <w:tcPr>
            <w:tcW w:w="7700" w:type="dxa"/>
            <w:vAlign w:val="bottom"/>
            <w:tcBorders>
              <w:bottom w:val="single" w:sz="8" w:color="A6A6A6"/>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89"/>
        </w:trPr>
        <w:tc>
          <w:tcPr>
            <w:tcW w:w="77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35"/>
              <w:spacing w:after="0"/>
              <w:rPr>
                <w:sz w:val="20"/>
                <w:szCs w:val="20"/>
                <w:color w:val="auto"/>
              </w:rPr>
            </w:pPr>
            <w:r>
              <w:rPr>
                <w:rFonts w:ascii="Arial" w:cs="Arial" w:eastAsia="Arial" w:hAnsi="Arial"/>
                <w:sz w:val="18"/>
                <w:szCs w:val="18"/>
                <w:b w:val="1"/>
                <w:bCs w:val="1"/>
                <w:color w:val="auto"/>
              </w:rPr>
              <w:t>470,673</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469,894</w:t>
            </w:r>
          </w:p>
        </w:tc>
      </w:tr>
      <w:tr>
        <w:trPr>
          <w:trHeight w:val="42"/>
        </w:trPr>
        <w:tc>
          <w:tcPr>
            <w:tcW w:w="77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The summarized financial information includes the total amount of the Joint Venture and not our 50% interest in those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center"/>
              <w:ind w:right="352"/>
              <w:spacing w:after="0"/>
              <w:rPr>
                <w:sz w:val="20"/>
                <w:szCs w:val="20"/>
                <w:color w:val="auto"/>
              </w:rPr>
            </w:pPr>
            <w:r>
              <w:rPr>
                <w:rFonts w:ascii="Arial" w:cs="Arial" w:eastAsia="Arial" w:hAnsi="Arial"/>
                <w:sz w:val="16"/>
                <w:szCs w:val="16"/>
                <w:b w:val="1"/>
                <w:bCs w:val="1"/>
                <w:color w:val="auto"/>
              </w:rPr>
              <w:t>For the Years Ended March 31,</w:t>
            </w:r>
          </w:p>
        </w:tc>
      </w:tr>
      <w:tr>
        <w:trPr>
          <w:trHeight w:val="209"/>
        </w:trPr>
        <w:tc>
          <w:tcPr>
            <w:tcW w:w="4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r>
      <w:tr>
        <w:trPr>
          <w:trHeight w:val="203"/>
        </w:trPr>
        <w:tc>
          <w:tcPr>
            <w:tcW w:w="40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17"/>
                <w:szCs w:val="17"/>
                <w:color w:val="auto"/>
              </w:rPr>
            </w:pPr>
          </w:p>
        </w:tc>
      </w:tr>
      <w:tr>
        <w:trPr>
          <w:trHeight w:val="295"/>
        </w:trPr>
        <w:tc>
          <w:tcPr>
            <w:tcW w:w="4080" w:type="dxa"/>
            <w:vAlign w:val="bottom"/>
          </w:tcPr>
          <w:p>
            <w:pPr>
              <w:spacing w:after="0"/>
              <w:rPr>
                <w:sz w:val="20"/>
                <w:szCs w:val="20"/>
                <w:color w:val="auto"/>
              </w:rPr>
            </w:pPr>
            <w:r>
              <w:rPr>
                <w:rFonts w:ascii="Arial" w:cs="Arial" w:eastAsia="Arial" w:hAnsi="Arial"/>
                <w:sz w:val="18"/>
                <w:szCs w:val="18"/>
                <w:b w:val="1"/>
                <w:bCs w:val="1"/>
                <w:color w:val="004483"/>
              </w:rPr>
              <w:t>Revenue</w:t>
            </w:r>
          </w:p>
        </w:tc>
        <w:tc>
          <w:tcPr>
            <w:tcW w:w="3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238,681</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221,937</w:t>
            </w:r>
          </w:p>
        </w:tc>
      </w:tr>
      <w:tr>
        <w:trPr>
          <w:trHeight w:val="42"/>
        </w:trPr>
        <w:tc>
          <w:tcPr>
            <w:tcW w:w="4080" w:type="dxa"/>
            <w:vAlign w:val="bottom"/>
            <w:tcBorders>
              <w:bottom w:val="single" w:sz="8" w:color="A6A6A6"/>
            </w:tcBorders>
          </w:tcPr>
          <w:p>
            <w:pPr>
              <w:spacing w:after="0"/>
              <w:rPr>
                <w:sz w:val="3"/>
                <w:szCs w:val="3"/>
                <w:color w:val="auto"/>
              </w:rPr>
            </w:pPr>
          </w:p>
        </w:tc>
        <w:tc>
          <w:tcPr>
            <w:tcW w:w="3940" w:type="dxa"/>
            <w:vAlign w:val="bottom"/>
            <w:tcBorders>
              <w:bottom w:val="single" w:sz="8" w:color="A6A6A6"/>
            </w:tcBorders>
            <w:gridSpan w:val="2"/>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gridSpan w:val="2"/>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080" w:type="dxa"/>
            <w:vAlign w:val="bottom"/>
          </w:tcPr>
          <w:p>
            <w:pPr>
              <w:spacing w:after="0"/>
              <w:rPr>
                <w:sz w:val="20"/>
                <w:szCs w:val="20"/>
                <w:color w:val="auto"/>
              </w:rPr>
            </w:pPr>
            <w:r>
              <w:rPr>
                <w:rFonts w:ascii="Arial" w:cs="Arial" w:eastAsia="Arial" w:hAnsi="Arial"/>
                <w:sz w:val="18"/>
                <w:szCs w:val="18"/>
                <w:b w:val="1"/>
                <w:bCs w:val="1"/>
                <w:color w:val="004483"/>
              </w:rPr>
              <w:t>Gross Margin</w:t>
            </w:r>
          </w:p>
        </w:tc>
        <w:tc>
          <w:tcPr>
            <w:tcW w:w="3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49,679</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60,789</w:t>
            </w:r>
          </w:p>
        </w:tc>
      </w:tr>
      <w:tr>
        <w:trPr>
          <w:trHeight w:val="42"/>
        </w:trPr>
        <w:tc>
          <w:tcPr>
            <w:tcW w:w="4080" w:type="dxa"/>
            <w:vAlign w:val="bottom"/>
            <w:tcBorders>
              <w:bottom w:val="single" w:sz="8" w:color="A6A6A6"/>
            </w:tcBorders>
          </w:tcPr>
          <w:p>
            <w:pPr>
              <w:spacing w:after="0"/>
              <w:rPr>
                <w:sz w:val="3"/>
                <w:szCs w:val="3"/>
                <w:color w:val="auto"/>
              </w:rPr>
            </w:pPr>
          </w:p>
        </w:tc>
        <w:tc>
          <w:tcPr>
            <w:tcW w:w="3940" w:type="dxa"/>
            <w:vAlign w:val="bottom"/>
            <w:tcBorders>
              <w:bottom w:val="single" w:sz="8" w:color="A6A6A6"/>
            </w:tcBorders>
            <w:gridSpan w:val="2"/>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gridSpan w:val="2"/>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080" w:type="dxa"/>
            <w:vAlign w:val="bottom"/>
          </w:tcPr>
          <w:p>
            <w:pPr>
              <w:spacing w:after="0"/>
              <w:rPr>
                <w:sz w:val="20"/>
                <w:szCs w:val="20"/>
                <w:color w:val="auto"/>
              </w:rPr>
            </w:pPr>
            <w:r>
              <w:rPr>
                <w:rFonts w:ascii="Arial" w:cs="Arial" w:eastAsia="Arial" w:hAnsi="Arial"/>
                <w:sz w:val="18"/>
                <w:szCs w:val="18"/>
                <w:b w:val="1"/>
                <w:bCs w:val="1"/>
                <w:color w:val="004483"/>
              </w:rPr>
              <w:t>Earnings Before Income Taxes</w:t>
            </w:r>
          </w:p>
        </w:tc>
        <w:tc>
          <w:tcPr>
            <w:tcW w:w="3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40,663</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53,217</w:t>
            </w:r>
          </w:p>
        </w:tc>
      </w:tr>
      <w:tr>
        <w:trPr>
          <w:trHeight w:val="42"/>
        </w:trPr>
        <w:tc>
          <w:tcPr>
            <w:tcW w:w="4080" w:type="dxa"/>
            <w:vAlign w:val="bottom"/>
            <w:tcBorders>
              <w:bottom w:val="single" w:sz="8" w:color="A6A6A6"/>
            </w:tcBorders>
          </w:tcPr>
          <w:p>
            <w:pPr>
              <w:spacing w:after="0"/>
              <w:rPr>
                <w:sz w:val="3"/>
                <w:szCs w:val="3"/>
                <w:color w:val="auto"/>
              </w:rPr>
            </w:pPr>
          </w:p>
        </w:tc>
        <w:tc>
          <w:tcPr>
            <w:tcW w:w="362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2260" w:type="dxa"/>
            <w:vAlign w:val="bottom"/>
            <w:tcBorders>
              <w:bottom w:val="single" w:sz="8" w:color="A6A6A6"/>
            </w:tcBorders>
            <w:gridSpan w:val="3"/>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412"/>
        </w:trPr>
        <w:tc>
          <w:tcPr>
            <w:tcW w:w="4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6"/>
                <w:szCs w:val="16"/>
                <w:b w:val="1"/>
                <w:bCs w:val="1"/>
                <w:color w:val="auto"/>
                <w:w w:val="99"/>
              </w:rPr>
              <w:t>As of March 31,</w:t>
            </w:r>
          </w:p>
        </w:tc>
        <w:tc>
          <w:tcPr>
            <w:tcW w:w="960" w:type="dxa"/>
            <w:vAlign w:val="bottom"/>
            <w:tcBorders>
              <w:bottom w:val="single" w:sz="8" w:color="auto"/>
            </w:tcBorders>
          </w:tcPr>
          <w:p>
            <w:pPr>
              <w:spacing w:after="0"/>
              <w:rPr>
                <w:sz w:val="24"/>
                <w:szCs w:val="24"/>
                <w:color w:val="auto"/>
              </w:rPr>
            </w:pPr>
          </w:p>
        </w:tc>
      </w:tr>
      <w:tr>
        <w:trPr>
          <w:trHeight w:val="210"/>
        </w:trPr>
        <w:tc>
          <w:tcPr>
            <w:tcW w:w="4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r>
      <w:tr>
        <w:trPr>
          <w:trHeight w:val="203"/>
        </w:trPr>
        <w:tc>
          <w:tcPr>
            <w:tcW w:w="40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17"/>
                <w:szCs w:val="17"/>
                <w:color w:val="auto"/>
              </w:rPr>
            </w:pPr>
          </w:p>
        </w:tc>
      </w:tr>
      <w:tr>
        <w:trPr>
          <w:trHeight w:val="295"/>
        </w:trPr>
        <w:tc>
          <w:tcPr>
            <w:tcW w:w="4080" w:type="dxa"/>
            <w:vAlign w:val="bottom"/>
          </w:tcPr>
          <w:p>
            <w:pPr>
              <w:spacing w:after="0"/>
              <w:rPr>
                <w:sz w:val="20"/>
                <w:szCs w:val="20"/>
                <w:color w:val="auto"/>
              </w:rPr>
            </w:pPr>
            <w:r>
              <w:rPr>
                <w:rFonts w:ascii="Arial" w:cs="Arial" w:eastAsia="Arial" w:hAnsi="Arial"/>
                <w:sz w:val="18"/>
                <w:szCs w:val="18"/>
                <w:b w:val="1"/>
                <w:bCs w:val="1"/>
                <w:color w:val="004483"/>
              </w:rPr>
              <w:t>Current Assets</w:t>
            </w:r>
          </w:p>
        </w:tc>
        <w:tc>
          <w:tcPr>
            <w:tcW w:w="3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137,678</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128,384</w:t>
            </w:r>
          </w:p>
        </w:tc>
      </w:tr>
      <w:tr>
        <w:trPr>
          <w:trHeight w:val="42"/>
        </w:trPr>
        <w:tc>
          <w:tcPr>
            <w:tcW w:w="4080" w:type="dxa"/>
            <w:vAlign w:val="bottom"/>
            <w:tcBorders>
              <w:bottom w:val="single" w:sz="8" w:color="A6A6A6"/>
            </w:tcBorders>
          </w:tcPr>
          <w:p>
            <w:pPr>
              <w:spacing w:after="0"/>
              <w:rPr>
                <w:sz w:val="3"/>
                <w:szCs w:val="3"/>
                <w:color w:val="auto"/>
              </w:rPr>
            </w:pPr>
          </w:p>
        </w:tc>
        <w:tc>
          <w:tcPr>
            <w:tcW w:w="3940" w:type="dxa"/>
            <w:vAlign w:val="bottom"/>
            <w:tcBorders>
              <w:bottom w:val="single" w:sz="8" w:color="A6A6A6"/>
            </w:tcBorders>
            <w:gridSpan w:val="2"/>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gridSpan w:val="2"/>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080" w:type="dxa"/>
            <w:vAlign w:val="bottom"/>
          </w:tcPr>
          <w:p>
            <w:pPr>
              <w:spacing w:after="0"/>
              <w:rPr>
                <w:sz w:val="20"/>
                <w:szCs w:val="20"/>
                <w:color w:val="auto"/>
              </w:rPr>
            </w:pPr>
            <w:r>
              <w:rPr>
                <w:rFonts w:ascii="Arial" w:cs="Arial" w:eastAsia="Arial" w:hAnsi="Arial"/>
                <w:sz w:val="18"/>
                <w:szCs w:val="18"/>
                <w:b w:val="1"/>
                <w:bCs w:val="1"/>
                <w:color w:val="004483"/>
              </w:rPr>
              <w:t>Noncurrent Assets</w:t>
            </w:r>
          </w:p>
        </w:tc>
        <w:tc>
          <w:tcPr>
            <w:tcW w:w="3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237,455</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207,910</w:t>
            </w:r>
          </w:p>
        </w:tc>
      </w:tr>
      <w:tr>
        <w:trPr>
          <w:trHeight w:val="42"/>
        </w:trPr>
        <w:tc>
          <w:tcPr>
            <w:tcW w:w="4080" w:type="dxa"/>
            <w:vAlign w:val="bottom"/>
            <w:tcBorders>
              <w:bottom w:val="single" w:sz="8" w:color="A6A6A6"/>
            </w:tcBorders>
          </w:tcPr>
          <w:p>
            <w:pPr>
              <w:spacing w:after="0"/>
              <w:rPr>
                <w:sz w:val="3"/>
                <w:szCs w:val="3"/>
                <w:color w:val="auto"/>
              </w:rPr>
            </w:pPr>
          </w:p>
        </w:tc>
        <w:tc>
          <w:tcPr>
            <w:tcW w:w="3940" w:type="dxa"/>
            <w:vAlign w:val="bottom"/>
            <w:tcBorders>
              <w:bottom w:val="single" w:sz="8" w:color="A6A6A6"/>
            </w:tcBorders>
            <w:gridSpan w:val="2"/>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gridSpan w:val="2"/>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080" w:type="dxa"/>
            <w:vAlign w:val="bottom"/>
          </w:tcPr>
          <w:p>
            <w:pPr>
              <w:spacing w:after="0"/>
              <w:rPr>
                <w:sz w:val="20"/>
                <w:szCs w:val="20"/>
                <w:color w:val="auto"/>
              </w:rPr>
            </w:pPr>
            <w:r>
              <w:rPr>
                <w:rFonts w:ascii="Arial" w:cs="Arial" w:eastAsia="Arial" w:hAnsi="Arial"/>
                <w:sz w:val="18"/>
                <w:szCs w:val="18"/>
                <w:b w:val="1"/>
                <w:bCs w:val="1"/>
                <w:color w:val="004483"/>
              </w:rPr>
              <w:t>Current Liabilities</w:t>
            </w:r>
          </w:p>
        </w:tc>
        <w:tc>
          <w:tcPr>
            <w:tcW w:w="3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37,669</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25,618</w:t>
            </w:r>
          </w:p>
        </w:tc>
      </w:tr>
      <w:tr>
        <w:trPr>
          <w:trHeight w:val="42"/>
        </w:trPr>
        <w:tc>
          <w:tcPr>
            <w:tcW w:w="4080" w:type="dxa"/>
            <w:vAlign w:val="bottom"/>
            <w:tcBorders>
              <w:bottom w:val="single" w:sz="8" w:color="A6A6A6"/>
            </w:tcBorders>
          </w:tcPr>
          <w:p>
            <w:pPr>
              <w:spacing w:after="0"/>
              <w:rPr>
                <w:sz w:val="3"/>
                <w:szCs w:val="3"/>
                <w:color w:val="auto"/>
              </w:rPr>
            </w:pPr>
          </w:p>
        </w:tc>
        <w:tc>
          <w:tcPr>
            <w:tcW w:w="3940" w:type="dxa"/>
            <w:vAlign w:val="bottom"/>
            <w:tcBorders>
              <w:bottom w:val="single" w:sz="8" w:color="A6A6A6"/>
            </w:tcBorders>
            <w:gridSpan w:val="2"/>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gridSpan w:val="2"/>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080" w:type="dxa"/>
            <w:vAlign w:val="bottom"/>
          </w:tcPr>
          <w:p>
            <w:pPr>
              <w:spacing w:after="0"/>
              <w:rPr>
                <w:sz w:val="20"/>
                <w:szCs w:val="20"/>
                <w:color w:val="auto"/>
              </w:rPr>
            </w:pPr>
            <w:r>
              <w:rPr>
                <w:rFonts w:ascii="Arial" w:cs="Arial" w:eastAsia="Arial" w:hAnsi="Arial"/>
                <w:sz w:val="18"/>
                <w:szCs w:val="18"/>
                <w:b w:val="1"/>
                <w:bCs w:val="1"/>
                <w:color w:val="004483"/>
              </w:rPr>
              <w:t>Noncurrent Liabilities</w:t>
            </w:r>
          </w:p>
        </w:tc>
        <w:tc>
          <w:tcPr>
            <w:tcW w:w="3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16,431</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30,152</w:t>
            </w:r>
          </w:p>
        </w:tc>
      </w:tr>
      <w:tr>
        <w:trPr>
          <w:trHeight w:val="42"/>
        </w:trPr>
        <w:tc>
          <w:tcPr>
            <w:tcW w:w="4080" w:type="dxa"/>
            <w:vAlign w:val="bottom"/>
            <w:tcBorders>
              <w:bottom w:val="single" w:sz="8" w:color="A6A6A6"/>
            </w:tcBorders>
          </w:tcPr>
          <w:p>
            <w:pPr>
              <w:spacing w:after="0"/>
              <w:rPr>
                <w:sz w:val="3"/>
                <w:szCs w:val="3"/>
                <w:color w:val="auto"/>
              </w:rPr>
            </w:pPr>
          </w:p>
        </w:tc>
        <w:tc>
          <w:tcPr>
            <w:tcW w:w="3620" w:type="dxa"/>
            <w:vAlign w:val="bottom"/>
            <w:tcBorders>
              <w:bottom w:val="single" w:sz="8" w:color="A6A6A6"/>
            </w:tcBorders>
          </w:tcPr>
          <w:p>
            <w:pPr>
              <w:spacing w:after="0"/>
              <w:rPr>
                <w:sz w:val="3"/>
                <w:szCs w:val="3"/>
                <w:color w:val="auto"/>
              </w:rPr>
            </w:pPr>
          </w:p>
        </w:tc>
        <w:tc>
          <w:tcPr>
            <w:tcW w:w="320" w:type="dxa"/>
            <w:vAlign w:val="bottom"/>
            <w:tcBorders>
              <w:bottom w:val="single" w:sz="8" w:color="A6A6A6"/>
            </w:tcBorders>
          </w:tcPr>
          <w:p>
            <w:pPr>
              <w:spacing w:after="0"/>
              <w:rPr>
                <w:sz w:val="3"/>
                <w:szCs w:val="3"/>
                <w:color w:val="auto"/>
              </w:rPr>
            </w:pPr>
          </w:p>
        </w:tc>
        <w:tc>
          <w:tcPr>
            <w:tcW w:w="13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875"/>
        </w:trPr>
        <w:tc>
          <w:tcPr>
            <w:tcW w:w="4080" w:type="dxa"/>
            <w:vAlign w:val="bottom"/>
          </w:tcPr>
          <w:p>
            <w:pPr>
              <w:spacing w:after="0"/>
              <w:rPr>
                <w:sz w:val="24"/>
                <w:szCs w:val="24"/>
                <w:color w:val="auto"/>
              </w:rPr>
            </w:pPr>
          </w:p>
        </w:tc>
        <w:tc>
          <w:tcPr>
            <w:tcW w:w="3620" w:type="dxa"/>
            <w:vAlign w:val="bottom"/>
          </w:tcPr>
          <w:p>
            <w:pPr>
              <w:jc w:val="right"/>
              <w:ind w:right="189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46"/>
        </w:trPr>
        <w:tc>
          <w:tcPr>
            <w:tcW w:w="40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(I) 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pre-tax earnings from continuing operations are noted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b w:val="1"/>
                <w:bCs w:val="1"/>
                <w:color w:val="auto"/>
              </w:rPr>
              <w:t>For the Years Ended March 31,</w:t>
            </w:r>
          </w:p>
        </w:tc>
        <w:tc>
          <w:tcPr>
            <w:tcW w:w="960" w:type="dxa"/>
            <w:vAlign w:val="bottom"/>
            <w:tcBorders>
              <w:bottom w:val="single" w:sz="8" w:color="auto"/>
            </w:tcBorders>
          </w:tcPr>
          <w:p>
            <w:pPr>
              <w:spacing w:after="0"/>
              <w:rPr>
                <w:sz w:val="18"/>
                <w:szCs w:val="18"/>
                <w:color w:val="auto"/>
              </w:rPr>
            </w:pPr>
          </w:p>
        </w:tc>
      </w:tr>
      <w:tr>
        <w:trPr>
          <w:trHeight w:val="210"/>
        </w:trPr>
        <w:tc>
          <w:tcPr>
            <w:tcW w:w="63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3"/>
        </w:trPr>
        <w:tc>
          <w:tcPr>
            <w:tcW w:w="6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96"/>
        </w:trPr>
        <w:tc>
          <w:tcPr>
            <w:tcW w:w="6380" w:type="dxa"/>
            <w:vAlign w:val="bottom"/>
          </w:tcPr>
          <w:p>
            <w:pPr>
              <w:spacing w:after="0"/>
              <w:rPr>
                <w:sz w:val="20"/>
                <w:szCs w:val="20"/>
                <w:color w:val="auto"/>
              </w:rPr>
            </w:pPr>
            <w:r>
              <w:rPr>
                <w:rFonts w:ascii="Arial" w:cs="Arial" w:eastAsia="Arial" w:hAnsi="Arial"/>
                <w:sz w:val="18"/>
                <w:szCs w:val="18"/>
                <w:b w:val="1"/>
                <w:bCs w:val="1"/>
                <w:color w:val="004483"/>
              </w:rPr>
              <w:t>Domestic</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541,976</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591,485</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617,937</w:t>
            </w:r>
          </w:p>
        </w:tc>
      </w:tr>
      <w:tr>
        <w:trPr>
          <w:trHeight w:val="69"/>
        </w:trPr>
        <w:tc>
          <w:tcPr>
            <w:tcW w:w="6380" w:type="dxa"/>
            <w:vAlign w:val="bottom"/>
            <w:tcBorders>
              <w:bottom w:val="single" w:sz="8" w:color="A6A6A6"/>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89"/>
        </w:trPr>
        <w:tc>
          <w:tcPr>
            <w:tcW w:w="6380" w:type="dxa"/>
            <w:vAlign w:val="bottom"/>
          </w:tcPr>
          <w:p>
            <w:pPr>
              <w:spacing w:after="0"/>
              <w:rPr>
                <w:sz w:val="20"/>
                <w:szCs w:val="20"/>
                <w:color w:val="auto"/>
              </w:rPr>
            </w:pPr>
            <w:r>
              <w:rPr>
                <w:rFonts w:ascii="Arial" w:cs="Arial" w:eastAsia="Arial" w:hAnsi="Arial"/>
                <w:sz w:val="18"/>
                <w:szCs w:val="18"/>
                <w:b w:val="1"/>
                <w:bCs w:val="1"/>
                <w:color w:val="004483"/>
              </w:rPr>
              <w:t>Total</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35"/>
              <w:spacing w:after="0"/>
              <w:rPr>
                <w:sz w:val="20"/>
                <w:szCs w:val="20"/>
                <w:color w:val="auto"/>
              </w:rPr>
            </w:pPr>
            <w:r>
              <w:rPr>
                <w:rFonts w:ascii="Arial" w:cs="Arial" w:eastAsia="Arial" w:hAnsi="Arial"/>
                <w:sz w:val="18"/>
                <w:szCs w:val="18"/>
                <w:b w:val="1"/>
                <w:bCs w:val="1"/>
                <w:color w:val="auto"/>
              </w:rPr>
              <w:t>541,976</w:t>
            </w:r>
          </w:p>
        </w:tc>
        <w:tc>
          <w:tcPr>
            <w:tcW w:w="6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591,485</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617,937</w:t>
            </w:r>
          </w:p>
        </w:tc>
      </w:tr>
      <w:tr>
        <w:trPr>
          <w:trHeight w:val="42"/>
        </w:trPr>
        <w:tc>
          <w:tcPr>
            <w:tcW w:w="63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6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from continuing operations includes the following components.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6"/>
                <w:szCs w:val="16"/>
                <w:b w:val="1"/>
                <w:bCs w:val="1"/>
                <w:color w:val="auto"/>
              </w:rPr>
              <w:t>For the Years Ended March 31,</w:t>
            </w:r>
          </w:p>
        </w:tc>
        <w:tc>
          <w:tcPr>
            <w:tcW w:w="1140" w:type="dxa"/>
            <w:vAlign w:val="bottom"/>
            <w:tcBorders>
              <w:bottom w:val="single" w:sz="8" w:color="auto"/>
            </w:tcBorders>
          </w:tcPr>
          <w:p>
            <w:pPr>
              <w:spacing w:after="0"/>
              <w:rPr>
                <w:sz w:val="18"/>
                <w:szCs w:val="18"/>
                <w:color w:val="auto"/>
              </w:rPr>
            </w:pPr>
          </w:p>
        </w:tc>
      </w:tr>
      <w:tr>
        <w:trPr>
          <w:trHeight w:val="209"/>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2024</w:t>
            </w:r>
          </w:p>
        </w:tc>
      </w:tr>
      <w:tr>
        <w:trPr>
          <w:trHeight w:val="203"/>
        </w:trPr>
        <w:tc>
          <w:tcPr>
            <w:tcW w:w="6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95"/>
        </w:trPr>
        <w:tc>
          <w:tcPr>
            <w:tcW w:w="6360" w:type="dxa"/>
            <w:vAlign w:val="bottom"/>
          </w:tcPr>
          <w:p>
            <w:pPr>
              <w:spacing w:after="0"/>
              <w:rPr>
                <w:sz w:val="20"/>
                <w:szCs w:val="20"/>
                <w:color w:val="auto"/>
              </w:rPr>
            </w:pPr>
            <w:r>
              <w:rPr>
                <w:rFonts w:ascii="Arial" w:cs="Arial" w:eastAsia="Arial" w:hAnsi="Arial"/>
                <w:sz w:val="18"/>
                <w:szCs w:val="18"/>
                <w:b w:val="1"/>
                <w:bCs w:val="1"/>
                <w:color w:val="004483"/>
              </w:rPr>
              <w:t>Current Provision (Benefit)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
        </w:trPr>
        <w:tc>
          <w:tcPr>
            <w:tcW w:w="63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520" w:type="dxa"/>
            <w:vAlign w:val="bottom"/>
            <w:tcBorders>
              <w:bottom w:val="single" w:sz="8" w:color="A6A6A6"/>
            </w:tcBorders>
            <w:gridSpan w:val="2"/>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gridSpan w:val="2"/>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6360" w:type="dxa"/>
            <w:vAlign w:val="bottom"/>
          </w:tcPr>
          <w:p>
            <w:pPr>
              <w:ind w:left="120"/>
              <w:spacing w:after="0"/>
              <w:rPr>
                <w:sz w:val="20"/>
                <w:szCs w:val="20"/>
                <w:color w:val="auto"/>
              </w:rPr>
            </w:pPr>
            <w:r>
              <w:rPr>
                <w:rFonts w:ascii="Arial" w:cs="Arial" w:eastAsia="Arial" w:hAnsi="Arial"/>
                <w:sz w:val="18"/>
                <w:szCs w:val="18"/>
                <w:b w:val="1"/>
                <w:bCs w:val="1"/>
                <w:color w:val="004483"/>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80,325</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114,606</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111,690</w:t>
            </w:r>
          </w:p>
        </w:tc>
      </w:tr>
      <w:tr>
        <w:trPr>
          <w:trHeight w:val="42"/>
        </w:trPr>
        <w:tc>
          <w:tcPr>
            <w:tcW w:w="63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6360" w:type="dxa"/>
            <w:vAlign w:val="bottom"/>
          </w:tcPr>
          <w:p>
            <w:pPr>
              <w:ind w:left="120"/>
              <w:spacing w:after="0"/>
              <w:rPr>
                <w:sz w:val="20"/>
                <w:szCs w:val="20"/>
                <w:color w:val="auto"/>
              </w:rPr>
            </w:pPr>
            <w:r>
              <w:rPr>
                <w:rFonts w:ascii="Arial" w:cs="Arial" w:eastAsia="Arial" w:hAnsi="Arial"/>
                <w:sz w:val="18"/>
                <w:szCs w:val="18"/>
                <w:b w:val="1"/>
                <w:bCs w:val="1"/>
                <w:color w:val="004483"/>
              </w:rPr>
              <w:t>State</w:t>
            </w:r>
          </w:p>
        </w:tc>
        <w:tc>
          <w:tcPr>
            <w:tcW w:w="36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14,710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18,411</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20,689</w:t>
            </w:r>
          </w:p>
        </w:tc>
      </w:tr>
      <w:tr>
        <w:trPr>
          <w:trHeight w:val="69"/>
        </w:trPr>
        <w:tc>
          <w:tcPr>
            <w:tcW w:w="636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81"/>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95,035</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133,017</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132,379</w:t>
            </w:r>
          </w:p>
        </w:tc>
      </w:tr>
      <w:tr>
        <w:trPr>
          <w:trHeight w:val="50"/>
        </w:trPr>
        <w:tc>
          <w:tcPr>
            <w:tcW w:w="636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1140" w:type="dxa"/>
            <w:vAlign w:val="bottom"/>
            <w:tcBorders>
              <w:bottom w:val="single" w:sz="8" w:color="A6A6A6"/>
            </w:tcBorders>
          </w:tcPr>
          <w:p>
            <w:pPr>
              <w:spacing w:after="0"/>
              <w:rPr>
                <w:sz w:val="4"/>
                <w:szCs w:val="4"/>
                <w:color w:val="auto"/>
              </w:rPr>
            </w:pPr>
          </w:p>
        </w:tc>
        <w:tc>
          <w:tcPr>
            <w:tcW w:w="16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116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420" w:type="dxa"/>
            <w:vAlign w:val="bottom"/>
            <w:tcBorders>
              <w:bottom w:val="single" w:sz="8" w:color="A6A6A6"/>
            </w:tcBorders>
          </w:tcPr>
          <w:p>
            <w:pPr>
              <w:spacing w:after="0"/>
              <w:rPr>
                <w:sz w:val="4"/>
                <w:szCs w:val="4"/>
                <w:color w:val="auto"/>
              </w:rPr>
            </w:pPr>
          </w:p>
        </w:tc>
        <w:tc>
          <w:tcPr>
            <w:tcW w:w="1140" w:type="dxa"/>
            <w:vAlign w:val="bottom"/>
            <w:tcBorders>
              <w:bottom w:val="single" w:sz="8" w:color="A6A6A6"/>
            </w:tcBorders>
          </w:tcPr>
          <w:p>
            <w:pPr>
              <w:spacing w:after="0"/>
              <w:rPr>
                <w:sz w:val="4"/>
                <w:szCs w:val="4"/>
                <w:color w:val="auto"/>
              </w:rPr>
            </w:pPr>
          </w:p>
        </w:tc>
      </w:tr>
      <w:tr>
        <w:trPr>
          <w:trHeight w:val="289"/>
        </w:trPr>
        <w:tc>
          <w:tcPr>
            <w:tcW w:w="6360" w:type="dxa"/>
            <w:vAlign w:val="bottom"/>
          </w:tcPr>
          <w:p>
            <w:pPr>
              <w:spacing w:after="0"/>
              <w:rPr>
                <w:sz w:val="20"/>
                <w:szCs w:val="20"/>
                <w:color w:val="auto"/>
              </w:rPr>
            </w:pPr>
            <w:r>
              <w:rPr>
                <w:rFonts w:ascii="Arial" w:cs="Arial" w:eastAsia="Arial" w:hAnsi="Arial"/>
                <w:sz w:val="18"/>
                <w:szCs w:val="18"/>
                <w:b w:val="1"/>
                <w:bCs w:val="1"/>
                <w:color w:val="004483"/>
              </w:rPr>
              <w:t>Deferred Provision (Benefit)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
        </w:trPr>
        <w:tc>
          <w:tcPr>
            <w:tcW w:w="63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6360" w:type="dxa"/>
            <w:vAlign w:val="bottom"/>
          </w:tcPr>
          <w:p>
            <w:pPr>
              <w:ind w:left="120"/>
              <w:spacing w:after="0"/>
              <w:rPr>
                <w:sz w:val="20"/>
                <w:szCs w:val="20"/>
                <w:color w:val="auto"/>
              </w:rPr>
            </w:pPr>
            <w:r>
              <w:rPr>
                <w:rFonts w:ascii="Arial" w:cs="Arial" w:eastAsia="Arial" w:hAnsi="Arial"/>
                <w:sz w:val="18"/>
                <w:szCs w:val="18"/>
                <w:b w:val="1"/>
                <w:bCs w:val="1"/>
                <w:color w:val="004483"/>
              </w:rPr>
              <w:t>Federal</w:t>
            </w:r>
          </w:p>
        </w:tc>
        <w:tc>
          <w:tcPr>
            <w:tcW w:w="36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20,925</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(5,117)</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5,607</w:t>
            </w:r>
          </w:p>
        </w:tc>
      </w:tr>
      <w:tr>
        <w:trPr>
          <w:trHeight w:val="42"/>
        </w:trPr>
        <w:tc>
          <w:tcPr>
            <w:tcW w:w="63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1140" w:type="dxa"/>
            <w:vAlign w:val="bottom"/>
            <w:tcBorders>
              <w:bottom w:val="single" w:sz="8" w:color="A6A6A6"/>
            </w:tcBorders>
          </w:tcPr>
          <w:p>
            <w:pPr>
              <w:spacing w:after="0"/>
              <w:rPr>
                <w:sz w:val="3"/>
                <w:szCs w:val="3"/>
                <w:color w:val="auto"/>
              </w:rPr>
            </w:pPr>
          </w:p>
        </w:tc>
      </w:tr>
      <w:tr>
        <w:trPr>
          <w:trHeight w:val="289"/>
        </w:trPr>
        <w:tc>
          <w:tcPr>
            <w:tcW w:w="6360" w:type="dxa"/>
            <w:vAlign w:val="bottom"/>
          </w:tcPr>
          <w:p>
            <w:pPr>
              <w:ind w:left="120"/>
              <w:spacing w:after="0"/>
              <w:rPr>
                <w:sz w:val="20"/>
                <w:szCs w:val="20"/>
                <w:color w:val="auto"/>
              </w:rPr>
            </w:pPr>
            <w:r>
              <w:rPr>
                <w:rFonts w:ascii="Arial" w:cs="Arial" w:eastAsia="Arial" w:hAnsi="Arial"/>
                <w:sz w:val="18"/>
                <w:szCs w:val="18"/>
                <w:b w:val="1"/>
                <w:bCs w:val="1"/>
                <w:color w:val="004483"/>
              </w:rPr>
              <w:t>State</w:t>
            </w:r>
          </w:p>
        </w:tc>
        <w:tc>
          <w:tcPr>
            <w:tcW w:w="36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2,207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2,312</w:t>
            </w:r>
          </w:p>
        </w:tc>
      </w:tr>
      <w:tr>
        <w:trPr>
          <w:trHeight w:val="69"/>
        </w:trPr>
        <w:tc>
          <w:tcPr>
            <w:tcW w:w="636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81"/>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23,132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(4,948)</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7,919</w:t>
            </w:r>
          </w:p>
        </w:tc>
      </w:tr>
      <w:tr>
        <w:trPr>
          <w:trHeight w:val="77"/>
        </w:trPr>
        <w:tc>
          <w:tcPr>
            <w:tcW w:w="636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89"/>
        </w:trPr>
        <w:tc>
          <w:tcPr>
            <w:tcW w:w="6360" w:type="dxa"/>
            <w:vAlign w:val="bottom"/>
          </w:tcPr>
          <w:p>
            <w:pPr>
              <w:spacing w:after="0"/>
              <w:rPr>
                <w:sz w:val="20"/>
                <w:szCs w:val="20"/>
                <w:color w:val="auto"/>
              </w:rPr>
            </w:pPr>
            <w:r>
              <w:rPr>
                <w:rFonts w:ascii="Arial" w:cs="Arial" w:eastAsia="Arial" w:hAnsi="Arial"/>
                <w:sz w:val="18"/>
                <w:szCs w:val="18"/>
                <w:b w:val="1"/>
                <w:bCs w:val="1"/>
                <w:color w:val="004483"/>
              </w:rPr>
              <w:t>Provision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32"/>
              <w:spacing w:after="0"/>
              <w:rPr>
                <w:sz w:val="20"/>
                <w:szCs w:val="20"/>
                <w:color w:val="auto"/>
              </w:rPr>
            </w:pPr>
            <w:r>
              <w:rPr>
                <w:rFonts w:ascii="Arial" w:cs="Arial" w:eastAsia="Arial" w:hAnsi="Arial"/>
                <w:sz w:val="18"/>
                <w:szCs w:val="18"/>
                <w:b w:val="1"/>
                <w:bCs w:val="1"/>
                <w:color w:val="auto"/>
              </w:rPr>
              <w:t>118,167</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128,069</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b w:val="1"/>
                <w:bCs w:val="1"/>
                <w:color w:val="auto"/>
              </w:rPr>
              <w:t>140,298</w:t>
            </w:r>
          </w:p>
        </w:tc>
      </w:tr>
      <w:tr>
        <w:trPr>
          <w:trHeight w:val="42"/>
        </w:trPr>
        <w:tc>
          <w:tcPr>
            <w:tcW w:w="63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Income tax expense (benefit) varies from the federal statutory rate due to the items listed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6"/>
                <w:szCs w:val="16"/>
                <w:b w:val="1"/>
                <w:bCs w:val="1"/>
                <w:color w:val="auto"/>
              </w:rPr>
              <w:t>For the Years Ended March 31,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2026</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2024</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thousands)</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440" w:type="dxa"/>
            <w:vAlign w:val="bottom"/>
          </w:tcPr>
          <w:p>
            <w:pPr>
              <w:spacing w:after="0"/>
              <w:rPr>
                <w:sz w:val="20"/>
                <w:szCs w:val="20"/>
                <w:color w:val="auto"/>
              </w:rPr>
            </w:pPr>
            <w:r>
              <w:rPr>
                <w:rFonts w:ascii="Arial" w:cs="Arial" w:eastAsia="Arial" w:hAnsi="Arial"/>
                <w:sz w:val="18"/>
                <w:szCs w:val="18"/>
                <w:b w:val="1"/>
                <w:bCs w:val="1"/>
                <w:color w:val="004483"/>
              </w:rPr>
              <w:t>Income Tax Expense / U.S. Federal</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31"/>
              <w:spacing w:after="0"/>
              <w:rPr>
                <w:sz w:val="20"/>
                <w:szCs w:val="20"/>
                <w:color w:val="auto"/>
              </w:rPr>
            </w:pPr>
            <w:r>
              <w:rPr>
                <w:rFonts w:ascii="Arial" w:cs="Arial" w:eastAsia="Arial" w:hAnsi="Arial"/>
                <w:sz w:val="18"/>
                <w:szCs w:val="18"/>
                <w:color w:val="auto"/>
              </w:rPr>
              <w:t>113,815</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21.0%</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ind w:right="673"/>
              <w:spacing w:after="0"/>
              <w:rPr>
                <w:sz w:val="20"/>
                <w:szCs w:val="20"/>
                <w:color w:val="auto"/>
              </w:rPr>
            </w:pPr>
            <w:r>
              <w:rPr>
                <w:rFonts w:ascii="Arial" w:cs="Arial" w:eastAsia="Arial" w:hAnsi="Arial"/>
                <w:sz w:val="18"/>
                <w:szCs w:val="18"/>
                <w:color w:val="auto"/>
              </w:rPr>
              <w:t>124,212</w:t>
            </w:r>
          </w:p>
        </w:tc>
        <w:tc>
          <w:tcPr>
            <w:tcW w:w="720" w:type="dxa"/>
            <w:vAlign w:val="bottom"/>
            <w:vMerge w:val="restart"/>
          </w:tcPr>
          <w:p>
            <w:pPr>
              <w:jc w:val="right"/>
              <w:ind w:right="90"/>
              <w:spacing w:after="0"/>
              <w:rPr>
                <w:sz w:val="20"/>
                <w:szCs w:val="20"/>
                <w:color w:val="auto"/>
              </w:rPr>
            </w:pPr>
            <w:r>
              <w:rPr>
                <w:rFonts w:ascii="Arial" w:cs="Arial" w:eastAsia="Arial" w:hAnsi="Arial"/>
                <w:sz w:val="18"/>
                <w:szCs w:val="18"/>
                <w:color w:val="auto"/>
              </w:rPr>
              <w:t>21.0%</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51"/>
              <w:spacing w:after="0"/>
              <w:rPr>
                <w:sz w:val="20"/>
                <w:szCs w:val="20"/>
                <w:color w:val="auto"/>
              </w:rPr>
            </w:pPr>
            <w:r>
              <w:rPr>
                <w:rFonts w:ascii="Arial" w:cs="Arial" w:eastAsia="Arial" w:hAnsi="Arial"/>
                <w:sz w:val="18"/>
                <w:szCs w:val="18"/>
                <w:color w:val="auto"/>
              </w:rPr>
              <w:t>129,766</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31"/>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004483"/>
              </w:rPr>
              <w:t>Statutory Tax Rate</w:t>
            </w:r>
          </w:p>
        </w:tc>
        <w:tc>
          <w:tcPr>
            <w:tcW w:w="40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4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4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b w:val="1"/>
                <w:bCs w:val="1"/>
                <w:color w:val="004483"/>
              </w:rPr>
              <w:t>State and Local Income Taxes, Net of</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restart"/>
          </w:tcPr>
          <w:p>
            <w:pPr>
              <w:jc w:val="right"/>
              <w:ind w:right="331"/>
              <w:spacing w:after="0"/>
              <w:rPr>
                <w:sz w:val="20"/>
                <w:szCs w:val="20"/>
                <w:color w:val="auto"/>
              </w:rPr>
            </w:pPr>
            <w:r>
              <w:rPr>
                <w:rFonts w:ascii="Arial" w:cs="Arial" w:eastAsia="Arial" w:hAnsi="Arial"/>
                <w:sz w:val="18"/>
                <w:szCs w:val="18"/>
                <w:color w:val="auto"/>
              </w:rPr>
              <w:t>13,365</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vMerge w:val="restart"/>
          </w:tcPr>
          <w:p>
            <w:pPr>
              <w:jc w:val="right"/>
              <w:ind w:right="673"/>
              <w:spacing w:after="0"/>
              <w:rPr>
                <w:sz w:val="20"/>
                <w:szCs w:val="20"/>
                <w:color w:val="auto"/>
              </w:rPr>
            </w:pPr>
            <w:r>
              <w:rPr>
                <w:rFonts w:ascii="Arial" w:cs="Arial" w:eastAsia="Arial" w:hAnsi="Arial"/>
                <w:sz w:val="18"/>
                <w:szCs w:val="18"/>
                <w:color w:val="auto"/>
              </w:rPr>
              <w:t>14,680</w:t>
            </w:r>
          </w:p>
        </w:tc>
        <w:tc>
          <w:tcPr>
            <w:tcW w:w="720" w:type="dxa"/>
            <w:vAlign w:val="bottom"/>
            <w:vMerge w:val="restart"/>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restart"/>
          </w:tcPr>
          <w:p>
            <w:pPr>
              <w:jc w:val="right"/>
              <w:ind w:right="351"/>
              <w:spacing w:after="0"/>
              <w:rPr>
                <w:sz w:val="20"/>
                <w:szCs w:val="20"/>
                <w:color w:val="auto"/>
              </w:rPr>
            </w:pPr>
            <w:r>
              <w:rPr>
                <w:rFonts w:ascii="Arial" w:cs="Arial" w:eastAsia="Arial" w:hAnsi="Arial"/>
                <w:sz w:val="18"/>
                <w:szCs w:val="18"/>
                <w:color w:val="auto"/>
              </w:rPr>
              <w:t>18,172</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3440" w:type="dxa"/>
            <w:vAlign w:val="bottom"/>
            <w:tcBorders>
              <w:bottom w:val="single" w:sz="8" w:color="A6A6A6"/>
            </w:tcBorders>
          </w:tcPr>
          <w:p>
            <w:pPr>
              <w:spacing w:after="0"/>
              <w:rPr>
                <w:sz w:val="20"/>
                <w:szCs w:val="20"/>
                <w:color w:val="auto"/>
              </w:rPr>
            </w:pPr>
            <w:r>
              <w:rPr>
                <w:rFonts w:ascii="Arial" w:cs="Arial" w:eastAsia="Arial" w:hAnsi="Arial"/>
                <w:sz w:val="18"/>
                <w:szCs w:val="18"/>
                <w:b w:val="1"/>
                <w:bCs w:val="1"/>
                <w:color w:val="004483"/>
              </w:rPr>
              <w:t xml:space="preserve">Federal Income Tax Effect </w:t>
            </w:r>
            <w:r>
              <w:rPr>
                <w:rFonts w:ascii="Arial" w:cs="Arial" w:eastAsia="Arial" w:hAnsi="Arial"/>
                <w:sz w:val="24"/>
                <w:szCs w:val="24"/>
                <w:b w:val="1"/>
                <w:bCs w:val="1"/>
                <w:color w:val="004483"/>
                <w:vertAlign w:val="superscript"/>
              </w:rPr>
              <w:t>(1)</w:t>
            </w:r>
          </w:p>
        </w:tc>
        <w:tc>
          <w:tcPr>
            <w:tcW w:w="180" w:type="dxa"/>
            <w:vAlign w:val="bottom"/>
            <w:tcBorders>
              <w:bottom w:val="single" w:sz="8" w:color="A6A6A6"/>
            </w:tcBorders>
          </w:tcPr>
          <w:p>
            <w:pPr>
              <w:spacing w:after="0"/>
              <w:rPr>
                <w:sz w:val="24"/>
                <w:szCs w:val="24"/>
                <w:color w:val="auto"/>
              </w:rPr>
            </w:pPr>
          </w:p>
        </w:tc>
        <w:tc>
          <w:tcPr>
            <w:tcW w:w="220" w:type="dxa"/>
            <w:vAlign w:val="bottom"/>
            <w:tcBorders>
              <w:bottom w:val="single" w:sz="8" w:color="A6A6A6"/>
            </w:tcBorders>
          </w:tcPr>
          <w:p>
            <w:pPr>
              <w:spacing w:after="0"/>
              <w:rPr>
                <w:sz w:val="24"/>
                <w:szCs w:val="24"/>
                <w:color w:val="auto"/>
              </w:rPr>
            </w:pPr>
          </w:p>
        </w:tc>
        <w:tc>
          <w:tcPr>
            <w:tcW w:w="1200" w:type="dxa"/>
            <w:vAlign w:val="bottom"/>
            <w:tcBorders>
              <w:bottom w:val="single" w:sz="8" w:color="A6A6A6"/>
            </w:tcBorders>
            <w:vMerge w:val="continue"/>
          </w:tcPr>
          <w:p>
            <w:pPr>
              <w:spacing w:after="0"/>
              <w:rPr>
                <w:sz w:val="24"/>
                <w:szCs w:val="24"/>
                <w:color w:val="auto"/>
              </w:rPr>
            </w:pPr>
          </w:p>
        </w:tc>
        <w:tc>
          <w:tcPr>
            <w:tcW w:w="1060" w:type="dxa"/>
            <w:vAlign w:val="bottom"/>
            <w:tcBorders>
              <w:bottom w:val="single" w:sz="8" w:color="A6A6A6"/>
            </w:tcBorders>
            <w:vMerge w:val="continue"/>
          </w:tcPr>
          <w:p>
            <w:pPr>
              <w:spacing w:after="0"/>
              <w:rPr>
                <w:sz w:val="24"/>
                <w:szCs w:val="24"/>
                <w:color w:val="auto"/>
              </w:rPr>
            </w:pPr>
          </w:p>
        </w:tc>
        <w:tc>
          <w:tcPr>
            <w:tcW w:w="100" w:type="dxa"/>
            <w:vAlign w:val="bottom"/>
            <w:tcBorders>
              <w:bottom w:val="single" w:sz="8" w:color="A6A6A6"/>
            </w:tcBorders>
          </w:tcPr>
          <w:p>
            <w:pPr>
              <w:spacing w:after="0"/>
              <w:rPr>
                <w:sz w:val="24"/>
                <w:szCs w:val="24"/>
                <w:color w:val="auto"/>
              </w:rPr>
            </w:pPr>
          </w:p>
        </w:tc>
        <w:tc>
          <w:tcPr>
            <w:tcW w:w="240" w:type="dxa"/>
            <w:vAlign w:val="bottom"/>
            <w:tcBorders>
              <w:bottom w:val="single" w:sz="8" w:color="A6A6A6"/>
            </w:tcBorders>
          </w:tcPr>
          <w:p>
            <w:pPr>
              <w:spacing w:after="0"/>
              <w:rPr>
                <w:sz w:val="24"/>
                <w:szCs w:val="24"/>
                <w:color w:val="auto"/>
              </w:rPr>
            </w:pPr>
          </w:p>
        </w:tc>
        <w:tc>
          <w:tcPr>
            <w:tcW w:w="1540" w:type="dxa"/>
            <w:vAlign w:val="bottom"/>
            <w:tcBorders>
              <w:bottom w:val="single" w:sz="8" w:color="A6A6A6"/>
            </w:tcBorders>
            <w:vMerge w:val="continue"/>
          </w:tcPr>
          <w:p>
            <w:pPr>
              <w:spacing w:after="0"/>
              <w:rPr>
                <w:sz w:val="24"/>
                <w:szCs w:val="24"/>
                <w:color w:val="auto"/>
              </w:rPr>
            </w:pPr>
          </w:p>
        </w:tc>
        <w:tc>
          <w:tcPr>
            <w:tcW w:w="720" w:type="dxa"/>
            <w:vAlign w:val="bottom"/>
            <w:tcBorders>
              <w:bottom w:val="single" w:sz="8" w:color="A6A6A6"/>
            </w:tcBorders>
            <w:vMerge w:val="continue"/>
          </w:tcPr>
          <w:p>
            <w:pPr>
              <w:spacing w:after="0"/>
              <w:rPr>
                <w:sz w:val="24"/>
                <w:szCs w:val="24"/>
                <w:color w:val="auto"/>
              </w:rPr>
            </w:pPr>
          </w:p>
        </w:tc>
        <w:tc>
          <w:tcPr>
            <w:tcW w:w="100" w:type="dxa"/>
            <w:vAlign w:val="bottom"/>
            <w:tcBorders>
              <w:bottom w:val="single" w:sz="8" w:color="A6A6A6"/>
            </w:tcBorders>
          </w:tcPr>
          <w:p>
            <w:pPr>
              <w:spacing w:after="0"/>
              <w:rPr>
                <w:sz w:val="24"/>
                <w:szCs w:val="24"/>
                <w:color w:val="auto"/>
              </w:rPr>
            </w:pPr>
          </w:p>
        </w:tc>
        <w:tc>
          <w:tcPr>
            <w:tcW w:w="240" w:type="dxa"/>
            <w:vAlign w:val="bottom"/>
            <w:tcBorders>
              <w:bottom w:val="single" w:sz="8" w:color="A6A6A6"/>
            </w:tcBorders>
          </w:tcPr>
          <w:p>
            <w:pPr>
              <w:spacing w:after="0"/>
              <w:rPr>
                <w:sz w:val="24"/>
                <w:szCs w:val="24"/>
                <w:color w:val="auto"/>
              </w:rPr>
            </w:pPr>
          </w:p>
        </w:tc>
        <w:tc>
          <w:tcPr>
            <w:tcW w:w="1220" w:type="dxa"/>
            <w:vAlign w:val="bottom"/>
            <w:tcBorders>
              <w:bottom w:val="single" w:sz="8" w:color="A6A6A6"/>
            </w:tcBorders>
            <w:vMerge w:val="continue"/>
          </w:tcPr>
          <w:p>
            <w:pPr>
              <w:spacing w:after="0"/>
              <w:rPr>
                <w:sz w:val="24"/>
                <w:szCs w:val="24"/>
                <w:color w:val="auto"/>
              </w:rPr>
            </w:pPr>
          </w:p>
        </w:tc>
        <w:tc>
          <w:tcPr>
            <w:tcW w:w="980" w:type="dxa"/>
            <w:vAlign w:val="bottom"/>
            <w:tcBorders>
              <w:bottom w:val="single" w:sz="8" w:color="A6A6A6"/>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440" w:type="dxa"/>
            <w:vAlign w:val="bottom"/>
          </w:tcPr>
          <w:p>
            <w:pPr>
              <w:spacing w:after="0"/>
              <w:rPr>
                <w:sz w:val="20"/>
                <w:szCs w:val="20"/>
                <w:color w:val="auto"/>
              </w:rPr>
            </w:pPr>
            <w:r>
              <w:rPr>
                <w:rFonts w:ascii="Arial" w:cs="Arial" w:eastAsia="Arial" w:hAnsi="Arial"/>
                <w:sz w:val="18"/>
                <w:szCs w:val="18"/>
                <w:b w:val="1"/>
                <w:bCs w:val="1"/>
                <w:color w:val="004483"/>
              </w:rPr>
              <w:t>Tax Credits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(2,423)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ind w:right="593"/>
              <w:spacing w:after="0"/>
              <w:rPr>
                <w:sz w:val="20"/>
                <w:szCs w:val="20"/>
                <w:color w:val="auto"/>
              </w:rPr>
            </w:pPr>
            <w:r>
              <w:rPr>
                <w:rFonts w:ascii="Arial" w:cs="Arial" w:eastAsia="Arial" w:hAnsi="Arial"/>
                <w:sz w:val="18"/>
                <w:szCs w:val="18"/>
                <w:color w:val="auto"/>
              </w:rPr>
              <w:t>(975)</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2"/>
        </w:trPr>
        <w:tc>
          <w:tcPr>
            <w:tcW w:w="34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440" w:type="dxa"/>
            <w:vAlign w:val="bottom"/>
          </w:tcPr>
          <w:p>
            <w:pPr>
              <w:spacing w:after="0"/>
              <w:rPr>
                <w:sz w:val="20"/>
                <w:szCs w:val="20"/>
                <w:color w:val="auto"/>
              </w:rPr>
            </w:pPr>
            <w:r>
              <w:rPr>
                <w:rFonts w:ascii="Arial" w:cs="Arial" w:eastAsia="Arial" w:hAnsi="Arial"/>
                <w:sz w:val="18"/>
                <w:szCs w:val="18"/>
                <w:b w:val="1"/>
                <w:bCs w:val="1"/>
                <w:color w:val="004483"/>
              </w:rPr>
              <w:t>Nontaxable or Nondeductible Items: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440" w:type="dxa"/>
            <w:vAlign w:val="bottom"/>
          </w:tcPr>
          <w:p>
            <w:pPr>
              <w:ind w:left="80"/>
              <w:spacing w:after="0"/>
              <w:rPr>
                <w:sz w:val="20"/>
                <w:szCs w:val="20"/>
                <w:color w:val="auto"/>
              </w:rPr>
            </w:pPr>
            <w:r>
              <w:rPr>
                <w:rFonts w:ascii="Arial" w:cs="Arial" w:eastAsia="Arial" w:hAnsi="Arial"/>
                <w:sz w:val="18"/>
                <w:szCs w:val="18"/>
                <w:b w:val="1"/>
                <w:bCs w:val="1"/>
                <w:color w:val="004483"/>
              </w:rPr>
              <w:t>Limitation on Officer's Compensation</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color w:val="auto"/>
              </w:rPr>
              <w:t>3,385</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ind w:right="673"/>
              <w:spacing w:after="0"/>
              <w:rPr>
                <w:sz w:val="20"/>
                <w:szCs w:val="20"/>
                <w:color w:val="auto"/>
              </w:rPr>
            </w:pPr>
            <w:r>
              <w:rPr>
                <w:rFonts w:ascii="Arial" w:cs="Arial" w:eastAsia="Arial" w:hAnsi="Arial"/>
                <w:sz w:val="18"/>
                <w:szCs w:val="18"/>
                <w:color w:val="auto"/>
              </w:rPr>
              <w:t>4,843</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color w:val="auto"/>
              </w:rPr>
              <w:t>6,513</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2"/>
        </w:trPr>
        <w:tc>
          <w:tcPr>
            <w:tcW w:w="34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440" w:type="dxa"/>
            <w:vAlign w:val="bottom"/>
          </w:tcPr>
          <w:p>
            <w:pPr>
              <w:ind w:left="80"/>
              <w:spacing w:after="0"/>
              <w:rPr>
                <w:sz w:val="20"/>
                <w:szCs w:val="20"/>
                <w:color w:val="auto"/>
              </w:rPr>
            </w:pPr>
            <w:r>
              <w:rPr>
                <w:rFonts w:ascii="Arial" w:cs="Arial" w:eastAsia="Arial" w:hAnsi="Arial"/>
                <w:sz w:val="18"/>
                <w:szCs w:val="18"/>
                <w:b w:val="1"/>
                <w:bCs w:val="1"/>
                <w:color w:val="004483"/>
              </w:rPr>
              <w:t>Other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color w:val="auto"/>
              </w:rPr>
              <w:t>649</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ind w:right="673"/>
              <w:spacing w:after="0"/>
              <w:rPr>
                <w:sz w:val="20"/>
                <w:szCs w:val="20"/>
                <w:color w:val="auto"/>
              </w:rPr>
            </w:pPr>
            <w:r>
              <w:rPr>
                <w:rFonts w:ascii="Arial" w:cs="Arial" w:eastAsia="Arial" w:hAnsi="Arial"/>
                <w:sz w:val="18"/>
                <w:szCs w:val="18"/>
                <w:color w:val="auto"/>
              </w:rPr>
              <w:t>662</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color w:val="auto"/>
              </w:rPr>
              <w:t>702</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2"/>
        </w:trPr>
        <w:tc>
          <w:tcPr>
            <w:tcW w:w="34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440" w:type="dxa"/>
            <w:vAlign w:val="bottom"/>
          </w:tcPr>
          <w:p>
            <w:pPr>
              <w:spacing w:after="0"/>
              <w:rPr>
                <w:sz w:val="20"/>
                <w:szCs w:val="20"/>
                <w:color w:val="auto"/>
              </w:rPr>
            </w:pPr>
            <w:r>
              <w:rPr>
                <w:rFonts w:ascii="Arial" w:cs="Arial" w:eastAsia="Arial" w:hAnsi="Arial"/>
                <w:sz w:val="18"/>
                <w:szCs w:val="18"/>
                <w:b w:val="1"/>
                <w:bCs w:val="1"/>
                <w:color w:val="004483"/>
              </w:rPr>
              <w:t>Other Adjustments: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440" w:type="dxa"/>
            <w:vAlign w:val="bottom"/>
          </w:tcPr>
          <w:p>
            <w:pPr>
              <w:ind w:left="80"/>
              <w:spacing w:after="0"/>
              <w:rPr>
                <w:sz w:val="20"/>
                <w:szCs w:val="20"/>
                <w:color w:val="auto"/>
              </w:rPr>
            </w:pPr>
            <w:r>
              <w:rPr>
                <w:rFonts w:ascii="Arial" w:cs="Arial" w:eastAsia="Arial" w:hAnsi="Arial"/>
                <w:sz w:val="18"/>
                <w:szCs w:val="18"/>
                <w:b w:val="1"/>
                <w:bCs w:val="1"/>
                <w:color w:val="004483"/>
              </w:rPr>
              <w:t>Statutory Depletion in Excess of Cost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(10,079)</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ind w:right="593"/>
              <w:spacing w:after="0"/>
              <w:rPr>
                <w:sz w:val="20"/>
                <w:szCs w:val="20"/>
                <w:color w:val="auto"/>
              </w:rPr>
            </w:pPr>
            <w:r>
              <w:rPr>
                <w:rFonts w:ascii="Arial" w:cs="Arial" w:eastAsia="Arial" w:hAnsi="Arial"/>
                <w:sz w:val="18"/>
                <w:szCs w:val="18"/>
                <w:color w:val="auto"/>
              </w:rPr>
              <w:t>(9,927)</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(9,883)</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2"/>
        </w:trPr>
        <w:tc>
          <w:tcPr>
            <w:tcW w:w="34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2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540" w:type="dxa"/>
            <w:vAlign w:val="bottom"/>
            <w:tcBorders>
              <w:bottom w:val="single" w:sz="8" w:color="A6A6A6"/>
            </w:tcBorders>
          </w:tcPr>
          <w:p>
            <w:pPr>
              <w:spacing w:after="0"/>
              <w:rPr>
                <w:sz w:val="3"/>
                <w:szCs w:val="3"/>
                <w:color w:val="auto"/>
              </w:rPr>
            </w:pPr>
          </w:p>
        </w:tc>
        <w:tc>
          <w:tcPr>
            <w:tcW w:w="7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4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3440" w:type="dxa"/>
            <w:vAlign w:val="bottom"/>
          </w:tcPr>
          <w:p>
            <w:pPr>
              <w:ind w:left="80"/>
              <w:spacing w:after="0"/>
              <w:rPr>
                <w:sz w:val="20"/>
                <w:szCs w:val="20"/>
                <w:color w:val="auto"/>
              </w:rPr>
            </w:pPr>
            <w:r>
              <w:rPr>
                <w:rFonts w:ascii="Arial" w:cs="Arial" w:eastAsia="Arial" w:hAnsi="Arial"/>
                <w:sz w:val="18"/>
                <w:szCs w:val="18"/>
                <w:b w:val="1"/>
                <w:bCs w:val="1"/>
                <w:color w:val="004483"/>
              </w:rPr>
              <w:t>Other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(545)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ind w:right="593"/>
              <w:spacing w:after="0"/>
              <w:rPr>
                <w:sz w:val="20"/>
                <w:szCs w:val="20"/>
                <w:color w:val="auto"/>
              </w:rPr>
            </w:pPr>
            <w:r>
              <w:rPr>
                <w:rFonts w:ascii="Arial" w:cs="Arial" w:eastAsia="Arial" w:hAnsi="Arial"/>
                <w:sz w:val="18"/>
                <w:szCs w:val="18"/>
                <w:color w:val="auto"/>
              </w:rPr>
              <w:t>(5,426)</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(4,972)</w:t>
            </w: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69"/>
        </w:trPr>
        <w:tc>
          <w:tcPr>
            <w:tcW w:w="344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8"/>
                <w:szCs w:val="18"/>
                <w:b w:val="1"/>
                <w:bCs w:val="1"/>
                <w:color w:val="004483"/>
              </w:rPr>
              <w:t>Total Income Tax Expense / Effective</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118,167</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21.8%</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540" w:type="dxa"/>
            <w:vAlign w:val="bottom"/>
            <w:vMerge w:val="restart"/>
          </w:tcPr>
          <w:p>
            <w:pPr>
              <w:jc w:val="right"/>
              <w:ind w:right="673"/>
              <w:spacing w:after="0"/>
              <w:rPr>
                <w:sz w:val="20"/>
                <w:szCs w:val="20"/>
                <w:color w:val="auto"/>
              </w:rPr>
            </w:pPr>
            <w:r>
              <w:rPr>
                <w:rFonts w:ascii="Arial" w:cs="Arial" w:eastAsia="Arial" w:hAnsi="Arial"/>
                <w:sz w:val="18"/>
                <w:szCs w:val="18"/>
                <w:b w:val="1"/>
                <w:bCs w:val="1"/>
                <w:color w:val="auto"/>
              </w:rPr>
              <w:t>128,069</w:t>
            </w:r>
          </w:p>
        </w:tc>
        <w:tc>
          <w:tcPr>
            <w:tcW w:w="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21.7%</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140,298</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139"/>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004483"/>
              </w:rPr>
              <w:t>Tax Rate</w:t>
            </w:r>
          </w:p>
        </w:tc>
        <w:tc>
          <w:tcPr>
            <w:tcW w:w="40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3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right="4120" w:hanging="538"/>
        <w:spacing w:after="0" w:line="305" w:lineRule="auto"/>
        <w:tabs>
          <w:tab w:leader="none" w:pos="406"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following states comprised the majority (greater than 50%) of the tax effect in this category for the years ending March 31: 2026: California, Colorado, Pennsylvania, Oklahoma, Iowa, Michigan, Tennessee, Nebraska</w:t>
      </w:r>
    </w:p>
    <w:p>
      <w:pPr>
        <w:ind w:left="760"/>
        <w:spacing w:after="0"/>
        <w:rPr>
          <w:rFonts w:ascii="Arial" w:cs="Arial" w:eastAsia="Arial" w:hAnsi="Arial"/>
          <w:sz w:val="12"/>
          <w:szCs w:val="12"/>
          <w:color w:val="auto"/>
        </w:rPr>
      </w:pPr>
      <w:r>
        <w:rPr>
          <w:rFonts w:ascii="Arial" w:cs="Arial" w:eastAsia="Arial" w:hAnsi="Arial"/>
          <w:sz w:val="12"/>
          <w:szCs w:val="12"/>
          <w:color w:val="auto"/>
        </w:rPr>
        <w:t>2025: Illinois, Colorado, Kentucky, Oklahoma, Missouri</w:t>
      </w:r>
    </w:p>
    <w:p>
      <w:pPr>
        <w:spacing w:after="0" w:line="37" w:lineRule="exact"/>
        <w:rPr>
          <w:rFonts w:ascii="Arial" w:cs="Arial" w:eastAsia="Arial" w:hAnsi="Arial"/>
          <w:sz w:val="12"/>
          <w:szCs w:val="12"/>
          <w:color w:val="auto"/>
        </w:rPr>
      </w:pPr>
    </w:p>
    <w:p>
      <w:pPr>
        <w:ind w:left="760"/>
        <w:spacing w:after="0"/>
        <w:rPr>
          <w:rFonts w:ascii="Arial" w:cs="Arial" w:eastAsia="Arial" w:hAnsi="Arial"/>
          <w:sz w:val="12"/>
          <w:szCs w:val="12"/>
          <w:color w:val="auto"/>
        </w:rPr>
      </w:pPr>
      <w:r>
        <w:rPr>
          <w:rFonts w:ascii="Arial" w:cs="Arial" w:eastAsia="Arial" w:hAnsi="Arial"/>
          <w:sz w:val="12"/>
          <w:szCs w:val="12"/>
          <w:color w:val="auto"/>
        </w:rPr>
        <w:t>2024: Illinois, California, Colorado, Kentucky, Tennessee</w:t>
      </w:r>
    </w:p>
    <w:p>
      <w:pPr>
        <w:spacing w:after="0" w:line="200" w:lineRule="exact"/>
        <w:rPr>
          <w:sz w:val="20"/>
          <w:szCs w:val="20"/>
          <w:color w:val="auto"/>
        </w:rPr>
      </w:pPr>
    </w:p>
    <w:p>
      <w:pPr>
        <w:spacing w:after="0" w:line="215"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For the Years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3"/>
        </w:trPr>
        <w:tc>
          <w:tcPr>
            <w:tcW w:w="6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95"/>
        </w:trPr>
        <w:tc>
          <w:tcPr>
            <w:tcW w:w="6380" w:type="dxa"/>
            <w:vAlign w:val="bottom"/>
          </w:tcPr>
          <w:p>
            <w:pPr>
              <w:spacing w:after="0"/>
              <w:rPr>
                <w:sz w:val="20"/>
                <w:szCs w:val="20"/>
                <w:color w:val="auto"/>
              </w:rPr>
            </w:pPr>
            <w:r>
              <w:rPr>
                <w:rFonts w:ascii="Arial" w:cs="Arial" w:eastAsia="Arial" w:hAnsi="Arial"/>
                <w:sz w:val="18"/>
                <w:szCs w:val="18"/>
                <w:b w:val="1"/>
                <w:bCs w:val="1"/>
                <w:color w:val="004483"/>
              </w:rPr>
              <w:t>Income taxes paid (net of refunds received)</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
        </w:trPr>
        <w:tc>
          <w:tcPr>
            <w:tcW w:w="638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600" w:type="dxa"/>
            <w:vAlign w:val="bottom"/>
            <w:tcBorders>
              <w:bottom w:val="single" w:sz="8" w:color="A6A6A6"/>
            </w:tcBorders>
            <w:gridSpan w:val="2"/>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600" w:type="dxa"/>
            <w:vAlign w:val="bottom"/>
            <w:tcBorders>
              <w:bottom w:val="single" w:sz="8" w:color="A6A6A6"/>
            </w:tcBorders>
            <w:gridSpan w:val="2"/>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289"/>
        </w:trPr>
        <w:tc>
          <w:tcPr>
            <w:tcW w:w="6380" w:type="dxa"/>
            <w:vAlign w:val="bottom"/>
          </w:tcPr>
          <w:p>
            <w:pPr>
              <w:ind w:left="120"/>
              <w:spacing w:after="0"/>
              <w:rPr>
                <w:sz w:val="20"/>
                <w:szCs w:val="20"/>
                <w:color w:val="auto"/>
              </w:rPr>
            </w:pPr>
            <w:r>
              <w:rPr>
                <w:rFonts w:ascii="Arial" w:cs="Arial" w:eastAsia="Arial" w:hAnsi="Arial"/>
                <w:sz w:val="18"/>
                <w:szCs w:val="18"/>
                <w:b w:val="1"/>
                <w:bCs w:val="1"/>
                <w:color w:val="004483"/>
              </w:rPr>
              <w:t>Federal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75,000</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123,000</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104,000</w:t>
            </w:r>
          </w:p>
        </w:tc>
      </w:tr>
      <w:tr>
        <w:trPr>
          <w:trHeight w:val="42"/>
        </w:trPr>
        <w:tc>
          <w:tcPr>
            <w:tcW w:w="638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r>
      <w:tr>
        <w:trPr>
          <w:trHeight w:val="358"/>
        </w:trPr>
        <w:tc>
          <w:tcPr>
            <w:tcW w:w="6380" w:type="dxa"/>
            <w:vAlign w:val="bottom"/>
            <w:tcBorders>
              <w:bottom w:val="single" w:sz="8" w:color="A6A6A6"/>
            </w:tcBorders>
          </w:tcPr>
          <w:p>
            <w:pPr>
              <w:ind w:left="120"/>
              <w:spacing w:after="0"/>
              <w:rPr>
                <w:sz w:val="20"/>
                <w:szCs w:val="20"/>
                <w:color w:val="auto"/>
              </w:rPr>
            </w:pPr>
            <w:r>
              <w:rPr>
                <w:rFonts w:ascii="Arial" w:cs="Arial" w:eastAsia="Arial" w:hAnsi="Arial"/>
                <w:sz w:val="18"/>
                <w:szCs w:val="18"/>
                <w:b w:val="1"/>
                <w:bCs w:val="1"/>
                <w:color w:val="004483"/>
              </w:rPr>
              <w:t xml:space="preserve">State </w:t>
            </w:r>
            <w:r>
              <w:rPr>
                <w:rFonts w:ascii="Arial" w:cs="Arial" w:eastAsia="Arial" w:hAnsi="Arial"/>
                <w:sz w:val="24"/>
                <w:szCs w:val="24"/>
                <w:b w:val="1"/>
                <w:bCs w:val="1"/>
                <w:color w:val="004483"/>
                <w:vertAlign w:val="superscript"/>
              </w:rPr>
              <w:t>(1)</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16,771</w:t>
            </w: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17,786</w:t>
            </w: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20,482</w:t>
            </w:r>
          </w:p>
        </w:tc>
      </w:tr>
      <w:tr>
        <w:trPr>
          <w:trHeight w:val="289"/>
        </w:trPr>
        <w:tc>
          <w:tcPr>
            <w:tcW w:w="6380" w:type="dxa"/>
            <w:vAlign w:val="bottom"/>
          </w:tcPr>
          <w:p>
            <w:pPr>
              <w:spacing w:after="0"/>
              <w:rPr>
                <w:sz w:val="20"/>
                <w:szCs w:val="20"/>
                <w:color w:val="auto"/>
              </w:rPr>
            </w:pPr>
            <w:r>
              <w:rPr>
                <w:rFonts w:ascii="Arial" w:cs="Arial" w:eastAsia="Arial" w:hAnsi="Arial"/>
                <w:sz w:val="18"/>
                <w:szCs w:val="18"/>
                <w:b w:val="1"/>
                <w:bCs w:val="1"/>
                <w:color w:val="004483"/>
              </w:rPr>
              <w:t>Total</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91,771</w:t>
            </w:r>
          </w:p>
        </w:tc>
        <w:tc>
          <w:tcPr>
            <w:tcW w:w="6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140,786</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124,482</w:t>
            </w:r>
          </w:p>
        </w:tc>
      </w:tr>
      <w:tr>
        <w:trPr>
          <w:trHeight w:val="42"/>
        </w:trPr>
        <w:tc>
          <w:tcPr>
            <w:tcW w:w="63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6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(1) All state jurisdictions below threshold for period presented.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deferred income taxes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6"/>
          </w:tcPr>
          <w:p>
            <w:pPr>
              <w:ind w:left="240"/>
              <w:spacing w:after="0"/>
              <w:rPr>
                <w:sz w:val="20"/>
                <w:szCs w:val="20"/>
                <w:color w:val="auto"/>
              </w:rPr>
            </w:pPr>
            <w:r>
              <w:rPr>
                <w:rFonts w:ascii="Arial" w:cs="Arial" w:eastAsia="Arial" w:hAnsi="Arial"/>
                <w:sz w:val="16"/>
                <w:szCs w:val="16"/>
                <w:b w:val="1"/>
                <w:bCs w:val="1"/>
                <w:color w:val="auto"/>
              </w:rPr>
              <w:t>For the Years Ended March 31,</w:t>
            </w:r>
          </w:p>
        </w:tc>
      </w:tr>
      <w:tr>
        <w:trPr>
          <w:trHeight w:val="209"/>
        </w:trPr>
        <w:tc>
          <w:tcPr>
            <w:tcW w:w="7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r>
      <w:tr>
        <w:trPr>
          <w:trHeight w:val="203"/>
        </w:trPr>
        <w:tc>
          <w:tcPr>
            <w:tcW w:w="74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(dollars in thousands)</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295"/>
        </w:trPr>
        <w:tc>
          <w:tcPr>
            <w:tcW w:w="7460" w:type="dxa"/>
            <w:vAlign w:val="bottom"/>
          </w:tcPr>
          <w:p>
            <w:pPr>
              <w:spacing w:after="0"/>
              <w:rPr>
                <w:sz w:val="20"/>
                <w:szCs w:val="20"/>
                <w:color w:val="auto"/>
              </w:rPr>
            </w:pPr>
            <w:r>
              <w:rPr>
                <w:rFonts w:ascii="Arial" w:cs="Arial" w:eastAsia="Arial" w:hAnsi="Arial"/>
                <w:sz w:val="18"/>
                <w:szCs w:val="18"/>
                <w:b w:val="1"/>
                <w:bCs w:val="1"/>
                <w:color w:val="auto"/>
              </w:rPr>
              <w:t>Items Giving Rise to Deferred Tax Liabilities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gridSpan w:val="2"/>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Excess Tax Depreciation and Amortization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(271,694)</w:t>
            </w:r>
          </w:p>
        </w:tc>
        <w:tc>
          <w:tcPr>
            <w:tcW w:w="120" w:type="dxa"/>
            <w:vAlign w:val="bottom"/>
          </w:tcPr>
          <w:p>
            <w:pPr>
              <w:spacing w:after="0"/>
              <w:rPr>
                <w:sz w:val="24"/>
                <w:szCs w:val="2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(256,999)</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Depletable Assets</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Investment in Joint Venture Basis Differences</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(11,746)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(6,436)</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Right-of-Use Assets</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(7,996)</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Inventory</w:t>
            </w:r>
          </w:p>
        </w:tc>
        <w:tc>
          <w:tcPr>
            <w:tcW w:w="340" w:type="dxa"/>
            <w:vAlign w:val="bottom"/>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Other</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69"/>
        </w:trPr>
        <w:tc>
          <w:tcPr>
            <w:tcW w:w="7460" w:type="dxa"/>
            <w:vAlign w:val="bottom"/>
            <w:tcBorders>
              <w:bottom w:val="single" w:sz="8" w:color="A6A6A6"/>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auto"/>
              </w:rPr>
              <w:t>Total Deferred Tax Liabilities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(299,350)</w:t>
            </w:r>
          </w:p>
        </w:tc>
        <w:tc>
          <w:tcPr>
            <w:tcW w:w="120" w:type="dxa"/>
            <w:vAlign w:val="bottom"/>
          </w:tcPr>
          <w:p>
            <w:pPr>
              <w:spacing w:after="0"/>
              <w:rPr>
                <w:sz w:val="24"/>
                <w:szCs w:val="2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(277,162)</w:t>
            </w:r>
          </w:p>
        </w:tc>
        <w:tc>
          <w:tcPr>
            <w:tcW w:w="120" w:type="dxa"/>
            <w:vAlign w:val="bottom"/>
          </w:tcPr>
          <w:p>
            <w:pPr>
              <w:spacing w:after="0"/>
              <w:rPr>
                <w:sz w:val="24"/>
                <w:szCs w:val="24"/>
                <w:color w:val="auto"/>
              </w:rPr>
            </w:pPr>
          </w:p>
        </w:tc>
      </w:tr>
      <w:tr>
        <w:trPr>
          <w:trHeight w:val="42"/>
        </w:trPr>
        <w:tc>
          <w:tcPr>
            <w:tcW w:w="74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0"/>
        </w:trPr>
        <w:tc>
          <w:tcPr>
            <w:tcW w:w="746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76"/>
        </w:trPr>
        <w:tc>
          <w:tcPr>
            <w:tcW w:w="7460" w:type="dxa"/>
            <w:vAlign w:val="bottom"/>
          </w:tcPr>
          <w:p>
            <w:pPr>
              <w:spacing w:after="0"/>
              <w:rPr>
                <w:sz w:val="20"/>
                <w:szCs w:val="20"/>
                <w:color w:val="auto"/>
              </w:rPr>
            </w:pPr>
            <w:r>
              <w:rPr>
                <w:rFonts w:ascii="Arial" w:cs="Arial" w:eastAsia="Arial" w:hAnsi="Arial"/>
                <w:sz w:val="18"/>
                <w:szCs w:val="18"/>
                <w:b w:val="1"/>
                <w:bCs w:val="1"/>
                <w:color w:val="auto"/>
              </w:rPr>
              <w:t>Items Giving Rise to Deferred Tax Assets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gridSpan w:val="2"/>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Change in Accruals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7,902</w:t>
            </w:r>
          </w:p>
        </w:tc>
        <w:tc>
          <w:tcPr>
            <w:tcW w:w="120" w:type="dxa"/>
            <w:vAlign w:val="bottom"/>
          </w:tcPr>
          <w:p>
            <w:pPr>
              <w:spacing w:after="0"/>
              <w:rPr>
                <w:sz w:val="24"/>
                <w:szCs w:val="2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12,866</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Bad Debts</w:t>
            </w:r>
          </w:p>
        </w:tc>
        <w:tc>
          <w:tcPr>
            <w:tcW w:w="3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Long-Term Incentive Compensation Plan</w:t>
            </w:r>
          </w:p>
        </w:tc>
        <w:tc>
          <w:tcPr>
            <w:tcW w:w="3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Credits and Other Carryforwards</w:t>
            </w:r>
          </w:p>
        </w:tc>
        <w:tc>
          <w:tcPr>
            <w:tcW w:w="3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9,436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Lease Liability</w:t>
            </w:r>
          </w:p>
        </w:tc>
        <w:tc>
          <w:tcPr>
            <w:tcW w:w="3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Inventory</w:t>
            </w:r>
          </w:p>
        </w:tc>
        <w:tc>
          <w:tcPr>
            <w:tcW w:w="3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Pension</w:t>
            </w:r>
          </w:p>
        </w:tc>
        <w:tc>
          <w:tcPr>
            <w:tcW w:w="3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Other</w:t>
            </w:r>
          </w:p>
        </w:tc>
        <w:tc>
          <w:tcPr>
            <w:tcW w:w="340" w:type="dxa"/>
            <w:vAlign w:val="bottom"/>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4"/>
                <w:szCs w:val="24"/>
                <w:color w:val="auto"/>
              </w:rPr>
            </w:pPr>
          </w:p>
        </w:tc>
      </w:tr>
      <w:tr>
        <w:trPr>
          <w:trHeight w:val="69"/>
        </w:trPr>
        <w:tc>
          <w:tcPr>
            <w:tcW w:w="7460" w:type="dxa"/>
            <w:vAlign w:val="bottom"/>
            <w:tcBorders>
              <w:bottom w:val="single" w:sz="8" w:color="A6A6A6"/>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80" w:type="dxa"/>
            <w:vAlign w:val="bottom"/>
            <w:tcBorders>
              <w:bottom w:val="single" w:sz="8" w:color="A6A6A6"/>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Subtotal</w:t>
            </w:r>
          </w:p>
        </w:tc>
        <w:tc>
          <w:tcPr>
            <w:tcW w:w="3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40,788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40,220</w:t>
            </w:r>
          </w:p>
        </w:tc>
        <w:tc>
          <w:tcPr>
            <w:tcW w:w="120" w:type="dxa"/>
            <w:vAlign w:val="bottom"/>
          </w:tcPr>
          <w:p>
            <w:pPr>
              <w:spacing w:after="0"/>
              <w:rPr>
                <w:sz w:val="24"/>
                <w:szCs w:val="24"/>
                <w:color w:val="auto"/>
              </w:rPr>
            </w:pPr>
          </w:p>
        </w:tc>
      </w:tr>
      <w:tr>
        <w:trPr>
          <w:trHeight w:val="42"/>
        </w:trPr>
        <w:tc>
          <w:tcPr>
            <w:tcW w:w="7460" w:type="dxa"/>
            <w:vAlign w:val="bottom"/>
            <w:tcBorders>
              <w:bottom w:val="single" w:sz="8" w:color="A6A6A6"/>
            </w:tcBorders>
          </w:tcPr>
          <w:p>
            <w:pPr>
              <w:spacing w:after="0"/>
              <w:rPr>
                <w:sz w:val="3"/>
                <w:szCs w:val="3"/>
                <w:color w:val="auto"/>
              </w:rPr>
            </w:pPr>
          </w:p>
        </w:tc>
        <w:tc>
          <w:tcPr>
            <w:tcW w:w="34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660" w:type="dxa"/>
            <w:vAlign w:val="bottom"/>
            <w:tcBorders>
              <w:bottom w:val="single" w:sz="8" w:color="A6A6A6"/>
            </w:tcBorders>
          </w:tcPr>
          <w:p>
            <w:pPr>
              <w:spacing w:after="0"/>
              <w:rPr>
                <w:sz w:val="3"/>
                <w:szCs w:val="3"/>
                <w:color w:val="auto"/>
              </w:rPr>
            </w:pPr>
          </w:p>
        </w:tc>
        <w:tc>
          <w:tcPr>
            <w:tcW w:w="102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004483"/>
              </w:rPr>
              <w:t>Valuation Allowance</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4"/>
                <w:szCs w:val="24"/>
                <w:color w:val="auto"/>
              </w:rPr>
            </w:pPr>
          </w:p>
        </w:tc>
      </w:tr>
      <w:tr>
        <w:trPr>
          <w:trHeight w:val="69"/>
        </w:trPr>
        <w:tc>
          <w:tcPr>
            <w:tcW w:w="7460" w:type="dxa"/>
            <w:vAlign w:val="bottom"/>
            <w:tcBorders>
              <w:bottom w:val="single" w:sz="8" w:color="A6A6A6"/>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89"/>
        </w:trPr>
        <w:tc>
          <w:tcPr>
            <w:tcW w:w="7460" w:type="dxa"/>
            <w:vAlign w:val="bottom"/>
          </w:tcPr>
          <w:p>
            <w:pPr>
              <w:ind w:left="140"/>
              <w:spacing w:after="0"/>
              <w:rPr>
                <w:sz w:val="20"/>
                <w:szCs w:val="20"/>
                <w:color w:val="auto"/>
              </w:rPr>
            </w:pPr>
            <w:r>
              <w:rPr>
                <w:rFonts w:ascii="Arial" w:cs="Arial" w:eastAsia="Arial" w:hAnsi="Arial"/>
                <w:sz w:val="18"/>
                <w:szCs w:val="18"/>
                <w:b w:val="1"/>
                <w:bCs w:val="1"/>
                <w:color w:val="auto"/>
              </w:rPr>
              <w:t>Total Deferred Tax Assets</w:t>
            </w:r>
          </w:p>
        </w:tc>
        <w:tc>
          <w:tcPr>
            <w:tcW w:w="3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36,688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37,220</w:t>
            </w:r>
          </w:p>
        </w:tc>
        <w:tc>
          <w:tcPr>
            <w:tcW w:w="120" w:type="dxa"/>
            <w:vAlign w:val="bottom"/>
          </w:tcPr>
          <w:p>
            <w:pPr>
              <w:spacing w:after="0"/>
              <w:rPr>
                <w:sz w:val="24"/>
                <w:szCs w:val="24"/>
                <w:color w:val="auto"/>
              </w:rPr>
            </w:pPr>
          </w:p>
        </w:tc>
      </w:tr>
      <w:tr>
        <w:trPr>
          <w:trHeight w:val="69"/>
        </w:trPr>
        <w:tc>
          <w:tcPr>
            <w:tcW w:w="7460" w:type="dxa"/>
            <w:vAlign w:val="bottom"/>
            <w:tcBorders>
              <w:bottom w:val="single" w:sz="8" w:color="A6A6A6"/>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89"/>
        </w:trPr>
        <w:tc>
          <w:tcPr>
            <w:tcW w:w="7460" w:type="dxa"/>
            <w:vAlign w:val="bottom"/>
          </w:tcPr>
          <w:p>
            <w:pPr>
              <w:spacing w:after="0"/>
              <w:rPr>
                <w:sz w:val="20"/>
                <w:szCs w:val="20"/>
                <w:color w:val="auto"/>
              </w:rPr>
            </w:pPr>
            <w:r>
              <w:rPr>
                <w:rFonts w:ascii="Arial" w:cs="Arial" w:eastAsia="Arial" w:hAnsi="Arial"/>
                <w:sz w:val="18"/>
                <w:szCs w:val="18"/>
                <w:b w:val="1"/>
                <w:bCs w:val="1"/>
                <w:color w:val="auto"/>
              </w:rPr>
              <w:t>Deferred Income Taxes, net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(262,662)</w:t>
            </w:r>
          </w:p>
        </w:tc>
        <w:tc>
          <w:tcPr>
            <w:tcW w:w="120" w:type="dxa"/>
            <w:vAlign w:val="bottom"/>
          </w:tcPr>
          <w:p>
            <w:pPr>
              <w:spacing w:after="0"/>
              <w:rPr>
                <w:sz w:val="24"/>
                <w:szCs w:val="2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(239,942)</w:t>
            </w:r>
          </w:p>
        </w:tc>
        <w:tc>
          <w:tcPr>
            <w:tcW w:w="120" w:type="dxa"/>
            <w:vAlign w:val="bottom"/>
          </w:tcPr>
          <w:p>
            <w:pPr>
              <w:spacing w:after="0"/>
              <w:rPr>
                <w:sz w:val="24"/>
                <w:szCs w:val="24"/>
                <w:color w:val="auto"/>
              </w:rPr>
            </w:pPr>
          </w:p>
        </w:tc>
      </w:tr>
      <w:tr>
        <w:trPr>
          <w:trHeight w:val="42"/>
        </w:trPr>
        <w:tc>
          <w:tcPr>
            <w:tcW w:w="74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0"/>
        </w:trPr>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record Deferred Tax Assets and Liabilities based upon estimates of their realizable value with such estimates based upon likely future tax consequences. In assessing the need for a Valuation Allowance, we consider both positive and negative evidence related to the likelihood of realization of the Deferred Tax Assets. If, based on the weight of available evidence, it is more likely than not that a Deferred Tax Asset will not be realized, we record a Valuation Allowance.</w:t>
      </w:r>
    </w:p>
    <w:p>
      <w:pPr>
        <w:spacing w:after="0" w:line="66"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We had state net operating loss carryforward deferred tax assets of $1.6 million at both March 31, 2026 and 2025, net of Valuation Allowances. We have state income tax credit carryforward deferred tax assets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of $7.9 million at March 31, 2026, and $8.3 million at March 31, 2025, net of Valuation Allowances. The state income tax credits may be carried forward indefinitely.</w:t>
      </w:r>
    </w:p>
    <w:p>
      <w:pPr>
        <w:spacing w:after="0" w:line="46"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We file income tax returns in U.S. federal and various state jurisdictions. The Company is currently subject to U.S. federal income tax examinations for the year ended March 31, 2023, and forward.</w:t>
      </w:r>
    </w:p>
    <w:p>
      <w:pPr>
        <w:spacing w:after="0" w:line="4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On July 4, 2025, H.R.1 - One Big Beautiful Bill Act (OBBBA) was signed into law. The OBBBA, among other provisions, makes permanent 100% bonus depreciation and restores expensing of domestic research expenditures. Changes in tax laws are recognized in the period of enactment. OBBBA did not have a material impact on the Company’s annual income tax rate or income tax expense, but the bonus depreciation provisions of the act have affected the timing of income tax payments in current periods and will affect the timing of income tax payments in future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4483"/>
        </w:rPr>
        <w:t>Uncertain Tax Positions</w:t>
      </w:r>
    </w:p>
    <w:p>
      <w:pPr>
        <w:spacing w:after="0" w:line="104"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We are subject to audit examinations at federal, state, and local levels by tax authorities in those jurisdictions who may challenge the treatment or reporting of any return item. The tax matters challenged by the tax authorities are typically complex; therefore, the ultimate outcome of these challenges is subject to uncertainty.</w:t>
      </w:r>
    </w:p>
    <w:p>
      <w:pPr>
        <w:spacing w:after="0" w:line="61"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We review and assess all tax positions subject to uncertainty on a more-likely-than-not standard with respect to the ultimate outcome if challenged. We measure and record tax benefit or expense only when the more-likely-than-not threshold is met. The changes in unrecognized tax benefits for the years ended March 31, 2026, 2025, and 2024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b w:val="1"/>
                <w:bCs w:val="1"/>
                <w:color w:val="auto"/>
              </w:rPr>
              <w:t>For the Years Ended March 31,</w:t>
            </w:r>
          </w:p>
        </w:tc>
        <w:tc>
          <w:tcPr>
            <w:tcW w:w="900" w:type="dxa"/>
            <w:vAlign w:val="bottom"/>
            <w:tcBorders>
              <w:bottom w:val="single" w:sz="8" w:color="auto"/>
            </w:tcBorders>
          </w:tcPr>
          <w:p>
            <w:pPr>
              <w:spacing w:after="0"/>
              <w:rPr>
                <w:sz w:val="18"/>
                <w:szCs w:val="18"/>
                <w:color w:val="auto"/>
              </w:rPr>
            </w:pPr>
          </w:p>
        </w:tc>
      </w:tr>
      <w:tr>
        <w:trPr>
          <w:trHeight w:val="209"/>
        </w:trPr>
        <w:tc>
          <w:tcPr>
            <w:tcW w:w="66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2024</w:t>
            </w:r>
          </w:p>
        </w:tc>
      </w:tr>
      <w:tr>
        <w:trPr>
          <w:trHeight w:val="203"/>
        </w:trPr>
        <w:tc>
          <w:tcPr>
            <w:tcW w:w="66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95"/>
        </w:trPr>
        <w:tc>
          <w:tcPr>
            <w:tcW w:w="6600" w:type="dxa"/>
            <w:vAlign w:val="bottom"/>
          </w:tcPr>
          <w:p>
            <w:pPr>
              <w:spacing w:after="0"/>
              <w:rPr>
                <w:sz w:val="20"/>
                <w:szCs w:val="20"/>
                <w:color w:val="auto"/>
              </w:rPr>
            </w:pPr>
            <w:r>
              <w:rPr>
                <w:rFonts w:ascii="Arial" w:cs="Arial" w:eastAsia="Arial" w:hAnsi="Arial"/>
                <w:sz w:val="18"/>
                <w:szCs w:val="18"/>
                <w:b w:val="1"/>
                <w:bCs w:val="1"/>
                <w:color w:val="004483"/>
              </w:rPr>
              <w:t>Balance at Beginning of Year</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1,284</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1,284</w:t>
            </w:r>
          </w:p>
        </w:tc>
      </w:tr>
      <w:tr>
        <w:trPr>
          <w:trHeight w:val="42"/>
        </w:trPr>
        <w:tc>
          <w:tcPr>
            <w:tcW w:w="660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ind w:left="120"/>
              <w:spacing w:after="0"/>
              <w:rPr>
                <w:sz w:val="20"/>
                <w:szCs w:val="20"/>
                <w:color w:val="auto"/>
              </w:rPr>
            </w:pPr>
            <w:r>
              <w:rPr>
                <w:rFonts w:ascii="Arial" w:cs="Arial" w:eastAsia="Arial" w:hAnsi="Arial"/>
                <w:sz w:val="18"/>
                <w:szCs w:val="18"/>
                <w:b w:val="1"/>
                <w:bCs w:val="1"/>
                <w:color w:val="004483"/>
              </w:rPr>
              <w:t>Increase for Tax Positions Related to</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
        </w:trPr>
        <w:tc>
          <w:tcPr>
            <w:tcW w:w="660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ind w:left="580"/>
              <w:spacing w:after="0"/>
              <w:rPr>
                <w:sz w:val="20"/>
                <w:szCs w:val="20"/>
                <w:color w:val="auto"/>
              </w:rPr>
            </w:pPr>
            <w:r>
              <w:rPr>
                <w:rFonts w:ascii="Arial" w:cs="Arial" w:eastAsia="Arial" w:hAnsi="Arial"/>
                <w:sz w:val="18"/>
                <w:szCs w:val="18"/>
                <w:b w:val="1"/>
                <w:bCs w:val="1"/>
                <w:color w:val="004483"/>
              </w:rPr>
              <w:t>Current Year</w:t>
            </w:r>
          </w:p>
        </w:tc>
        <w:tc>
          <w:tcPr>
            <w:tcW w:w="4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42"/>
        </w:trPr>
        <w:tc>
          <w:tcPr>
            <w:tcW w:w="660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ind w:left="580"/>
              <w:spacing w:after="0"/>
              <w:rPr>
                <w:sz w:val="20"/>
                <w:szCs w:val="20"/>
                <w:color w:val="auto"/>
              </w:rPr>
            </w:pPr>
            <w:r>
              <w:rPr>
                <w:rFonts w:ascii="Arial" w:cs="Arial" w:eastAsia="Arial" w:hAnsi="Arial"/>
                <w:sz w:val="18"/>
                <w:szCs w:val="18"/>
                <w:b w:val="1"/>
                <w:bCs w:val="1"/>
                <w:color w:val="004483"/>
              </w:rPr>
              <w:t>Prior Year</w:t>
            </w:r>
          </w:p>
        </w:tc>
        <w:tc>
          <w:tcPr>
            <w:tcW w:w="4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42"/>
        </w:trPr>
        <w:tc>
          <w:tcPr>
            <w:tcW w:w="660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ind w:left="120"/>
              <w:spacing w:after="0"/>
              <w:rPr>
                <w:sz w:val="20"/>
                <w:szCs w:val="20"/>
                <w:color w:val="auto"/>
              </w:rPr>
            </w:pPr>
            <w:r>
              <w:rPr>
                <w:rFonts w:ascii="Arial" w:cs="Arial" w:eastAsia="Arial" w:hAnsi="Arial"/>
                <w:sz w:val="18"/>
                <w:szCs w:val="18"/>
                <w:b w:val="1"/>
                <w:bCs w:val="1"/>
                <w:color w:val="004483"/>
              </w:rPr>
              <w:t>Decrease Related to Prior Tax Positions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
        </w:trPr>
        <w:tc>
          <w:tcPr>
            <w:tcW w:w="660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ind w:left="580"/>
              <w:spacing w:after="0"/>
              <w:rPr>
                <w:sz w:val="20"/>
                <w:szCs w:val="20"/>
                <w:color w:val="auto"/>
              </w:rPr>
            </w:pPr>
            <w:r>
              <w:rPr>
                <w:rFonts w:ascii="Arial" w:cs="Arial" w:eastAsia="Arial" w:hAnsi="Arial"/>
                <w:sz w:val="18"/>
                <w:szCs w:val="18"/>
                <w:b w:val="1"/>
                <w:bCs w:val="1"/>
                <w:color w:val="004483"/>
              </w:rPr>
              <w:t>Prior Year</w:t>
            </w:r>
          </w:p>
        </w:tc>
        <w:tc>
          <w:tcPr>
            <w:tcW w:w="4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42"/>
        </w:trPr>
        <w:tc>
          <w:tcPr>
            <w:tcW w:w="660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ind w:left="120"/>
              <w:spacing w:after="0"/>
              <w:rPr>
                <w:sz w:val="20"/>
                <w:szCs w:val="20"/>
                <w:color w:val="auto"/>
              </w:rPr>
            </w:pPr>
            <w:r>
              <w:rPr>
                <w:rFonts w:ascii="Arial" w:cs="Arial" w:eastAsia="Arial" w:hAnsi="Arial"/>
                <w:sz w:val="18"/>
                <w:szCs w:val="18"/>
                <w:b w:val="1"/>
                <w:bCs w:val="1"/>
                <w:color w:val="004483"/>
              </w:rPr>
              <w:t>Settlements</w:t>
            </w:r>
          </w:p>
        </w:tc>
        <w:tc>
          <w:tcPr>
            <w:tcW w:w="4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42"/>
        </w:trPr>
        <w:tc>
          <w:tcPr>
            <w:tcW w:w="660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6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56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ind w:left="120"/>
              <w:spacing w:after="0"/>
              <w:rPr>
                <w:sz w:val="20"/>
                <w:szCs w:val="20"/>
                <w:color w:val="auto"/>
              </w:rPr>
            </w:pPr>
            <w:r>
              <w:rPr>
                <w:rFonts w:ascii="Arial" w:cs="Arial" w:eastAsia="Arial" w:hAnsi="Arial"/>
                <w:sz w:val="18"/>
                <w:szCs w:val="18"/>
                <w:b w:val="1"/>
                <w:bCs w:val="1"/>
                <w:color w:val="004483"/>
              </w:rPr>
              <w:t>Expirations</w:t>
            </w:r>
          </w:p>
        </w:tc>
        <w:tc>
          <w:tcPr>
            <w:tcW w:w="4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69"/>
        </w:trPr>
        <w:tc>
          <w:tcPr>
            <w:tcW w:w="6600" w:type="dxa"/>
            <w:vAlign w:val="bottom"/>
            <w:tcBorders>
              <w:bottom w:val="single" w:sz="8" w:color="A6A6A6"/>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89"/>
        </w:trPr>
        <w:tc>
          <w:tcPr>
            <w:tcW w:w="6600" w:type="dxa"/>
            <w:vAlign w:val="bottom"/>
          </w:tcPr>
          <w:p>
            <w:pPr>
              <w:spacing w:after="0"/>
              <w:rPr>
                <w:sz w:val="20"/>
                <w:szCs w:val="20"/>
                <w:color w:val="auto"/>
              </w:rPr>
            </w:pPr>
            <w:r>
              <w:rPr>
                <w:rFonts w:ascii="Arial" w:cs="Arial" w:eastAsia="Arial" w:hAnsi="Arial"/>
                <w:sz w:val="18"/>
                <w:szCs w:val="18"/>
                <w:b w:val="1"/>
                <w:bCs w:val="1"/>
                <w:color w:val="004483"/>
              </w:rPr>
              <w:t>Balance at End of Year</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1,200</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b w:val="1"/>
                <w:bCs w:val="1"/>
                <w:color w:val="auto"/>
              </w:rPr>
              <w:t>1,284</w:t>
            </w:r>
          </w:p>
        </w:tc>
      </w:tr>
      <w:tr>
        <w:trPr>
          <w:trHeight w:val="42"/>
        </w:trPr>
        <w:tc>
          <w:tcPr>
            <w:tcW w:w="66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
        </w:trPr>
        <w:tc>
          <w:tcPr>
            <w:tcW w:w="6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and penalties related to uncertain tax positions as current income tax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(J) COMMITMENTS AND CONTINGENCIES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our operating units to monitor compliance. Any matters that are identified as potential exposures under these laws and regulations are carefully reviewed by management to determine our potential liability. Although management is not aware of any material exposures that require an accrual under generally accepted accounting principles, there can be no assurance that prior or future operations will not ultimately result in violations, claims, or other liabilities associated with these regulations.</w:t>
      </w:r>
    </w:p>
    <w:p>
      <w:pPr>
        <w:spacing w:after="0" w:line="7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March 31, 2026, we had contingent liabilities under these outstanding letters of credit of approximately $9.9 million.</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currently contingently liable for performance under $48.7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experience, no material claims have been made against these financial instruments.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Other</w:t>
      </w:r>
    </w:p>
    <w:p>
      <w:pPr>
        <w:spacing w:after="0" w:line="9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the ordinary course of business, we execute contracts involving indemnifications that are standard in the industry and indemnifications specific to a transaction, such as the sale of a business. These indemnifications might include claims relating to any of the following: environmental and tax matters; intellectual property rights; governmental regulations and employment-related matters; customer, supplier, construction contractor, and other commercial contractual relationships; and financial matters. While the maximum amount to which we may be exposed under such agreements cannot be estimated, it is the opinion of management that these indemnifications are not expected to have a material adverse effect on the Company’s consolidated financial position, results of operations, or cash flows. We currently have no outstanding guarantees of third-party debt.</w:t>
      </w:r>
    </w:p>
    <w:p>
      <w:pPr>
        <w:spacing w:after="0" w:line="7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We have certain forward purchase contracts, primarily for natural gas, that expire during calendar years 2026 and 2027. The contracts comprise approximately 30% of our anticipated natural gas usage.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(K) EQUITY AWARDS</w:t>
      </w:r>
    </w:p>
    <w:p>
      <w:pPr>
        <w:spacing w:after="0" w:line="9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consultants, independent contractors, and agents of the Company. The Compensation Committee of our Board (the Compensation Committee) specifies grant terms for awards under the Plan.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Fiscal 2026 Equity Awards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May 2025, the Compensation Committee awarded to certain officers and key employees an aggregate of 29,273 performance stock units and 14,712 performance stock options, as compensation for achievement of the target level of performance (collectively, the Performance Stock Awards). For the Performance Stock Awards to be earned, the Company must achieve performance vesting criteria as modified based on the Company’s average absolute total stockholder return during the performance period. The performance vesting criteria are based on certain levels of average annual return on equity (as defined in the Performance Stock Award Agreements) ranging from 10.0% to 20.0% measured at the end of fiscal 2028 (three-year performance period) as modified by total stockholder return. Performance outcomes (taking into account both criteria) will result in a threshold vesting percentage of 50% of target, and maximum performance will result in a vesting percentage of 200% of target. If the threshold vesting percentage is not achieved, none of the Performance Stock Awards will be earned.</w:t>
      </w:r>
    </w:p>
    <w:p>
      <w:pPr>
        <w:spacing w:after="0" w:line="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Performance Stock Awards are evaluated on a quarterly basis with adjustments to compensation expense based on the likelihood of the performance targets being achieved or exceeded. The maximum expense for our outstanding Performance Stock Awards is approximately $17.4 million. Any forfeitures are recognized as a reduction to expense in the period in which they occur.</w:t>
      </w:r>
    </w:p>
    <w:p>
      <w:pPr>
        <w:spacing w:after="0" w:line="6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fair value of the above Performance Stock Awards was determined using a Monte Carlo simulation. The following are key inputs in the Monte Carlo analysis for the Fiscal 2026 Employee Performance Stock Award.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2026</w:t>
            </w:r>
          </w:p>
        </w:tc>
      </w:tr>
      <w:tr>
        <w:trPr>
          <w:trHeight w:val="295"/>
        </w:trPr>
        <w:tc>
          <w:tcPr>
            <w:tcW w:w="6940" w:type="dxa"/>
            <w:vAlign w:val="bottom"/>
          </w:tcPr>
          <w:p>
            <w:pPr>
              <w:spacing w:after="0"/>
              <w:rPr>
                <w:sz w:val="20"/>
                <w:szCs w:val="20"/>
                <w:color w:val="auto"/>
              </w:rPr>
            </w:pPr>
            <w:r>
              <w:rPr>
                <w:rFonts w:ascii="Arial" w:cs="Arial" w:eastAsia="Arial" w:hAnsi="Arial"/>
                <w:sz w:val="18"/>
                <w:szCs w:val="18"/>
                <w:b w:val="1"/>
                <w:bCs w:val="1"/>
                <w:color w:val="004483"/>
              </w:rPr>
              <w:t>Measurement Period</w:t>
            </w:r>
          </w:p>
        </w:tc>
        <w:tc>
          <w:tcPr>
            <w:tcW w:w="284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2.86</w:t>
            </w:r>
          </w:p>
        </w:tc>
      </w:tr>
      <w:tr>
        <w:trPr>
          <w:trHeight w:val="42"/>
        </w:trPr>
        <w:tc>
          <w:tcPr>
            <w:tcW w:w="6940" w:type="dxa"/>
            <w:vAlign w:val="bottom"/>
            <w:tcBorders>
              <w:bottom w:val="single" w:sz="8" w:color="A6A6A6"/>
            </w:tcBorders>
          </w:tcPr>
          <w:p>
            <w:pPr>
              <w:spacing w:after="0"/>
              <w:rPr>
                <w:sz w:val="3"/>
                <w:szCs w:val="3"/>
                <w:color w:val="auto"/>
              </w:rPr>
            </w:pPr>
          </w:p>
        </w:tc>
        <w:tc>
          <w:tcPr>
            <w:tcW w:w="28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r>
        <w:trPr>
          <w:trHeight w:val="289"/>
        </w:trPr>
        <w:tc>
          <w:tcPr>
            <w:tcW w:w="6940" w:type="dxa"/>
            <w:vAlign w:val="bottom"/>
          </w:tcPr>
          <w:p>
            <w:pPr>
              <w:spacing w:after="0"/>
              <w:rPr>
                <w:sz w:val="20"/>
                <w:szCs w:val="20"/>
                <w:color w:val="auto"/>
              </w:rPr>
            </w:pPr>
            <w:r>
              <w:rPr>
                <w:rFonts w:ascii="Arial" w:cs="Arial" w:eastAsia="Arial" w:hAnsi="Arial"/>
                <w:sz w:val="18"/>
                <w:szCs w:val="18"/>
                <w:b w:val="1"/>
                <w:bCs w:val="1"/>
                <w:color w:val="004483"/>
              </w:rPr>
              <w:t>Risk-Free Interest Rate</w:t>
            </w:r>
          </w:p>
        </w:tc>
        <w:tc>
          <w:tcPr>
            <w:tcW w:w="2840" w:type="dxa"/>
            <w:vAlign w:val="bottom"/>
          </w:tcPr>
          <w:p>
            <w:pPr>
              <w:spacing w:after="0"/>
              <w:rPr>
                <w:sz w:val="24"/>
                <w:szCs w:val="24"/>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4.0%</w:t>
            </w:r>
          </w:p>
        </w:tc>
      </w:tr>
      <w:tr>
        <w:trPr>
          <w:trHeight w:val="42"/>
        </w:trPr>
        <w:tc>
          <w:tcPr>
            <w:tcW w:w="6940" w:type="dxa"/>
            <w:vAlign w:val="bottom"/>
            <w:tcBorders>
              <w:bottom w:val="single" w:sz="8" w:color="A6A6A6"/>
            </w:tcBorders>
          </w:tcPr>
          <w:p>
            <w:pPr>
              <w:spacing w:after="0"/>
              <w:rPr>
                <w:sz w:val="3"/>
                <w:szCs w:val="3"/>
                <w:color w:val="auto"/>
              </w:rPr>
            </w:pPr>
          </w:p>
        </w:tc>
        <w:tc>
          <w:tcPr>
            <w:tcW w:w="28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r>
        <w:trPr>
          <w:trHeight w:val="289"/>
        </w:trPr>
        <w:tc>
          <w:tcPr>
            <w:tcW w:w="6940" w:type="dxa"/>
            <w:vAlign w:val="bottom"/>
          </w:tcPr>
          <w:p>
            <w:pPr>
              <w:spacing w:after="0"/>
              <w:rPr>
                <w:sz w:val="20"/>
                <w:szCs w:val="20"/>
                <w:color w:val="auto"/>
              </w:rPr>
            </w:pPr>
            <w:r>
              <w:rPr>
                <w:rFonts w:ascii="Arial" w:cs="Arial" w:eastAsia="Arial" w:hAnsi="Arial"/>
                <w:sz w:val="18"/>
                <w:szCs w:val="18"/>
                <w:b w:val="1"/>
                <w:bCs w:val="1"/>
                <w:color w:val="004483"/>
              </w:rPr>
              <w:t>Dividend Yield</w:t>
            </w:r>
          </w:p>
        </w:tc>
        <w:tc>
          <w:tcPr>
            <w:tcW w:w="2840" w:type="dxa"/>
            <w:vAlign w:val="bottom"/>
          </w:tcPr>
          <w:p>
            <w:pPr>
              <w:spacing w:after="0"/>
              <w:rPr>
                <w:sz w:val="24"/>
                <w:szCs w:val="24"/>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0.5%</w:t>
            </w:r>
          </w:p>
        </w:tc>
      </w:tr>
      <w:tr>
        <w:trPr>
          <w:trHeight w:val="42"/>
        </w:trPr>
        <w:tc>
          <w:tcPr>
            <w:tcW w:w="6940" w:type="dxa"/>
            <w:vAlign w:val="bottom"/>
            <w:tcBorders>
              <w:bottom w:val="single" w:sz="8" w:color="A6A6A6"/>
            </w:tcBorders>
          </w:tcPr>
          <w:p>
            <w:pPr>
              <w:spacing w:after="0"/>
              <w:rPr>
                <w:sz w:val="3"/>
                <w:szCs w:val="3"/>
                <w:color w:val="auto"/>
              </w:rPr>
            </w:pPr>
          </w:p>
        </w:tc>
        <w:tc>
          <w:tcPr>
            <w:tcW w:w="28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r>
        <w:trPr>
          <w:trHeight w:val="289"/>
        </w:trPr>
        <w:tc>
          <w:tcPr>
            <w:tcW w:w="6940" w:type="dxa"/>
            <w:vAlign w:val="bottom"/>
          </w:tcPr>
          <w:p>
            <w:pPr>
              <w:spacing w:after="0"/>
              <w:rPr>
                <w:sz w:val="20"/>
                <w:szCs w:val="20"/>
                <w:color w:val="auto"/>
              </w:rPr>
            </w:pPr>
            <w:r>
              <w:rPr>
                <w:rFonts w:ascii="Arial" w:cs="Arial" w:eastAsia="Arial" w:hAnsi="Arial"/>
                <w:sz w:val="18"/>
                <w:szCs w:val="18"/>
                <w:b w:val="1"/>
                <w:bCs w:val="1"/>
                <w:color w:val="004483"/>
              </w:rPr>
              <w:t>Volatility</w:t>
            </w:r>
          </w:p>
        </w:tc>
        <w:tc>
          <w:tcPr>
            <w:tcW w:w="2840" w:type="dxa"/>
            <w:vAlign w:val="bottom"/>
          </w:tcPr>
          <w:p>
            <w:pPr>
              <w:spacing w:after="0"/>
              <w:rPr>
                <w:sz w:val="24"/>
                <w:szCs w:val="24"/>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31.3%</w:t>
            </w:r>
          </w:p>
        </w:tc>
      </w:tr>
      <w:tr>
        <w:trPr>
          <w:trHeight w:val="42"/>
        </w:trPr>
        <w:tc>
          <w:tcPr>
            <w:tcW w:w="6940" w:type="dxa"/>
            <w:vAlign w:val="bottom"/>
            <w:tcBorders>
              <w:bottom w:val="single" w:sz="8" w:color="A6A6A6"/>
            </w:tcBorders>
          </w:tcPr>
          <w:p>
            <w:pPr>
              <w:spacing w:after="0"/>
              <w:rPr>
                <w:sz w:val="3"/>
                <w:szCs w:val="3"/>
                <w:color w:val="auto"/>
              </w:rPr>
            </w:pPr>
          </w:p>
        </w:tc>
        <w:tc>
          <w:tcPr>
            <w:tcW w:w="28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r>
        <w:trPr>
          <w:trHeight w:val="289"/>
        </w:trPr>
        <w:tc>
          <w:tcPr>
            <w:tcW w:w="6940" w:type="dxa"/>
            <w:vAlign w:val="bottom"/>
          </w:tcPr>
          <w:p>
            <w:pPr>
              <w:spacing w:after="0"/>
              <w:rPr>
                <w:sz w:val="20"/>
                <w:szCs w:val="20"/>
                <w:color w:val="auto"/>
              </w:rPr>
            </w:pPr>
            <w:r>
              <w:rPr>
                <w:rFonts w:ascii="Arial" w:cs="Arial" w:eastAsia="Arial" w:hAnsi="Arial"/>
                <w:sz w:val="18"/>
                <w:szCs w:val="18"/>
                <w:b w:val="1"/>
                <w:bCs w:val="1"/>
                <w:color w:val="004483"/>
              </w:rPr>
              <w:t>Estimated Fair Value of Market-Based PSA at Grant Date</w:t>
            </w:r>
          </w:p>
        </w:tc>
        <w:tc>
          <w:tcPr>
            <w:tcW w:w="2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213.66</w:t>
            </w:r>
          </w:p>
        </w:tc>
      </w:tr>
      <w:tr>
        <w:trPr>
          <w:trHeight w:val="42"/>
        </w:trPr>
        <w:tc>
          <w:tcPr>
            <w:tcW w:w="6940" w:type="dxa"/>
            <w:vAlign w:val="bottom"/>
            <w:tcBorders>
              <w:bottom w:val="single" w:sz="8" w:color="A6A6A6"/>
            </w:tcBorders>
          </w:tcPr>
          <w:p>
            <w:pPr>
              <w:spacing w:after="0"/>
              <w:rPr>
                <w:sz w:val="3"/>
                <w:szCs w:val="3"/>
                <w:color w:val="auto"/>
              </w:rPr>
            </w:pPr>
          </w:p>
        </w:tc>
        <w:tc>
          <w:tcPr>
            <w:tcW w:w="284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r>
    </w:tbl>
    <w:p>
      <w:pPr>
        <w:spacing w:after="0" w:line="197"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In addition to the Performance Stock Awards discussed above, the Compensation Committee approved the granting to certain officers and key employees an aggregate of 14,712 time-vesting stock options, which vest ratably over three years (the Fiscal 2026 Employee Time-Vesting Stock Option Grant) and 29,273 shares of time-vesting restricted stock units, which vest ratably over three years (the Fiscal 2026 Employee Restricted Stock Unit Time-Vesting Award). The Fiscal 2026 Employee Restricted Stock Unit Time-Vesting Award was valued at the closing price of the stock on the grant date and is being expensed over a three-year period. The Fiscal 2026 Employee Time-Vesting Stock Option Grant was valued at 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grant date using the Black-Scholes option pricing model, which used similar inputs as the Monte Carlo analysis shown above.</w:t>
      </w:r>
    </w:p>
    <w:p>
      <w:pPr>
        <w:spacing w:after="0" w:line="198"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In August 2025, the Compensation Committee granted 9,735 shares of time-vesting restricted stock to members of the Board of Directors (the Fiscal 2026 Board of Directors Restricted Stock Award). Restricted stock granted under the Fiscal 2026 Board of Directors Restricted Stock Award vest one year after the grant date and were valued at the closing price of the stock on the grant date. The value of the Fiscal 2026 Board of Directors Restricted Stock Award is being expensed over a one-year period.</w:t>
      </w:r>
    </w:p>
    <w:p>
      <w:pPr>
        <w:spacing w:after="0" w:line="6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addition to the awards described above, we may issue equity awards, including stock options, restricted stock, and restricted stock units, to certain employees from time to time. Any options issued are valued using the Black-Scholes options pricing model on the grant date and expensed over the vesting period, while restricted stock and restricted stock units are valued using the closing price on the date of grant and expensed over the vesting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STOCK OPTIONS</w:t>
      </w:r>
    </w:p>
    <w:p>
      <w:pPr>
        <w:spacing w:after="0" w:line="104"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color w:val="auto"/>
        </w:rPr>
        <w:t>Stock option expense for all outstanding stock option awards was approximately $1.8 million, $1.2 million and $2.0 million for the years ended March 31, 2026, 2025, and 2024, respectively. At March 31, 2026, there was approximately $2.3 million of unrecognized compensation expense related to outstanding stock options, which is expected to be recognized over a weighted-average period of 1.9 years.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years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80" w:type="dxa"/>
            <w:vAlign w:val="bottom"/>
            <w:gridSpan w:val="5"/>
          </w:tcPr>
          <w:p>
            <w:pPr>
              <w:jc w:val="right"/>
              <w:spacing w:after="0"/>
              <w:rPr>
                <w:sz w:val="20"/>
                <w:szCs w:val="20"/>
                <w:color w:val="auto"/>
              </w:rPr>
            </w:pPr>
            <w:r>
              <w:rPr>
                <w:rFonts w:ascii="Arial" w:cs="Arial" w:eastAsia="Arial" w:hAnsi="Arial"/>
                <w:sz w:val="16"/>
                <w:szCs w:val="16"/>
                <w:b w:val="1"/>
                <w:bCs w:val="1"/>
                <w:color w:val="auto"/>
              </w:rPr>
              <w:t>For the Years Ended March 31,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2026</w:t>
            </w:r>
          </w:p>
        </w:tc>
        <w:tc>
          <w:tcPr>
            <w:tcW w:w="1060" w:type="dxa"/>
            <w:vAlign w:val="bottom"/>
          </w:tcPr>
          <w:p>
            <w:pPr>
              <w:spacing w:after="0"/>
              <w:rPr>
                <w:sz w:val="21"/>
                <w:szCs w:val="21"/>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Exercise</w:t>
            </w:r>
          </w:p>
        </w:tc>
        <w:tc>
          <w:tcPr>
            <w:tcW w:w="12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Exercise</w:t>
            </w:r>
          </w:p>
        </w:tc>
        <w:tc>
          <w:tcPr>
            <w:tcW w:w="12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6"/>
                <w:szCs w:val="16"/>
                <w:b w:val="1"/>
                <w:bCs w:val="1"/>
                <w:color w:val="auto"/>
              </w:rPr>
              <w:t>Outstanding Options at</w:t>
            </w:r>
          </w:p>
        </w:tc>
        <w:tc>
          <w:tcPr>
            <w:tcW w:w="1060" w:type="dxa"/>
            <w:vAlign w:val="bottom"/>
            <w:vMerge w:val="restart"/>
          </w:tcPr>
          <w:p>
            <w:pPr>
              <w:jc w:val="right"/>
              <w:ind w:right="159"/>
              <w:spacing w:after="0"/>
              <w:rPr>
                <w:sz w:val="20"/>
                <w:szCs w:val="20"/>
                <w:color w:val="auto"/>
              </w:rPr>
            </w:pPr>
            <w:r>
              <w:rPr>
                <w:rFonts w:ascii="Arial" w:cs="Arial" w:eastAsia="Arial" w:hAnsi="Arial"/>
                <w:sz w:val="16"/>
                <w:szCs w:val="16"/>
                <w:color w:val="auto"/>
              </w:rPr>
              <w:t>184,233</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39"/>
              <w:spacing w:after="0"/>
              <w:rPr>
                <w:sz w:val="20"/>
                <w:szCs w:val="20"/>
                <w:color w:val="auto"/>
              </w:rPr>
            </w:pPr>
            <w:r>
              <w:rPr>
                <w:rFonts w:ascii="Arial" w:cs="Arial" w:eastAsia="Arial" w:hAnsi="Arial"/>
                <w:sz w:val="16"/>
                <w:szCs w:val="16"/>
                <w:color w:val="auto"/>
              </w:rPr>
              <w:t>95.75</w:t>
            </w:r>
          </w:p>
        </w:tc>
        <w:tc>
          <w:tcPr>
            <w:tcW w:w="118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252,364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39"/>
              <w:spacing w:after="0"/>
              <w:rPr>
                <w:sz w:val="20"/>
                <w:szCs w:val="20"/>
                <w:color w:val="auto"/>
              </w:rPr>
            </w:pPr>
            <w:r>
              <w:rPr>
                <w:rFonts w:ascii="Arial" w:cs="Arial" w:eastAsia="Arial" w:hAnsi="Arial"/>
                <w:sz w:val="16"/>
                <w:szCs w:val="16"/>
                <w:color w:val="auto"/>
              </w:rPr>
              <w:t>91.28</w:t>
            </w:r>
          </w:p>
        </w:tc>
        <w:tc>
          <w:tcPr>
            <w:tcW w:w="106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436,949</w:t>
            </w:r>
          </w:p>
        </w:tc>
        <w:tc>
          <w:tcPr>
            <w:tcW w:w="5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139"/>
              <w:spacing w:after="0"/>
              <w:rPr>
                <w:sz w:val="20"/>
                <w:szCs w:val="20"/>
                <w:color w:val="auto"/>
              </w:rPr>
            </w:pPr>
            <w:r>
              <w:rPr>
                <w:rFonts w:ascii="Arial" w:cs="Arial" w:eastAsia="Arial" w:hAnsi="Arial"/>
                <w:sz w:val="16"/>
                <w:szCs w:val="16"/>
                <w:color w:val="auto"/>
              </w:rPr>
              <w:t>89.69</w:t>
            </w:r>
          </w:p>
        </w:tc>
        <w:tc>
          <w:tcPr>
            <w:tcW w:w="0" w:type="dxa"/>
            <w:vAlign w:val="bottom"/>
          </w:tcPr>
          <w:p>
            <w:pPr>
              <w:spacing w:after="0"/>
              <w:rPr>
                <w:sz w:val="1"/>
                <w:szCs w:val="1"/>
                <w:color w:val="auto"/>
              </w:rPr>
            </w:pPr>
          </w:p>
        </w:tc>
      </w:tr>
      <w:tr>
        <w:trPr>
          <w:trHeight w:val="120"/>
        </w:trPr>
        <w:tc>
          <w:tcPr>
            <w:tcW w:w="37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Beginning of Year</w:t>
            </w:r>
          </w:p>
        </w:tc>
        <w:tc>
          <w:tcPr>
            <w:tcW w:w="106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7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72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180" w:type="dxa"/>
            <w:vAlign w:val="bottom"/>
            <w:tcBorders>
              <w:bottom w:val="single" w:sz="8" w:color="A6A6A6"/>
            </w:tcBorders>
            <w:gridSpan w:val="2"/>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gridSpan w:val="2"/>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6"/>
                <w:szCs w:val="16"/>
                <w:b w:val="1"/>
                <w:bCs w:val="1"/>
                <w:color w:val="004483"/>
              </w:rPr>
              <w:t>Granted</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29,424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213.66</w:t>
            </w: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5,476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244.92</w:t>
            </w: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5,558</w:t>
            </w: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172.62</w:t>
            </w:r>
          </w:p>
        </w:tc>
        <w:tc>
          <w:tcPr>
            <w:tcW w:w="0" w:type="dxa"/>
            <w:vAlign w:val="bottom"/>
          </w:tcPr>
          <w:p>
            <w:pPr>
              <w:spacing w:after="0"/>
              <w:rPr>
                <w:sz w:val="1"/>
                <w:szCs w:val="1"/>
                <w:color w:val="auto"/>
              </w:rPr>
            </w:pPr>
          </w:p>
        </w:tc>
      </w:tr>
      <w:tr>
        <w:trPr>
          <w:trHeight w:val="35"/>
        </w:trPr>
        <w:tc>
          <w:tcPr>
            <w:tcW w:w="372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gridSpan w:val="2"/>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gridSpan w:val="2"/>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6"/>
                <w:szCs w:val="16"/>
                <w:b w:val="1"/>
                <w:bCs w:val="1"/>
                <w:color w:val="004483"/>
              </w:rPr>
              <w:t>Exercised</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(6,936)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77.10</w:t>
            </w:r>
          </w:p>
        </w:tc>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(72,553)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90.20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(189,143)</w:t>
            </w: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90.40</w:t>
            </w:r>
          </w:p>
        </w:tc>
        <w:tc>
          <w:tcPr>
            <w:tcW w:w="0" w:type="dxa"/>
            <w:vAlign w:val="bottom"/>
          </w:tcPr>
          <w:p>
            <w:pPr>
              <w:spacing w:after="0"/>
              <w:rPr>
                <w:sz w:val="1"/>
                <w:szCs w:val="1"/>
                <w:color w:val="auto"/>
              </w:rPr>
            </w:pPr>
          </w:p>
        </w:tc>
      </w:tr>
      <w:tr>
        <w:trPr>
          <w:trHeight w:val="34"/>
        </w:trPr>
        <w:tc>
          <w:tcPr>
            <w:tcW w:w="372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gridSpan w:val="2"/>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gridSpan w:val="2"/>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112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6"/>
                <w:szCs w:val="16"/>
                <w:b w:val="1"/>
                <w:bCs w:val="1"/>
                <w:color w:val="004483"/>
              </w:rPr>
              <w:t>Cancelled</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(1,054)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125.97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62"/>
        </w:trPr>
        <w:tc>
          <w:tcPr>
            <w:tcW w:w="3720" w:type="dxa"/>
            <w:vAlign w:val="bottom"/>
            <w:tcBorders>
              <w:bottom w:val="single" w:sz="8" w:color="A6A6A6"/>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b w:val="1"/>
                <w:bCs w:val="1"/>
                <w:color w:val="004483"/>
              </w:rPr>
              <w:t>Outstanding Options at End of</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Arial" w:cs="Arial" w:eastAsia="Arial" w:hAnsi="Arial"/>
                <w:sz w:val="16"/>
                <w:szCs w:val="16"/>
                <w:b w:val="1"/>
                <w:bCs w:val="1"/>
                <w:color w:val="004483"/>
              </w:rPr>
              <w:t>Year</w:t>
            </w: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206,721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113.16</w:t>
            </w:r>
          </w:p>
        </w:tc>
        <w:tc>
          <w:tcPr>
            <w:tcW w:w="11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184,233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95.75</w:t>
            </w: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252,364</w:t>
            </w: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48"/>
        </w:trPr>
        <w:tc>
          <w:tcPr>
            <w:tcW w:w="3720" w:type="dxa"/>
            <w:vAlign w:val="bottom"/>
            <w:tcBorders>
              <w:bottom w:val="single" w:sz="8" w:color="A6A6A6"/>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112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b w:val="1"/>
                <w:bCs w:val="1"/>
                <w:color w:val="004483"/>
              </w:rPr>
              <w:t>Options Exercisable at End of</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Arial" w:cs="Arial" w:eastAsia="Arial" w:hAnsi="Arial"/>
                <w:sz w:val="16"/>
                <w:szCs w:val="16"/>
                <w:b w:val="1"/>
                <w:bCs w:val="1"/>
                <w:color w:val="004483"/>
              </w:rPr>
              <w:t>Year</w:t>
            </w: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172,332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162,740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215,913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b w:val="1"/>
                <w:bCs w:val="1"/>
                <w:color w:val="auto"/>
              </w:rPr>
              <w:t>Weighted-Average Fair Value of</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2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Arial" w:cs="Arial" w:eastAsia="Arial" w:hAnsi="Arial"/>
                <w:sz w:val="16"/>
                <w:szCs w:val="16"/>
                <w:b w:val="1"/>
                <w:bCs w:val="1"/>
                <w:color w:val="auto"/>
              </w:rPr>
              <w:t>Options Granted During the Year</w:t>
            </w:r>
          </w:p>
        </w:tc>
        <w:tc>
          <w:tcPr>
            <w:tcW w:w="10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93.69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104.45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69.84</w:t>
            </w:r>
          </w:p>
        </w:tc>
        <w:tc>
          <w:tcPr>
            <w:tcW w:w="0" w:type="dxa"/>
            <w:vAlign w:val="bottom"/>
          </w:tcPr>
          <w:p>
            <w:pPr>
              <w:spacing w:after="0"/>
              <w:rPr>
                <w:sz w:val="1"/>
                <w:szCs w:val="1"/>
                <w:color w:val="auto"/>
              </w:rPr>
            </w:pPr>
          </w:p>
        </w:tc>
      </w:tr>
      <w:tr>
        <w:trPr>
          <w:trHeight w:val="21"/>
        </w:trPr>
        <w:tc>
          <w:tcPr>
            <w:tcW w:w="372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9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11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March 31,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2660" w:type="dxa"/>
            <w:vAlign w:val="bottom"/>
            <w:gridSpan w:val="2"/>
          </w:tcPr>
          <w:p>
            <w:pPr>
              <w:jc w:val="right"/>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3"/>
          </w:tcPr>
          <w:p>
            <w:pPr>
              <w:jc w:val="right"/>
              <w:ind w:right="434"/>
              <w:spacing w:after="0"/>
              <w:rPr>
                <w:sz w:val="20"/>
                <w:szCs w:val="20"/>
                <w:color w:val="auto"/>
              </w:rPr>
            </w:pPr>
            <w:r>
              <w:rPr>
                <w:rFonts w:ascii="Arial" w:cs="Arial" w:eastAsia="Arial" w:hAnsi="Arial"/>
                <w:sz w:val="16"/>
                <w:szCs w:val="16"/>
                <w:b w:val="1"/>
                <w:bCs w:val="1"/>
                <w:color w:val="auto"/>
              </w:rPr>
              <w:t>Options Exercisable</w:t>
            </w:r>
          </w:p>
        </w:tc>
      </w:tr>
      <w:tr>
        <w:trPr>
          <w:trHeight w:val="21"/>
        </w:trPr>
        <w:tc>
          <w:tcPr>
            <w:tcW w:w="4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4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jc w:val="right"/>
              <w:ind w:right="155"/>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9"/>
        </w:trPr>
        <w:tc>
          <w:tcPr>
            <w:tcW w:w="4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20" w:type="dxa"/>
            <w:vAlign w:val="bottom"/>
          </w:tcPr>
          <w:p>
            <w:pPr>
              <w:jc w:val="right"/>
              <w:ind w:right="155"/>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860" w:type="dxa"/>
            <w:vAlign w:val="bottom"/>
          </w:tcPr>
          <w:p>
            <w:pPr>
              <w:spacing w:after="0"/>
              <w:rPr>
                <w:sz w:val="16"/>
                <w:szCs w:val="16"/>
                <w:color w:val="auto"/>
              </w:rPr>
            </w:pPr>
          </w:p>
        </w:tc>
        <w:tc>
          <w:tcPr>
            <w:tcW w:w="1240" w:type="dxa"/>
            <w:vAlign w:val="bottom"/>
          </w:tcPr>
          <w:p>
            <w:pPr>
              <w:jc w:val="right"/>
              <w:ind w:right="34"/>
              <w:spacing w:after="0"/>
              <w:rPr>
                <w:sz w:val="20"/>
                <w:szCs w:val="20"/>
                <w:color w:val="auto"/>
              </w:rPr>
            </w:pPr>
            <w:r>
              <w:rPr>
                <w:rFonts w:ascii="Arial" w:cs="Arial" w:eastAsia="Arial" w:hAnsi="Arial"/>
                <w:sz w:val="16"/>
                <w:szCs w:val="16"/>
                <w:b w:val="1"/>
                <w:bCs w:val="1"/>
                <w:color w:val="auto"/>
              </w:rPr>
              <w:t>Number of</w:t>
            </w:r>
          </w:p>
        </w:tc>
        <w:tc>
          <w:tcPr>
            <w:tcW w:w="1420" w:type="dxa"/>
            <w:vAlign w:val="bottom"/>
          </w:tcPr>
          <w:p>
            <w:pPr>
              <w:jc w:val="right"/>
              <w:ind w:right="155"/>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860" w:type="dxa"/>
            <w:vAlign w:val="bottom"/>
          </w:tcPr>
          <w:p>
            <w:pPr>
              <w:spacing w:after="0"/>
              <w:rPr>
                <w:sz w:val="16"/>
                <w:szCs w:val="16"/>
                <w:color w:val="auto"/>
              </w:rPr>
            </w:pPr>
          </w:p>
        </w:tc>
        <w:tc>
          <w:tcPr>
            <w:tcW w:w="1240" w:type="dxa"/>
            <w:vAlign w:val="bottom"/>
          </w:tcPr>
          <w:p>
            <w:pPr>
              <w:jc w:val="right"/>
              <w:ind w:right="34"/>
              <w:spacing w:after="0"/>
              <w:rPr>
                <w:sz w:val="20"/>
                <w:szCs w:val="20"/>
                <w:color w:val="auto"/>
              </w:rPr>
            </w:pPr>
            <w:r>
              <w:rPr>
                <w:rFonts w:ascii="Arial" w:cs="Arial" w:eastAsia="Arial" w:hAnsi="Arial"/>
                <w:sz w:val="16"/>
                <w:szCs w:val="16"/>
                <w:b w:val="1"/>
                <w:bCs w:val="1"/>
                <w:color w:val="auto"/>
              </w:rPr>
              <w:t>Shares</w:t>
            </w:r>
          </w:p>
        </w:tc>
        <w:tc>
          <w:tcPr>
            <w:tcW w:w="1420" w:type="dxa"/>
            <w:vAlign w:val="bottom"/>
          </w:tcPr>
          <w:p>
            <w:pPr>
              <w:jc w:val="right"/>
              <w:ind w:right="155"/>
              <w:spacing w:after="0"/>
              <w:rPr>
                <w:sz w:val="20"/>
                <w:szCs w:val="20"/>
                <w:color w:val="auto"/>
              </w:rPr>
            </w:pPr>
            <w:r>
              <w:rPr>
                <w:rFonts w:ascii="Arial" w:cs="Arial" w:eastAsia="Arial" w:hAnsi="Arial"/>
                <w:sz w:val="16"/>
                <w:szCs w:val="16"/>
                <w:b w:val="1"/>
                <w:bCs w:val="1"/>
                <w:color w:val="auto"/>
              </w:rPr>
              <w:t>Contractual</w:t>
            </w:r>
          </w:p>
        </w:tc>
        <w:tc>
          <w:tcPr>
            <w:tcW w:w="16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Exercise</w:t>
            </w:r>
          </w:p>
        </w:tc>
        <w:tc>
          <w:tcPr>
            <w:tcW w:w="1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Exercise</w:t>
            </w: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Range of Exercise Prices</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Outstanding</w:t>
            </w:r>
          </w:p>
        </w:tc>
        <w:tc>
          <w:tcPr>
            <w:tcW w:w="14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Life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Price</w:t>
            </w:r>
          </w:p>
        </w:tc>
      </w:tr>
      <w:tr>
        <w:trPr>
          <w:trHeight w:val="296"/>
        </w:trPr>
        <w:tc>
          <w:tcPr>
            <w:tcW w:w="4860" w:type="dxa"/>
            <w:vAlign w:val="bottom"/>
          </w:tcPr>
          <w:p>
            <w:pPr>
              <w:spacing w:after="0"/>
              <w:rPr>
                <w:sz w:val="20"/>
                <w:szCs w:val="20"/>
                <w:color w:val="auto"/>
              </w:rPr>
            </w:pPr>
            <w:r>
              <w:rPr>
                <w:rFonts w:ascii="Arial" w:cs="Arial" w:eastAsia="Arial" w:hAnsi="Arial"/>
                <w:sz w:val="18"/>
                <w:szCs w:val="18"/>
                <w:b w:val="1"/>
                <w:bCs w:val="1"/>
                <w:color w:val="004483"/>
              </w:rPr>
              <w:t>$59.32 - $81.28</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81,124</w:t>
            </w: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3.84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61.80</w:t>
            </w:r>
          </w:p>
        </w:tc>
        <w:tc>
          <w:tcPr>
            <w:tcW w:w="1340" w:type="dxa"/>
            <w:vAlign w:val="bottom"/>
            <w:gridSpan w:val="2"/>
          </w:tcPr>
          <w:p>
            <w:pPr>
              <w:jc w:val="right"/>
              <w:ind w:right="39"/>
              <w:spacing w:after="0"/>
              <w:rPr>
                <w:sz w:val="20"/>
                <w:szCs w:val="20"/>
                <w:color w:val="auto"/>
              </w:rPr>
            </w:pPr>
            <w:r>
              <w:rPr>
                <w:rFonts w:ascii="Arial" w:cs="Arial" w:eastAsia="Arial" w:hAnsi="Arial"/>
                <w:sz w:val="18"/>
                <w:szCs w:val="18"/>
                <w:color w:val="auto"/>
              </w:rPr>
              <w:t>81,124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61.80</w:t>
            </w:r>
          </w:p>
        </w:tc>
      </w:tr>
      <w:tr>
        <w:trPr>
          <w:trHeight w:val="42"/>
        </w:trPr>
        <w:tc>
          <w:tcPr>
            <w:tcW w:w="48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gridSpan w:val="2"/>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860" w:type="dxa"/>
            <w:vAlign w:val="bottom"/>
          </w:tcPr>
          <w:p>
            <w:pPr>
              <w:spacing w:after="0"/>
              <w:rPr>
                <w:sz w:val="20"/>
                <w:szCs w:val="20"/>
                <w:color w:val="auto"/>
              </w:rPr>
            </w:pPr>
            <w:r>
              <w:rPr>
                <w:rFonts w:ascii="Arial" w:cs="Arial" w:eastAsia="Arial" w:hAnsi="Arial"/>
                <w:sz w:val="18"/>
                <w:szCs w:val="18"/>
                <w:b w:val="1"/>
                <w:bCs w:val="1"/>
                <w:color w:val="004483"/>
              </w:rPr>
              <w:t>$91.21 - $100.88</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32,852</w:t>
            </w: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2.27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94.95</w:t>
            </w:r>
          </w:p>
        </w:tc>
        <w:tc>
          <w:tcPr>
            <w:tcW w:w="1340" w:type="dxa"/>
            <w:vAlign w:val="bottom"/>
            <w:gridSpan w:val="2"/>
          </w:tcPr>
          <w:p>
            <w:pPr>
              <w:jc w:val="right"/>
              <w:ind w:right="39"/>
              <w:spacing w:after="0"/>
              <w:rPr>
                <w:sz w:val="20"/>
                <w:szCs w:val="20"/>
                <w:color w:val="auto"/>
              </w:rPr>
            </w:pPr>
            <w:r>
              <w:rPr>
                <w:rFonts w:ascii="Arial" w:cs="Arial" w:eastAsia="Arial" w:hAnsi="Arial"/>
                <w:sz w:val="18"/>
                <w:szCs w:val="18"/>
                <w:color w:val="auto"/>
              </w:rPr>
              <w:t>32,852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94.95</w:t>
            </w:r>
          </w:p>
        </w:tc>
      </w:tr>
      <w:tr>
        <w:trPr>
          <w:trHeight w:val="42"/>
        </w:trPr>
        <w:tc>
          <w:tcPr>
            <w:tcW w:w="48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gridSpan w:val="2"/>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860" w:type="dxa"/>
            <w:vAlign w:val="bottom"/>
          </w:tcPr>
          <w:p>
            <w:pPr>
              <w:spacing w:after="0"/>
              <w:rPr>
                <w:sz w:val="20"/>
                <w:szCs w:val="20"/>
                <w:color w:val="auto"/>
              </w:rPr>
            </w:pPr>
            <w:r>
              <w:rPr>
                <w:rFonts w:ascii="Arial" w:cs="Arial" w:eastAsia="Arial" w:hAnsi="Arial"/>
                <w:sz w:val="18"/>
                <w:szCs w:val="18"/>
                <w:b w:val="1"/>
                <w:bCs w:val="1"/>
                <w:color w:val="004483"/>
              </w:rPr>
              <w:t>$118.27 - $139.25</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48,931</w:t>
            </w: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6.11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126.59</w:t>
            </w:r>
          </w:p>
        </w:tc>
        <w:tc>
          <w:tcPr>
            <w:tcW w:w="1340" w:type="dxa"/>
            <w:vAlign w:val="bottom"/>
            <w:gridSpan w:val="2"/>
          </w:tcPr>
          <w:p>
            <w:pPr>
              <w:jc w:val="right"/>
              <w:ind w:right="39"/>
              <w:spacing w:after="0"/>
              <w:rPr>
                <w:sz w:val="20"/>
                <w:szCs w:val="20"/>
                <w:color w:val="auto"/>
              </w:rPr>
            </w:pPr>
            <w:r>
              <w:rPr>
                <w:rFonts w:ascii="Arial" w:cs="Arial" w:eastAsia="Arial" w:hAnsi="Arial"/>
                <w:sz w:val="18"/>
                <w:szCs w:val="18"/>
                <w:color w:val="auto"/>
              </w:rPr>
              <w:t>47,729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126.72</w:t>
            </w:r>
          </w:p>
        </w:tc>
      </w:tr>
      <w:tr>
        <w:trPr>
          <w:trHeight w:val="42"/>
        </w:trPr>
        <w:tc>
          <w:tcPr>
            <w:tcW w:w="4860" w:type="dxa"/>
            <w:vAlign w:val="bottom"/>
            <w:tcBorders>
              <w:bottom w:val="single" w:sz="8" w:color="A6A6A6"/>
            </w:tcBorders>
          </w:tcPr>
          <w:p>
            <w:pPr>
              <w:spacing w:after="0"/>
              <w:rPr>
                <w:sz w:val="3"/>
                <w:szCs w:val="3"/>
                <w:color w:val="auto"/>
              </w:rPr>
            </w:pPr>
          </w:p>
        </w:tc>
        <w:tc>
          <w:tcPr>
            <w:tcW w:w="124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340" w:type="dxa"/>
            <w:vAlign w:val="bottom"/>
            <w:tcBorders>
              <w:bottom w:val="single" w:sz="8" w:color="A6A6A6"/>
            </w:tcBorders>
            <w:gridSpan w:val="2"/>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r>
      <w:tr>
        <w:trPr>
          <w:trHeight w:val="289"/>
        </w:trPr>
        <w:tc>
          <w:tcPr>
            <w:tcW w:w="4860" w:type="dxa"/>
            <w:vAlign w:val="bottom"/>
          </w:tcPr>
          <w:p>
            <w:pPr>
              <w:spacing w:after="0"/>
              <w:rPr>
                <w:sz w:val="20"/>
                <w:szCs w:val="20"/>
                <w:color w:val="auto"/>
              </w:rPr>
            </w:pPr>
            <w:r>
              <w:rPr>
                <w:rFonts w:ascii="Arial" w:cs="Arial" w:eastAsia="Arial" w:hAnsi="Arial"/>
                <w:sz w:val="18"/>
                <w:szCs w:val="18"/>
                <w:b w:val="1"/>
                <w:bCs w:val="1"/>
                <w:color w:val="004483"/>
              </w:rPr>
              <w:t>$143.09 - $261.76</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43,814</w:t>
            </w: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2.34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206.91</w:t>
            </w:r>
          </w:p>
        </w:tc>
        <w:tc>
          <w:tcPr>
            <w:tcW w:w="1340" w:type="dxa"/>
            <w:vAlign w:val="bottom"/>
            <w:gridSpan w:val="2"/>
          </w:tcPr>
          <w:p>
            <w:pPr>
              <w:jc w:val="right"/>
              <w:ind w:right="39"/>
              <w:spacing w:after="0"/>
              <w:rPr>
                <w:sz w:val="20"/>
                <w:szCs w:val="20"/>
                <w:color w:val="auto"/>
              </w:rPr>
            </w:pPr>
            <w:r>
              <w:rPr>
                <w:rFonts w:ascii="Arial" w:cs="Arial" w:eastAsia="Arial" w:hAnsi="Arial"/>
                <w:sz w:val="18"/>
                <w:szCs w:val="18"/>
                <w:color w:val="auto"/>
              </w:rPr>
              <w:t>10,627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184.83</w:t>
            </w:r>
          </w:p>
        </w:tc>
      </w:tr>
      <w:tr>
        <w:trPr>
          <w:trHeight w:val="69"/>
        </w:trPr>
        <w:tc>
          <w:tcPr>
            <w:tcW w:w="4860" w:type="dxa"/>
            <w:vAlign w:val="bottom"/>
            <w:tcBorders>
              <w:bottom w:val="single" w:sz="8" w:color="A6A6A6"/>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420" w:type="dxa"/>
            <w:vAlign w:val="bottom"/>
            <w:tcBorders>
              <w:bottom w:val="single" w:sz="8" w:color="A6A6A6"/>
            </w:tcBorders>
          </w:tcPr>
          <w:p>
            <w:pPr>
              <w:spacing w:after="0"/>
              <w:rPr>
                <w:sz w:val="6"/>
                <w:szCs w:val="6"/>
                <w:color w:val="auto"/>
              </w:rPr>
            </w:pPr>
          </w:p>
        </w:tc>
        <w:tc>
          <w:tcPr>
            <w:tcW w:w="160" w:type="dxa"/>
            <w:vAlign w:val="bottom"/>
            <w:tcBorders>
              <w:bottom w:val="single" w:sz="8" w:color="A6A6A6"/>
            </w:tcBorders>
          </w:tcPr>
          <w:p>
            <w:pPr>
              <w:spacing w:after="0"/>
              <w:rPr>
                <w:sz w:val="6"/>
                <w:szCs w:val="6"/>
                <w:color w:val="auto"/>
              </w:rPr>
            </w:pPr>
          </w:p>
        </w:tc>
        <w:tc>
          <w:tcPr>
            <w:tcW w:w="960" w:type="dxa"/>
            <w:vAlign w:val="bottom"/>
            <w:tcBorders>
              <w:bottom w:val="single" w:sz="8" w:color="A6A6A6"/>
            </w:tcBorders>
          </w:tcPr>
          <w:p>
            <w:pPr>
              <w:spacing w:after="0"/>
              <w:rPr>
                <w:sz w:val="6"/>
                <w:szCs w:val="6"/>
                <w:color w:val="auto"/>
              </w:rPr>
            </w:pPr>
          </w:p>
        </w:tc>
        <w:tc>
          <w:tcPr>
            <w:tcW w:w="120" w:type="dxa"/>
            <w:vAlign w:val="bottom"/>
            <w:tcBorders>
              <w:bottom w:val="single" w:sz="8" w:color="A6A6A6"/>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bottom w:val="single" w:sz="8" w:color="A6A6A6"/>
            </w:tcBorders>
          </w:tcPr>
          <w:p>
            <w:pPr>
              <w:spacing w:after="0"/>
              <w:rPr>
                <w:sz w:val="6"/>
                <w:szCs w:val="6"/>
                <w:color w:val="auto"/>
              </w:rPr>
            </w:pPr>
          </w:p>
        </w:tc>
        <w:tc>
          <w:tcPr>
            <w:tcW w:w="960" w:type="dxa"/>
            <w:vAlign w:val="bottom"/>
            <w:tcBorders>
              <w:bottom w:val="single" w:sz="8" w:color="A6A6A6"/>
            </w:tcBorders>
          </w:tcPr>
          <w:p>
            <w:pPr>
              <w:spacing w:after="0"/>
              <w:rPr>
                <w:sz w:val="6"/>
                <w:szCs w:val="6"/>
                <w:color w:val="auto"/>
              </w:rPr>
            </w:pPr>
          </w:p>
        </w:tc>
      </w:tr>
      <w:tr>
        <w:trPr>
          <w:trHeight w:val="289"/>
        </w:trPr>
        <w:tc>
          <w:tcPr>
            <w:tcW w:w="4860" w:type="dxa"/>
            <w:vAlign w:val="bottom"/>
          </w:tcPr>
          <w:p>
            <w:pPr>
              <w:spacing w:after="0"/>
              <w:rPr>
                <w:sz w:val="24"/>
                <w:szCs w:val="24"/>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206,721</w:t>
            </w:r>
          </w:p>
        </w:tc>
        <w:tc>
          <w:tcPr>
            <w:tcW w:w="1420" w:type="dxa"/>
            <w:vAlign w:val="bottom"/>
          </w:tcPr>
          <w:p>
            <w:pPr>
              <w:jc w:val="right"/>
              <w:ind w:right="155"/>
              <w:spacing w:after="0"/>
              <w:rPr>
                <w:sz w:val="20"/>
                <w:szCs w:val="20"/>
                <w:color w:val="auto"/>
              </w:rPr>
            </w:pPr>
            <w:r>
              <w:rPr>
                <w:rFonts w:ascii="Arial" w:cs="Arial" w:eastAsia="Arial" w:hAnsi="Arial"/>
                <w:sz w:val="18"/>
                <w:szCs w:val="18"/>
                <w:b w:val="1"/>
                <w:bCs w:val="1"/>
                <w:color w:val="auto"/>
              </w:rPr>
              <w:t>3.81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113.16</w:t>
            </w:r>
          </w:p>
        </w:tc>
        <w:tc>
          <w:tcPr>
            <w:tcW w:w="134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172,332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93.69</w:t>
            </w:r>
          </w:p>
        </w:tc>
      </w:tr>
      <w:tr>
        <w:trPr>
          <w:trHeight w:val="42"/>
        </w:trPr>
        <w:tc>
          <w:tcPr>
            <w:tcW w:w="48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
        </w:trPr>
        <w:tc>
          <w:tcPr>
            <w:tcW w:w="4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March 31, 2026, the aggregate intrinsic values for outstanding and exercisable options were approximately $16.8 million and $16.7 million, respectively. The total intrinsic values of options exercised during the fiscal years ended March 31, 2026, 2025, and 2024 were approximately $1.0 million, $14.4 million and $18.8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RESTRICTED STOCK UNITS AND RESTRICTED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for restricted stock units and nonvested restricted stock during the years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March 31,</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2026</w:t>
            </w: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Grant Date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Grant Date</w:t>
            </w:r>
          </w:p>
        </w:tc>
        <w:tc>
          <w:tcPr>
            <w:tcW w:w="1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of Shares</w:t>
            </w: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Arial" w:cs="Arial" w:eastAsia="Arial" w:hAnsi="Arial"/>
                <w:sz w:val="16"/>
                <w:szCs w:val="16"/>
                <w:b w:val="1"/>
                <w:bCs w:val="1"/>
                <w:color w:val="auto"/>
              </w:rPr>
              <w:t>Restricted Stock Units and Nonvested</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194,099</w:t>
            </w: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150.56</w:t>
            </w:r>
          </w:p>
        </w:tc>
        <w:tc>
          <w:tcPr>
            <w:tcW w:w="1060" w:type="dxa"/>
            <w:vAlign w:val="bottom"/>
            <w:gridSpan w:val="3"/>
            <w:vMerge w:val="restart"/>
          </w:tcPr>
          <w:p>
            <w:pPr>
              <w:jc w:val="right"/>
              <w:spacing w:after="0"/>
              <w:rPr>
                <w:sz w:val="20"/>
                <w:szCs w:val="20"/>
                <w:color w:val="auto"/>
              </w:rPr>
            </w:pPr>
            <w:r>
              <w:rPr>
                <w:rFonts w:ascii="Arial" w:cs="Arial" w:eastAsia="Arial" w:hAnsi="Arial"/>
                <w:sz w:val="16"/>
                <w:szCs w:val="16"/>
                <w:color w:val="auto"/>
              </w:rPr>
              <w:t>204,946</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121.12</w:t>
            </w:r>
          </w:p>
        </w:tc>
        <w:tc>
          <w:tcPr>
            <w:tcW w:w="98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222,384</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120"/>
        </w:trPr>
        <w:tc>
          <w:tcPr>
            <w:tcW w:w="40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Restricted Stock at Beginning of Year</w:t>
            </w:r>
          </w:p>
        </w:tc>
        <w:tc>
          <w:tcPr>
            <w:tcW w:w="900" w:type="dxa"/>
            <w:vAlign w:val="bottom"/>
            <w:vMerge w:val="continue"/>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0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4020" w:type="dxa"/>
            <w:vAlign w:val="bottom"/>
            <w:tcBorders>
              <w:bottom w:val="single" w:sz="8" w:color="A6A6A6"/>
            </w:tcBorders>
          </w:tcPr>
          <w:p>
            <w:pPr>
              <w:spacing w:after="0"/>
              <w:rPr>
                <w:sz w:val="4"/>
                <w:szCs w:val="4"/>
                <w:color w:val="auto"/>
              </w:rPr>
            </w:pPr>
          </w:p>
        </w:tc>
        <w:tc>
          <w:tcPr>
            <w:tcW w:w="900" w:type="dxa"/>
            <w:vAlign w:val="bottom"/>
            <w:tcBorders>
              <w:bottom w:val="single" w:sz="8" w:color="A6A6A6"/>
            </w:tcBorders>
          </w:tcPr>
          <w:p>
            <w:pPr>
              <w:spacing w:after="0"/>
              <w:rPr>
                <w:sz w:val="4"/>
                <w:szCs w:val="4"/>
                <w:color w:val="auto"/>
              </w:rPr>
            </w:pPr>
          </w:p>
        </w:tc>
        <w:tc>
          <w:tcPr>
            <w:tcW w:w="160" w:type="dxa"/>
            <w:vAlign w:val="bottom"/>
            <w:tcBorders>
              <w:bottom w:val="single" w:sz="8" w:color="A6A6A6"/>
            </w:tcBorders>
          </w:tcPr>
          <w:p>
            <w:pPr>
              <w:spacing w:after="0"/>
              <w:rPr>
                <w:sz w:val="4"/>
                <w:szCs w:val="4"/>
                <w:color w:val="auto"/>
              </w:rPr>
            </w:pPr>
          </w:p>
        </w:tc>
        <w:tc>
          <w:tcPr>
            <w:tcW w:w="280" w:type="dxa"/>
            <w:vAlign w:val="bottom"/>
            <w:tcBorders>
              <w:bottom w:val="single" w:sz="8" w:color="A6A6A6"/>
            </w:tcBorders>
          </w:tcPr>
          <w:p>
            <w:pPr>
              <w:spacing w:after="0"/>
              <w:rPr>
                <w:sz w:val="4"/>
                <w:szCs w:val="4"/>
                <w:color w:val="auto"/>
              </w:rPr>
            </w:pPr>
          </w:p>
        </w:tc>
        <w:tc>
          <w:tcPr>
            <w:tcW w:w="920" w:type="dxa"/>
            <w:vAlign w:val="bottom"/>
            <w:tcBorders>
              <w:bottom w:val="single" w:sz="8" w:color="A6A6A6"/>
            </w:tcBorders>
          </w:tcPr>
          <w:p>
            <w:pPr>
              <w:spacing w:after="0"/>
              <w:rPr>
                <w:sz w:val="4"/>
                <w:szCs w:val="4"/>
                <w:color w:val="auto"/>
              </w:rPr>
            </w:pPr>
          </w:p>
        </w:tc>
        <w:tc>
          <w:tcPr>
            <w:tcW w:w="1060" w:type="dxa"/>
            <w:vAlign w:val="bottom"/>
            <w:tcBorders>
              <w:bottom w:val="single" w:sz="8" w:color="A6A6A6"/>
            </w:tcBorders>
            <w:gridSpan w:val="3"/>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260" w:type="dxa"/>
            <w:vAlign w:val="bottom"/>
            <w:tcBorders>
              <w:bottom w:val="single" w:sz="8" w:color="A6A6A6"/>
            </w:tcBorders>
          </w:tcPr>
          <w:p>
            <w:pPr>
              <w:spacing w:after="0"/>
              <w:rPr>
                <w:sz w:val="4"/>
                <w:szCs w:val="4"/>
                <w:color w:val="auto"/>
              </w:rPr>
            </w:pPr>
          </w:p>
        </w:tc>
        <w:tc>
          <w:tcPr>
            <w:tcW w:w="980" w:type="dxa"/>
            <w:vAlign w:val="bottom"/>
            <w:tcBorders>
              <w:bottom w:val="single" w:sz="8" w:color="A6A6A6"/>
            </w:tcBorders>
          </w:tcPr>
          <w:p>
            <w:pPr>
              <w:spacing w:after="0"/>
              <w:rPr>
                <w:sz w:val="4"/>
                <w:szCs w:val="4"/>
                <w:color w:val="auto"/>
              </w:rPr>
            </w:pPr>
          </w:p>
        </w:tc>
        <w:tc>
          <w:tcPr>
            <w:tcW w:w="980" w:type="dxa"/>
            <w:vAlign w:val="bottom"/>
            <w:tcBorders>
              <w:bottom w:val="single" w:sz="8" w:color="A6A6A6"/>
            </w:tcBorders>
            <w:gridSpan w:val="2"/>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tcPr>
          <w:p>
            <w:pPr>
              <w:spacing w:after="0"/>
              <w:rPr>
                <w:sz w:val="4"/>
                <w:szCs w:val="4"/>
                <w:color w:val="auto"/>
              </w:rPr>
            </w:pPr>
          </w:p>
        </w:tc>
        <w:tc>
          <w:tcPr>
            <w:tcW w:w="110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4020" w:type="dxa"/>
            <w:vAlign w:val="bottom"/>
          </w:tcPr>
          <w:p>
            <w:pPr>
              <w:spacing w:after="0"/>
              <w:rPr>
                <w:sz w:val="20"/>
                <w:szCs w:val="20"/>
                <w:color w:val="auto"/>
              </w:rPr>
            </w:pPr>
            <w:r>
              <w:rPr>
                <w:rFonts w:ascii="Arial" w:cs="Arial" w:eastAsia="Arial" w:hAnsi="Arial"/>
                <w:sz w:val="16"/>
                <w:szCs w:val="16"/>
                <w:b w:val="1"/>
                <w:bCs w:val="1"/>
                <w:color w:val="004483"/>
              </w:rPr>
              <w:t>Granted</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70,244</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215.24</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66,741</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240.61</w:t>
            </w:r>
          </w:p>
        </w:tc>
        <w:tc>
          <w:tcPr>
            <w:tcW w:w="980" w:type="dxa"/>
            <w:vAlign w:val="bottom"/>
            <w:gridSpan w:val="2"/>
          </w:tcPr>
          <w:p>
            <w:pPr>
              <w:jc w:val="right"/>
              <w:ind w:right="19"/>
              <w:spacing w:after="0"/>
              <w:rPr>
                <w:sz w:val="20"/>
                <w:szCs w:val="20"/>
                <w:color w:val="auto"/>
              </w:rPr>
            </w:pPr>
            <w:r>
              <w:rPr>
                <w:rFonts w:ascii="Arial" w:cs="Arial" w:eastAsia="Arial" w:hAnsi="Arial"/>
                <w:sz w:val="16"/>
                <w:szCs w:val="16"/>
                <w:color w:val="auto"/>
              </w:rPr>
              <w:t>97,257</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169.62</w:t>
            </w:r>
          </w:p>
        </w:tc>
        <w:tc>
          <w:tcPr>
            <w:tcW w:w="0" w:type="dxa"/>
            <w:vAlign w:val="bottom"/>
          </w:tcPr>
          <w:p>
            <w:pPr>
              <w:spacing w:after="0"/>
              <w:rPr>
                <w:sz w:val="1"/>
                <w:szCs w:val="1"/>
                <w:color w:val="auto"/>
              </w:rPr>
            </w:pPr>
          </w:p>
        </w:tc>
      </w:tr>
      <w:tr>
        <w:trPr>
          <w:trHeight w:val="62"/>
        </w:trPr>
        <w:tc>
          <w:tcPr>
            <w:tcW w:w="402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gridSpan w:val="3"/>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gridSpan w:val="2"/>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6"/>
                <w:szCs w:val="16"/>
                <w:b w:val="1"/>
                <w:bCs w:val="1"/>
                <w:color w:val="004483"/>
              </w:rPr>
              <w:t>Vested</w:t>
            </w:r>
          </w:p>
        </w:tc>
        <w:tc>
          <w:tcPr>
            <w:tcW w:w="900" w:type="dxa"/>
            <w:vAlign w:val="bottom"/>
          </w:tcPr>
          <w:p>
            <w:pPr>
              <w:jc w:val="right"/>
              <w:spacing w:after="0"/>
              <w:rPr>
                <w:sz w:val="20"/>
                <w:szCs w:val="20"/>
                <w:color w:val="auto"/>
              </w:rPr>
            </w:pPr>
            <w:r>
              <w:rPr>
                <w:rFonts w:ascii="Arial" w:cs="Arial" w:eastAsia="Arial" w:hAnsi="Arial"/>
                <w:sz w:val="16"/>
                <w:szCs w:val="16"/>
                <w:color w:val="auto"/>
              </w:rPr>
              <w:t>(114,937)</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128.07</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(77,588)</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152.66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(111,695)</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124.78</w:t>
            </w:r>
          </w:p>
        </w:tc>
        <w:tc>
          <w:tcPr>
            <w:tcW w:w="0" w:type="dxa"/>
            <w:vAlign w:val="bottom"/>
          </w:tcPr>
          <w:p>
            <w:pPr>
              <w:spacing w:after="0"/>
              <w:rPr>
                <w:sz w:val="1"/>
                <w:szCs w:val="1"/>
                <w:color w:val="auto"/>
              </w:rPr>
            </w:pPr>
          </w:p>
        </w:tc>
      </w:tr>
      <w:tr>
        <w:trPr>
          <w:trHeight w:val="61"/>
        </w:trPr>
        <w:tc>
          <w:tcPr>
            <w:tcW w:w="402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gridSpan w:val="2"/>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6"/>
                <w:szCs w:val="16"/>
                <w:b w:val="1"/>
                <w:bCs w:val="1"/>
                <w:color w:val="004483"/>
              </w:rPr>
              <w:t>Cancelled</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89"/>
        </w:trPr>
        <w:tc>
          <w:tcPr>
            <w:tcW w:w="4020" w:type="dxa"/>
            <w:vAlign w:val="bottom"/>
            <w:tcBorders>
              <w:bottom w:val="single" w:sz="8" w:color="A6A6A6"/>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6A6A6"/>
            </w:tcBorders>
          </w:tcPr>
          <w:p>
            <w:pPr>
              <w:spacing w:after="0"/>
              <w:rPr>
                <w:sz w:val="7"/>
                <w:szCs w:val="7"/>
                <w:color w:val="auto"/>
              </w:rPr>
            </w:pPr>
          </w:p>
        </w:tc>
        <w:tc>
          <w:tcPr>
            <w:tcW w:w="92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20" w:type="dxa"/>
            <w:vAlign w:val="bottom"/>
            <w:tcBorders>
              <w:bottom w:val="single" w:sz="8" w:color="A6A6A6"/>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Borders>
              <w:bottom w:val="single" w:sz="8" w:color="A6A6A6"/>
            </w:tcBorders>
          </w:tcPr>
          <w:p>
            <w:pPr>
              <w:spacing w:after="0"/>
              <w:rPr>
                <w:sz w:val="7"/>
                <w:szCs w:val="7"/>
                <w:color w:val="auto"/>
              </w:rPr>
            </w:pPr>
          </w:p>
        </w:tc>
        <w:tc>
          <w:tcPr>
            <w:tcW w:w="9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6A6A6"/>
            </w:tcBorders>
          </w:tcPr>
          <w:p>
            <w:pPr>
              <w:spacing w:after="0"/>
              <w:rPr>
                <w:sz w:val="7"/>
                <w:szCs w:val="7"/>
                <w:color w:val="auto"/>
              </w:rPr>
            </w:pPr>
          </w:p>
        </w:tc>
        <w:tc>
          <w:tcPr>
            <w:tcW w:w="110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r>
              <w:rPr>
                <w:rFonts w:ascii="Arial" w:cs="Arial" w:eastAsia="Arial" w:hAnsi="Arial"/>
                <w:sz w:val="16"/>
                <w:szCs w:val="16"/>
                <w:b w:val="1"/>
                <w:bCs w:val="1"/>
                <w:color w:val="auto"/>
              </w:rPr>
              <w:t>Restricted Stock Units and Nonvested</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149,406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194,099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204,946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4020" w:type="dxa"/>
            <w:vAlign w:val="bottom"/>
          </w:tcPr>
          <w:p>
            <w:pPr>
              <w:ind w:left="140"/>
              <w:spacing w:after="0" w:line="143" w:lineRule="exact"/>
              <w:rPr>
                <w:sz w:val="20"/>
                <w:szCs w:val="20"/>
                <w:color w:val="auto"/>
              </w:rPr>
            </w:pPr>
            <w:r>
              <w:rPr>
                <w:rFonts w:ascii="Arial" w:cs="Arial" w:eastAsia="Arial" w:hAnsi="Arial"/>
                <w:sz w:val="16"/>
                <w:szCs w:val="16"/>
                <w:b w:val="1"/>
                <w:bCs w:val="1"/>
                <w:color w:val="auto"/>
              </w:rPr>
              <w:t>Restricted Stock at End of Year</w:t>
            </w:r>
          </w:p>
        </w:tc>
        <w:tc>
          <w:tcPr>
            <w:tcW w:w="900" w:type="dxa"/>
            <w:vAlign w:val="bottom"/>
            <w:vMerge w:val="continue"/>
          </w:tcPr>
          <w:p>
            <w:pPr>
              <w:spacing w:after="0"/>
              <w:rPr>
                <w:sz w:val="14"/>
                <w:szCs w:val="14"/>
                <w:color w:val="auto"/>
              </w:rPr>
            </w:pPr>
          </w:p>
        </w:tc>
        <w:tc>
          <w:tcPr>
            <w:tcW w:w="440" w:type="dxa"/>
            <w:vAlign w:val="bottom"/>
            <w:gridSpan w:val="2"/>
          </w:tcPr>
          <w:p>
            <w:pPr>
              <w:jc w:val="right"/>
              <w:ind w:right="60"/>
              <w:spacing w:after="0" w:line="143"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43" w:lineRule="exact"/>
              <w:rPr>
                <w:sz w:val="20"/>
                <w:szCs w:val="20"/>
                <w:color w:val="auto"/>
              </w:rPr>
            </w:pPr>
            <w:r>
              <w:rPr>
                <w:rFonts w:ascii="Arial" w:cs="Arial" w:eastAsia="Arial" w:hAnsi="Arial"/>
                <w:sz w:val="16"/>
                <w:szCs w:val="16"/>
                <w:b w:val="1"/>
                <w:bCs w:val="1"/>
                <w:color w:val="auto"/>
              </w:rPr>
              <w:t>111.33</w:t>
            </w:r>
          </w:p>
        </w:tc>
        <w:tc>
          <w:tcPr>
            <w:tcW w:w="1060" w:type="dxa"/>
            <w:vAlign w:val="bottom"/>
            <w:gridSpan w:val="3"/>
            <w:vMerge w:val="continue"/>
          </w:tcPr>
          <w:p>
            <w:pPr>
              <w:spacing w:after="0"/>
              <w:rPr>
                <w:sz w:val="14"/>
                <w:szCs w:val="14"/>
                <w:color w:val="auto"/>
              </w:rPr>
            </w:pPr>
          </w:p>
        </w:tc>
        <w:tc>
          <w:tcPr>
            <w:tcW w:w="400" w:type="dxa"/>
            <w:vAlign w:val="bottom"/>
            <w:gridSpan w:val="2"/>
          </w:tcPr>
          <w:p>
            <w:pPr>
              <w:jc w:val="right"/>
              <w:ind w:right="60"/>
              <w:spacing w:after="0" w:line="143"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
              <w:spacing w:after="0" w:line="143" w:lineRule="exact"/>
              <w:rPr>
                <w:sz w:val="20"/>
                <w:szCs w:val="20"/>
                <w:color w:val="auto"/>
              </w:rPr>
            </w:pPr>
            <w:r>
              <w:rPr>
                <w:rFonts w:ascii="Arial" w:cs="Arial" w:eastAsia="Arial" w:hAnsi="Arial"/>
                <w:sz w:val="16"/>
                <w:szCs w:val="16"/>
                <w:b w:val="1"/>
                <w:bCs w:val="1"/>
                <w:color w:val="auto"/>
              </w:rPr>
              <w:t>150.56</w:t>
            </w:r>
          </w:p>
        </w:tc>
        <w:tc>
          <w:tcPr>
            <w:tcW w:w="980" w:type="dxa"/>
            <w:vAlign w:val="bottom"/>
            <w:gridSpan w:val="2"/>
            <w:vMerge w:val="continue"/>
          </w:tcPr>
          <w:p>
            <w:pPr>
              <w:spacing w:after="0"/>
              <w:rPr>
                <w:sz w:val="14"/>
                <w:szCs w:val="14"/>
                <w:color w:val="auto"/>
              </w:rPr>
            </w:pPr>
          </w:p>
        </w:tc>
        <w:tc>
          <w:tcPr>
            <w:tcW w:w="440" w:type="dxa"/>
            <w:vAlign w:val="bottom"/>
            <w:gridSpan w:val="2"/>
          </w:tcPr>
          <w:p>
            <w:pPr>
              <w:jc w:val="right"/>
              <w:ind w:right="100"/>
              <w:spacing w:after="0" w:line="143" w:lineRule="exact"/>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39"/>
              <w:spacing w:after="0" w:line="143" w:lineRule="exact"/>
              <w:rPr>
                <w:sz w:val="20"/>
                <w:szCs w:val="20"/>
                <w:color w:val="auto"/>
              </w:rPr>
            </w:pPr>
            <w:r>
              <w:rPr>
                <w:rFonts w:ascii="Arial" w:cs="Arial" w:eastAsia="Arial" w:hAnsi="Arial"/>
                <w:sz w:val="16"/>
                <w:szCs w:val="16"/>
                <w:b w:val="1"/>
                <w:bCs w:val="1"/>
                <w:color w:val="auto"/>
              </w:rPr>
              <w:t>121.12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Expense related to restricted shares was $19.5 million, $17.6 million, and $17.9 million in fiscal years ended March 31, 2026, 2025, and 2024, respectively. At March 31, 2026, there was $17.8 million of unearned compensation that will be recognized over a weighted-average period of 1.3 years.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2023 Plan was 1,243,836 shares at March 31, 2026.</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(L) NET INTEREST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within Interest Expense,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7"/>
          </w:tcPr>
          <w:p>
            <w:pPr>
              <w:ind w:left="840"/>
              <w:spacing w:after="0"/>
              <w:rPr>
                <w:sz w:val="20"/>
                <w:szCs w:val="20"/>
                <w:color w:val="auto"/>
              </w:rPr>
            </w:pPr>
            <w:r>
              <w:rPr>
                <w:rFonts w:ascii="Arial" w:cs="Arial" w:eastAsia="Arial" w:hAnsi="Arial"/>
                <w:sz w:val="16"/>
                <w:szCs w:val="16"/>
                <w:b w:val="1"/>
                <w:bCs w:val="1"/>
                <w:color w:val="auto"/>
              </w:rPr>
              <w:t>For the Years Ended March 31,</w:t>
            </w:r>
          </w:p>
        </w:tc>
        <w:tc>
          <w:tcPr>
            <w:tcW w:w="1100" w:type="dxa"/>
            <w:vAlign w:val="bottom"/>
            <w:tcBorders>
              <w:bottom w:val="single" w:sz="8" w:color="auto"/>
            </w:tcBorders>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2024</w:t>
            </w:r>
          </w:p>
        </w:tc>
      </w:tr>
      <w:tr>
        <w:trPr>
          <w:trHeight w:val="203"/>
        </w:trPr>
        <w:tc>
          <w:tcPr>
            <w:tcW w:w="6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301"/>
        </w:trPr>
        <w:tc>
          <w:tcPr>
            <w:tcW w:w="6200" w:type="dxa"/>
            <w:vAlign w:val="bottom"/>
          </w:tcPr>
          <w:p>
            <w:pPr>
              <w:spacing w:after="0"/>
              <w:rPr>
                <w:sz w:val="20"/>
                <w:szCs w:val="20"/>
                <w:color w:val="auto"/>
              </w:rPr>
            </w:pPr>
            <w:r>
              <w:rPr>
                <w:rFonts w:ascii="Arial" w:cs="Arial" w:eastAsia="Arial" w:hAnsi="Arial"/>
                <w:sz w:val="18"/>
                <w:szCs w:val="18"/>
                <w:b w:val="1"/>
                <w:bCs w:val="1"/>
                <w:color w:val="004483"/>
              </w:rPr>
              <w:t>Interest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(6,156)</w:t>
            </w:r>
          </w:p>
        </w:tc>
        <w:tc>
          <w:tcPr>
            <w:tcW w:w="58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(1,718)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(1,043)</w:t>
            </w:r>
          </w:p>
        </w:tc>
      </w:tr>
      <w:tr>
        <w:trPr>
          <w:trHeight w:val="50"/>
        </w:trPr>
        <w:tc>
          <w:tcPr>
            <w:tcW w:w="620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114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114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1100" w:type="dxa"/>
            <w:vAlign w:val="bottom"/>
            <w:tcBorders>
              <w:bottom w:val="single" w:sz="8" w:color="A6A6A6"/>
            </w:tcBorders>
          </w:tcPr>
          <w:p>
            <w:pPr>
              <w:spacing w:after="0"/>
              <w:rPr>
                <w:sz w:val="4"/>
                <w:szCs w:val="4"/>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Interest Expense</w:t>
            </w:r>
          </w:p>
        </w:tc>
        <w:tc>
          <w:tcPr>
            <w:tcW w:w="44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58,985</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43,025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42,875</w:t>
            </w:r>
          </w:p>
        </w:tc>
      </w:tr>
      <w:tr>
        <w:trPr>
          <w:trHeight w:val="56"/>
        </w:trPr>
        <w:tc>
          <w:tcPr>
            <w:tcW w:w="620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114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114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1100" w:type="dxa"/>
            <w:vAlign w:val="bottom"/>
            <w:tcBorders>
              <w:bottom w:val="single" w:sz="8" w:color="A6A6A6"/>
            </w:tcBorders>
          </w:tcPr>
          <w:p>
            <w:pPr>
              <w:spacing w:after="0"/>
              <w:rPr>
                <w:sz w:val="4"/>
                <w:szCs w:val="4"/>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Other Expenses</w:t>
            </w:r>
          </w:p>
        </w:tc>
        <w:tc>
          <w:tcPr>
            <w:tcW w:w="44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2,472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1,897</w:t>
            </w:r>
          </w:p>
        </w:tc>
      </w:tr>
      <w:tr>
        <w:trPr>
          <w:trHeight w:val="56"/>
        </w:trPr>
        <w:tc>
          <w:tcPr>
            <w:tcW w:w="620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114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1140" w:type="dxa"/>
            <w:vAlign w:val="bottom"/>
            <w:tcBorders>
              <w:bottom w:val="single" w:sz="8" w:color="A6A6A6"/>
            </w:tcBorders>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1100" w:type="dxa"/>
            <w:vAlign w:val="bottom"/>
            <w:tcBorders>
              <w:bottom w:val="single" w:sz="8" w:color="A6A6A6"/>
            </w:tcBorders>
          </w:tcPr>
          <w:p>
            <w:pPr>
              <w:spacing w:after="0"/>
              <w:rPr>
                <w:sz w:val="4"/>
                <w:szCs w:val="4"/>
                <w:color w:val="auto"/>
              </w:rPr>
            </w:pPr>
          </w:p>
        </w:tc>
      </w:tr>
      <w:tr>
        <w:trPr>
          <w:trHeight w:val="289"/>
        </w:trPr>
        <w:tc>
          <w:tcPr>
            <w:tcW w:w="6200" w:type="dxa"/>
            <w:vAlign w:val="bottom"/>
          </w:tcPr>
          <w:p>
            <w:pPr>
              <w:spacing w:after="0"/>
              <w:rPr>
                <w:sz w:val="20"/>
                <w:szCs w:val="20"/>
                <w:color w:val="auto"/>
              </w:rPr>
            </w:pPr>
            <w:r>
              <w:rPr>
                <w:rFonts w:ascii="Arial" w:cs="Arial" w:eastAsia="Arial" w:hAnsi="Arial"/>
                <w:sz w:val="18"/>
                <w:szCs w:val="18"/>
                <w:b w:val="1"/>
                <w:bCs w:val="1"/>
                <w:color w:val="004483"/>
              </w:rPr>
              <w:t>Interest Capitalized</w:t>
            </w:r>
          </w:p>
        </w:tc>
        <w:tc>
          <w:tcPr>
            <w:tcW w:w="440" w:type="dxa"/>
            <w:vAlign w:val="bottom"/>
          </w:tcPr>
          <w:p>
            <w:pPr>
              <w:spacing w:after="0"/>
              <w:rPr>
                <w:sz w:val="24"/>
                <w:szCs w:val="24"/>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(8,819)</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(2,788)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(1,472)</w:t>
            </w:r>
          </w:p>
        </w:tc>
      </w:tr>
      <w:tr>
        <w:trPr>
          <w:trHeight w:val="83"/>
        </w:trPr>
        <w:tc>
          <w:tcPr>
            <w:tcW w:w="6200" w:type="dxa"/>
            <w:vAlign w:val="bottom"/>
            <w:tcBorders>
              <w:bottom w:val="single" w:sz="8" w:color="A6A6A6"/>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r>
        <w:trPr>
          <w:trHeight w:val="303"/>
        </w:trPr>
        <w:tc>
          <w:tcPr>
            <w:tcW w:w="620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53"/>
              <w:spacing w:after="0"/>
              <w:rPr>
                <w:sz w:val="20"/>
                <w:szCs w:val="20"/>
                <w:color w:val="auto"/>
              </w:rPr>
            </w:pPr>
            <w:r>
              <w:rPr>
                <w:rFonts w:ascii="Arial" w:cs="Arial" w:eastAsia="Arial" w:hAnsi="Arial"/>
                <w:sz w:val="18"/>
                <w:szCs w:val="18"/>
                <w:b w:val="1"/>
                <w:bCs w:val="1"/>
                <w:color w:val="auto"/>
              </w:rPr>
              <w:t>46,482</w:t>
            </w:r>
          </w:p>
        </w:tc>
        <w:tc>
          <w:tcPr>
            <w:tcW w:w="58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40,526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42,257</w:t>
            </w:r>
          </w:p>
        </w:tc>
      </w:tr>
      <w:tr>
        <w:trPr>
          <w:trHeight w:val="42"/>
        </w:trPr>
        <w:tc>
          <w:tcPr>
            <w:tcW w:w="62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6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Interest Income includes interest earned on investments of excess Cash and Cash Equivalents.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and Term Loan costs.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(M) PENSION AND PROFIT SHARING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offer our employees multiple retirement and profit-sharing plans.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Pension Plans</w:t>
      </w:r>
    </w:p>
    <w:p>
      <w:pPr>
        <w:spacing w:after="0" w:line="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historically sponsored several single-employer defined benefit plans, which we merged into a single plan on March 31, 2025. This defined benefit plan, along with our defined contribution plan, covers substantially all our employees. Benefits paid under the single-employer defined benefit plans covering certain hourly employees were historically based on years of service and the employee’s qualifying compensation over the last few years of employment. These plans have been frozen to new participants and new benefits over the last several years, with the last plan frozen during fiscal 2020. Our defined benefit plan is fully funded, with plan assets exceeding the benefit obligation at March 31, 2026. Our funding policy is to generally contribute amounts to ensure our pension assets are consistent with our pension liabilities. The annual measurement date is March 31 for the benefit obligations, fair value of plan assets, and the funded status of the defined benefit plans.</w:t>
      </w:r>
    </w:p>
    <w:p>
      <w:pPr>
        <w:spacing w:after="0" w:line="7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Effective March 31, 2026, we began the process of terminating the defined benefit plan. During fiscal 2027, we expect to offer a lump-sum benefit payout option to certain plan participants prior to completing the purchase of group annuity contracts that will transfer the plan assets and pension benefit obligation to an insurance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following table provides a reconciliation of the Benefit Obligations and Fair Values of Plan Assets for all defined benefit plans for the years ended March 31, 2026, and 2025, as well as a statement of the funded status for the same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For the Years Ended March 31,</w:t>
            </w:r>
          </w:p>
        </w:tc>
        <w:tc>
          <w:tcPr>
            <w:tcW w:w="820" w:type="dxa"/>
            <w:vAlign w:val="bottom"/>
            <w:tcBorders>
              <w:bottom w:val="single" w:sz="8" w:color="auto"/>
            </w:tcBorders>
          </w:tcPr>
          <w:p>
            <w:pPr>
              <w:spacing w:after="0"/>
              <w:rPr>
                <w:sz w:val="18"/>
                <w:szCs w:val="18"/>
                <w:color w:val="auto"/>
              </w:rPr>
            </w:pPr>
          </w:p>
        </w:tc>
      </w:tr>
      <w:tr>
        <w:trPr>
          <w:trHeight w:val="210"/>
        </w:trPr>
        <w:tc>
          <w:tcPr>
            <w:tcW w:w="7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2025</w:t>
            </w:r>
          </w:p>
        </w:tc>
      </w:tr>
      <w:tr>
        <w:trPr>
          <w:trHeight w:val="203"/>
        </w:trPr>
        <w:tc>
          <w:tcPr>
            <w:tcW w:w="7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color w:val="auto"/>
              </w:rPr>
              <w:t>(dollars in thousands)</w:t>
            </w:r>
          </w:p>
        </w:tc>
        <w:tc>
          <w:tcPr>
            <w:tcW w:w="820" w:type="dxa"/>
            <w:vAlign w:val="bottom"/>
            <w:tcBorders>
              <w:bottom w:val="single" w:sz="8" w:color="auto"/>
            </w:tcBorders>
          </w:tcPr>
          <w:p>
            <w:pPr>
              <w:spacing w:after="0"/>
              <w:rPr>
                <w:sz w:val="17"/>
                <w:szCs w:val="17"/>
                <w:color w:val="auto"/>
              </w:rPr>
            </w:pPr>
          </w:p>
        </w:tc>
      </w:tr>
      <w:tr>
        <w:trPr>
          <w:trHeight w:val="296"/>
        </w:trPr>
        <w:tc>
          <w:tcPr>
            <w:tcW w:w="7380" w:type="dxa"/>
            <w:vAlign w:val="bottom"/>
          </w:tcPr>
          <w:p>
            <w:pPr>
              <w:spacing w:after="0"/>
              <w:rPr>
                <w:sz w:val="20"/>
                <w:szCs w:val="20"/>
                <w:color w:val="auto"/>
              </w:rPr>
            </w:pPr>
            <w:r>
              <w:rPr>
                <w:rFonts w:ascii="Arial" w:cs="Arial" w:eastAsia="Arial" w:hAnsi="Arial"/>
                <w:sz w:val="18"/>
                <w:szCs w:val="18"/>
                <w:b w:val="1"/>
                <w:bCs w:val="1"/>
                <w:color w:val="auto"/>
              </w:rPr>
              <w:t>Reconciliation of Benefit Obligations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gridSpan w:val="2"/>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Benefit Obligation at April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27,283</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28,130</w:t>
            </w: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Interest Cost on Projected Benefit Obligation</w:t>
            </w:r>
          </w:p>
        </w:tc>
        <w:tc>
          <w:tcPr>
            <w:tcW w:w="360" w:type="dxa"/>
            <w:vAlign w:val="bottom"/>
          </w:tcPr>
          <w:p>
            <w:pPr>
              <w:spacing w:after="0"/>
              <w:rPr>
                <w:sz w:val="24"/>
                <w:szCs w:val="24"/>
                <w:color w:val="auto"/>
              </w:rPr>
            </w:pP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1,457</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1,434</w:t>
            </w: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Actuarial (Gain) Loss</w:t>
            </w:r>
          </w:p>
        </w:tc>
        <w:tc>
          <w:tcPr>
            <w:tcW w:w="360" w:type="dxa"/>
            <w:vAlign w:val="bottom"/>
          </w:tcPr>
          <w:p>
            <w:pPr>
              <w:spacing w:after="0"/>
              <w:rPr>
                <w:sz w:val="24"/>
                <w:szCs w:val="24"/>
                <w:color w:val="auto"/>
              </w:rPr>
            </w:pP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(612)</w:t>
            </w: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Benefits Paid</w:t>
            </w:r>
          </w:p>
        </w:tc>
        <w:tc>
          <w:tcPr>
            <w:tcW w:w="36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(1,669)</w:t>
            </w:r>
          </w:p>
        </w:tc>
      </w:tr>
      <w:tr>
        <w:trPr>
          <w:trHeight w:val="69"/>
        </w:trPr>
        <w:tc>
          <w:tcPr>
            <w:tcW w:w="738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89"/>
        </w:trPr>
        <w:tc>
          <w:tcPr>
            <w:tcW w:w="7380" w:type="dxa"/>
            <w:vAlign w:val="bottom"/>
          </w:tcPr>
          <w:p>
            <w:pPr>
              <w:ind w:left="280"/>
              <w:spacing w:after="0"/>
              <w:rPr>
                <w:sz w:val="20"/>
                <w:szCs w:val="20"/>
                <w:color w:val="auto"/>
              </w:rPr>
            </w:pPr>
            <w:r>
              <w:rPr>
                <w:rFonts w:ascii="Arial" w:cs="Arial" w:eastAsia="Arial" w:hAnsi="Arial"/>
                <w:sz w:val="18"/>
                <w:szCs w:val="18"/>
                <w:b w:val="1"/>
                <w:bCs w:val="1"/>
                <w:color w:val="004483"/>
              </w:rPr>
              <w:t>Benefit Obligation at March 31,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28,301</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27,283</w:t>
            </w:r>
          </w:p>
        </w:tc>
      </w:tr>
      <w:tr>
        <w:trPr>
          <w:trHeight w:val="69"/>
        </w:trPr>
        <w:tc>
          <w:tcPr>
            <w:tcW w:w="738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auto"/>
              </w:rPr>
              <w:t>Reconciliation of Fair Value of Plan Assets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gridSpan w:val="2"/>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Fair Value of Plan Assets at April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29,492</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30,124</w:t>
            </w: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Actual Return on Plan Assets</w:t>
            </w:r>
          </w:p>
        </w:tc>
        <w:tc>
          <w:tcPr>
            <w:tcW w:w="360" w:type="dxa"/>
            <w:vAlign w:val="bottom"/>
          </w:tcPr>
          <w:p>
            <w:pPr>
              <w:spacing w:after="0"/>
              <w:rPr>
                <w:sz w:val="24"/>
                <w:szCs w:val="24"/>
                <w:color w:val="auto"/>
              </w:rPr>
            </w:pP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1,037</w:t>
            </w: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Employer Contributions</w:t>
            </w:r>
          </w:p>
        </w:tc>
        <w:tc>
          <w:tcPr>
            <w:tcW w:w="360" w:type="dxa"/>
            <w:vAlign w:val="bottom"/>
          </w:tcPr>
          <w:p>
            <w:pPr>
              <w:spacing w:after="0"/>
              <w:rPr>
                <w:sz w:val="24"/>
                <w:szCs w:val="24"/>
                <w:color w:val="auto"/>
              </w:rPr>
            </w:pP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Benefits Paid</w:t>
            </w:r>
          </w:p>
        </w:tc>
        <w:tc>
          <w:tcPr>
            <w:tcW w:w="36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(1,669)</w:t>
            </w:r>
          </w:p>
        </w:tc>
      </w:tr>
      <w:tr>
        <w:trPr>
          <w:trHeight w:val="69"/>
        </w:trPr>
        <w:tc>
          <w:tcPr>
            <w:tcW w:w="738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89"/>
        </w:trPr>
        <w:tc>
          <w:tcPr>
            <w:tcW w:w="7380" w:type="dxa"/>
            <w:vAlign w:val="bottom"/>
          </w:tcPr>
          <w:p>
            <w:pPr>
              <w:ind w:left="280"/>
              <w:spacing w:after="0"/>
              <w:rPr>
                <w:sz w:val="20"/>
                <w:szCs w:val="20"/>
                <w:color w:val="auto"/>
              </w:rPr>
            </w:pPr>
            <w:r>
              <w:rPr>
                <w:rFonts w:ascii="Arial" w:cs="Arial" w:eastAsia="Arial" w:hAnsi="Arial"/>
                <w:sz w:val="18"/>
                <w:szCs w:val="18"/>
                <w:b w:val="1"/>
                <w:bCs w:val="1"/>
                <w:color w:val="004483"/>
              </w:rPr>
              <w:t>Fair Value of Plan Assets at March 31,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28,736</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29,492</w:t>
            </w:r>
          </w:p>
        </w:tc>
      </w:tr>
      <w:tr>
        <w:trPr>
          <w:trHeight w:val="69"/>
        </w:trPr>
        <w:tc>
          <w:tcPr>
            <w:tcW w:w="738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89"/>
        </w:trPr>
        <w:tc>
          <w:tcPr>
            <w:tcW w:w="7380" w:type="dxa"/>
            <w:vAlign w:val="bottom"/>
          </w:tcPr>
          <w:p>
            <w:pPr>
              <w:spacing w:after="0"/>
              <w:rPr>
                <w:sz w:val="20"/>
                <w:szCs w:val="20"/>
                <w:color w:val="auto"/>
              </w:rPr>
            </w:pPr>
            <w:r>
              <w:rPr>
                <w:rFonts w:ascii="Arial" w:cs="Arial" w:eastAsia="Arial" w:hAnsi="Arial"/>
                <w:sz w:val="18"/>
                <w:szCs w:val="18"/>
                <w:b w:val="1"/>
                <w:bCs w:val="1"/>
                <w:color w:val="004483"/>
              </w:rPr>
              <w:t>Funded Status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gridSpan w:val="2"/>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auto"/>
              </w:rPr>
              <w:t>Funded Status at March 31,</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b w:val="1"/>
                <w:bCs w:val="1"/>
                <w:color w:val="auto"/>
              </w:rPr>
              <w:t>435</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2,209</w:t>
            </w:r>
          </w:p>
        </w:tc>
      </w:tr>
      <w:tr>
        <w:trPr>
          <w:trHeight w:val="42"/>
        </w:trPr>
        <w:tc>
          <w:tcPr>
            <w:tcW w:w="73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0"/>
        </w:trPr>
        <w:tc>
          <w:tcPr>
            <w:tcW w:w="738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6"/>
        </w:trPr>
        <w:tc>
          <w:tcPr>
            <w:tcW w:w="7380" w:type="dxa"/>
            <w:vAlign w:val="bottom"/>
          </w:tcPr>
          <w:p>
            <w:pPr>
              <w:spacing w:after="0"/>
              <w:rPr>
                <w:sz w:val="20"/>
                <w:szCs w:val="20"/>
                <w:color w:val="auto"/>
              </w:rPr>
            </w:pPr>
            <w:r>
              <w:rPr>
                <w:rFonts w:ascii="Arial" w:cs="Arial" w:eastAsia="Arial" w:hAnsi="Arial"/>
                <w:sz w:val="18"/>
                <w:szCs w:val="18"/>
                <w:b w:val="1"/>
                <w:bCs w:val="1"/>
                <w:color w:val="auto"/>
              </w:rPr>
              <w:t>Amounts Recognized in the Balance Sheet Include:</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220" w:type="dxa"/>
            <w:vAlign w:val="bottom"/>
            <w:tcBorders>
              <w:bottom w:val="single" w:sz="8" w:color="A6A6A6"/>
            </w:tcBorders>
            <w:gridSpan w:val="2"/>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Other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435</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2,209</w:t>
            </w: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Accumulated Other Comprehensive Losses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280"/>
              <w:spacing w:after="0"/>
              <w:rPr>
                <w:sz w:val="20"/>
                <w:szCs w:val="20"/>
                <w:color w:val="auto"/>
              </w:rPr>
            </w:pPr>
            <w:r>
              <w:rPr>
                <w:rFonts w:ascii="Arial" w:cs="Arial" w:eastAsia="Arial" w:hAnsi="Arial"/>
                <w:sz w:val="18"/>
                <w:szCs w:val="18"/>
                <w:b w:val="1"/>
                <w:bCs w:val="1"/>
                <w:color w:val="004483"/>
              </w:rPr>
              <w:t>Net Actuarial Loss</w:t>
            </w:r>
          </w:p>
        </w:tc>
        <w:tc>
          <w:tcPr>
            <w:tcW w:w="360" w:type="dxa"/>
            <w:vAlign w:val="bottom"/>
          </w:tcPr>
          <w:p>
            <w:pPr>
              <w:spacing w:after="0"/>
              <w:rPr>
                <w:sz w:val="24"/>
                <w:szCs w:val="24"/>
                <w:color w:val="auto"/>
              </w:rPr>
            </w:pP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5,806</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4,115</w:t>
            </w:r>
          </w:p>
        </w:tc>
      </w:tr>
      <w:tr>
        <w:trPr>
          <w:trHeight w:val="69"/>
        </w:trPr>
        <w:tc>
          <w:tcPr>
            <w:tcW w:w="738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004483"/>
              </w:rPr>
              <w:t>Accumulated Other Comprehensive Losses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5,806</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4,115</w:t>
            </w:r>
          </w:p>
        </w:tc>
      </w:tr>
      <w:tr>
        <w:trPr>
          <w:trHeight w:val="42"/>
        </w:trPr>
        <w:tc>
          <w:tcPr>
            <w:tcW w:w="7380" w:type="dxa"/>
            <w:vAlign w:val="bottom"/>
            <w:tcBorders>
              <w:bottom w:val="single" w:sz="8" w:color="A6A6A6"/>
            </w:tcBorders>
          </w:tcPr>
          <w:p>
            <w:pPr>
              <w:spacing w:after="0"/>
              <w:rPr>
                <w:sz w:val="3"/>
                <w:szCs w:val="3"/>
                <w:color w:val="auto"/>
              </w:rPr>
            </w:pPr>
          </w:p>
        </w:tc>
        <w:tc>
          <w:tcPr>
            <w:tcW w:w="360" w:type="dxa"/>
            <w:vAlign w:val="bottom"/>
            <w:tcBorders>
              <w:bottom w:val="single" w:sz="8" w:color="A6A6A6"/>
            </w:tcBorders>
          </w:tcPr>
          <w:p>
            <w:pPr>
              <w:spacing w:after="0"/>
              <w:rPr>
                <w:sz w:val="3"/>
                <w:szCs w:val="3"/>
                <w:color w:val="auto"/>
              </w:rPr>
            </w:pPr>
          </w:p>
        </w:tc>
        <w:tc>
          <w:tcPr>
            <w:tcW w:w="146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r>
      <w:tr>
        <w:trPr>
          <w:trHeight w:val="289"/>
        </w:trPr>
        <w:tc>
          <w:tcPr>
            <w:tcW w:w="7380" w:type="dxa"/>
            <w:vAlign w:val="bottom"/>
          </w:tcPr>
          <w:p>
            <w:pPr>
              <w:ind w:left="280"/>
              <w:spacing w:after="0"/>
              <w:rPr>
                <w:sz w:val="20"/>
                <w:szCs w:val="20"/>
                <w:color w:val="auto"/>
              </w:rPr>
            </w:pPr>
            <w:r>
              <w:rPr>
                <w:rFonts w:ascii="Arial" w:cs="Arial" w:eastAsia="Arial" w:hAnsi="Arial"/>
                <w:sz w:val="18"/>
                <w:szCs w:val="18"/>
                <w:b w:val="1"/>
                <w:bCs w:val="1"/>
                <w:color w:val="004483"/>
              </w:rPr>
              <w:t>Tax Impact</w:t>
            </w:r>
          </w:p>
        </w:tc>
        <w:tc>
          <w:tcPr>
            <w:tcW w:w="360" w:type="dxa"/>
            <w:vAlign w:val="bottom"/>
          </w:tcPr>
          <w:p>
            <w:pPr>
              <w:spacing w:after="0"/>
              <w:rPr>
                <w:sz w:val="24"/>
                <w:szCs w:val="24"/>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(1,402)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(990)</w:t>
            </w:r>
          </w:p>
        </w:tc>
      </w:tr>
      <w:tr>
        <w:trPr>
          <w:trHeight w:val="69"/>
        </w:trPr>
        <w:tc>
          <w:tcPr>
            <w:tcW w:w="7380" w:type="dxa"/>
            <w:vAlign w:val="bottom"/>
            <w:tcBorders>
              <w:bottom w:val="single" w:sz="8" w:color="A6A6A6"/>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8"/>
                <w:szCs w:val="18"/>
                <w:b w:val="1"/>
                <w:bCs w:val="1"/>
                <w:color w:val="auto"/>
              </w:rPr>
              <w:t>Accumulated Other Comprehensive Losses, net of tax</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b w:val="1"/>
                <w:bCs w:val="1"/>
                <w:color w:val="auto"/>
              </w:rPr>
              <w:t>4,404</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3,125</w:t>
            </w:r>
          </w:p>
        </w:tc>
      </w:tr>
      <w:tr>
        <w:trPr>
          <w:trHeight w:val="42"/>
        </w:trPr>
        <w:tc>
          <w:tcPr>
            <w:tcW w:w="73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0"/>
        </w:trPr>
        <w:tc>
          <w:tcPr>
            <w:tcW w:w="7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Net periodic pension cost for the fiscal years ended March 31, 2026, 2025, and 2024, included the components listed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6"/>
                <w:szCs w:val="16"/>
                <w:b w:val="1"/>
                <w:bCs w:val="1"/>
                <w:color w:val="auto"/>
              </w:rPr>
              <w:t>For the Years Ended March 31,</w:t>
            </w:r>
          </w:p>
        </w:tc>
        <w:tc>
          <w:tcPr>
            <w:tcW w:w="1060" w:type="dxa"/>
            <w:vAlign w:val="bottom"/>
            <w:tcBorders>
              <w:bottom w:val="single" w:sz="8" w:color="auto"/>
            </w:tcBorders>
          </w:tcPr>
          <w:p>
            <w:pPr>
              <w:spacing w:after="0"/>
              <w:rPr>
                <w:sz w:val="18"/>
                <w:szCs w:val="18"/>
                <w:color w:val="auto"/>
              </w:rPr>
            </w:pPr>
          </w:p>
        </w:tc>
      </w:tr>
      <w:tr>
        <w:trPr>
          <w:trHeight w:val="209"/>
        </w:trPr>
        <w:tc>
          <w:tcPr>
            <w:tcW w:w="6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2024</w:t>
            </w:r>
          </w:p>
        </w:tc>
      </w:tr>
      <w:tr>
        <w:trPr>
          <w:trHeight w:val="203"/>
        </w:trPr>
        <w:tc>
          <w:tcPr>
            <w:tcW w:w="6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47"/>
        </w:trPr>
        <w:tc>
          <w:tcPr>
            <w:tcW w:w="6360" w:type="dxa"/>
            <w:vAlign w:val="bottom"/>
          </w:tcPr>
          <w:p>
            <w:pPr>
              <w:spacing w:after="0"/>
              <w:rPr>
                <w:sz w:val="20"/>
                <w:szCs w:val="20"/>
                <w:color w:val="auto"/>
              </w:rPr>
            </w:pPr>
            <w:r>
              <w:rPr>
                <w:rFonts w:ascii="Arial" w:cs="Arial" w:eastAsia="Arial" w:hAnsi="Arial"/>
                <w:sz w:val="18"/>
                <w:szCs w:val="18"/>
                <w:b w:val="1"/>
                <w:bCs w:val="1"/>
                <w:color w:val="004483"/>
              </w:rPr>
              <w:t>Interest Cost of Projected Benefit Obligation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1,457</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1,434</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1,413</w:t>
            </w:r>
          </w:p>
        </w:tc>
      </w:tr>
      <w:tr>
        <w:trPr>
          <w:trHeight w:val="37"/>
        </w:trPr>
        <w:tc>
          <w:tcPr>
            <w:tcW w:w="636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r>
      <w:tr>
        <w:trPr>
          <w:trHeight w:val="289"/>
        </w:trPr>
        <w:tc>
          <w:tcPr>
            <w:tcW w:w="6360" w:type="dxa"/>
            <w:vAlign w:val="bottom"/>
          </w:tcPr>
          <w:p>
            <w:pPr>
              <w:spacing w:after="0"/>
              <w:rPr>
                <w:sz w:val="20"/>
                <w:szCs w:val="20"/>
                <w:color w:val="auto"/>
              </w:rPr>
            </w:pPr>
            <w:r>
              <w:rPr>
                <w:rFonts w:ascii="Arial" w:cs="Arial" w:eastAsia="Arial" w:hAnsi="Arial"/>
                <w:sz w:val="18"/>
                <w:szCs w:val="18"/>
                <w:b w:val="1"/>
                <w:bCs w:val="1"/>
                <w:color w:val="004483"/>
              </w:rPr>
              <w:t>Expected Return on Plan Assets</w:t>
            </w:r>
          </w:p>
        </w:tc>
        <w:tc>
          <w:tcPr>
            <w:tcW w:w="420" w:type="dxa"/>
            <w:vAlign w:val="bottom"/>
          </w:tcPr>
          <w:p>
            <w:pPr>
              <w:spacing w:after="0"/>
              <w:rPr>
                <w:sz w:val="24"/>
                <w:szCs w:val="24"/>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(1,548)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(1,512)</w:t>
            </w:r>
          </w:p>
        </w:tc>
      </w:tr>
      <w:tr>
        <w:trPr>
          <w:trHeight w:val="42"/>
        </w:trPr>
        <w:tc>
          <w:tcPr>
            <w:tcW w:w="636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44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r>
      <w:tr>
        <w:trPr>
          <w:trHeight w:val="289"/>
        </w:trPr>
        <w:tc>
          <w:tcPr>
            <w:tcW w:w="6360" w:type="dxa"/>
            <w:vAlign w:val="bottom"/>
          </w:tcPr>
          <w:p>
            <w:pPr>
              <w:spacing w:after="0"/>
              <w:rPr>
                <w:sz w:val="20"/>
                <w:szCs w:val="20"/>
                <w:color w:val="auto"/>
              </w:rPr>
            </w:pPr>
            <w:r>
              <w:rPr>
                <w:rFonts w:ascii="Arial" w:cs="Arial" w:eastAsia="Arial" w:hAnsi="Arial"/>
                <w:sz w:val="18"/>
                <w:szCs w:val="18"/>
                <w:b w:val="1"/>
                <w:bCs w:val="1"/>
                <w:color w:val="004483"/>
              </w:rPr>
              <w:t>Recognized Net Actuarial Loss</w:t>
            </w:r>
          </w:p>
        </w:tc>
        <w:tc>
          <w:tcPr>
            <w:tcW w:w="42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250</w:t>
            </w:r>
          </w:p>
        </w:tc>
      </w:tr>
      <w:tr>
        <w:trPr>
          <w:trHeight w:val="69"/>
        </w:trPr>
        <w:tc>
          <w:tcPr>
            <w:tcW w:w="6360" w:type="dxa"/>
            <w:vAlign w:val="bottom"/>
            <w:tcBorders>
              <w:bottom w:val="single" w:sz="8" w:color="A6A6A6"/>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289"/>
        </w:trPr>
        <w:tc>
          <w:tcPr>
            <w:tcW w:w="6360" w:type="dxa"/>
            <w:vAlign w:val="bottom"/>
          </w:tcPr>
          <w:p>
            <w:pPr>
              <w:ind w:left="160"/>
              <w:spacing w:after="0"/>
              <w:rPr>
                <w:sz w:val="20"/>
                <w:szCs w:val="20"/>
                <w:color w:val="auto"/>
              </w:rPr>
            </w:pPr>
            <w:r>
              <w:rPr>
                <w:rFonts w:ascii="Arial" w:cs="Arial" w:eastAsia="Arial" w:hAnsi="Arial"/>
                <w:sz w:val="18"/>
                <w:szCs w:val="18"/>
                <w:b w:val="1"/>
                <w:bCs w:val="1"/>
                <w:color w:val="004483"/>
              </w:rPr>
              <w:t>Net Periodic Pension Cost</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3"/>
              <w:spacing w:after="0"/>
              <w:rPr>
                <w:sz w:val="20"/>
                <w:szCs w:val="20"/>
                <w:color w:val="auto"/>
              </w:rPr>
            </w:pPr>
            <w:r>
              <w:rPr>
                <w:rFonts w:ascii="Arial" w:cs="Arial" w:eastAsia="Arial" w:hAnsi="Arial"/>
                <w:sz w:val="18"/>
                <w:szCs w:val="18"/>
                <w:b w:val="1"/>
                <w:bCs w:val="1"/>
                <w:color w:val="auto"/>
              </w:rPr>
              <w:t>82</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124</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151</w:t>
            </w:r>
          </w:p>
        </w:tc>
      </w:tr>
      <w:tr>
        <w:trPr>
          <w:trHeight w:val="42"/>
        </w:trPr>
        <w:tc>
          <w:tcPr>
            <w:tcW w:w="63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Expected benefit payments over the next five years, and the following five years under the pension plans are expected to be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Fiscal Years</w:t>
            </w:r>
          </w:p>
        </w:tc>
        <w:tc>
          <w:tcPr>
            <w:tcW w:w="4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Total</w:t>
            </w:r>
          </w:p>
        </w:tc>
      </w:tr>
      <w:tr>
        <w:trPr>
          <w:trHeight w:val="295"/>
        </w:trPr>
        <w:tc>
          <w:tcPr>
            <w:tcW w:w="5000" w:type="dxa"/>
            <w:vAlign w:val="bottom"/>
          </w:tcPr>
          <w:p>
            <w:pPr>
              <w:spacing w:after="0"/>
              <w:rPr>
                <w:sz w:val="20"/>
                <w:szCs w:val="20"/>
                <w:color w:val="auto"/>
              </w:rPr>
            </w:pPr>
            <w:r>
              <w:rPr>
                <w:rFonts w:ascii="Arial" w:cs="Arial" w:eastAsia="Arial" w:hAnsi="Arial"/>
                <w:sz w:val="18"/>
                <w:szCs w:val="18"/>
                <w:b w:val="1"/>
                <w:bCs w:val="1"/>
                <w:color w:val="004483"/>
              </w:rPr>
              <w:t>2027</w:t>
            </w:r>
          </w:p>
        </w:tc>
        <w:tc>
          <w:tcPr>
            <w:tcW w:w="4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2,047</w:t>
            </w:r>
          </w:p>
        </w:tc>
      </w:tr>
      <w:tr>
        <w:trPr>
          <w:trHeight w:val="42"/>
        </w:trPr>
        <w:tc>
          <w:tcPr>
            <w:tcW w:w="5000" w:type="dxa"/>
            <w:vAlign w:val="bottom"/>
            <w:tcBorders>
              <w:bottom w:val="single" w:sz="8" w:color="A6A6A6"/>
            </w:tcBorders>
          </w:tcPr>
          <w:p>
            <w:pPr>
              <w:spacing w:after="0"/>
              <w:rPr>
                <w:sz w:val="3"/>
                <w:szCs w:val="3"/>
                <w:color w:val="auto"/>
              </w:rPr>
            </w:pPr>
          </w:p>
        </w:tc>
        <w:tc>
          <w:tcPr>
            <w:tcW w:w="486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r>
      <w:tr>
        <w:trPr>
          <w:trHeight w:val="289"/>
        </w:trPr>
        <w:tc>
          <w:tcPr>
            <w:tcW w:w="5000" w:type="dxa"/>
            <w:vAlign w:val="bottom"/>
          </w:tcPr>
          <w:p>
            <w:pPr>
              <w:spacing w:after="0"/>
              <w:rPr>
                <w:sz w:val="20"/>
                <w:szCs w:val="20"/>
                <w:color w:val="auto"/>
              </w:rPr>
            </w:pPr>
            <w:r>
              <w:rPr>
                <w:rFonts w:ascii="Arial" w:cs="Arial" w:eastAsia="Arial" w:hAnsi="Arial"/>
                <w:sz w:val="18"/>
                <w:szCs w:val="18"/>
                <w:b w:val="1"/>
                <w:bCs w:val="1"/>
                <w:color w:val="004483"/>
              </w:rPr>
              <w:t>2028</w:t>
            </w:r>
          </w:p>
        </w:tc>
        <w:tc>
          <w:tcPr>
            <w:tcW w:w="4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2,072</w:t>
            </w:r>
          </w:p>
        </w:tc>
      </w:tr>
      <w:tr>
        <w:trPr>
          <w:trHeight w:val="42"/>
        </w:trPr>
        <w:tc>
          <w:tcPr>
            <w:tcW w:w="5000" w:type="dxa"/>
            <w:vAlign w:val="bottom"/>
            <w:tcBorders>
              <w:bottom w:val="single" w:sz="8" w:color="A6A6A6"/>
            </w:tcBorders>
          </w:tcPr>
          <w:p>
            <w:pPr>
              <w:spacing w:after="0"/>
              <w:rPr>
                <w:sz w:val="3"/>
                <w:szCs w:val="3"/>
                <w:color w:val="auto"/>
              </w:rPr>
            </w:pPr>
          </w:p>
        </w:tc>
        <w:tc>
          <w:tcPr>
            <w:tcW w:w="486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r>
      <w:tr>
        <w:trPr>
          <w:trHeight w:val="289"/>
        </w:trPr>
        <w:tc>
          <w:tcPr>
            <w:tcW w:w="5000" w:type="dxa"/>
            <w:vAlign w:val="bottom"/>
          </w:tcPr>
          <w:p>
            <w:pPr>
              <w:spacing w:after="0"/>
              <w:rPr>
                <w:sz w:val="20"/>
                <w:szCs w:val="20"/>
                <w:color w:val="auto"/>
              </w:rPr>
            </w:pPr>
            <w:r>
              <w:rPr>
                <w:rFonts w:ascii="Arial" w:cs="Arial" w:eastAsia="Arial" w:hAnsi="Arial"/>
                <w:sz w:val="18"/>
                <w:szCs w:val="18"/>
                <w:b w:val="1"/>
                <w:bCs w:val="1"/>
                <w:color w:val="004483"/>
              </w:rPr>
              <w:t>2029</w:t>
            </w:r>
          </w:p>
        </w:tc>
        <w:tc>
          <w:tcPr>
            <w:tcW w:w="4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2,054</w:t>
            </w:r>
          </w:p>
        </w:tc>
      </w:tr>
      <w:tr>
        <w:trPr>
          <w:trHeight w:val="42"/>
        </w:trPr>
        <w:tc>
          <w:tcPr>
            <w:tcW w:w="5000" w:type="dxa"/>
            <w:vAlign w:val="bottom"/>
            <w:tcBorders>
              <w:bottom w:val="single" w:sz="8" w:color="A6A6A6"/>
            </w:tcBorders>
          </w:tcPr>
          <w:p>
            <w:pPr>
              <w:spacing w:after="0"/>
              <w:rPr>
                <w:sz w:val="3"/>
                <w:szCs w:val="3"/>
                <w:color w:val="auto"/>
              </w:rPr>
            </w:pPr>
          </w:p>
        </w:tc>
        <w:tc>
          <w:tcPr>
            <w:tcW w:w="486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r>
      <w:tr>
        <w:trPr>
          <w:trHeight w:val="289"/>
        </w:trPr>
        <w:tc>
          <w:tcPr>
            <w:tcW w:w="5000" w:type="dxa"/>
            <w:vAlign w:val="bottom"/>
          </w:tcPr>
          <w:p>
            <w:pPr>
              <w:spacing w:after="0"/>
              <w:rPr>
                <w:sz w:val="20"/>
                <w:szCs w:val="20"/>
                <w:color w:val="auto"/>
              </w:rPr>
            </w:pPr>
            <w:r>
              <w:rPr>
                <w:rFonts w:ascii="Arial" w:cs="Arial" w:eastAsia="Arial" w:hAnsi="Arial"/>
                <w:sz w:val="18"/>
                <w:szCs w:val="18"/>
                <w:b w:val="1"/>
                <w:bCs w:val="1"/>
                <w:color w:val="004483"/>
              </w:rPr>
              <w:t>2030</w:t>
            </w:r>
          </w:p>
        </w:tc>
        <w:tc>
          <w:tcPr>
            <w:tcW w:w="4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2,078</w:t>
            </w:r>
          </w:p>
        </w:tc>
      </w:tr>
      <w:tr>
        <w:trPr>
          <w:trHeight w:val="42"/>
        </w:trPr>
        <w:tc>
          <w:tcPr>
            <w:tcW w:w="5000" w:type="dxa"/>
            <w:vAlign w:val="bottom"/>
            <w:tcBorders>
              <w:bottom w:val="single" w:sz="8" w:color="A6A6A6"/>
            </w:tcBorders>
          </w:tcPr>
          <w:p>
            <w:pPr>
              <w:spacing w:after="0"/>
              <w:rPr>
                <w:sz w:val="3"/>
                <w:szCs w:val="3"/>
                <w:color w:val="auto"/>
              </w:rPr>
            </w:pPr>
          </w:p>
        </w:tc>
        <w:tc>
          <w:tcPr>
            <w:tcW w:w="486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r>
      <w:tr>
        <w:trPr>
          <w:trHeight w:val="289"/>
        </w:trPr>
        <w:tc>
          <w:tcPr>
            <w:tcW w:w="5000" w:type="dxa"/>
            <w:vAlign w:val="bottom"/>
          </w:tcPr>
          <w:p>
            <w:pPr>
              <w:spacing w:after="0"/>
              <w:rPr>
                <w:sz w:val="20"/>
                <w:szCs w:val="20"/>
                <w:color w:val="auto"/>
              </w:rPr>
            </w:pPr>
            <w:r>
              <w:rPr>
                <w:rFonts w:ascii="Arial" w:cs="Arial" w:eastAsia="Arial" w:hAnsi="Arial"/>
                <w:sz w:val="18"/>
                <w:szCs w:val="18"/>
                <w:b w:val="1"/>
                <w:bCs w:val="1"/>
                <w:color w:val="004483"/>
              </w:rPr>
              <w:t>2031</w:t>
            </w:r>
          </w:p>
        </w:tc>
        <w:tc>
          <w:tcPr>
            <w:tcW w:w="4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2,052</w:t>
            </w:r>
          </w:p>
        </w:tc>
      </w:tr>
      <w:tr>
        <w:trPr>
          <w:trHeight w:val="42"/>
        </w:trPr>
        <w:tc>
          <w:tcPr>
            <w:tcW w:w="5000" w:type="dxa"/>
            <w:vAlign w:val="bottom"/>
            <w:tcBorders>
              <w:bottom w:val="single" w:sz="8" w:color="A6A6A6"/>
            </w:tcBorders>
          </w:tcPr>
          <w:p>
            <w:pPr>
              <w:spacing w:after="0"/>
              <w:rPr>
                <w:sz w:val="3"/>
                <w:szCs w:val="3"/>
                <w:color w:val="auto"/>
              </w:rPr>
            </w:pPr>
          </w:p>
        </w:tc>
        <w:tc>
          <w:tcPr>
            <w:tcW w:w="486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r>
      <w:tr>
        <w:trPr>
          <w:trHeight w:val="289"/>
        </w:trPr>
        <w:tc>
          <w:tcPr>
            <w:tcW w:w="5000" w:type="dxa"/>
            <w:vAlign w:val="bottom"/>
          </w:tcPr>
          <w:p>
            <w:pPr>
              <w:spacing w:after="0"/>
              <w:rPr>
                <w:sz w:val="20"/>
                <w:szCs w:val="20"/>
                <w:color w:val="auto"/>
              </w:rPr>
            </w:pPr>
            <w:r>
              <w:rPr>
                <w:rFonts w:ascii="Arial" w:cs="Arial" w:eastAsia="Arial" w:hAnsi="Arial"/>
                <w:sz w:val="18"/>
                <w:szCs w:val="18"/>
                <w:b w:val="1"/>
                <w:bCs w:val="1"/>
                <w:color w:val="004483"/>
              </w:rPr>
              <w:t>2032-2036</w:t>
            </w:r>
          </w:p>
        </w:tc>
        <w:tc>
          <w:tcPr>
            <w:tcW w:w="4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10,063</w:t>
            </w:r>
          </w:p>
        </w:tc>
      </w:tr>
    </w:tbl>
    <w:p>
      <w:pPr>
        <w:spacing w:after="0" w:line="15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following tables set forth the assumptions used in the actuarial calculations of the present value of Net Periodic Benefit Costs and Benefit Obligations.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734"/>
              <w:spacing w:after="0"/>
              <w:rPr>
                <w:sz w:val="20"/>
                <w:szCs w:val="20"/>
                <w:color w:val="auto"/>
              </w:rPr>
            </w:pPr>
            <w:r>
              <w:rPr>
                <w:rFonts w:ascii="Arial" w:cs="Arial" w:eastAsia="Arial" w:hAnsi="Arial"/>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6"/>
                <w:szCs w:val="16"/>
                <w:b w:val="1"/>
                <w:bCs w:val="1"/>
                <w:color w:val="auto"/>
              </w:rPr>
              <w:t>2026</w:t>
            </w:r>
          </w:p>
        </w:tc>
        <w:tc>
          <w:tcPr>
            <w:tcW w:w="1960" w:type="dxa"/>
            <w:vAlign w:val="bottom"/>
            <w:tcBorders>
              <w:bottom w:val="single" w:sz="8" w:color="auto"/>
            </w:tcBorders>
          </w:tcPr>
          <w:p>
            <w:pPr>
              <w:jc w:val="right"/>
              <w:ind w:right="734"/>
              <w:spacing w:after="0"/>
              <w:rPr>
                <w:sz w:val="20"/>
                <w:szCs w:val="20"/>
                <w:color w:val="auto"/>
              </w:rPr>
            </w:pPr>
            <w:r>
              <w:rPr>
                <w:rFonts w:ascii="Arial" w:cs="Arial" w:eastAsia="Arial" w:hAnsi="Arial"/>
                <w:sz w:val="16"/>
                <w:szCs w:val="16"/>
                <w:b w:val="1"/>
                <w:bCs w:val="1"/>
                <w:color w:val="auto"/>
              </w:rPr>
              <w:t>2025</w:t>
            </w:r>
          </w:p>
        </w:tc>
        <w:tc>
          <w:tcPr>
            <w:tcW w:w="118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2024</w:t>
            </w:r>
          </w:p>
        </w:tc>
      </w:tr>
      <w:tr>
        <w:trPr>
          <w:trHeight w:val="295"/>
        </w:trPr>
        <w:tc>
          <w:tcPr>
            <w:tcW w:w="4180" w:type="dxa"/>
            <w:vAlign w:val="bottom"/>
          </w:tcPr>
          <w:p>
            <w:pPr>
              <w:spacing w:after="0"/>
              <w:rPr>
                <w:sz w:val="20"/>
                <w:szCs w:val="20"/>
                <w:color w:val="auto"/>
              </w:rPr>
            </w:pPr>
            <w:r>
              <w:rPr>
                <w:rFonts w:ascii="Arial" w:cs="Arial" w:eastAsia="Arial" w:hAnsi="Arial"/>
                <w:sz w:val="18"/>
                <w:szCs w:val="18"/>
                <w:b w:val="1"/>
                <w:bCs w:val="1"/>
                <w:color w:val="004483"/>
              </w:rPr>
              <w:t>Net Periodic Benefit Costs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5"/>
        </w:trPr>
        <w:tc>
          <w:tcPr>
            <w:tcW w:w="4180" w:type="dxa"/>
            <w:vAlign w:val="bottom"/>
            <w:tcBorders>
              <w:bottom w:val="single" w:sz="8" w:color="A6A6A6"/>
            </w:tcBorders>
          </w:tcPr>
          <w:p>
            <w:pPr>
              <w:spacing w:after="0"/>
              <w:rPr>
                <w:sz w:val="4"/>
                <w:szCs w:val="4"/>
                <w:color w:val="auto"/>
              </w:rPr>
            </w:pPr>
          </w:p>
        </w:tc>
        <w:tc>
          <w:tcPr>
            <w:tcW w:w="3100" w:type="dxa"/>
            <w:vAlign w:val="bottom"/>
            <w:tcBorders>
              <w:bottom w:val="single" w:sz="8" w:color="A6A6A6"/>
            </w:tcBorders>
            <w:gridSpan w:val="2"/>
          </w:tcPr>
          <w:p>
            <w:pPr>
              <w:spacing w:after="0"/>
              <w:rPr>
                <w:sz w:val="4"/>
                <w:szCs w:val="4"/>
                <w:color w:val="auto"/>
              </w:rPr>
            </w:pPr>
          </w:p>
        </w:tc>
        <w:tc>
          <w:tcPr>
            <w:tcW w:w="820" w:type="dxa"/>
            <w:vAlign w:val="bottom"/>
            <w:tcBorders>
              <w:bottom w:val="single" w:sz="8" w:color="A6A6A6"/>
            </w:tcBorders>
          </w:tcPr>
          <w:p>
            <w:pPr>
              <w:spacing w:after="0"/>
              <w:rPr>
                <w:sz w:val="4"/>
                <w:szCs w:val="4"/>
                <w:color w:val="auto"/>
              </w:rPr>
            </w:pPr>
          </w:p>
        </w:tc>
        <w:tc>
          <w:tcPr>
            <w:tcW w:w="196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r>
      <w:tr>
        <w:trPr>
          <w:trHeight w:val="289"/>
        </w:trPr>
        <w:tc>
          <w:tcPr>
            <w:tcW w:w="4180" w:type="dxa"/>
            <w:vAlign w:val="bottom"/>
          </w:tcPr>
          <w:p>
            <w:pPr>
              <w:ind w:left="120"/>
              <w:spacing w:after="0"/>
              <w:rPr>
                <w:sz w:val="20"/>
                <w:szCs w:val="20"/>
                <w:color w:val="auto"/>
              </w:rPr>
            </w:pPr>
            <w:r>
              <w:rPr>
                <w:rFonts w:ascii="Arial" w:cs="Arial" w:eastAsia="Arial" w:hAnsi="Arial"/>
                <w:sz w:val="18"/>
                <w:szCs w:val="18"/>
                <w:b w:val="1"/>
                <w:bCs w:val="1"/>
                <w:color w:val="004483"/>
              </w:rPr>
              <w:t>Discount Rate</w:t>
            </w:r>
          </w:p>
        </w:tc>
        <w:tc>
          <w:tcPr>
            <w:tcW w:w="3920" w:type="dxa"/>
            <w:vAlign w:val="bottom"/>
            <w:gridSpan w:val="3"/>
          </w:tcPr>
          <w:p>
            <w:pPr>
              <w:jc w:val="right"/>
              <w:ind w:right="290"/>
              <w:spacing w:after="0"/>
              <w:rPr>
                <w:sz w:val="20"/>
                <w:szCs w:val="20"/>
                <w:color w:val="auto"/>
              </w:rPr>
            </w:pPr>
            <w:r>
              <w:rPr>
                <w:rFonts w:ascii="Arial" w:cs="Arial" w:eastAsia="Arial" w:hAnsi="Arial"/>
                <w:sz w:val="18"/>
                <w:szCs w:val="18"/>
                <w:color w:val="auto"/>
              </w:rPr>
              <w:t>5.53%</w:t>
            </w:r>
          </w:p>
        </w:tc>
        <w:tc>
          <w:tcPr>
            <w:tcW w:w="1960" w:type="dxa"/>
            <w:vAlign w:val="bottom"/>
          </w:tcPr>
          <w:p>
            <w:pPr>
              <w:jc w:val="right"/>
              <w:ind w:right="554"/>
              <w:spacing w:after="0"/>
              <w:rPr>
                <w:sz w:val="20"/>
                <w:szCs w:val="20"/>
                <w:color w:val="auto"/>
              </w:rPr>
            </w:pPr>
            <w:r>
              <w:rPr>
                <w:rFonts w:ascii="Arial" w:cs="Arial" w:eastAsia="Arial" w:hAnsi="Arial"/>
                <w:sz w:val="18"/>
                <w:szCs w:val="18"/>
                <w:color w:val="auto"/>
              </w:rPr>
              <w:t>5.27%</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4.99%</w:t>
            </w:r>
          </w:p>
        </w:tc>
      </w:tr>
      <w:tr>
        <w:trPr>
          <w:trHeight w:val="55"/>
        </w:trPr>
        <w:tc>
          <w:tcPr>
            <w:tcW w:w="4180" w:type="dxa"/>
            <w:vAlign w:val="bottom"/>
            <w:tcBorders>
              <w:bottom w:val="single" w:sz="8" w:color="A6A6A6"/>
            </w:tcBorders>
          </w:tcPr>
          <w:p>
            <w:pPr>
              <w:spacing w:after="0"/>
              <w:rPr>
                <w:sz w:val="4"/>
                <w:szCs w:val="4"/>
                <w:color w:val="auto"/>
              </w:rPr>
            </w:pPr>
          </w:p>
        </w:tc>
        <w:tc>
          <w:tcPr>
            <w:tcW w:w="3100" w:type="dxa"/>
            <w:vAlign w:val="bottom"/>
            <w:tcBorders>
              <w:bottom w:val="single" w:sz="8" w:color="A6A6A6"/>
            </w:tcBorders>
            <w:gridSpan w:val="2"/>
          </w:tcPr>
          <w:p>
            <w:pPr>
              <w:spacing w:after="0"/>
              <w:rPr>
                <w:sz w:val="4"/>
                <w:szCs w:val="4"/>
                <w:color w:val="auto"/>
              </w:rPr>
            </w:pPr>
          </w:p>
        </w:tc>
        <w:tc>
          <w:tcPr>
            <w:tcW w:w="820" w:type="dxa"/>
            <w:vAlign w:val="bottom"/>
            <w:tcBorders>
              <w:bottom w:val="single" w:sz="8" w:color="A6A6A6"/>
            </w:tcBorders>
          </w:tcPr>
          <w:p>
            <w:pPr>
              <w:spacing w:after="0"/>
              <w:rPr>
                <w:sz w:val="4"/>
                <w:szCs w:val="4"/>
                <w:color w:val="auto"/>
              </w:rPr>
            </w:pPr>
          </w:p>
        </w:tc>
        <w:tc>
          <w:tcPr>
            <w:tcW w:w="196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r>
      <w:tr>
        <w:trPr>
          <w:trHeight w:val="289"/>
        </w:trPr>
        <w:tc>
          <w:tcPr>
            <w:tcW w:w="4180" w:type="dxa"/>
            <w:vAlign w:val="bottom"/>
          </w:tcPr>
          <w:p>
            <w:pPr>
              <w:ind w:left="120"/>
              <w:spacing w:after="0"/>
              <w:rPr>
                <w:sz w:val="20"/>
                <w:szCs w:val="20"/>
                <w:color w:val="auto"/>
              </w:rPr>
            </w:pPr>
            <w:r>
              <w:rPr>
                <w:rFonts w:ascii="Arial" w:cs="Arial" w:eastAsia="Arial" w:hAnsi="Arial"/>
                <w:sz w:val="18"/>
                <w:szCs w:val="18"/>
                <w:b w:val="1"/>
                <w:bCs w:val="1"/>
                <w:color w:val="004483"/>
              </w:rPr>
              <w:t>Expected Return on Plan Assets</w:t>
            </w:r>
          </w:p>
        </w:tc>
        <w:tc>
          <w:tcPr>
            <w:tcW w:w="3920" w:type="dxa"/>
            <w:vAlign w:val="bottom"/>
            <w:gridSpan w:val="3"/>
          </w:tcPr>
          <w:p>
            <w:pPr>
              <w:jc w:val="right"/>
              <w:ind w:right="290"/>
              <w:spacing w:after="0"/>
              <w:rPr>
                <w:sz w:val="20"/>
                <w:szCs w:val="20"/>
                <w:color w:val="auto"/>
              </w:rPr>
            </w:pPr>
            <w:r>
              <w:rPr>
                <w:rFonts w:ascii="Arial" w:cs="Arial" w:eastAsia="Arial" w:hAnsi="Arial"/>
                <w:sz w:val="18"/>
                <w:szCs w:val="18"/>
                <w:color w:val="auto"/>
              </w:rPr>
              <w:t>5.55%</w:t>
            </w:r>
          </w:p>
        </w:tc>
        <w:tc>
          <w:tcPr>
            <w:tcW w:w="1960" w:type="dxa"/>
            <w:vAlign w:val="bottom"/>
          </w:tcPr>
          <w:p>
            <w:pPr>
              <w:jc w:val="right"/>
              <w:ind w:right="554"/>
              <w:spacing w:after="0"/>
              <w:rPr>
                <w:sz w:val="20"/>
                <w:szCs w:val="20"/>
                <w:color w:val="auto"/>
              </w:rPr>
            </w:pPr>
            <w:r>
              <w:rPr>
                <w:rFonts w:ascii="Arial" w:cs="Arial" w:eastAsia="Arial" w:hAnsi="Arial"/>
                <w:sz w:val="18"/>
                <w:szCs w:val="18"/>
                <w:color w:val="auto"/>
              </w:rPr>
              <w:t>5.30%</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5.00%</w:t>
            </w:r>
          </w:p>
        </w:tc>
      </w:tr>
      <w:tr>
        <w:trPr>
          <w:trHeight w:val="56"/>
        </w:trPr>
        <w:tc>
          <w:tcPr>
            <w:tcW w:w="4180" w:type="dxa"/>
            <w:vAlign w:val="bottom"/>
            <w:tcBorders>
              <w:bottom w:val="single" w:sz="8" w:color="A6A6A6"/>
            </w:tcBorders>
          </w:tcPr>
          <w:p>
            <w:pPr>
              <w:spacing w:after="0"/>
              <w:rPr>
                <w:sz w:val="4"/>
                <w:szCs w:val="4"/>
                <w:color w:val="auto"/>
              </w:rPr>
            </w:pPr>
          </w:p>
        </w:tc>
        <w:tc>
          <w:tcPr>
            <w:tcW w:w="1980" w:type="dxa"/>
            <w:vAlign w:val="bottom"/>
            <w:tcBorders>
              <w:bottom w:val="single" w:sz="8" w:color="A6A6A6"/>
            </w:tcBorders>
          </w:tcPr>
          <w:p>
            <w:pPr>
              <w:spacing w:after="0"/>
              <w:rPr>
                <w:sz w:val="4"/>
                <w:szCs w:val="4"/>
                <w:color w:val="auto"/>
              </w:rPr>
            </w:pPr>
          </w:p>
        </w:tc>
        <w:tc>
          <w:tcPr>
            <w:tcW w:w="1120" w:type="dxa"/>
            <w:vAlign w:val="bottom"/>
            <w:tcBorders>
              <w:bottom w:val="single" w:sz="8" w:color="A6A6A6"/>
            </w:tcBorders>
          </w:tcPr>
          <w:p>
            <w:pPr>
              <w:spacing w:after="0"/>
              <w:rPr>
                <w:sz w:val="4"/>
                <w:szCs w:val="4"/>
                <w:color w:val="auto"/>
              </w:rPr>
            </w:pPr>
          </w:p>
        </w:tc>
        <w:tc>
          <w:tcPr>
            <w:tcW w:w="820" w:type="dxa"/>
            <w:vAlign w:val="bottom"/>
            <w:tcBorders>
              <w:bottom w:val="single" w:sz="8" w:color="A6A6A6"/>
            </w:tcBorders>
          </w:tcPr>
          <w:p>
            <w:pPr>
              <w:spacing w:after="0"/>
              <w:rPr>
                <w:sz w:val="4"/>
                <w:szCs w:val="4"/>
                <w:color w:val="auto"/>
              </w:rPr>
            </w:pPr>
          </w:p>
        </w:tc>
        <w:tc>
          <w:tcPr>
            <w:tcW w:w="196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r>
      <w:tr>
        <w:trPr>
          <w:trHeight w:val="289"/>
        </w:trPr>
        <w:tc>
          <w:tcPr>
            <w:tcW w:w="4180" w:type="dxa"/>
            <w:vAlign w:val="bottom"/>
          </w:tcPr>
          <w:p>
            <w:pPr>
              <w:ind w:left="120"/>
              <w:spacing w:after="0"/>
              <w:rPr>
                <w:sz w:val="20"/>
                <w:szCs w:val="20"/>
                <w:color w:val="auto"/>
              </w:rPr>
            </w:pPr>
            <w:r>
              <w:rPr>
                <w:rFonts w:ascii="Arial" w:cs="Arial" w:eastAsia="Arial" w:hAnsi="Arial"/>
                <w:sz w:val="18"/>
                <w:szCs w:val="18"/>
                <w:b w:val="1"/>
                <w:bCs w:val="1"/>
                <w:color w:val="004483"/>
              </w:rPr>
              <w:t>Rate of Compensation Increase</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right"/>
              <w:ind w:right="470"/>
              <w:spacing w:after="0"/>
              <w:rPr>
                <w:sz w:val="20"/>
                <w:szCs w:val="20"/>
                <w:color w:val="auto"/>
              </w:rPr>
            </w:pPr>
            <w:r>
              <w:rPr>
                <w:rFonts w:ascii="Arial" w:cs="Arial" w:eastAsia="Arial" w:hAnsi="Arial"/>
                <w:sz w:val="18"/>
                <w:szCs w:val="18"/>
                <w:color w:val="auto"/>
                <w:w w:val="95"/>
              </w:rPr>
              <w:t>n/a</w:t>
            </w:r>
          </w:p>
        </w:tc>
        <w:tc>
          <w:tcPr>
            <w:tcW w:w="1960" w:type="dxa"/>
            <w:vAlign w:val="bottom"/>
          </w:tcPr>
          <w:p>
            <w:pPr>
              <w:jc w:val="right"/>
              <w:ind w:right="734"/>
              <w:spacing w:after="0"/>
              <w:rPr>
                <w:sz w:val="20"/>
                <w:szCs w:val="20"/>
                <w:color w:val="auto"/>
              </w:rPr>
            </w:pPr>
            <w:r>
              <w:rPr>
                <w:rFonts w:ascii="Arial" w:cs="Arial" w:eastAsia="Arial" w:hAnsi="Arial"/>
                <w:sz w:val="18"/>
                <w:szCs w:val="18"/>
                <w:color w:val="auto"/>
              </w:rPr>
              <w:t>n/a</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n/a</w:t>
            </w:r>
          </w:p>
        </w:tc>
      </w:tr>
      <w:tr>
        <w:trPr>
          <w:trHeight w:val="420"/>
        </w:trPr>
        <w:tc>
          <w:tcPr>
            <w:tcW w:w="4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March 31,</w:t>
            </w:r>
          </w:p>
        </w:tc>
        <w:tc>
          <w:tcPr>
            <w:tcW w:w="1180" w:type="dxa"/>
            <w:vAlign w:val="bottom"/>
            <w:tcBorders>
              <w:bottom w:val="single" w:sz="8" w:color="auto"/>
            </w:tcBorders>
          </w:tcPr>
          <w:p>
            <w:pPr>
              <w:spacing w:after="0"/>
              <w:rPr>
                <w:sz w:val="24"/>
                <w:szCs w:val="24"/>
                <w:color w:val="auto"/>
              </w:rPr>
            </w:pPr>
          </w:p>
        </w:tc>
      </w:tr>
      <w:tr>
        <w:trPr>
          <w:trHeight w:val="244"/>
        </w:trPr>
        <w:tc>
          <w:tcPr>
            <w:tcW w:w="41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1034"/>
              <w:spacing w:after="0"/>
              <w:rPr>
                <w:sz w:val="20"/>
                <w:szCs w:val="20"/>
                <w:color w:val="auto"/>
              </w:rPr>
            </w:pPr>
            <w:r>
              <w:rPr>
                <w:rFonts w:ascii="Arial" w:cs="Arial" w:eastAsia="Arial" w:hAnsi="Arial"/>
                <w:sz w:val="16"/>
                <w:szCs w:val="16"/>
                <w:b w:val="1"/>
                <w:bCs w:val="1"/>
                <w:color w:val="auto"/>
              </w:rPr>
              <w:t>2026</w:t>
            </w:r>
          </w:p>
        </w:tc>
        <w:tc>
          <w:tcPr>
            <w:tcW w:w="118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2025</w:t>
            </w:r>
          </w:p>
        </w:tc>
      </w:tr>
      <w:tr>
        <w:trPr>
          <w:trHeight w:val="247"/>
        </w:trPr>
        <w:tc>
          <w:tcPr>
            <w:tcW w:w="4180" w:type="dxa"/>
            <w:vAlign w:val="bottom"/>
          </w:tcPr>
          <w:p>
            <w:pPr>
              <w:spacing w:after="0"/>
              <w:rPr>
                <w:sz w:val="20"/>
                <w:szCs w:val="20"/>
                <w:color w:val="auto"/>
              </w:rPr>
            </w:pPr>
            <w:r>
              <w:rPr>
                <w:rFonts w:ascii="Arial" w:cs="Arial" w:eastAsia="Arial" w:hAnsi="Arial"/>
                <w:sz w:val="18"/>
                <w:szCs w:val="18"/>
                <w:b w:val="1"/>
                <w:bCs w:val="1"/>
                <w:color w:val="004483"/>
              </w:rPr>
              <w:t>Benefit Obligations</w:t>
            </w:r>
          </w:p>
        </w:tc>
        <w:tc>
          <w:tcPr>
            <w:tcW w:w="1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50"/>
        </w:trPr>
        <w:tc>
          <w:tcPr>
            <w:tcW w:w="4180" w:type="dxa"/>
            <w:vAlign w:val="bottom"/>
            <w:tcBorders>
              <w:bottom w:val="single" w:sz="8" w:color="A6A6A6"/>
            </w:tcBorders>
          </w:tcPr>
          <w:p>
            <w:pPr>
              <w:spacing w:after="0"/>
              <w:rPr>
                <w:sz w:val="4"/>
                <w:szCs w:val="4"/>
                <w:color w:val="auto"/>
              </w:rPr>
            </w:pPr>
          </w:p>
        </w:tc>
        <w:tc>
          <w:tcPr>
            <w:tcW w:w="1980" w:type="dxa"/>
            <w:vAlign w:val="bottom"/>
            <w:tcBorders>
              <w:bottom w:val="single" w:sz="8" w:color="A6A6A6"/>
            </w:tcBorders>
          </w:tcPr>
          <w:p>
            <w:pPr>
              <w:spacing w:after="0"/>
              <w:rPr>
                <w:sz w:val="4"/>
                <w:szCs w:val="4"/>
                <w:color w:val="auto"/>
              </w:rPr>
            </w:pPr>
          </w:p>
        </w:tc>
        <w:tc>
          <w:tcPr>
            <w:tcW w:w="1120" w:type="dxa"/>
            <w:vAlign w:val="bottom"/>
            <w:tcBorders>
              <w:bottom w:val="single" w:sz="8" w:color="A6A6A6"/>
            </w:tcBorders>
          </w:tcPr>
          <w:p>
            <w:pPr>
              <w:spacing w:after="0"/>
              <w:rPr>
                <w:sz w:val="4"/>
                <w:szCs w:val="4"/>
                <w:color w:val="auto"/>
              </w:rPr>
            </w:pPr>
          </w:p>
        </w:tc>
        <w:tc>
          <w:tcPr>
            <w:tcW w:w="820" w:type="dxa"/>
            <w:vAlign w:val="bottom"/>
            <w:tcBorders>
              <w:bottom w:val="single" w:sz="8" w:color="A6A6A6"/>
            </w:tcBorders>
          </w:tcPr>
          <w:p>
            <w:pPr>
              <w:spacing w:after="0"/>
              <w:rPr>
                <w:sz w:val="4"/>
                <w:szCs w:val="4"/>
                <w:color w:val="auto"/>
              </w:rPr>
            </w:pPr>
          </w:p>
        </w:tc>
        <w:tc>
          <w:tcPr>
            <w:tcW w:w="196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r>
      <w:tr>
        <w:trPr>
          <w:trHeight w:val="289"/>
        </w:trPr>
        <w:tc>
          <w:tcPr>
            <w:tcW w:w="4180" w:type="dxa"/>
            <w:vAlign w:val="bottom"/>
          </w:tcPr>
          <w:p>
            <w:pPr>
              <w:ind w:left="140"/>
              <w:spacing w:after="0"/>
              <w:rPr>
                <w:sz w:val="20"/>
                <w:szCs w:val="20"/>
                <w:color w:val="auto"/>
              </w:rPr>
            </w:pPr>
            <w:r>
              <w:rPr>
                <w:rFonts w:ascii="Arial" w:cs="Arial" w:eastAsia="Arial" w:hAnsi="Arial"/>
                <w:sz w:val="18"/>
                <w:szCs w:val="18"/>
                <w:b w:val="1"/>
                <w:bCs w:val="1"/>
                <w:color w:val="004483"/>
              </w:rPr>
              <w:t>Discount Rate</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jc w:val="right"/>
              <w:ind w:right="854"/>
              <w:spacing w:after="0"/>
              <w:rPr>
                <w:sz w:val="20"/>
                <w:szCs w:val="20"/>
                <w:color w:val="auto"/>
              </w:rPr>
            </w:pPr>
            <w:r>
              <w:rPr>
                <w:rFonts w:ascii="Arial" w:cs="Arial" w:eastAsia="Arial" w:hAnsi="Arial"/>
                <w:sz w:val="18"/>
                <w:szCs w:val="18"/>
                <w:color w:val="auto"/>
              </w:rPr>
              <w:t>5.41%</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5.53%</w:t>
            </w:r>
          </w:p>
        </w:tc>
      </w:tr>
      <w:tr>
        <w:trPr>
          <w:trHeight w:val="55"/>
        </w:trPr>
        <w:tc>
          <w:tcPr>
            <w:tcW w:w="4180" w:type="dxa"/>
            <w:vAlign w:val="bottom"/>
            <w:tcBorders>
              <w:bottom w:val="single" w:sz="8" w:color="A6A6A6"/>
            </w:tcBorders>
          </w:tcPr>
          <w:p>
            <w:pPr>
              <w:spacing w:after="0"/>
              <w:rPr>
                <w:sz w:val="4"/>
                <w:szCs w:val="4"/>
                <w:color w:val="auto"/>
              </w:rPr>
            </w:pPr>
          </w:p>
        </w:tc>
        <w:tc>
          <w:tcPr>
            <w:tcW w:w="1980" w:type="dxa"/>
            <w:vAlign w:val="bottom"/>
            <w:tcBorders>
              <w:bottom w:val="single" w:sz="8" w:color="A6A6A6"/>
            </w:tcBorders>
          </w:tcPr>
          <w:p>
            <w:pPr>
              <w:spacing w:after="0"/>
              <w:rPr>
                <w:sz w:val="4"/>
                <w:szCs w:val="4"/>
                <w:color w:val="auto"/>
              </w:rPr>
            </w:pPr>
          </w:p>
        </w:tc>
        <w:tc>
          <w:tcPr>
            <w:tcW w:w="1120" w:type="dxa"/>
            <w:vAlign w:val="bottom"/>
            <w:tcBorders>
              <w:bottom w:val="single" w:sz="8" w:color="A6A6A6"/>
            </w:tcBorders>
          </w:tcPr>
          <w:p>
            <w:pPr>
              <w:spacing w:after="0"/>
              <w:rPr>
                <w:sz w:val="4"/>
                <w:szCs w:val="4"/>
                <w:color w:val="auto"/>
              </w:rPr>
            </w:pPr>
          </w:p>
        </w:tc>
        <w:tc>
          <w:tcPr>
            <w:tcW w:w="820" w:type="dxa"/>
            <w:vAlign w:val="bottom"/>
            <w:tcBorders>
              <w:bottom w:val="single" w:sz="8" w:color="A6A6A6"/>
            </w:tcBorders>
          </w:tcPr>
          <w:p>
            <w:pPr>
              <w:spacing w:after="0"/>
              <w:rPr>
                <w:sz w:val="4"/>
                <w:szCs w:val="4"/>
                <w:color w:val="auto"/>
              </w:rPr>
            </w:pPr>
          </w:p>
        </w:tc>
        <w:tc>
          <w:tcPr>
            <w:tcW w:w="1960" w:type="dxa"/>
            <w:vAlign w:val="bottom"/>
            <w:tcBorders>
              <w:bottom w:val="single" w:sz="8" w:color="A6A6A6"/>
            </w:tcBorders>
          </w:tcPr>
          <w:p>
            <w:pPr>
              <w:spacing w:after="0"/>
              <w:rPr>
                <w:sz w:val="4"/>
                <w:szCs w:val="4"/>
                <w:color w:val="auto"/>
              </w:rPr>
            </w:pPr>
          </w:p>
        </w:tc>
        <w:tc>
          <w:tcPr>
            <w:tcW w:w="1180" w:type="dxa"/>
            <w:vAlign w:val="bottom"/>
            <w:tcBorders>
              <w:bottom w:val="single" w:sz="8" w:color="A6A6A6"/>
            </w:tcBorders>
          </w:tcPr>
          <w:p>
            <w:pPr>
              <w:spacing w:after="0"/>
              <w:rPr>
                <w:sz w:val="4"/>
                <w:szCs w:val="4"/>
                <w:color w:val="auto"/>
              </w:rPr>
            </w:pPr>
          </w:p>
        </w:tc>
      </w:tr>
      <w:tr>
        <w:trPr>
          <w:trHeight w:val="289"/>
        </w:trPr>
        <w:tc>
          <w:tcPr>
            <w:tcW w:w="4180" w:type="dxa"/>
            <w:vAlign w:val="bottom"/>
          </w:tcPr>
          <w:p>
            <w:pPr>
              <w:ind w:left="140"/>
              <w:spacing w:after="0"/>
              <w:rPr>
                <w:sz w:val="20"/>
                <w:szCs w:val="20"/>
                <w:color w:val="auto"/>
              </w:rPr>
            </w:pPr>
            <w:r>
              <w:rPr>
                <w:rFonts w:ascii="Arial" w:cs="Arial" w:eastAsia="Arial" w:hAnsi="Arial"/>
                <w:sz w:val="18"/>
                <w:szCs w:val="18"/>
                <w:b w:val="1"/>
                <w:bCs w:val="1"/>
                <w:color w:val="004483"/>
              </w:rPr>
              <w:t>Rate of Compensation Increase</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jc w:val="right"/>
              <w:ind w:right="1034"/>
              <w:spacing w:after="0"/>
              <w:rPr>
                <w:sz w:val="20"/>
                <w:szCs w:val="20"/>
                <w:color w:val="auto"/>
              </w:rPr>
            </w:pPr>
            <w:r>
              <w:rPr>
                <w:rFonts w:ascii="Arial" w:cs="Arial" w:eastAsia="Arial" w:hAnsi="Arial"/>
                <w:sz w:val="18"/>
                <w:szCs w:val="18"/>
                <w:color w:val="auto"/>
              </w:rPr>
              <w:t>n/a</w:t>
            </w: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n/a</w:t>
            </w:r>
          </w:p>
        </w:tc>
      </w:tr>
      <w:tr>
        <w:trPr>
          <w:trHeight w:val="870"/>
        </w:trPr>
        <w:tc>
          <w:tcPr>
            <w:tcW w:w="4180" w:type="dxa"/>
            <w:vAlign w:val="bottom"/>
          </w:tcPr>
          <w:p>
            <w:pPr>
              <w:spacing w:after="0"/>
              <w:rPr>
                <w:sz w:val="24"/>
                <w:szCs w:val="24"/>
                <w:color w:val="auto"/>
              </w:rPr>
            </w:pP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109</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46"/>
        </w:trPr>
        <w:tc>
          <w:tcPr>
            <w:tcW w:w="41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ind w:right="280"/>
        <w:spacing w:after="0" w:line="244" w:lineRule="auto"/>
        <w:rPr>
          <w:sz w:val="20"/>
          <w:szCs w:val="20"/>
          <w:color w:val="auto"/>
        </w:rPr>
      </w:pPr>
      <w:r>
        <w:rPr>
          <w:rFonts w:ascii="Arial" w:cs="Arial" w:eastAsia="Arial" w:hAnsi="Arial"/>
          <w:sz w:val="18"/>
          <w:szCs w:val="18"/>
          <w:color w:val="auto"/>
        </w:rPr>
        <w:t>The expected long-term rate of return on plan assets is an assumption reflecting the anticipated weighted-average rate of earnings on the portfolio over the long term. To determine this rate, we developed estimates of the key components underlying capital asset returns that include market-based estimates of inflation, real risk-free rates of return, yield curve structure, credit-risk premiums, and equity-risk premiums. Because our pension plans were frozen beginning in fiscal 2021, the rate of compensation increase is not applicable. We used these components as appropriate to develop benchmark estimates for the expected long-term management approach that we employ.</w:t>
      </w:r>
    </w:p>
    <w:p>
      <w:pPr>
        <w:spacing w:after="0" w:line="6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pension plans’ approximate weighted-average asset allocation at March 31, 2026, and 2025, and the range of target allocation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9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6"/>
                <w:szCs w:val="16"/>
                <w:b w:val="1"/>
                <w:bCs w:val="1"/>
                <w:color w:val="auto"/>
              </w:rPr>
              <w:t>Percentage of Plan Assets at March 31,</w:t>
            </w:r>
          </w:p>
        </w:tc>
      </w:tr>
      <w:tr>
        <w:trPr>
          <w:trHeight w:val="182"/>
        </w:trPr>
        <w:tc>
          <w:tcPr>
            <w:tcW w:w="3600" w:type="dxa"/>
            <w:vAlign w:val="bottom"/>
          </w:tcPr>
          <w:p>
            <w:pPr>
              <w:spacing w:after="0"/>
              <w:rPr>
                <w:sz w:val="15"/>
                <w:szCs w:val="15"/>
                <w:color w:val="auto"/>
              </w:rPr>
            </w:pPr>
          </w:p>
        </w:tc>
        <w:tc>
          <w:tcPr>
            <w:tcW w:w="3720" w:type="dxa"/>
            <w:vAlign w:val="bottom"/>
            <w:gridSpan w:val="2"/>
          </w:tcPr>
          <w:p>
            <w:pPr>
              <w:jc w:val="right"/>
              <w:ind w:right="170"/>
              <w:spacing w:after="0" w:line="182" w:lineRule="exact"/>
              <w:rPr>
                <w:sz w:val="20"/>
                <w:szCs w:val="20"/>
                <w:color w:val="auto"/>
              </w:rPr>
            </w:pPr>
            <w:r>
              <w:rPr>
                <w:rFonts w:ascii="Arial" w:cs="Arial" w:eastAsia="Arial" w:hAnsi="Arial"/>
                <w:sz w:val="16"/>
                <w:szCs w:val="16"/>
                <w:b w:val="1"/>
                <w:bCs w:val="1"/>
                <w:color w:val="auto"/>
              </w:rPr>
              <w:t>Range of</w:t>
            </w: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37"/>
        </w:trPr>
        <w:tc>
          <w:tcPr>
            <w:tcW w:w="36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Target Allocation</w:t>
            </w:r>
          </w:p>
        </w:tc>
        <w:tc>
          <w:tcPr>
            <w:tcW w:w="190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20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6"/>
                <w:szCs w:val="16"/>
                <w:b w:val="1"/>
                <w:bCs w:val="1"/>
                <w:color w:val="auto"/>
              </w:rPr>
              <w:t>2025</w:t>
            </w:r>
          </w:p>
        </w:tc>
      </w:tr>
      <w:tr>
        <w:trPr>
          <w:trHeight w:val="247"/>
        </w:trPr>
        <w:tc>
          <w:tcPr>
            <w:tcW w:w="3600" w:type="dxa"/>
            <w:vAlign w:val="bottom"/>
          </w:tcPr>
          <w:p>
            <w:pPr>
              <w:spacing w:after="0"/>
              <w:rPr>
                <w:sz w:val="20"/>
                <w:szCs w:val="20"/>
                <w:color w:val="auto"/>
              </w:rPr>
            </w:pPr>
            <w:r>
              <w:rPr>
                <w:rFonts w:ascii="Arial" w:cs="Arial" w:eastAsia="Arial" w:hAnsi="Arial"/>
                <w:sz w:val="18"/>
                <w:szCs w:val="18"/>
                <w:b w:val="1"/>
                <w:bCs w:val="1"/>
                <w:color w:val="004483"/>
              </w:rPr>
              <w:t>Asset Category</w:t>
            </w:r>
          </w:p>
        </w:tc>
        <w:tc>
          <w:tcPr>
            <w:tcW w:w="2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50"/>
        </w:trPr>
        <w:tc>
          <w:tcPr>
            <w:tcW w:w="3600" w:type="dxa"/>
            <w:vAlign w:val="bottom"/>
            <w:tcBorders>
              <w:bottom w:val="single" w:sz="8" w:color="A6A6A6"/>
            </w:tcBorders>
          </w:tcPr>
          <w:p>
            <w:pPr>
              <w:spacing w:after="0"/>
              <w:rPr>
                <w:sz w:val="4"/>
                <w:szCs w:val="4"/>
                <w:color w:val="auto"/>
              </w:rPr>
            </w:pPr>
          </w:p>
        </w:tc>
        <w:tc>
          <w:tcPr>
            <w:tcW w:w="294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9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900" w:type="dxa"/>
            <w:vAlign w:val="bottom"/>
            <w:tcBorders>
              <w:bottom w:val="single" w:sz="8" w:color="A6A6A6"/>
            </w:tcBorders>
          </w:tcPr>
          <w:p>
            <w:pPr>
              <w:spacing w:after="0"/>
              <w:rPr>
                <w:sz w:val="4"/>
                <w:szCs w:val="4"/>
                <w:color w:val="auto"/>
              </w:rPr>
            </w:pPr>
          </w:p>
        </w:tc>
      </w:tr>
      <w:tr>
        <w:trPr>
          <w:trHeight w:val="289"/>
        </w:trPr>
        <w:tc>
          <w:tcPr>
            <w:tcW w:w="3600" w:type="dxa"/>
            <w:vAlign w:val="bottom"/>
          </w:tcPr>
          <w:p>
            <w:pPr>
              <w:spacing w:after="0"/>
              <w:rPr>
                <w:sz w:val="20"/>
                <w:szCs w:val="20"/>
                <w:color w:val="auto"/>
              </w:rPr>
            </w:pPr>
            <w:r>
              <w:rPr>
                <w:rFonts w:ascii="Arial" w:cs="Arial" w:eastAsia="Arial" w:hAnsi="Arial"/>
                <w:sz w:val="18"/>
                <w:szCs w:val="18"/>
                <w:b w:val="1"/>
                <w:bCs w:val="1"/>
                <w:color w:val="004483"/>
              </w:rPr>
              <w:t>Equity Securities</w:t>
            </w:r>
          </w:p>
        </w:tc>
        <w:tc>
          <w:tcPr>
            <w:tcW w:w="29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w w:val="97"/>
              </w:rPr>
              <w:t>– 20%</w:t>
            </w:r>
          </w:p>
        </w:tc>
        <w:tc>
          <w:tcPr>
            <w:tcW w:w="19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56"/>
        </w:trPr>
        <w:tc>
          <w:tcPr>
            <w:tcW w:w="3600" w:type="dxa"/>
            <w:vAlign w:val="bottom"/>
            <w:tcBorders>
              <w:bottom w:val="single" w:sz="8" w:color="A6A6A6"/>
            </w:tcBorders>
          </w:tcPr>
          <w:p>
            <w:pPr>
              <w:spacing w:after="0"/>
              <w:rPr>
                <w:sz w:val="4"/>
                <w:szCs w:val="4"/>
                <w:color w:val="auto"/>
              </w:rPr>
            </w:pPr>
          </w:p>
        </w:tc>
        <w:tc>
          <w:tcPr>
            <w:tcW w:w="294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9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900" w:type="dxa"/>
            <w:vAlign w:val="bottom"/>
            <w:tcBorders>
              <w:bottom w:val="single" w:sz="8" w:color="A6A6A6"/>
            </w:tcBorders>
          </w:tcPr>
          <w:p>
            <w:pPr>
              <w:spacing w:after="0"/>
              <w:rPr>
                <w:sz w:val="4"/>
                <w:szCs w:val="4"/>
                <w:color w:val="auto"/>
              </w:rPr>
            </w:pPr>
          </w:p>
        </w:tc>
      </w:tr>
      <w:tr>
        <w:trPr>
          <w:trHeight w:val="289"/>
        </w:trPr>
        <w:tc>
          <w:tcPr>
            <w:tcW w:w="3600" w:type="dxa"/>
            <w:vAlign w:val="bottom"/>
          </w:tcPr>
          <w:p>
            <w:pPr>
              <w:spacing w:after="0"/>
              <w:rPr>
                <w:sz w:val="20"/>
                <w:szCs w:val="20"/>
                <w:color w:val="auto"/>
              </w:rPr>
            </w:pPr>
            <w:r>
              <w:rPr>
                <w:rFonts w:ascii="Arial" w:cs="Arial" w:eastAsia="Arial" w:hAnsi="Arial"/>
                <w:sz w:val="18"/>
                <w:szCs w:val="18"/>
                <w:b w:val="1"/>
                <w:bCs w:val="1"/>
                <w:color w:val="004483"/>
              </w:rPr>
              <w:t>Debt Securities</w:t>
            </w:r>
          </w:p>
        </w:tc>
        <w:tc>
          <w:tcPr>
            <w:tcW w:w="2940" w:type="dxa"/>
            <w:vAlign w:val="bottom"/>
          </w:tcPr>
          <w:p>
            <w:pPr>
              <w:jc w:val="right"/>
              <w:spacing w:after="0"/>
              <w:rPr>
                <w:sz w:val="20"/>
                <w:szCs w:val="20"/>
                <w:color w:val="auto"/>
              </w:rPr>
            </w:pPr>
            <w:r>
              <w:rPr>
                <w:rFonts w:ascii="Arial" w:cs="Arial" w:eastAsia="Arial" w:hAnsi="Arial"/>
                <w:sz w:val="18"/>
                <w:szCs w:val="18"/>
                <w:color w:val="auto"/>
              </w:rPr>
              <w:t>60</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w w:val="97"/>
              </w:rPr>
              <w:t>– 90%</w:t>
            </w: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r>
      <w:tr>
        <w:trPr>
          <w:trHeight w:val="56"/>
        </w:trPr>
        <w:tc>
          <w:tcPr>
            <w:tcW w:w="3600" w:type="dxa"/>
            <w:vAlign w:val="bottom"/>
            <w:tcBorders>
              <w:bottom w:val="single" w:sz="8" w:color="A6A6A6"/>
            </w:tcBorders>
          </w:tcPr>
          <w:p>
            <w:pPr>
              <w:spacing w:after="0"/>
              <w:rPr>
                <w:sz w:val="4"/>
                <w:szCs w:val="4"/>
                <w:color w:val="auto"/>
              </w:rPr>
            </w:pPr>
          </w:p>
        </w:tc>
        <w:tc>
          <w:tcPr>
            <w:tcW w:w="2940" w:type="dxa"/>
            <w:vAlign w:val="bottom"/>
            <w:tcBorders>
              <w:bottom w:val="single" w:sz="8" w:color="A6A6A6"/>
            </w:tcBorders>
          </w:tcPr>
          <w:p>
            <w:pPr>
              <w:spacing w:after="0"/>
              <w:rPr>
                <w:sz w:val="4"/>
                <w:szCs w:val="4"/>
                <w:color w:val="auto"/>
              </w:rPr>
            </w:pPr>
          </w:p>
        </w:tc>
        <w:tc>
          <w:tcPr>
            <w:tcW w:w="780" w:type="dxa"/>
            <w:vAlign w:val="bottom"/>
            <w:tcBorders>
              <w:bottom w:val="single" w:sz="8" w:color="A6A6A6"/>
            </w:tcBorders>
          </w:tcPr>
          <w:p>
            <w:pPr>
              <w:spacing w:after="0"/>
              <w:rPr>
                <w:sz w:val="4"/>
                <w:szCs w:val="4"/>
                <w:color w:val="auto"/>
              </w:rPr>
            </w:pPr>
          </w:p>
        </w:tc>
        <w:tc>
          <w:tcPr>
            <w:tcW w:w="190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900" w:type="dxa"/>
            <w:vAlign w:val="bottom"/>
            <w:tcBorders>
              <w:bottom w:val="single" w:sz="8" w:color="A6A6A6"/>
            </w:tcBorders>
          </w:tcPr>
          <w:p>
            <w:pPr>
              <w:spacing w:after="0"/>
              <w:rPr>
                <w:sz w:val="4"/>
                <w:szCs w:val="4"/>
                <w:color w:val="auto"/>
              </w:rPr>
            </w:pPr>
          </w:p>
        </w:tc>
      </w:tr>
      <w:tr>
        <w:trPr>
          <w:trHeight w:val="289"/>
        </w:trPr>
        <w:tc>
          <w:tcPr>
            <w:tcW w:w="3600" w:type="dxa"/>
            <w:vAlign w:val="bottom"/>
          </w:tcPr>
          <w:p>
            <w:pPr>
              <w:spacing w:after="0"/>
              <w:rPr>
                <w:sz w:val="20"/>
                <w:szCs w:val="20"/>
                <w:color w:val="auto"/>
              </w:rPr>
            </w:pPr>
            <w:r>
              <w:rPr>
                <w:rFonts w:ascii="Arial" w:cs="Arial" w:eastAsia="Arial" w:hAnsi="Arial"/>
                <w:sz w:val="18"/>
                <w:szCs w:val="18"/>
                <w:b w:val="1"/>
                <w:bCs w:val="1"/>
                <w:color w:val="004483"/>
              </w:rPr>
              <w:t>Other</w:t>
            </w:r>
          </w:p>
        </w:tc>
        <w:tc>
          <w:tcPr>
            <w:tcW w:w="294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w w:val="97"/>
              </w:rPr>
              <w:t>– 20%</w:t>
            </w: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r>
      <w:tr>
        <w:trPr>
          <w:trHeight w:val="83"/>
        </w:trPr>
        <w:tc>
          <w:tcPr>
            <w:tcW w:w="3600" w:type="dxa"/>
            <w:vAlign w:val="bottom"/>
            <w:tcBorders>
              <w:bottom w:val="single" w:sz="8" w:color="A6A6A6"/>
            </w:tcBorders>
          </w:tcPr>
          <w:p>
            <w:pPr>
              <w:spacing w:after="0"/>
              <w:rPr>
                <w:sz w:val="7"/>
                <w:szCs w:val="7"/>
                <w:color w:val="auto"/>
              </w:rPr>
            </w:pPr>
          </w:p>
        </w:tc>
        <w:tc>
          <w:tcPr>
            <w:tcW w:w="294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r>
      <w:tr>
        <w:trPr>
          <w:trHeight w:val="289"/>
        </w:trPr>
        <w:tc>
          <w:tcPr>
            <w:tcW w:w="360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2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b w:val="1"/>
                <w:bCs w:val="1"/>
                <w:color w:val="auto"/>
              </w:rPr>
              <w:t>100%</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100%</w:t>
            </w:r>
          </w:p>
        </w:tc>
      </w:tr>
      <w:tr>
        <w:trPr>
          <w:trHeight w:val="55"/>
        </w:trPr>
        <w:tc>
          <w:tcPr>
            <w:tcW w:w="3600" w:type="dxa"/>
            <w:vAlign w:val="bottom"/>
          </w:tcPr>
          <w:p>
            <w:pPr>
              <w:spacing w:after="0"/>
              <w:rPr>
                <w:sz w:val="4"/>
                <w:szCs w:val="4"/>
                <w:color w:val="auto"/>
              </w:rPr>
            </w:pPr>
          </w:p>
        </w:tc>
        <w:tc>
          <w:tcPr>
            <w:tcW w:w="2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r>
      <w:tr>
        <w:trPr>
          <w:trHeight w:val="20"/>
        </w:trPr>
        <w:tc>
          <w:tcPr>
            <w:tcW w:w="3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pension investment strategies have been developed as part of a comprehensive management process that considers the interaction between the assets and liabilities within each plan. These strategies consider not only the expected risks and returns on plan assets, but also the detailed actuarial projections of liabilities as well as plan-level objectives, such as projected contributions, expense, and funded status.</w:t>
      </w:r>
    </w:p>
    <w:p>
      <w:pPr>
        <w:spacing w:after="0" w:line="6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principal pension investment strategies include asset allocation and active asset management. The range of target asset allocations has been determined given the current funded status of the plan. Each asset class is actively managed by one or more external money managers with the objective of generating returns, net of management fees, that exceed market-based benchmarks. None of the plans hold any Company stock.</w:t>
      </w:r>
    </w:p>
    <w:p>
      <w:pPr>
        <w:spacing w:after="0" w:line="6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fiscal 2026, we reduced our allocation to fixed income securities and increased our allocation to cash equivalents in expectation of lump-sum benefit payouts in conjunction with the plan termination process anticipated to be completed in fiscal 2027. Based on our current actuarial estimates, we do not anticipate making any contributions to our defined benefit plans for fiscal 2027.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plans’ consolidated assets by category as of March 31, 2026, and 2025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2026</w:t>
            </w: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r>
      <w:tr>
        <w:trPr>
          <w:trHeight w:val="203"/>
        </w:trPr>
        <w:tc>
          <w:tcPr>
            <w:tcW w:w="6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color w:val="auto"/>
              </w:rPr>
              <w:t>(dollars in thousands)</w:t>
            </w:r>
          </w:p>
        </w:tc>
        <w:tc>
          <w:tcPr>
            <w:tcW w:w="1180" w:type="dxa"/>
            <w:vAlign w:val="bottom"/>
            <w:tcBorders>
              <w:bottom w:val="single" w:sz="8" w:color="auto"/>
            </w:tcBorders>
          </w:tcPr>
          <w:p>
            <w:pPr>
              <w:spacing w:after="0"/>
              <w:rPr>
                <w:sz w:val="17"/>
                <w:szCs w:val="17"/>
                <w:color w:val="auto"/>
              </w:rPr>
            </w:pPr>
          </w:p>
        </w:tc>
      </w:tr>
      <w:tr>
        <w:trPr>
          <w:trHeight w:val="296"/>
        </w:trPr>
        <w:tc>
          <w:tcPr>
            <w:tcW w:w="6600" w:type="dxa"/>
            <w:vAlign w:val="bottom"/>
          </w:tcPr>
          <w:p>
            <w:pPr>
              <w:spacing w:after="0"/>
              <w:rPr>
                <w:sz w:val="20"/>
                <w:szCs w:val="20"/>
                <w:color w:val="auto"/>
              </w:rPr>
            </w:pPr>
            <w:r>
              <w:rPr>
                <w:rFonts w:ascii="Arial" w:cs="Arial" w:eastAsia="Arial" w:hAnsi="Arial"/>
                <w:sz w:val="18"/>
                <w:szCs w:val="18"/>
                <w:b w:val="1"/>
                <w:bCs w:val="1"/>
                <w:color w:val="004483"/>
              </w:rPr>
              <w:t>Equity Securities</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42"/>
        </w:trPr>
        <w:tc>
          <w:tcPr>
            <w:tcW w:w="660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spacing w:after="0"/>
              <w:rPr>
                <w:sz w:val="20"/>
                <w:szCs w:val="20"/>
                <w:color w:val="auto"/>
              </w:rPr>
            </w:pPr>
            <w:r>
              <w:rPr>
                <w:rFonts w:ascii="Arial" w:cs="Arial" w:eastAsia="Arial" w:hAnsi="Arial"/>
                <w:sz w:val="18"/>
                <w:szCs w:val="18"/>
                <w:b w:val="1"/>
                <w:bCs w:val="1"/>
                <w:color w:val="004483"/>
              </w:rPr>
              <w:t>Fixed Income Securities</w:t>
            </w:r>
          </w:p>
        </w:tc>
        <w:tc>
          <w:tcPr>
            <w:tcW w:w="820" w:type="dxa"/>
            <w:vAlign w:val="bottom"/>
          </w:tcPr>
          <w:p>
            <w:pPr>
              <w:spacing w:after="0"/>
              <w:rPr>
                <w:sz w:val="24"/>
                <w:szCs w:val="24"/>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20,196</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29,010</w:t>
            </w:r>
          </w:p>
        </w:tc>
      </w:tr>
      <w:tr>
        <w:trPr>
          <w:trHeight w:val="42"/>
        </w:trPr>
        <w:tc>
          <w:tcPr>
            <w:tcW w:w="6600" w:type="dxa"/>
            <w:vAlign w:val="bottom"/>
            <w:tcBorders>
              <w:bottom w:val="single" w:sz="8" w:color="A6A6A6"/>
            </w:tcBorders>
          </w:tcPr>
          <w:p>
            <w:pPr>
              <w:spacing w:after="0"/>
              <w:rPr>
                <w:sz w:val="3"/>
                <w:szCs w:val="3"/>
                <w:color w:val="auto"/>
              </w:rPr>
            </w:pPr>
          </w:p>
        </w:tc>
        <w:tc>
          <w:tcPr>
            <w:tcW w:w="82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c>
          <w:tcPr>
            <w:tcW w:w="22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tcPr>
          <w:p>
            <w:pPr>
              <w:spacing w:after="0"/>
              <w:rPr>
                <w:sz w:val="3"/>
                <w:szCs w:val="3"/>
                <w:color w:val="auto"/>
              </w:rPr>
            </w:pPr>
          </w:p>
        </w:tc>
      </w:tr>
      <w:tr>
        <w:trPr>
          <w:trHeight w:val="289"/>
        </w:trPr>
        <w:tc>
          <w:tcPr>
            <w:tcW w:w="6600" w:type="dxa"/>
            <w:vAlign w:val="bottom"/>
          </w:tcPr>
          <w:p>
            <w:pPr>
              <w:spacing w:after="0"/>
              <w:rPr>
                <w:sz w:val="20"/>
                <w:szCs w:val="20"/>
                <w:color w:val="auto"/>
              </w:rPr>
            </w:pPr>
            <w:r>
              <w:rPr>
                <w:rFonts w:ascii="Arial" w:cs="Arial" w:eastAsia="Arial" w:hAnsi="Arial"/>
                <w:sz w:val="18"/>
                <w:szCs w:val="18"/>
                <w:b w:val="1"/>
                <w:bCs w:val="1"/>
                <w:color w:val="004483"/>
              </w:rPr>
              <w:t>Cash Equivalents</w:t>
            </w:r>
          </w:p>
        </w:tc>
        <w:tc>
          <w:tcPr>
            <w:tcW w:w="820" w:type="dxa"/>
            <w:vAlign w:val="bottom"/>
          </w:tcPr>
          <w:p>
            <w:pPr>
              <w:spacing w:after="0"/>
              <w:rPr>
                <w:sz w:val="24"/>
                <w:szCs w:val="24"/>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8,540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482</w:t>
            </w:r>
          </w:p>
        </w:tc>
      </w:tr>
      <w:tr>
        <w:trPr>
          <w:trHeight w:val="69"/>
        </w:trPr>
        <w:tc>
          <w:tcPr>
            <w:tcW w:w="6600" w:type="dxa"/>
            <w:vAlign w:val="bottom"/>
            <w:tcBorders>
              <w:bottom w:val="single" w:sz="8" w:color="A6A6A6"/>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89"/>
        </w:trPr>
        <w:tc>
          <w:tcPr>
            <w:tcW w:w="660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ind w:right="55"/>
              <w:spacing w:after="0"/>
              <w:rPr>
                <w:sz w:val="20"/>
                <w:szCs w:val="20"/>
                <w:color w:val="auto"/>
              </w:rPr>
            </w:pPr>
            <w:r>
              <w:rPr>
                <w:rFonts w:ascii="Arial" w:cs="Arial" w:eastAsia="Arial" w:hAnsi="Arial"/>
                <w:sz w:val="18"/>
                <w:szCs w:val="18"/>
                <w:b w:val="1"/>
                <w:bCs w:val="1"/>
                <w:color w:val="auto"/>
              </w:rPr>
              <w:t>28,736</w:t>
            </w:r>
          </w:p>
        </w:tc>
        <w:tc>
          <w:tcPr>
            <w:tcW w:w="12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29,492</w:t>
            </w:r>
          </w:p>
        </w:tc>
      </w:tr>
      <w:tr>
        <w:trPr>
          <w:trHeight w:val="42"/>
        </w:trPr>
        <w:tc>
          <w:tcPr>
            <w:tcW w:w="66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fair values of our defined benefit plans’ consolidated assets were determined using the fair value hierarchy of inputs described in Footnote (A) to the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2026,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6"/>
                <w:szCs w:val="16"/>
                <w:b w:val="1"/>
                <w:bCs w:val="1"/>
                <w:color w:val="auto"/>
              </w:rPr>
              <w:t>Quoted Prices in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6"/>
                <w:szCs w:val="16"/>
                <w:b w:val="1"/>
                <w:bCs w:val="1"/>
                <w:color w:val="auto"/>
              </w:rPr>
              <w:t>Active Markets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36"/>
              <w:spacing w:after="0"/>
              <w:rPr>
                <w:sz w:val="20"/>
                <w:szCs w:val="20"/>
                <w:color w:val="auto"/>
              </w:rPr>
            </w:pPr>
            <w:r>
              <w:rPr>
                <w:rFonts w:ascii="Arial" w:cs="Arial" w:eastAsia="Arial" w:hAnsi="Arial"/>
                <w:sz w:val="16"/>
                <w:szCs w:val="16"/>
                <w:b w:val="1"/>
                <w:bCs w:val="1"/>
                <w:color w:val="auto"/>
              </w:rPr>
              <w:t>Significant 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Arial" w:cs="Arial" w:eastAsia="Arial" w:hAnsi="Arial"/>
                <w:sz w:val="16"/>
                <w:szCs w:val="16"/>
                <w:b w:val="1"/>
                <w:bCs w:val="1"/>
                <w:color w:val="auto"/>
              </w:rPr>
              <w:t>Significant</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6"/>
                <w:szCs w:val="16"/>
                <w:b w:val="1"/>
                <w:bCs w:val="1"/>
                <w:color w:val="auto"/>
              </w:rPr>
              <w:t>for Identical</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36"/>
              <w:spacing w:after="0"/>
              <w:rPr>
                <w:sz w:val="20"/>
                <w:szCs w:val="20"/>
                <w:color w:val="auto"/>
              </w:rPr>
            </w:pPr>
            <w:r>
              <w:rPr>
                <w:rFonts w:ascii="Arial" w:cs="Arial" w:eastAsia="Arial" w:hAnsi="Arial"/>
                <w:sz w:val="16"/>
                <w:szCs w:val="16"/>
                <w:b w:val="1"/>
                <w:bCs w:val="1"/>
                <w:color w:val="auto"/>
              </w:rPr>
              <w:t>Observable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Arial" w:cs="Arial" w:eastAsia="Arial" w:hAnsi="Arial"/>
                <w:sz w:val="16"/>
                <w:szCs w:val="16"/>
                <w:b w:val="1"/>
                <w:bCs w:val="1"/>
                <w:color w:val="auto"/>
              </w:rPr>
              <w:t>Unobservable</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3"/>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55"/>
              <w:spacing w:after="0"/>
              <w:rPr>
                <w:sz w:val="20"/>
                <w:szCs w:val="20"/>
                <w:color w:val="auto"/>
              </w:rPr>
            </w:pPr>
            <w:r>
              <w:rPr>
                <w:rFonts w:ascii="Arial" w:cs="Arial" w:eastAsia="Arial" w:hAnsi="Arial"/>
                <w:sz w:val="16"/>
                <w:szCs w:val="16"/>
                <w:b w:val="1"/>
                <w:bCs w:val="1"/>
                <w:color w:val="auto"/>
              </w:rPr>
              <w:t>Assets (Level 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6"/>
              <w:spacing w:after="0"/>
              <w:rPr>
                <w:sz w:val="20"/>
                <w:szCs w:val="20"/>
                <w:color w:val="auto"/>
              </w:rPr>
            </w:pPr>
            <w:r>
              <w:rPr>
                <w:rFonts w:ascii="Arial" w:cs="Arial" w:eastAsia="Arial" w:hAnsi="Arial"/>
                <w:sz w:val="16"/>
                <w:szCs w:val="16"/>
                <w:b w:val="1"/>
                <w:bCs w:val="1"/>
                <w:color w:val="auto"/>
              </w:rPr>
              <w:t>Inputs (Level 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6"/>
                <w:szCs w:val="16"/>
                <w:b w:val="1"/>
                <w:bCs w:val="1"/>
                <w:color w:val="auto"/>
              </w:rPr>
              <w:t>Inputs (Level 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6"/>
                <w:szCs w:val="16"/>
                <w:b w:val="1"/>
                <w:bCs w:val="1"/>
                <w:color w:val="auto"/>
              </w:rPr>
              <w:t>Total</w:t>
            </w:r>
          </w:p>
        </w:tc>
      </w:tr>
      <w:tr>
        <w:trPr>
          <w:trHeight w:val="285"/>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 Categories</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8"/>
        </w:trPr>
        <w:tc>
          <w:tcPr>
            <w:tcW w:w="4440" w:type="dxa"/>
            <w:vAlign w:val="bottom"/>
          </w:tcPr>
          <w:p>
            <w:pPr>
              <w:spacing w:after="0"/>
              <w:rPr>
                <w:sz w:val="20"/>
                <w:szCs w:val="20"/>
                <w:color w:val="auto"/>
              </w:rPr>
            </w:pPr>
            <w:r>
              <w:rPr>
                <w:rFonts w:ascii="Arial" w:cs="Arial" w:eastAsia="Arial" w:hAnsi="Arial"/>
                <w:sz w:val="18"/>
                <w:szCs w:val="18"/>
                <w:b w:val="1"/>
                <w:bCs w:val="1"/>
                <w:color w:val="004483"/>
              </w:rPr>
              <w:t>Equity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42"/>
        </w:trPr>
        <w:tc>
          <w:tcPr>
            <w:tcW w:w="44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r>
      <w:tr>
        <w:trPr>
          <w:trHeight w:val="289"/>
        </w:trPr>
        <w:tc>
          <w:tcPr>
            <w:tcW w:w="4440" w:type="dxa"/>
            <w:vAlign w:val="bottom"/>
          </w:tcPr>
          <w:p>
            <w:pPr>
              <w:spacing w:after="0"/>
              <w:rPr>
                <w:sz w:val="20"/>
                <w:szCs w:val="20"/>
                <w:color w:val="auto"/>
              </w:rPr>
            </w:pPr>
            <w:r>
              <w:rPr>
                <w:rFonts w:ascii="Arial" w:cs="Arial" w:eastAsia="Arial" w:hAnsi="Arial"/>
                <w:sz w:val="18"/>
                <w:szCs w:val="18"/>
                <w:b w:val="1"/>
                <w:bCs w:val="1"/>
                <w:color w:val="004483"/>
              </w:rPr>
              <w:t>Fixed Income Securities</w:t>
            </w:r>
          </w:p>
        </w:tc>
        <w:tc>
          <w:tcPr>
            <w:tcW w:w="200" w:type="dxa"/>
            <w:vAlign w:val="bottom"/>
          </w:tcPr>
          <w:p>
            <w:pPr>
              <w:spacing w:after="0"/>
              <w:rPr>
                <w:sz w:val="24"/>
                <w:szCs w:val="24"/>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20,196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20,196</w:t>
            </w:r>
          </w:p>
        </w:tc>
      </w:tr>
      <w:tr>
        <w:trPr>
          <w:trHeight w:val="42"/>
        </w:trPr>
        <w:tc>
          <w:tcPr>
            <w:tcW w:w="444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500" w:type="dxa"/>
            <w:vAlign w:val="bottom"/>
            <w:tcBorders>
              <w:bottom w:val="single" w:sz="8" w:color="A6A6A6"/>
            </w:tcBorders>
          </w:tcPr>
          <w:p>
            <w:pPr>
              <w:spacing w:after="0"/>
              <w:rPr>
                <w:sz w:val="3"/>
                <w:szCs w:val="3"/>
                <w:color w:val="auto"/>
              </w:rPr>
            </w:pPr>
          </w:p>
        </w:tc>
        <w:tc>
          <w:tcPr>
            <w:tcW w:w="1060" w:type="dxa"/>
            <w:vAlign w:val="bottom"/>
            <w:tcBorders>
              <w:bottom w:val="single" w:sz="8" w:color="A6A6A6"/>
            </w:tcBorders>
          </w:tcPr>
          <w:p>
            <w:pPr>
              <w:spacing w:after="0"/>
              <w:rPr>
                <w:sz w:val="3"/>
                <w:szCs w:val="3"/>
                <w:color w:val="auto"/>
              </w:rPr>
            </w:pPr>
          </w:p>
        </w:tc>
      </w:tr>
      <w:tr>
        <w:trPr>
          <w:trHeight w:val="289"/>
        </w:trPr>
        <w:tc>
          <w:tcPr>
            <w:tcW w:w="4440" w:type="dxa"/>
            <w:vAlign w:val="bottom"/>
          </w:tcPr>
          <w:p>
            <w:pPr>
              <w:spacing w:after="0"/>
              <w:rPr>
                <w:sz w:val="20"/>
                <w:szCs w:val="20"/>
                <w:color w:val="auto"/>
              </w:rPr>
            </w:pPr>
            <w:r>
              <w:rPr>
                <w:rFonts w:ascii="Arial" w:cs="Arial" w:eastAsia="Arial" w:hAnsi="Arial"/>
                <w:sz w:val="18"/>
                <w:szCs w:val="18"/>
                <w:b w:val="1"/>
                <w:bCs w:val="1"/>
                <w:color w:val="004483"/>
              </w:rPr>
              <w:t>Cash Equivalents</w:t>
            </w:r>
          </w:p>
        </w:tc>
        <w:tc>
          <w:tcPr>
            <w:tcW w:w="200" w:type="dxa"/>
            <w:vAlign w:val="bottom"/>
          </w:tcPr>
          <w:p>
            <w:pPr>
              <w:spacing w:after="0"/>
              <w:rPr>
                <w:sz w:val="24"/>
                <w:szCs w:val="24"/>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8,540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8,540</w:t>
            </w:r>
          </w:p>
        </w:tc>
      </w:tr>
      <w:tr>
        <w:trPr>
          <w:trHeight w:val="69"/>
        </w:trPr>
        <w:tc>
          <w:tcPr>
            <w:tcW w:w="4440" w:type="dxa"/>
            <w:vAlign w:val="bottom"/>
            <w:tcBorders>
              <w:bottom w:val="single" w:sz="8" w:color="A6A6A6"/>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289"/>
        </w:trPr>
        <w:tc>
          <w:tcPr>
            <w:tcW w:w="44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ind w:right="55"/>
              <w:spacing w:after="0"/>
              <w:rPr>
                <w:sz w:val="20"/>
                <w:szCs w:val="20"/>
                <w:color w:val="auto"/>
              </w:rPr>
            </w:pPr>
            <w:r>
              <w:rPr>
                <w:rFonts w:ascii="Arial" w:cs="Arial" w:eastAsia="Arial" w:hAnsi="Arial"/>
                <w:sz w:val="18"/>
                <w:szCs w:val="18"/>
                <w:b w:val="1"/>
                <w:bCs w:val="1"/>
                <w:color w:val="auto"/>
              </w:rPr>
              <w:t>8,540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6"/>
              <w:spacing w:after="0"/>
              <w:rPr>
                <w:sz w:val="20"/>
                <w:szCs w:val="20"/>
                <w:color w:val="auto"/>
              </w:rPr>
            </w:pPr>
            <w:r>
              <w:rPr>
                <w:rFonts w:ascii="Arial" w:cs="Arial" w:eastAsia="Arial" w:hAnsi="Arial"/>
                <w:sz w:val="18"/>
                <w:szCs w:val="18"/>
                <w:b w:val="1"/>
                <w:bCs w:val="1"/>
                <w:color w:val="auto"/>
              </w:rPr>
              <w:t>20,196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28,736</w:t>
            </w:r>
          </w:p>
        </w:tc>
      </w:tr>
      <w:tr>
        <w:trPr>
          <w:trHeight w:val="42"/>
        </w:trPr>
        <w:tc>
          <w:tcPr>
            <w:tcW w:w="44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2025,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5"/>
              <w:spacing w:after="0"/>
              <w:rPr>
                <w:sz w:val="20"/>
                <w:szCs w:val="20"/>
                <w:color w:val="auto"/>
              </w:rPr>
            </w:pPr>
            <w:r>
              <w:rPr>
                <w:rFonts w:ascii="Arial" w:cs="Arial" w:eastAsia="Arial" w:hAnsi="Arial"/>
                <w:sz w:val="16"/>
                <w:szCs w:val="16"/>
                <w:b w:val="1"/>
                <w:bCs w:val="1"/>
                <w:color w:val="auto"/>
              </w:rPr>
              <w:t>Quoted Prices 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5"/>
              <w:spacing w:after="0"/>
              <w:rPr>
                <w:sz w:val="20"/>
                <w:szCs w:val="20"/>
                <w:color w:val="auto"/>
              </w:rPr>
            </w:pPr>
            <w:r>
              <w:rPr>
                <w:rFonts w:ascii="Arial" w:cs="Arial" w:eastAsia="Arial" w:hAnsi="Arial"/>
                <w:sz w:val="16"/>
                <w:szCs w:val="16"/>
                <w:b w:val="1"/>
                <w:bCs w:val="1"/>
                <w:color w:val="auto"/>
              </w:rPr>
              <w:t>Active Markets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6"/>
              <w:spacing w:after="0"/>
              <w:rPr>
                <w:sz w:val="20"/>
                <w:szCs w:val="20"/>
                <w:color w:val="auto"/>
              </w:rPr>
            </w:pPr>
            <w:r>
              <w:rPr>
                <w:rFonts w:ascii="Arial" w:cs="Arial" w:eastAsia="Arial" w:hAnsi="Arial"/>
                <w:sz w:val="16"/>
                <w:szCs w:val="16"/>
                <w:b w:val="1"/>
                <w:bCs w:val="1"/>
                <w:color w:val="auto"/>
              </w:rPr>
              <w:t>Significant 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Arial" w:cs="Arial" w:eastAsia="Arial" w:hAnsi="Arial"/>
                <w:sz w:val="16"/>
                <w:szCs w:val="16"/>
                <w:b w:val="1"/>
                <w:bCs w:val="1"/>
                <w:color w:val="auto"/>
              </w:rPr>
              <w:t>Significant</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5"/>
              <w:spacing w:after="0"/>
              <w:rPr>
                <w:sz w:val="20"/>
                <w:szCs w:val="20"/>
                <w:color w:val="auto"/>
              </w:rPr>
            </w:pPr>
            <w:r>
              <w:rPr>
                <w:rFonts w:ascii="Arial" w:cs="Arial" w:eastAsia="Arial" w:hAnsi="Arial"/>
                <w:sz w:val="16"/>
                <w:szCs w:val="16"/>
                <w:b w:val="1"/>
                <w:bCs w:val="1"/>
                <w:color w:val="auto"/>
              </w:rPr>
              <w:t>for Identical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6"/>
              <w:spacing w:after="0"/>
              <w:rPr>
                <w:sz w:val="20"/>
                <w:szCs w:val="20"/>
                <w:color w:val="auto"/>
              </w:rPr>
            </w:pPr>
            <w:r>
              <w:rPr>
                <w:rFonts w:ascii="Arial" w:cs="Arial" w:eastAsia="Arial" w:hAnsi="Arial"/>
                <w:sz w:val="16"/>
                <w:szCs w:val="16"/>
                <w:b w:val="1"/>
                <w:bCs w:val="1"/>
                <w:color w:val="auto"/>
              </w:rPr>
              <w:t>Observable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34"/>
              <w:spacing w:after="0"/>
              <w:rPr>
                <w:sz w:val="20"/>
                <w:szCs w:val="20"/>
                <w:color w:val="auto"/>
              </w:rPr>
            </w:pPr>
            <w:r>
              <w:rPr>
                <w:rFonts w:ascii="Arial" w:cs="Arial" w:eastAsia="Arial" w:hAnsi="Arial"/>
                <w:sz w:val="16"/>
                <w:szCs w:val="16"/>
                <w:b w:val="1"/>
                <w:bCs w:val="1"/>
                <w:color w:val="auto"/>
              </w:rPr>
              <w:t>Unobservable</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3"/>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6"/>
                <w:szCs w:val="16"/>
                <w:b w:val="1"/>
                <w:bCs w:val="1"/>
                <w:color w:val="auto"/>
              </w:rPr>
              <w:t>Assets (Level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6"/>
              <w:spacing w:after="0"/>
              <w:rPr>
                <w:sz w:val="20"/>
                <w:szCs w:val="20"/>
                <w:color w:val="auto"/>
              </w:rPr>
            </w:pPr>
            <w:r>
              <w:rPr>
                <w:rFonts w:ascii="Arial" w:cs="Arial" w:eastAsia="Arial" w:hAnsi="Arial"/>
                <w:sz w:val="16"/>
                <w:szCs w:val="16"/>
                <w:b w:val="1"/>
                <w:bCs w:val="1"/>
                <w:color w:val="auto"/>
              </w:rPr>
              <w:t>Inputs (Level 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6"/>
                <w:szCs w:val="16"/>
                <w:b w:val="1"/>
                <w:bCs w:val="1"/>
                <w:color w:val="auto"/>
              </w:rPr>
              <w:t>Inputs (Level 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6"/>
                <w:szCs w:val="16"/>
                <w:b w:val="1"/>
                <w:bCs w:val="1"/>
                <w:color w:val="auto"/>
              </w:rPr>
              <w:t>Total</w:t>
            </w:r>
          </w:p>
        </w:tc>
      </w:tr>
      <w:tr>
        <w:trPr>
          <w:trHeight w:val="285"/>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 Categories</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95"/>
        </w:trPr>
        <w:tc>
          <w:tcPr>
            <w:tcW w:w="4400" w:type="dxa"/>
            <w:vAlign w:val="bottom"/>
          </w:tcPr>
          <w:p>
            <w:pPr>
              <w:spacing w:after="0"/>
              <w:rPr>
                <w:sz w:val="20"/>
                <w:szCs w:val="20"/>
                <w:color w:val="auto"/>
              </w:rPr>
            </w:pPr>
            <w:r>
              <w:rPr>
                <w:rFonts w:ascii="Arial" w:cs="Arial" w:eastAsia="Arial" w:hAnsi="Arial"/>
                <w:sz w:val="18"/>
                <w:szCs w:val="18"/>
                <w:b w:val="1"/>
                <w:bCs w:val="1"/>
                <w:color w:val="004483"/>
              </w:rPr>
              <w:t>Equity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42"/>
        </w:trPr>
        <w:tc>
          <w:tcPr>
            <w:tcW w:w="44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r>
      <w:tr>
        <w:trPr>
          <w:trHeight w:val="289"/>
        </w:trPr>
        <w:tc>
          <w:tcPr>
            <w:tcW w:w="4400" w:type="dxa"/>
            <w:vAlign w:val="bottom"/>
          </w:tcPr>
          <w:p>
            <w:pPr>
              <w:spacing w:after="0"/>
              <w:rPr>
                <w:sz w:val="20"/>
                <w:szCs w:val="20"/>
                <w:color w:val="auto"/>
              </w:rPr>
            </w:pPr>
            <w:r>
              <w:rPr>
                <w:rFonts w:ascii="Arial" w:cs="Arial" w:eastAsia="Arial" w:hAnsi="Arial"/>
                <w:sz w:val="18"/>
                <w:szCs w:val="18"/>
                <w:b w:val="1"/>
                <w:bCs w:val="1"/>
                <w:color w:val="004483"/>
              </w:rPr>
              <w:t>Fixed Income Securities</w:t>
            </w:r>
          </w:p>
        </w:tc>
        <w:tc>
          <w:tcPr>
            <w:tcW w:w="200" w:type="dxa"/>
            <w:vAlign w:val="bottom"/>
          </w:tcPr>
          <w:p>
            <w:pPr>
              <w:spacing w:after="0"/>
              <w:rPr>
                <w:sz w:val="24"/>
                <w:szCs w:val="24"/>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29,010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29,010</w:t>
            </w:r>
          </w:p>
        </w:tc>
      </w:tr>
      <w:tr>
        <w:trPr>
          <w:trHeight w:val="42"/>
        </w:trPr>
        <w:tc>
          <w:tcPr>
            <w:tcW w:w="4400" w:type="dxa"/>
            <w:vAlign w:val="bottom"/>
            <w:tcBorders>
              <w:bottom w:val="single" w:sz="8" w:color="A6A6A6"/>
            </w:tcBorders>
          </w:tcPr>
          <w:p>
            <w:pPr>
              <w:spacing w:after="0"/>
              <w:rPr>
                <w:sz w:val="3"/>
                <w:szCs w:val="3"/>
                <w:color w:val="auto"/>
              </w:rPr>
            </w:pPr>
          </w:p>
        </w:tc>
        <w:tc>
          <w:tcPr>
            <w:tcW w:w="20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5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80" w:type="dxa"/>
            <w:vAlign w:val="bottom"/>
            <w:tcBorders>
              <w:bottom w:val="single" w:sz="8" w:color="A6A6A6"/>
            </w:tcBorders>
          </w:tcPr>
          <w:p>
            <w:pPr>
              <w:spacing w:after="0"/>
              <w:rPr>
                <w:sz w:val="3"/>
                <w:szCs w:val="3"/>
                <w:color w:val="auto"/>
              </w:rPr>
            </w:pPr>
          </w:p>
        </w:tc>
        <w:tc>
          <w:tcPr>
            <w:tcW w:w="13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480" w:type="dxa"/>
            <w:vAlign w:val="bottom"/>
            <w:tcBorders>
              <w:bottom w:val="single" w:sz="8" w:color="A6A6A6"/>
            </w:tcBorders>
          </w:tcPr>
          <w:p>
            <w:pPr>
              <w:spacing w:after="0"/>
              <w:rPr>
                <w:sz w:val="3"/>
                <w:szCs w:val="3"/>
                <w:color w:val="auto"/>
              </w:rPr>
            </w:pPr>
          </w:p>
        </w:tc>
        <w:tc>
          <w:tcPr>
            <w:tcW w:w="1040" w:type="dxa"/>
            <w:vAlign w:val="bottom"/>
            <w:tcBorders>
              <w:bottom w:val="single" w:sz="8" w:color="A6A6A6"/>
            </w:tcBorders>
          </w:tcPr>
          <w:p>
            <w:pPr>
              <w:spacing w:after="0"/>
              <w:rPr>
                <w:sz w:val="3"/>
                <w:szCs w:val="3"/>
                <w:color w:val="auto"/>
              </w:rPr>
            </w:pPr>
          </w:p>
        </w:tc>
      </w:tr>
      <w:tr>
        <w:trPr>
          <w:trHeight w:val="289"/>
        </w:trPr>
        <w:tc>
          <w:tcPr>
            <w:tcW w:w="4400" w:type="dxa"/>
            <w:vAlign w:val="bottom"/>
          </w:tcPr>
          <w:p>
            <w:pPr>
              <w:spacing w:after="0"/>
              <w:rPr>
                <w:sz w:val="20"/>
                <w:szCs w:val="20"/>
                <w:color w:val="auto"/>
              </w:rPr>
            </w:pPr>
            <w:r>
              <w:rPr>
                <w:rFonts w:ascii="Arial" w:cs="Arial" w:eastAsia="Arial" w:hAnsi="Arial"/>
                <w:sz w:val="18"/>
                <w:szCs w:val="18"/>
                <w:b w:val="1"/>
                <w:bCs w:val="1"/>
                <w:color w:val="004483"/>
              </w:rPr>
              <w:t>Cash Equivalents</w:t>
            </w:r>
          </w:p>
        </w:tc>
        <w:tc>
          <w:tcPr>
            <w:tcW w:w="200" w:type="dxa"/>
            <w:vAlign w:val="bottom"/>
          </w:tcPr>
          <w:p>
            <w:pPr>
              <w:spacing w:after="0"/>
              <w:rPr>
                <w:sz w:val="24"/>
                <w:szCs w:val="24"/>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482</w:t>
            </w:r>
          </w:p>
        </w:tc>
      </w:tr>
      <w:tr>
        <w:trPr>
          <w:trHeight w:val="69"/>
        </w:trPr>
        <w:tc>
          <w:tcPr>
            <w:tcW w:w="4400" w:type="dxa"/>
            <w:vAlign w:val="bottom"/>
            <w:tcBorders>
              <w:bottom w:val="single" w:sz="8" w:color="A6A6A6"/>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89"/>
        </w:trPr>
        <w:tc>
          <w:tcPr>
            <w:tcW w:w="44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ind w:right="35"/>
              <w:spacing w:after="0"/>
              <w:rPr>
                <w:sz w:val="20"/>
                <w:szCs w:val="20"/>
                <w:color w:val="auto"/>
              </w:rPr>
            </w:pPr>
            <w:r>
              <w:rPr>
                <w:rFonts w:ascii="Arial" w:cs="Arial" w:eastAsia="Arial" w:hAnsi="Arial"/>
                <w:sz w:val="18"/>
                <w:szCs w:val="18"/>
                <w:b w:val="1"/>
                <w:bCs w:val="1"/>
                <w:color w:val="auto"/>
              </w:rPr>
              <w:t>482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36"/>
              <w:spacing w:after="0"/>
              <w:rPr>
                <w:sz w:val="20"/>
                <w:szCs w:val="20"/>
                <w:color w:val="auto"/>
              </w:rPr>
            </w:pPr>
            <w:r>
              <w:rPr>
                <w:rFonts w:ascii="Arial" w:cs="Arial" w:eastAsia="Arial" w:hAnsi="Arial"/>
                <w:sz w:val="18"/>
                <w:szCs w:val="18"/>
                <w:b w:val="1"/>
                <w:bCs w:val="1"/>
                <w:color w:val="auto"/>
              </w:rPr>
              <w:t>29,010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29,492</w:t>
            </w:r>
          </w:p>
        </w:tc>
      </w:tr>
      <w:tr>
        <w:trPr>
          <w:trHeight w:val="42"/>
        </w:trPr>
        <w:tc>
          <w:tcPr>
            <w:tcW w:w="44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Equity securities consist of funds that are not actively traded. These funds are maintained by an investment manager and are primarily invested in indexes. The remaining funds, excluding cash, primarily consist of investments in institutional funds.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Profit-Sharing Plans</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also provide profit sharing plans, which cover substantially all salaried and certain hourly employees. The profit-sharing plans are defined contribution plans funded by employer discretionary contributions; employees may also contribute a certain percentage of their base annual salary. Employees are fully vested in their own contributions and become fully vested in any Company contributions over a four-year period. Costs relating to the employer discretionary contributions for our plan totaled $10.0 million, $9.8 million, and $9.6 million in fiscal years 2026, 2025, and 2024, respectively.</w:t>
      </w:r>
    </w:p>
    <w:p>
      <w:pPr>
        <w:spacing w:after="0" w:line="6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also made matching contributions to the hourly profit-sharing plan for certain of our entities totaling $3.4 million, $2.7 million, and $1.8 million for these employees during fiscal years 2026, 2025, and 2024, respectively.</w:t>
      </w:r>
    </w:p>
    <w:p>
      <w:pPr>
        <w:spacing w:after="0" w:line="4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Historically, approximately 50 of our employees each belong to one of two multi-employer plans. The collective bargaining agreement relating to one of these multi-employer plans, which covers approximately 10 of our employees, expired in February 2024 and is currently being renegotiated. The other collective bargaining agreement relating to the other multi-employer plan, which covered approximately 40 of our employees, was terminated during fiscal 2025. Our expense related to these multi-employer plans was approximately $0.1 million, $0.5 million, and $1.7 million during fiscal years 2026, 2025, and 2024, respectively. We anticipate the total expense in fiscal 2027 related to these plans will be approximately $0.2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Eagle Materials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audited the accompanying consolidated balance sheets of Eagle Materials Inc. and subsidiaries (the Company) as of March 31, 2026 and 2025, the related consolidated statements of earnings, comprehensive earnings, stockholders' equity and cash flows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U.S. generally accepted accounting principles.</w:t>
      </w:r>
    </w:p>
    <w:p>
      <w:pPr>
        <w:spacing w:after="0" w:line="1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2026, based on criteria established in Internal Control—Integrated Framework issued by the Committee of Sponsoring Organizations of the Treadway Commission (2013 framework), and our report dated May 19, 2026 expressed an unqualified opinion thereon.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Raw Materials and Materials-in-Progress inventory existence</w:t>
      </w:r>
    </w:p>
    <w:p>
      <w:pPr>
        <w:sectPr>
          <w:pgSz w:w="11900" w:h="16838" w:orient="portrait"/>
          <w:cols w:equalWidth="0" w:num="1">
            <w:col w:w="11240"/>
          </w:cols>
          <w:pgMar w:left="320" w:top="1440" w:right="3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described in Note A, the Company’s raw materials and materials-in-progress inventory balance was $158.8 million at March 31, 2026. Components of this balance include raw materials that are purchased from third parties, as well as clinker, which is internally manufactured and represents an intermediary product before it is ground into cement powder. Due to the nature of raw materials and materials-in-progress inventory, the Company utilizes technology to measure certain volumes of the inventory stockpiles and applies standard density factors to convert the measurements to tons of inventory, which is then compared to the Company’s recorded balance.</w:t>
      </w:r>
    </w:p>
    <w:p>
      <w:pPr>
        <w:spacing w:after="0" w:line="71" w:lineRule="exact"/>
        <w:rPr>
          <w:sz w:val="20"/>
          <w:szCs w:val="20"/>
          <w:color w:val="auto"/>
        </w:rPr>
      </w:pPr>
    </w:p>
    <w:p>
      <w:pPr>
        <w:jc w:val="both"/>
        <w:ind w:right="360"/>
        <w:spacing w:after="0" w:line="261" w:lineRule="auto"/>
        <w:rPr>
          <w:sz w:val="20"/>
          <w:szCs w:val="20"/>
          <w:color w:val="auto"/>
        </w:rPr>
      </w:pPr>
      <w:r>
        <w:rPr>
          <w:rFonts w:ascii="Arial" w:cs="Arial" w:eastAsia="Arial" w:hAnsi="Arial"/>
          <w:sz w:val="18"/>
          <w:szCs w:val="18"/>
          <w:color w:val="auto"/>
        </w:rPr>
        <w:t>Auditing management’s process for measuring certain raw materials and materials-in-progress inventory was complex as auditor judgment was necessary to evaluate the Company’s process for measuring the inventory, given the technology utilized, and converting the measurements to tonnage.</w:t>
      </w:r>
    </w:p>
    <w:p>
      <w:pPr>
        <w:spacing w:after="0" w:line="54"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of determining the existence of certain raw materials and materials-in-progress inventory.</w:t>
      </w:r>
    </w:p>
    <w:p>
      <w:pPr>
        <w:spacing w:after="0" w:line="23"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To test the existence of certain raw materials and materials-in-progress inventory, we performed audit procedures, assisted by specialists, that included, among others, obtaining inventory measurements performed by third parties, observing management’s inspection and measurement of inventory, testing the measurement techniques of the inventory stockpiles, testing the underlying calculations of the measurements in the conversion calculations utilizing density factors, and evaluating the appropriateness of the density factors utilized in the calculations as compared to industry information.</w:t>
      </w:r>
    </w:p>
    <w:p>
      <w:pPr>
        <w:spacing w:after="0" w:line="398" w:lineRule="exact"/>
        <w:rPr>
          <w:sz w:val="20"/>
          <w:szCs w:val="20"/>
          <w:color w:val="auto"/>
        </w:rPr>
      </w:pPr>
    </w:p>
    <w:p>
      <w:pPr>
        <w:sectPr>
          <w:pgSz w:w="11900" w:h="16838" w:orient="portrait"/>
          <w:cols w:equalWidth="0" w:num="2">
            <w:col w:w="2060" w:space="140"/>
            <w:col w:w="9040"/>
          </w:cols>
          <w:pgMar w:left="320" w:top="1440" w:right="339" w:bottom="1440" w:gutter="0" w:footer="0" w:header="0"/>
          <w:type w:val="continuous"/>
        </w:sect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Dallas, Texas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May 19, 2026</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EVALUATION OF DISCLOSURE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established a system of disclosure controls and other procedures that are designed to ensure that information related to the Company, that is required to be disclosed by us in the reports that we file or submit under the Exchange Act is recorded, processed, summarized, and reported within the time periods specified by the SEC's rules and forms, and that such information is accumulated and communicated to management, including our Chief Executive Officer (CEO) and CFO, as appropriate to allow timely decisions regarding required disclosure. An evaluation of the effectiveness of the design and operation of our disclosure controls and procedures (as defined in Exchange Act Rule 13a-15(e)) was performed as of the end of the period covered by this annual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72"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We are currently undertaking a significant multi-year ERP implementation to upgrade our information technology platforms and business processes. The ERP implementation is occurring in phases over several years, which began in fiscal 2025 with the implementation at Corporate. During the three months ended September 30, 2025, we implemented the ERP at our Gypsum Wallboard and Recycled Paperboard segments.</w:t>
      </w:r>
    </w:p>
    <w:p>
      <w:pPr>
        <w:spacing w:after="0" w:line="6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As a result of this multi-year implementation, we expect certain changes to our processes and procedures, which, in turn, will result in changes to our internal control over financial reporting. While we expect this implementation to strengthen our internal control over financial reporting by automating certain manual processes and standardizing business processes and reporting across our organization, we will continue to evaluate and monitor our internal control over financial reporting as processes and procedures in the affected areas evolve.</w:t>
      </w:r>
    </w:p>
    <w:p>
      <w:pPr>
        <w:spacing w:after="0" w:line="6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There were no changes that occurred during our last fiscal quarter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MANAGEMENT REPORT ON INTERNAL CONTROL OVER FINANCIAL REPORTING</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Exchange Act Rule 13a-15(f). 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Based on our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March 31, 2026. The effectiveness of our internal control over financial reporting as of March 31, 2026,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17" w:name="page118"/>
    <w:bookmarkEnd w:id="117"/>
    <w:p>
      <w:pPr>
        <w:ind w:right="5140"/>
        <w:spacing w:after="0" w:line="36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Eagle Materials Inc. </w:t>
      </w:r>
      <w:r>
        <w:rPr>
          <w:rFonts w:ascii="Arial" w:cs="Arial" w:eastAsia="Arial" w:hAnsi="Arial"/>
          <w:sz w:val="18"/>
          <w:szCs w:val="18"/>
          <w:b w:val="1"/>
          <w:bCs w:val="1"/>
          <w:color w:val="auto"/>
        </w:rPr>
        <w:t>Opinion on Internal Control Over Financial Reporting</w:t>
      </w:r>
    </w:p>
    <w:p>
      <w:pPr>
        <w:ind w:right="180"/>
        <w:spacing w:after="0" w:line="247" w:lineRule="auto"/>
        <w:rPr>
          <w:sz w:val="20"/>
          <w:szCs w:val="20"/>
          <w:color w:val="auto"/>
        </w:rPr>
      </w:pPr>
      <w:r>
        <w:rPr>
          <w:rFonts w:ascii="Arial" w:cs="Arial" w:eastAsia="Arial" w:hAnsi="Arial"/>
          <w:sz w:val="18"/>
          <w:szCs w:val="18"/>
          <w:color w:val="auto"/>
        </w:rPr>
        <w:t>We have audited Eagle Materials Inc. and subsidiaries’ internal control over financial reporting as of March 31, 2026, based on criteria established in Internal Control—Integrated Framework issued by the Committee of Sponsoring Organizations of the Treadway Commission (2013 framework) (the COSO criteria). In our opinion, Eagle Materials Inc. and subsidiaries (the Company) maintained, in all material respects, effective internal control over financial reporting as of March 31, 2026, based on the COSO criteria.</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2026 and 2025, the related consolidated statements of earnings, comprehensive earnings, stockholders’ equity and cash flows for each of the three years in the period ended March 31, 2026, and the related notes and our report dated May 19, 2026 expressed an unqualified opinion thereon.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8" w:name="page119"/>
    <w:bookmarkEnd w:id="118"/>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May 19, 2026</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19" w:name="page120"/>
    <w:bookmarkEnd w:id="119"/>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fourth quarter ended March 31, 2026.</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120" w:name="page121"/>
    <w:bookmarkEnd w:id="120"/>
    <w:p>
      <w:pPr>
        <w:spacing w:after="0"/>
        <w:rPr>
          <w:sz w:val="20"/>
          <w:szCs w:val="20"/>
          <w:color w:val="auto"/>
        </w:rPr>
      </w:pPr>
      <w:r>
        <w:rPr>
          <w:rFonts w:ascii="Arial" w:cs="Arial" w:eastAsia="Arial" w:hAnsi="Arial"/>
          <w:sz w:val="23"/>
          <w:szCs w:val="23"/>
          <w:b w:val="1"/>
          <w:bCs w:val="1"/>
          <w:color w:val="004483"/>
        </w:rPr>
        <w:t>PART III</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Except for the information below regarding our code of ethics, the information called for by Items 10, 11, 12, 13, and 14 is incorporated herein by reference to the information included and referenced under the following captions in the Company’s Proxy Statement for the Company’s July 30, 2026, Annual Meeting of Stockholders (the 2026 EXP Proxy Statement):</w:t>
      </w:r>
    </w:p>
    <w:p>
      <w:pPr>
        <w:spacing w:after="0" w:line="214"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Items</w:t>
      </w:r>
      <w:r>
        <w:rPr>
          <w:sz w:val="20"/>
          <w:szCs w:val="20"/>
          <w:color w:val="auto"/>
        </w:rPr>
        <w:tab/>
      </w:r>
      <w:r>
        <w:rPr>
          <w:rFonts w:ascii="Arial" w:cs="Arial" w:eastAsia="Arial" w:hAnsi="Arial"/>
          <w:sz w:val="16"/>
          <w:szCs w:val="16"/>
          <w:b w:val="1"/>
          <w:bCs w:val="1"/>
          <w:color w:val="auto"/>
        </w:rPr>
        <w:t>Caption in the 2026 EXP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15"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004483"/>
        </w:rPr>
        <w:t>Executive Officers Who Are Not Directors</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004483"/>
        </w:rPr>
        <w:t>Election of Directors and Related Matters</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004483"/>
        </w:rPr>
        <w:t>Stock Ownership - Insider Trading and Prohibited Transactions in Company Securities</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004483"/>
        </w:rPr>
        <w:t>Stock Ownership – Code of Conduct</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00448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-753110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760" w:hanging="75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00448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760" w:hanging="752"/>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004483"/>
        </w:rPr>
        <w:t>Potential Payments Upon Termination or Change in Control</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004483"/>
        </w:rPr>
        <w:t>Stock Ownership</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004483"/>
        </w:rPr>
        <w:t>Stock Ownership –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760" w:hanging="752"/>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004483"/>
        </w:rPr>
        <w:t>Election of Directors and Related Matters</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004483"/>
        </w:rPr>
        <w:t>Relationship with 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CODE OF ETHICS</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The policies comprising the Company’s code of ethics are detailed in </w:t>
      </w:r>
      <w:r>
        <w:rPr>
          <w:rFonts w:ascii="Arial" w:cs="Arial" w:eastAsia="Arial" w:hAnsi="Arial"/>
          <w:sz w:val="18"/>
          <w:szCs w:val="18"/>
          <w:i w:val="1"/>
          <w:iCs w:val="1"/>
          <w:color w:val="auto"/>
        </w:rPr>
        <w:t>The Eagle Way – A Guide to Decision-Making on Business Conduct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Issues. </w:t>
      </w:r>
      <w:r>
        <w:rPr>
          <w:rFonts w:ascii="Arial" w:cs="Arial" w:eastAsia="Arial" w:hAnsi="Arial"/>
          <w:sz w:val="18"/>
          <w:szCs w:val="18"/>
          <w:color w:val="auto"/>
        </w:rPr>
        <w:t>This represents the code of ethics for the principal executive officer, principal financial officer, and principal accounting officer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 rules, as well as the code of business conduct and ethics for directors, officers, and employees under NYSE listing standards. The code of ethics is published on the corporate governance section of the Company’s website at </w:t>
      </w:r>
      <w:r>
        <w:rPr>
          <w:rFonts w:ascii="Arial" w:cs="Arial" w:eastAsia="Arial" w:hAnsi="Arial"/>
          <w:sz w:val="18"/>
          <w:szCs w:val="18"/>
          <w:i w:val="1"/>
          <w:iCs w:val="1"/>
          <w:color w:val="auto"/>
        </w:rPr>
        <w:t>eaglematerials.com</w:t>
      </w:r>
      <w:r>
        <w:rPr>
          <w:rFonts w:ascii="Arial" w:cs="Arial" w:eastAsia="Arial" w:hAnsi="Arial"/>
          <w:sz w:val="18"/>
          <w:szCs w:val="18"/>
          <w:color w:val="auto"/>
        </w:rPr>
        <w:t>.</w:t>
      </w:r>
    </w:p>
    <w:p>
      <w:pPr>
        <w:spacing w:after="0" w:line="66"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Although the Company does not anticipate that any waivers of the code of ethics will be granted, should a waiver occur for the principal executive officer, principal financial officer, principal accounting officer, or controller, it will be promptly disclosed on our website. Also, any amendments of the code will be promptly posted on our website. These references to our website are intended solely to inform investors where they may obtain additional information; the materials and other information presented on our website are not incorporated in and should not otherwise be considered part of this Report.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21" w:name="page122"/>
    <w:bookmarkEnd w:id="121"/>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294" w:lineRule="exact"/>
        <w:rPr>
          <w:sz w:val="20"/>
          <w:szCs w:val="20"/>
          <w:color w:val="auto"/>
        </w:rPr>
      </w:pPr>
    </w:p>
    <w:p>
      <w:pPr>
        <w:ind w:right="1340"/>
        <w:spacing w:after="0" w:line="309"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EQUITY COMPENSATION PLAN</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shows the number of outstanding options and shares available for future issuance of options under the Company's equity compensation plans as of March 31, 2026. Our equity compensation plans have been approved by the Company's stockholders.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Number of</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for future</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b w:val="1"/>
                <w:bCs w:val="1"/>
                <w:color w:val="auto"/>
              </w:rPr>
              <w:t>securities to</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issuance</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b w:val="1"/>
                <w:bCs w:val="1"/>
                <w:color w:val="auto"/>
              </w:rPr>
              <w:t>be issued upon</w:t>
            </w:r>
          </w:p>
        </w:tc>
        <w:tc>
          <w:tcPr>
            <w:tcW w:w="140" w:type="dxa"/>
            <w:vAlign w:val="bottom"/>
          </w:tcPr>
          <w:p>
            <w:pPr>
              <w:spacing w:after="0"/>
              <w:rPr>
                <w:sz w:val="16"/>
                <w:szCs w:val="16"/>
                <w:color w:val="auto"/>
              </w:rPr>
            </w:pPr>
          </w:p>
        </w:tc>
        <w:tc>
          <w:tcPr>
            <w:tcW w:w="1560" w:type="dxa"/>
            <w:vAlign w:val="bottom"/>
            <w:gridSpan w:val="2"/>
          </w:tcPr>
          <w:p>
            <w:pPr>
              <w:jc w:val="right"/>
              <w:ind w:right="35"/>
              <w:spacing w:after="0"/>
              <w:rPr>
                <w:sz w:val="20"/>
                <w:szCs w:val="20"/>
                <w:color w:val="auto"/>
              </w:rPr>
            </w:pPr>
            <w:r>
              <w:rPr>
                <w:rFonts w:ascii="Arial" w:cs="Arial" w:eastAsia="Arial" w:hAnsi="Arial"/>
                <w:sz w:val="16"/>
                <w:szCs w:val="16"/>
                <w:b w:val="1"/>
                <w:bCs w:val="1"/>
                <w:color w:val="auto"/>
              </w:rPr>
              <w:t>Weighted-average</w:t>
            </w: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under equity</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b w:val="1"/>
                <w:bCs w:val="1"/>
                <w:color w:val="auto"/>
              </w:rPr>
              <w:t>exercise of</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35"/>
              <w:spacing w:after="0"/>
              <w:rPr>
                <w:sz w:val="20"/>
                <w:szCs w:val="20"/>
                <w:color w:val="auto"/>
              </w:rPr>
            </w:pPr>
            <w:r>
              <w:rPr>
                <w:rFonts w:ascii="Arial" w:cs="Arial" w:eastAsia="Arial" w:hAnsi="Arial"/>
                <w:sz w:val="16"/>
                <w:szCs w:val="16"/>
                <w:b w:val="1"/>
                <w:bCs w:val="1"/>
                <w:color w:val="auto"/>
              </w:rPr>
              <w:t>exercise price of</w:t>
            </w: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b w:val="1"/>
                <w:bCs w:val="1"/>
                <w:color w:val="auto"/>
              </w:rPr>
              <w:t>outstanding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35"/>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6"/>
                <w:szCs w:val="16"/>
                <w:b w:val="1"/>
                <w:bCs w:val="1"/>
                <w:color w:val="auto"/>
              </w:rPr>
              <w:t>warrants, and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35"/>
              <w:spacing w:after="0"/>
              <w:rPr>
                <w:sz w:val="20"/>
                <w:szCs w:val="20"/>
                <w:color w:val="auto"/>
              </w:rPr>
            </w:pPr>
            <w:r>
              <w:rPr>
                <w:rFonts w:ascii="Arial" w:cs="Arial" w:eastAsia="Arial" w:hAnsi="Arial"/>
                <w:sz w:val="16"/>
                <w:szCs w:val="16"/>
                <w:b w:val="1"/>
                <w:bCs w:val="1"/>
                <w:color w:val="auto"/>
              </w:rPr>
              <w:t>warrants, and</w:t>
            </w:r>
          </w:p>
        </w:tc>
        <w:tc>
          <w:tcPr>
            <w:tcW w:w="100" w:type="dxa"/>
            <w:vAlign w:val="bottom"/>
          </w:tcPr>
          <w:p>
            <w:pPr>
              <w:spacing w:after="0"/>
              <w:rPr>
                <w:sz w:val="16"/>
                <w:szCs w:val="16"/>
                <w:color w:val="auto"/>
              </w:rPr>
            </w:pPr>
          </w:p>
        </w:tc>
        <w:tc>
          <w:tcPr>
            <w:tcW w:w="1420" w:type="dxa"/>
            <w:vAlign w:val="bottom"/>
          </w:tcPr>
          <w:p>
            <w:pPr>
              <w:jc w:val="right"/>
              <w:ind w:right="58"/>
              <w:spacing w:after="0"/>
              <w:rPr>
                <w:sz w:val="20"/>
                <w:szCs w:val="20"/>
                <w:color w:val="auto"/>
              </w:rPr>
            </w:pPr>
            <w:r>
              <w:rPr>
                <w:rFonts w:ascii="Arial" w:cs="Arial" w:eastAsia="Arial" w:hAnsi="Arial"/>
                <w:sz w:val="16"/>
                <w:szCs w:val="16"/>
                <w:b w:val="1"/>
                <w:bCs w:val="1"/>
                <w:color w:val="auto"/>
              </w:rPr>
              <w:t>reflected in</w:t>
            </w:r>
          </w:p>
        </w:tc>
      </w:tr>
      <w:tr>
        <w:trPr>
          <w:trHeight w:val="237"/>
        </w:trPr>
        <w:tc>
          <w:tcPr>
            <w:tcW w:w="5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Category</w:t>
            </w: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Incentive Plan</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rights</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rights</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column</w:t>
            </w:r>
          </w:p>
        </w:tc>
      </w:tr>
      <w:tr>
        <w:trPr>
          <w:trHeight w:val="295"/>
        </w:trPr>
        <w:tc>
          <w:tcPr>
            <w:tcW w:w="5180" w:type="dxa"/>
            <w:vAlign w:val="bottom"/>
          </w:tcPr>
          <w:p>
            <w:pPr>
              <w:spacing w:after="0"/>
              <w:rPr>
                <w:sz w:val="20"/>
                <w:szCs w:val="20"/>
                <w:color w:val="auto"/>
              </w:rPr>
            </w:pPr>
            <w:r>
              <w:rPr>
                <w:rFonts w:ascii="Arial" w:cs="Arial" w:eastAsia="Arial" w:hAnsi="Arial"/>
                <w:sz w:val="18"/>
                <w:szCs w:val="18"/>
                <w:b w:val="1"/>
                <w:bCs w:val="1"/>
                <w:color w:val="004483"/>
              </w:rPr>
              <w:t>Equity compensation plans approved by stockholders</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170,473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24"/>
                <w:szCs w:val="24"/>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w:t>
            </w:r>
          </w:p>
        </w:tc>
      </w:tr>
      <w:tr>
        <w:trPr>
          <w:trHeight w:val="42"/>
        </w:trPr>
        <w:tc>
          <w:tcPr>
            <w:tcW w:w="518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4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r>
      <w:tr>
        <w:trPr>
          <w:trHeight w:val="289"/>
        </w:trPr>
        <w:tc>
          <w:tcPr>
            <w:tcW w:w="5180" w:type="dxa"/>
            <w:vAlign w:val="bottom"/>
          </w:tcPr>
          <w:p>
            <w:pPr>
              <w:spacing w:after="0"/>
              <w:rPr>
                <w:sz w:val="20"/>
                <w:szCs w:val="20"/>
                <w:color w:val="auto"/>
              </w:rPr>
            </w:pPr>
            <w:r>
              <w:rPr>
                <w:rFonts w:ascii="Arial" w:cs="Arial" w:eastAsia="Arial" w:hAnsi="Arial"/>
                <w:sz w:val="18"/>
                <w:szCs w:val="18"/>
                <w:b w:val="1"/>
                <w:bCs w:val="1"/>
                <w:color w:val="004483"/>
              </w:rPr>
              <w:t>Equity compensation plans approved by stockholders</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2023</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36,248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217.54</w:t>
            </w:r>
          </w:p>
        </w:tc>
        <w:tc>
          <w:tcPr>
            <w:tcW w:w="1520" w:type="dxa"/>
            <w:vAlign w:val="bottom"/>
            <w:gridSpan w:val="2"/>
          </w:tcPr>
          <w:p>
            <w:pPr>
              <w:jc w:val="right"/>
              <w:ind w:right="58"/>
              <w:spacing w:after="0"/>
              <w:rPr>
                <w:sz w:val="20"/>
                <w:szCs w:val="20"/>
                <w:color w:val="auto"/>
              </w:rPr>
            </w:pPr>
            <w:r>
              <w:rPr>
                <w:rFonts w:ascii="Arial" w:cs="Arial" w:eastAsia="Arial" w:hAnsi="Arial"/>
                <w:sz w:val="18"/>
                <w:szCs w:val="18"/>
                <w:color w:val="auto"/>
              </w:rPr>
              <w:t>1,315,254</w:t>
            </w:r>
          </w:p>
        </w:tc>
      </w:tr>
      <w:tr>
        <w:trPr>
          <w:trHeight w:val="42"/>
        </w:trPr>
        <w:tc>
          <w:tcPr>
            <w:tcW w:w="518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4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20" w:type="dxa"/>
            <w:vAlign w:val="bottom"/>
            <w:tcBorders>
              <w:bottom w:val="single" w:sz="8" w:color="A6A6A6"/>
            </w:tcBorders>
          </w:tcPr>
          <w:p>
            <w:pPr>
              <w:spacing w:after="0"/>
              <w:rPr>
                <w:sz w:val="3"/>
                <w:szCs w:val="3"/>
                <w:color w:val="auto"/>
              </w:rPr>
            </w:pPr>
          </w:p>
        </w:tc>
      </w:tr>
      <w:tr>
        <w:trPr>
          <w:trHeight w:val="289"/>
        </w:trPr>
        <w:tc>
          <w:tcPr>
            <w:tcW w:w="5180" w:type="dxa"/>
            <w:vAlign w:val="bottom"/>
          </w:tcPr>
          <w:p>
            <w:pPr>
              <w:spacing w:after="0"/>
              <w:rPr>
                <w:sz w:val="20"/>
                <w:szCs w:val="20"/>
                <w:color w:val="auto"/>
              </w:rPr>
            </w:pPr>
            <w:r>
              <w:rPr>
                <w:rFonts w:ascii="Arial" w:cs="Arial" w:eastAsia="Arial" w:hAnsi="Arial"/>
                <w:sz w:val="18"/>
                <w:szCs w:val="18"/>
                <w:b w:val="1"/>
                <w:bCs w:val="1"/>
                <w:color w:val="004483"/>
              </w:rPr>
              <w:t>Equity compensation plans not approved by stockholders</w:t>
            </w:r>
          </w:p>
        </w:tc>
        <w:tc>
          <w:tcPr>
            <w:tcW w:w="1440" w:type="dxa"/>
            <w:vAlign w:val="bottom"/>
          </w:tcPr>
          <w:p>
            <w:pPr>
              <w:spacing w:after="0"/>
              <w:rPr>
                <w:sz w:val="24"/>
                <w:szCs w:val="24"/>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w:t>
            </w:r>
          </w:p>
        </w:tc>
      </w:tr>
      <w:tr>
        <w:trPr>
          <w:trHeight w:val="69"/>
        </w:trPr>
        <w:tc>
          <w:tcPr>
            <w:tcW w:w="5180" w:type="dxa"/>
            <w:vAlign w:val="bottom"/>
            <w:tcBorders>
              <w:bottom w:val="single" w:sz="8" w:color="A6A6A6"/>
            </w:tcBorders>
          </w:tcPr>
          <w:p>
            <w:pPr>
              <w:spacing w:after="0"/>
              <w:rPr>
                <w:sz w:val="6"/>
                <w:szCs w:val="6"/>
                <w:color w:val="auto"/>
              </w:rPr>
            </w:pPr>
          </w:p>
        </w:tc>
        <w:tc>
          <w:tcPr>
            <w:tcW w:w="1440" w:type="dxa"/>
            <w:vAlign w:val="bottom"/>
            <w:tcBorders>
              <w:bottom w:val="single" w:sz="8" w:color="A6A6A6"/>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289"/>
        </w:trPr>
        <w:tc>
          <w:tcPr>
            <w:tcW w:w="5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b w:val="1"/>
                <w:bCs w:val="1"/>
                <w:color w:val="auto"/>
              </w:rPr>
              <w:t>206,721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5"/>
              <w:spacing w:after="0"/>
              <w:rPr>
                <w:sz w:val="20"/>
                <w:szCs w:val="20"/>
                <w:color w:val="auto"/>
              </w:rPr>
            </w:pPr>
            <w:r>
              <w:rPr>
                <w:rFonts w:ascii="Arial" w:cs="Arial" w:eastAsia="Arial" w:hAnsi="Arial"/>
                <w:sz w:val="18"/>
                <w:szCs w:val="18"/>
                <w:b w:val="1"/>
                <w:bCs w:val="1"/>
                <w:color w:val="auto"/>
              </w:rPr>
              <w:t>113.16</w:t>
            </w:r>
          </w:p>
        </w:tc>
        <w:tc>
          <w:tcPr>
            <w:tcW w:w="1520" w:type="dxa"/>
            <w:vAlign w:val="bottom"/>
            <w:gridSpan w:val="2"/>
          </w:tcPr>
          <w:p>
            <w:pPr>
              <w:jc w:val="right"/>
              <w:ind w:right="58"/>
              <w:spacing w:after="0"/>
              <w:rPr>
                <w:sz w:val="20"/>
                <w:szCs w:val="20"/>
                <w:color w:val="auto"/>
              </w:rPr>
            </w:pPr>
            <w:r>
              <w:rPr>
                <w:rFonts w:ascii="Arial" w:cs="Arial" w:eastAsia="Arial" w:hAnsi="Arial"/>
                <w:sz w:val="18"/>
                <w:szCs w:val="18"/>
                <w:b w:val="1"/>
                <w:bCs w:val="1"/>
                <w:color w:val="auto"/>
              </w:rPr>
              <w:t>1,315,254</w:t>
            </w:r>
          </w:p>
        </w:tc>
      </w:tr>
      <w:tr>
        <w:trPr>
          <w:trHeight w:val="42"/>
        </w:trPr>
        <w:tc>
          <w:tcPr>
            <w:tcW w:w="5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
        </w:trPr>
        <w:tc>
          <w:tcPr>
            <w:tcW w:w="5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19" w:lineRule="exact"/>
        <w:rPr>
          <w:sz w:val="20"/>
          <w:szCs w:val="20"/>
          <w:color w:val="auto"/>
        </w:rPr>
      </w:pPr>
    </w:p>
    <w:p>
      <w:pPr>
        <w:spacing w:after="0"/>
        <w:rPr>
          <w:sz w:val="20"/>
          <w:szCs w:val="20"/>
          <w:color w:val="auto"/>
        </w:rPr>
      </w:pPr>
      <w:r>
        <w:rPr>
          <w:rFonts w:ascii="Arial" w:cs="Arial" w:eastAsia="Arial" w:hAnsi="Arial"/>
          <w:sz w:val="23"/>
          <w:szCs w:val="23"/>
          <w:b w:val="1"/>
          <w:bCs w:val="1"/>
          <w:color w:val="004483"/>
        </w:rPr>
        <w:t>PART IV</w:t>
      </w: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03" w:lineRule="exact"/>
        <w:rPr>
          <w:rFonts w:ascii="Arial" w:cs="Arial" w:eastAsia="Arial" w:hAnsi="Arial"/>
          <w:sz w:val="18"/>
          <w:szCs w:val="18"/>
          <w:color w:val="auto"/>
        </w:rPr>
      </w:pPr>
    </w:p>
    <w:p>
      <w:pPr>
        <w:ind w:left="480" w:hanging="248"/>
        <w:spacing w:after="0"/>
        <w:tabs>
          <w:tab w:leader="none" w:pos="48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13"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Reference is made to the Index to Financial Statements under Item 8 in Part II hereof, where these documents are listed.</w:t>
      </w:r>
    </w:p>
    <w:p>
      <w:pPr>
        <w:spacing w:after="0" w:line="85" w:lineRule="exact"/>
        <w:rPr>
          <w:rFonts w:ascii="Arial" w:cs="Arial" w:eastAsia="Arial" w:hAnsi="Arial"/>
          <w:sz w:val="18"/>
          <w:szCs w:val="18"/>
          <w:color w:val="auto"/>
        </w:rPr>
      </w:pPr>
    </w:p>
    <w:p>
      <w:pPr>
        <w:ind w:left="480" w:hanging="248"/>
        <w:spacing w:after="0"/>
        <w:tabs>
          <w:tab w:leader="none" w:pos="48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Schedules</w:t>
      </w:r>
    </w:p>
    <w:p>
      <w:pPr>
        <w:spacing w:after="0" w:line="13" w:lineRule="exact"/>
        <w:rPr>
          <w:rFonts w:ascii="Arial" w:cs="Arial" w:eastAsia="Arial" w:hAnsi="Arial"/>
          <w:sz w:val="18"/>
          <w:szCs w:val="18"/>
          <w:color w:val="auto"/>
        </w:rPr>
      </w:pPr>
    </w:p>
    <w:p>
      <w:pPr>
        <w:ind w:left="480"/>
        <w:spacing w:after="0" w:line="250" w:lineRule="auto"/>
        <w:rPr>
          <w:rFonts w:ascii="Arial" w:cs="Arial" w:eastAsia="Arial" w:hAnsi="Arial"/>
          <w:sz w:val="18"/>
          <w:szCs w:val="18"/>
          <w:color w:val="auto"/>
        </w:rPr>
      </w:pPr>
      <w:r>
        <w:rPr>
          <w:rFonts w:ascii="Arial" w:cs="Arial" w:eastAsia="Arial" w:hAnsi="Arial"/>
          <w:sz w:val="18"/>
          <w:szCs w:val="18"/>
          <w:color w:val="auto"/>
        </w:rPr>
        <w:t>Schedules are omitted because they are not applicable or not required, or the information required to be set forth therein is included in the Consolidated Financial Statements referenced above in section (a) (1) of this Item 15.</w:t>
      </w:r>
    </w:p>
    <w:p>
      <w:pPr>
        <w:spacing w:after="0" w:line="63" w:lineRule="exact"/>
        <w:rPr>
          <w:rFonts w:ascii="Arial" w:cs="Arial" w:eastAsia="Arial" w:hAnsi="Arial"/>
          <w:sz w:val="18"/>
          <w:szCs w:val="18"/>
          <w:color w:val="auto"/>
        </w:rPr>
      </w:pPr>
    </w:p>
    <w:p>
      <w:pPr>
        <w:ind w:left="480" w:hanging="248"/>
        <w:spacing w:after="0"/>
        <w:tabs>
          <w:tab w:leader="none" w:pos="48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13" w:lineRule="exact"/>
        <w:rPr>
          <w:rFonts w:ascii="Arial" w:cs="Arial" w:eastAsia="Arial" w:hAnsi="Arial"/>
          <w:sz w:val="18"/>
          <w:szCs w:val="18"/>
          <w:color w:val="auto"/>
        </w:rPr>
      </w:pPr>
    </w:p>
    <w:p>
      <w:pPr>
        <w:ind w:left="480" w:right="140"/>
        <w:spacing w:after="0" w:line="250" w:lineRule="auto"/>
        <w:rPr>
          <w:rFonts w:ascii="Arial" w:cs="Arial" w:eastAsia="Arial" w:hAnsi="Arial"/>
          <w:sz w:val="18"/>
          <w:szCs w:val="18"/>
          <w:color w:val="auto"/>
        </w:rPr>
      </w:pPr>
      <w:r>
        <w:rPr>
          <w:rFonts w:ascii="Arial" w:cs="Arial" w:eastAsia="Arial" w:hAnsi="Arial"/>
          <w:sz w:val="18"/>
          <w:szCs w:val="18"/>
          <w:color w:val="auto"/>
        </w:rPr>
        <w:t>The information on exhibits required by this Item 15 is set forth in the Eagle Materials Inc. Index to Exhibits appearing on pages 122-127 of this Report.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INDEX TO EXHIBITS</w:t>
      </w:r>
    </w:p>
    <w:p>
      <w:pPr>
        <w:spacing w:after="0" w:line="231" w:lineRule="auto"/>
        <w:rPr>
          <w:sz w:val="20"/>
          <w:szCs w:val="20"/>
          <w:color w:val="auto"/>
        </w:rPr>
      </w:pPr>
      <w:r>
        <w:rPr>
          <w:rFonts w:ascii="Arial" w:cs="Arial" w:eastAsia="Arial" w:hAnsi="Arial"/>
          <w:sz w:val="20"/>
          <w:szCs w:val="20"/>
          <w:b w:val="1"/>
          <w:bCs w:val="1"/>
          <w:color w:val="auto"/>
        </w:rPr>
        <w:t>EAGLE MATERIALS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SUBSIDIARIES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EXHIBIT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6"/>
                <w:szCs w:val="16"/>
                <w:color w:val="auto"/>
              </w:rPr>
            </w:pPr>
          </w:p>
        </w:tc>
        <w:tc>
          <w:tcPr>
            <w:tcW w:w="10060" w:type="dxa"/>
            <w:vAlign w:val="bottom"/>
            <w:tcBorders>
              <w:bottom w:val="single" w:sz="8" w:color="auto"/>
            </w:tcBorders>
            <w:gridSpan w:val="33"/>
          </w:tcPr>
          <w:p>
            <w:pPr>
              <w:spacing w:after="0"/>
              <w:rPr>
                <w:sz w:val="20"/>
                <w:szCs w:val="20"/>
                <w:color w:val="auto"/>
              </w:rPr>
            </w:pPr>
            <w:r>
              <w:rPr>
                <w:rFonts w:ascii="Arial" w:cs="Arial" w:eastAsia="Arial" w:hAnsi="Arial"/>
                <w:sz w:val="14"/>
                <w:szCs w:val="14"/>
                <w:color w:val="auto"/>
              </w:rPr>
              <w:t>DESCRIPTION OF EXHIBITS</w:t>
            </w:r>
          </w:p>
        </w:tc>
      </w:tr>
      <w:tr>
        <w:trPr>
          <w:trHeight w:val="371"/>
        </w:trPr>
        <w:tc>
          <w:tcPr>
            <w:tcW w:w="1020" w:type="dxa"/>
            <w:vAlign w:val="bottom"/>
          </w:tcPr>
          <w:p>
            <w:pPr>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87">
              <w:r>
                <w:rPr>
                  <w:rFonts w:ascii="Arial" w:cs="Arial" w:eastAsia="Arial" w:hAnsi="Arial"/>
                  <w:sz w:val="16"/>
                  <w:szCs w:val="16"/>
                  <w:color w:val="auto"/>
                </w:rPr>
                <w:t>Restated Certificate of Incorporation filed as Exhibit 3.1 to the Company’s Current Report on Form 8-K filed with the Commission on April</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4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187">
              <w:r>
                <w:rPr>
                  <w:rFonts w:ascii="Arial" w:cs="Arial" w:eastAsia="Arial" w:hAnsi="Arial"/>
                  <w:sz w:val="16"/>
                  <w:szCs w:val="16"/>
                  <w:color w:val="auto"/>
                </w:rPr>
                <w:t>11, 2006 (File No. 001-12984) 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88">
              <w:r>
                <w:rPr>
                  <w:rFonts w:ascii="Arial" w:cs="Arial" w:eastAsia="Arial" w:hAnsi="Arial"/>
                  <w:sz w:val="16"/>
                  <w:szCs w:val="16"/>
                  <w:color w:val="auto"/>
                </w:rPr>
                <w:t>Certificate of Amendment of Restated Certificate of Incorporation of Eagle Materials Inc., filed as Exhibit 3.1 to the Company’s Current</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60" w:type="dxa"/>
            <w:vAlign w:val="bottom"/>
            <w:tcBorders>
              <w:top w:val="single" w:sz="8" w:color="0000EE"/>
            </w:tcBorders>
            <w:gridSpan w:val="19"/>
          </w:tcPr>
          <w:p>
            <w:pPr>
              <w:spacing w:after="0" w:line="169" w:lineRule="exact"/>
              <w:rPr>
                <w:rFonts w:ascii="Arial" w:cs="Arial" w:eastAsia="Arial" w:hAnsi="Arial"/>
                <w:sz w:val="16"/>
                <w:szCs w:val="16"/>
                <w:color w:val="auto"/>
              </w:rPr>
            </w:pPr>
            <w:hyperlink r:id="rId188">
              <w:r>
                <w:rPr>
                  <w:rFonts w:ascii="Arial" w:cs="Arial" w:eastAsia="Arial" w:hAnsi="Arial"/>
                  <w:sz w:val="16"/>
                  <w:szCs w:val="16"/>
                  <w:color w:val="auto"/>
                </w:rPr>
                <w:t>Report on Form 8-K filed with the Commission on August 7, 2024 (File No. 001-12984)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89">
              <w:r>
                <w:rPr>
                  <w:rFonts w:ascii="Arial" w:cs="Arial" w:eastAsia="Arial" w:hAnsi="Arial"/>
                  <w:sz w:val="16"/>
                  <w:szCs w:val="16"/>
                  <w:color w:val="auto"/>
                </w:rPr>
                <w:t>Restated Certificate of Designation, Preferences and Rights of Series A Preferred Stock filed as Exhibit 3.2 to the Company’s Current</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6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auto"/>
              </w:rPr>
            </w:pPr>
            <w:hyperlink r:id="rId189">
              <w:r>
                <w:rPr>
                  <w:rFonts w:ascii="Arial" w:cs="Arial" w:eastAsia="Arial" w:hAnsi="Arial"/>
                  <w:sz w:val="16"/>
                  <w:szCs w:val="16"/>
                  <w:color w:val="auto"/>
                </w:rPr>
                <w:t>Report on Form 8-K filed with the Commission on April 11, 2006 (File No. 001-12984) and incorporated herein by reference.</w:t>
              </w:r>
            </w:hyperlink>
          </w:p>
        </w:tc>
        <w:tc>
          <w:tcPr>
            <w:tcW w:w="760" w:type="dxa"/>
            <w:vAlign w:val="bottom"/>
            <w:tcBorders>
              <w:top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90">
              <w:r>
                <w:rPr>
                  <w:rFonts w:ascii="Arial" w:cs="Arial" w:eastAsia="Arial" w:hAnsi="Arial"/>
                  <w:sz w:val="16"/>
                  <w:szCs w:val="16"/>
                  <w:color w:val="auto"/>
                </w:rPr>
                <w:t>Second Amended and Restated Bylaws filed as Exhibit 3.1 to the Company’s Current Report on Form 8-K, filed with the Commission on</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80" w:type="dxa"/>
            <w:vAlign w:val="bottom"/>
            <w:tcBorders>
              <w:top w:val="single" w:sz="8" w:color="0000EE"/>
            </w:tcBorders>
            <w:gridSpan w:val="23"/>
          </w:tcPr>
          <w:p>
            <w:pPr>
              <w:spacing w:after="0" w:line="169" w:lineRule="exact"/>
              <w:rPr>
                <w:rFonts w:ascii="Arial" w:cs="Arial" w:eastAsia="Arial" w:hAnsi="Arial"/>
                <w:sz w:val="16"/>
                <w:szCs w:val="16"/>
                <w:color w:val="auto"/>
              </w:rPr>
            </w:pPr>
            <w:hyperlink r:id="rId190">
              <w:r>
                <w:rPr>
                  <w:rFonts w:ascii="Arial" w:cs="Arial" w:eastAsia="Arial" w:hAnsi="Arial"/>
                  <w:sz w:val="16"/>
                  <w:szCs w:val="16"/>
                  <w:color w:val="auto"/>
                </w:rPr>
                <w:t>November 7, 2022 (File No. 001-12984)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91">
              <w:r>
                <w:rPr>
                  <w:rFonts w:ascii="Arial" w:cs="Arial" w:eastAsia="Arial" w:hAnsi="Arial"/>
                  <w:sz w:val="16"/>
                  <w:szCs w:val="16"/>
                  <w:color w:val="auto"/>
                </w:rPr>
                <w:t>Description of Securities filed as Exhibit 4.1 to the Company's Annual Report on Form 10-K for the fiscal year ended March 31, 2022, filed</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2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auto"/>
              </w:rPr>
            </w:pPr>
            <w:hyperlink r:id="rId191">
              <w:r>
                <w:rPr>
                  <w:rFonts w:ascii="Arial" w:cs="Arial" w:eastAsia="Arial" w:hAnsi="Arial"/>
                  <w:sz w:val="16"/>
                  <w:szCs w:val="16"/>
                  <w:color w:val="auto"/>
                </w:rPr>
                <w:t>with the Commission on May 20, 2022 (File No. 001-12984) and incorporated herein by reference.</w:t>
              </w:r>
            </w:hyperlink>
          </w:p>
        </w:tc>
        <w:tc>
          <w:tcPr>
            <w:tcW w:w="2880" w:type="dxa"/>
            <w:vAlign w:val="bottom"/>
            <w:tcBorders>
              <w:top w:val="single" w:sz="8" w:color="0000EE"/>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24"/>
                <w:szCs w:val="24"/>
                <w:color w:val="auto"/>
              </w:rPr>
            </w:pPr>
          </w:p>
        </w:tc>
        <w:tc>
          <w:tcPr>
            <w:tcW w:w="9820" w:type="dxa"/>
            <w:vAlign w:val="bottom"/>
            <w:tcBorders>
              <w:bottom w:val="single" w:sz="8" w:color="0000EE"/>
            </w:tcBorders>
            <w:gridSpan w:val="25"/>
          </w:tcPr>
          <w:p>
            <w:pPr>
              <w:spacing w:after="0"/>
              <w:rPr>
                <w:rFonts w:ascii="Arial" w:cs="Arial" w:eastAsia="Arial" w:hAnsi="Arial"/>
                <w:sz w:val="16"/>
                <w:szCs w:val="16"/>
                <w:color w:val="auto"/>
              </w:rPr>
            </w:pPr>
            <w:hyperlink r:id="rId192">
              <w:r>
                <w:rPr>
                  <w:rFonts w:ascii="Arial" w:cs="Arial" w:eastAsia="Arial" w:hAnsi="Arial"/>
                  <w:sz w:val="16"/>
                  <w:szCs w:val="16"/>
                  <w:color w:val="auto"/>
                </w:rPr>
                <w:t>Credit Agreement, dated as of July 1, 2021, among the Company, the lenders identified therein and JPMorgan Chase Bank, N.A., as the</w:t>
              </w:r>
            </w:hyperlink>
          </w:p>
        </w:tc>
        <w:tc>
          <w:tcPr>
            <w:tcW w:w="240" w:type="dxa"/>
            <w:vAlign w:val="bottom"/>
            <w:gridSpan w:val="8"/>
          </w:tcPr>
          <w:p>
            <w:pPr>
              <w:spacing w:after="0"/>
              <w:rPr>
                <w:sz w:val="24"/>
                <w:szCs w:val="24"/>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60" w:type="dxa"/>
            <w:vAlign w:val="bottom"/>
            <w:gridSpan w:val="33"/>
          </w:tcPr>
          <w:p>
            <w:pPr>
              <w:spacing w:after="0" w:line="169" w:lineRule="exact"/>
              <w:rPr>
                <w:rFonts w:ascii="Arial" w:cs="Arial" w:eastAsia="Arial" w:hAnsi="Arial"/>
                <w:sz w:val="16"/>
                <w:szCs w:val="16"/>
                <w:color w:val="auto"/>
              </w:rPr>
            </w:pPr>
            <w:hyperlink r:id="rId192">
              <w:r>
                <w:rPr>
                  <w:rFonts w:ascii="Arial" w:cs="Arial" w:eastAsia="Arial" w:hAnsi="Arial"/>
                  <w:sz w:val="16"/>
                  <w:szCs w:val="16"/>
                  <w:color w:val="auto"/>
                </w:rPr>
                <w:t>administrative agent, issuing bank and swingline lender thereunder, filed as Exhibit 10.1 to the Company’s Current Report on Form 8-K filed</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auto"/>
              </w:rPr>
            </w:pPr>
            <w:hyperlink r:id="rId192">
              <w:r>
                <w:rPr>
                  <w:rFonts w:ascii="Arial" w:cs="Arial" w:eastAsia="Arial" w:hAnsi="Arial"/>
                  <w:sz w:val="16"/>
                  <w:szCs w:val="16"/>
                  <w:color w:val="auto"/>
                </w:rPr>
                <w:t>with the Commission on July 1, 2021 (File No. 001-12984) and incorporated herein by reference.</w:t>
              </w:r>
            </w:hyperlink>
          </w:p>
        </w:tc>
        <w:tc>
          <w:tcPr>
            <w:tcW w:w="3120" w:type="dxa"/>
            <w:vAlign w:val="bottom"/>
            <w:tcBorders>
              <w:top w:val="single" w:sz="8" w:color="0000EE"/>
            </w:tcBorders>
            <w:gridSpan w:val="24"/>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4.2(a)</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93">
              <w:r>
                <w:rPr>
                  <w:rFonts w:ascii="Arial" w:cs="Arial" w:eastAsia="Arial" w:hAnsi="Arial"/>
                  <w:sz w:val="16"/>
                  <w:szCs w:val="16"/>
                  <w:color w:val="auto"/>
                </w:rPr>
                <w:t>Amendment No. 1, dated as of May 5, 2022, to that certain Credit Agreement, dated as of July 1, 2021, among the Company, the lenders</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60" w:type="dxa"/>
            <w:vAlign w:val="bottom"/>
            <w:tcBorders>
              <w:top w:val="single" w:sz="8" w:color="0000EE"/>
            </w:tcBorders>
            <w:gridSpan w:val="27"/>
          </w:tcPr>
          <w:p>
            <w:pPr>
              <w:spacing w:after="0" w:line="169" w:lineRule="exact"/>
              <w:rPr>
                <w:rFonts w:ascii="Arial" w:cs="Arial" w:eastAsia="Arial" w:hAnsi="Arial"/>
                <w:sz w:val="16"/>
                <w:szCs w:val="16"/>
                <w:color w:val="auto"/>
              </w:rPr>
            </w:pPr>
            <w:hyperlink r:id="rId193">
              <w:r>
                <w:rPr>
                  <w:rFonts w:ascii="Arial" w:cs="Arial" w:eastAsia="Arial" w:hAnsi="Arial"/>
                  <w:sz w:val="16"/>
                  <w:szCs w:val="16"/>
                  <w:color w:val="auto"/>
                </w:rPr>
                <w:t>identified therein and JPMorgan Chase Bank, N.A., as the administrative agent, issuing bank and swingline lender thereunder, filed as</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8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193">
              <w:r>
                <w:rPr>
                  <w:rFonts w:ascii="Arial" w:cs="Arial" w:eastAsia="Arial" w:hAnsi="Arial"/>
                  <w:sz w:val="16"/>
                  <w:szCs w:val="16"/>
                  <w:color w:val="auto"/>
                </w:rPr>
                <w:t>Exhibit 10.1 to the Company’s Current Report on Form 8-K filed with the Commission on May 6, 2022 (File No. 001-12984) and</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auto"/>
              </w:rPr>
            </w:pPr>
            <w:hyperlink r:id="rId193">
              <w:r>
                <w:rPr>
                  <w:rFonts w:ascii="Arial" w:cs="Arial" w:eastAsia="Arial" w:hAnsi="Arial"/>
                  <w:sz w:val="16"/>
                  <w:szCs w:val="16"/>
                  <w:color w:val="auto"/>
                </w:rPr>
                <w:t>incorporated herein by reference.</w:t>
              </w:r>
            </w:hyperlink>
          </w:p>
        </w:tc>
        <w:tc>
          <w:tcPr>
            <w:tcW w:w="6720" w:type="dxa"/>
            <w:vAlign w:val="bottom"/>
            <w:tcBorders>
              <w:top w:val="single" w:sz="8" w:color="0000EE"/>
            </w:tcBorders>
            <w:gridSpan w:val="8"/>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94">
              <w:r>
                <w:rPr>
                  <w:rFonts w:ascii="Arial" w:cs="Arial" w:eastAsia="Arial" w:hAnsi="Arial"/>
                  <w:sz w:val="16"/>
                  <w:szCs w:val="16"/>
                  <w:color w:val="auto"/>
                </w:rPr>
                <w:t>Amendment No. 2 to Credit Agreement, dated as of February 4, 2025, by and among the Company, the lenders identified therein and</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4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auto"/>
              </w:rPr>
            </w:pPr>
            <w:hyperlink r:id="rId194">
              <w:r>
                <w:rPr>
                  <w:rFonts w:ascii="Arial" w:cs="Arial" w:eastAsia="Arial" w:hAnsi="Arial"/>
                  <w:sz w:val="16"/>
                  <w:szCs w:val="16"/>
                  <w:color w:val="auto"/>
                </w:rPr>
                <w:t>JPMorgan Chase Bank, N.A., as the administrative agent, issuing bank and swingline lender thereunder, filed as Exhibit 10.1 to the</w:t>
              </w:r>
            </w:hyperlink>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60" w:type="dxa"/>
            <w:vAlign w:val="bottom"/>
            <w:gridSpan w:val="33"/>
          </w:tcPr>
          <w:p>
            <w:pPr>
              <w:spacing w:after="0" w:line="169" w:lineRule="exact"/>
              <w:rPr>
                <w:rFonts w:ascii="Arial" w:cs="Arial" w:eastAsia="Arial" w:hAnsi="Arial"/>
                <w:sz w:val="16"/>
                <w:szCs w:val="16"/>
                <w:color w:val="auto"/>
              </w:rPr>
            </w:pPr>
            <w:hyperlink r:id="rId194">
              <w:r>
                <w:rPr>
                  <w:rFonts w:ascii="Arial" w:cs="Arial" w:eastAsia="Arial" w:hAnsi="Arial"/>
                  <w:sz w:val="16"/>
                  <w:szCs w:val="16"/>
                  <w:color w:val="auto"/>
                </w:rPr>
                <w:t>Company’s Current Report on Form 8-K filed with the Commission on February 4, 2025 (File No. 001-12984) and incorporated herein by</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0" w:type="dxa"/>
            <w:vAlign w:val="bottom"/>
            <w:tcBorders>
              <w:top w:val="single" w:sz="8" w:color="0000EE"/>
            </w:tcBorders>
            <w:gridSpan w:val="24"/>
          </w:tcPr>
          <w:p>
            <w:pPr>
              <w:spacing w:after="0" w:line="169" w:lineRule="exact"/>
              <w:rPr>
                <w:rFonts w:ascii="Arial" w:cs="Arial" w:eastAsia="Arial" w:hAnsi="Arial"/>
                <w:sz w:val="16"/>
                <w:szCs w:val="16"/>
                <w:color w:val="auto"/>
              </w:rPr>
            </w:pPr>
            <w:hyperlink r:id="rId194">
              <w:r>
                <w:rPr>
                  <w:rFonts w:ascii="Arial" w:cs="Arial" w:eastAsia="Arial" w:hAnsi="Arial"/>
                  <w:sz w:val="16"/>
                  <w:szCs w:val="16"/>
                  <w:color w:val="auto"/>
                </w:rPr>
                <w:t>reference.</w:t>
              </w:r>
            </w:hyperlink>
          </w:p>
        </w:tc>
        <w:tc>
          <w:tcPr>
            <w:tcW w:w="1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95">
              <w:r>
                <w:rPr>
                  <w:rFonts w:ascii="Arial" w:cs="Arial" w:eastAsia="Arial" w:hAnsi="Arial"/>
                  <w:sz w:val="16"/>
                  <w:szCs w:val="16"/>
                  <w:color w:val="auto"/>
                </w:rPr>
                <w:t>Indenture, dated as of May 8, 2009, between the Company and The Bank of New York Mellon Trust Company, N.A., filed as Exhibit 4.1 to</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920" w:type="dxa"/>
            <w:vAlign w:val="bottom"/>
            <w:tcBorders>
              <w:top w:val="single" w:sz="8" w:color="0000EE"/>
            </w:tcBorders>
            <w:gridSpan w:val="29"/>
          </w:tcPr>
          <w:p>
            <w:pPr>
              <w:spacing w:after="0" w:line="169" w:lineRule="exact"/>
              <w:rPr>
                <w:rFonts w:ascii="Arial" w:cs="Arial" w:eastAsia="Arial" w:hAnsi="Arial"/>
                <w:sz w:val="16"/>
                <w:szCs w:val="16"/>
                <w:color w:val="auto"/>
              </w:rPr>
            </w:pPr>
            <w:hyperlink r:id="rId195">
              <w:r>
                <w:rPr>
                  <w:rFonts w:ascii="Arial" w:cs="Arial" w:eastAsia="Arial" w:hAnsi="Arial"/>
                  <w:sz w:val="16"/>
                  <w:szCs w:val="16"/>
                  <w:color w:val="auto"/>
                </w:rPr>
                <w:t>the Company’s Registration Statement on Form S-3 filed with the Commission on May 11, 2009 (File No. 001-12984) and incorporated</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auto"/>
                <w:w w:val="99"/>
              </w:rPr>
            </w:pPr>
            <w:hyperlink r:id="rId195">
              <w:r>
                <w:rPr>
                  <w:rFonts w:ascii="Arial" w:cs="Arial" w:eastAsia="Arial" w:hAnsi="Arial"/>
                  <w:sz w:val="16"/>
                  <w:szCs w:val="16"/>
                  <w:color w:val="auto"/>
                  <w:w w:val="99"/>
                </w:rPr>
                <w:t>herein by reference.</w:t>
              </w:r>
            </w:hyperlink>
          </w:p>
        </w:tc>
        <w:tc>
          <w:tcPr>
            <w:tcW w:w="8260" w:type="dxa"/>
            <w:vAlign w:val="bottom"/>
            <w:tcBorders>
              <w:top w:val="single" w:sz="8" w:color="0000EE"/>
            </w:tcBorders>
            <w:gridSpan w:val="19"/>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96">
              <w:r>
                <w:rPr>
                  <w:rFonts w:ascii="Arial" w:cs="Arial" w:eastAsia="Arial" w:hAnsi="Arial"/>
                  <w:sz w:val="16"/>
                  <w:szCs w:val="16"/>
                  <w:color w:val="auto"/>
                </w:rPr>
                <w:t>Second Supplemental Indenture, dated as of July 1, 2021, between the Company and The Bank of New York Mellon Trust Company, N.A.,</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980" w:type="dxa"/>
            <w:vAlign w:val="bottom"/>
            <w:tcBorders>
              <w:top w:val="single" w:sz="8" w:color="0000EE"/>
            </w:tcBorders>
            <w:gridSpan w:val="30"/>
          </w:tcPr>
          <w:p>
            <w:pPr>
              <w:spacing w:after="0" w:line="169" w:lineRule="exact"/>
              <w:rPr>
                <w:rFonts w:ascii="Arial" w:cs="Arial" w:eastAsia="Arial" w:hAnsi="Arial"/>
                <w:sz w:val="16"/>
                <w:szCs w:val="16"/>
                <w:color w:val="auto"/>
              </w:rPr>
            </w:pPr>
            <w:hyperlink r:id="rId196">
              <w:r>
                <w:rPr>
                  <w:rFonts w:ascii="Arial" w:cs="Arial" w:eastAsia="Arial" w:hAnsi="Arial"/>
                  <w:sz w:val="16"/>
                  <w:szCs w:val="16"/>
                  <w:color w:val="auto"/>
                </w:rPr>
                <w:t>filed as Exhibit 4.2 to the Company’s Current Report on Form 8-K filed with the Commission on July 1, 2021 (File No. 001-12984) and</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40" w:type="dxa"/>
            <w:vAlign w:val="bottom"/>
            <w:tcBorders>
              <w:top w:val="single" w:sz="8" w:color="0000EE"/>
            </w:tcBorders>
            <w:gridSpan w:val="18"/>
          </w:tcPr>
          <w:p>
            <w:pPr>
              <w:spacing w:after="0" w:line="169" w:lineRule="exact"/>
              <w:rPr>
                <w:rFonts w:ascii="Arial" w:cs="Arial" w:eastAsia="Arial" w:hAnsi="Arial"/>
                <w:sz w:val="16"/>
                <w:szCs w:val="16"/>
                <w:color w:val="auto"/>
              </w:rPr>
            </w:pPr>
            <w:hyperlink r:id="rId196">
              <w:r>
                <w:rPr>
                  <w:rFonts w:ascii="Arial" w:cs="Arial" w:eastAsia="Arial" w:hAnsi="Arial"/>
                  <w:sz w:val="16"/>
                  <w:szCs w:val="16"/>
                  <w:color w:val="auto"/>
                </w:rPr>
                <w:t>incorporated herein by reference.</w:t>
              </w:r>
            </w:hyperlink>
          </w:p>
        </w:tc>
        <w:tc>
          <w:tcPr>
            <w:tcW w:w="120" w:type="dxa"/>
            <w:vAlign w:val="bottom"/>
            <w:gridSpan w:val="4"/>
          </w:tcPr>
          <w:p>
            <w:pPr>
              <w:spacing w:after="0"/>
              <w:rPr>
                <w:sz w:val="14"/>
                <w:szCs w:val="14"/>
                <w:color w:val="auto"/>
              </w:rPr>
            </w:pPr>
          </w:p>
        </w:tc>
        <w:tc>
          <w:tcPr>
            <w:tcW w:w="26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24"/>
                <w:szCs w:val="24"/>
                <w:color w:val="auto"/>
              </w:rPr>
            </w:pPr>
          </w:p>
        </w:tc>
        <w:tc>
          <w:tcPr>
            <w:tcW w:w="10060" w:type="dxa"/>
            <w:vAlign w:val="bottom"/>
            <w:gridSpan w:val="33"/>
          </w:tcPr>
          <w:p>
            <w:pPr>
              <w:spacing w:after="0"/>
              <w:rPr>
                <w:rFonts w:ascii="Arial" w:cs="Arial" w:eastAsia="Arial" w:hAnsi="Arial"/>
                <w:sz w:val="16"/>
                <w:szCs w:val="16"/>
                <w:color w:val="auto"/>
              </w:rPr>
            </w:pPr>
            <w:hyperlink r:id="rId196">
              <w:r>
                <w:rPr>
                  <w:rFonts w:ascii="Arial" w:cs="Arial" w:eastAsia="Arial" w:hAnsi="Arial"/>
                  <w:sz w:val="16"/>
                  <w:szCs w:val="16"/>
                  <w:color w:val="auto"/>
                </w:rPr>
                <w:t>Form of 2.500% Senior Note due 2031, filed as Exhibit 4.3 to the Company’s Current Report on Form 8-K filed with the Commission on July</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2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196">
              <w:r>
                <w:rPr>
                  <w:rFonts w:ascii="Arial" w:cs="Arial" w:eastAsia="Arial" w:hAnsi="Arial"/>
                  <w:sz w:val="16"/>
                  <w:szCs w:val="16"/>
                  <w:color w:val="auto"/>
                </w:rPr>
                <w:t>1, 2021 (File No. 001-12984) and incorporated herein by reference.</w:t>
              </w:r>
            </w:hyperlink>
          </w:p>
        </w:tc>
        <w:tc>
          <w:tcPr>
            <w:tcW w:w="40" w:type="dxa"/>
            <w:vAlign w:val="bottom"/>
            <w:gridSpan w:val="2"/>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gridSpan w:val="5"/>
            <w:shd w:val="clear" w:color="auto" w:fill="0000EE"/>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24"/>
                <w:szCs w:val="24"/>
                <w:color w:val="auto"/>
              </w:rPr>
            </w:pPr>
          </w:p>
        </w:tc>
        <w:tc>
          <w:tcPr>
            <w:tcW w:w="9420" w:type="dxa"/>
            <w:vAlign w:val="bottom"/>
            <w:tcBorders>
              <w:bottom w:val="single" w:sz="8" w:color="0000EE"/>
            </w:tcBorders>
            <w:gridSpan w:val="13"/>
          </w:tcPr>
          <w:p>
            <w:pPr>
              <w:spacing w:after="0"/>
              <w:rPr>
                <w:rFonts w:ascii="Arial" w:cs="Arial" w:eastAsia="Arial" w:hAnsi="Arial"/>
                <w:sz w:val="16"/>
                <w:szCs w:val="16"/>
                <w:color w:val="auto"/>
              </w:rPr>
            </w:pPr>
            <w:hyperlink r:id="rId197">
              <w:r>
                <w:rPr>
                  <w:rFonts w:ascii="Arial" w:cs="Arial" w:eastAsia="Arial" w:hAnsi="Arial"/>
                  <w:sz w:val="16"/>
                  <w:szCs w:val="16"/>
                  <w:color w:val="auto"/>
                </w:rPr>
                <w:t>Underwriting Agreement, dated as of November 6, 2025, by and among Eagle Materials Inc. and J.P. Morgan Securities LLC, BofA</w:t>
              </w:r>
            </w:hyperlink>
          </w:p>
        </w:tc>
        <w:tc>
          <w:tcPr>
            <w:tcW w:w="640" w:type="dxa"/>
            <w:vAlign w:val="bottom"/>
            <w:gridSpan w:val="20"/>
          </w:tcPr>
          <w:p>
            <w:pPr>
              <w:spacing w:after="0"/>
              <w:rPr>
                <w:sz w:val="24"/>
                <w:szCs w:val="24"/>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60" w:type="dxa"/>
            <w:vAlign w:val="bottom"/>
            <w:gridSpan w:val="33"/>
          </w:tcPr>
          <w:p>
            <w:pPr>
              <w:spacing w:after="0" w:line="169" w:lineRule="exact"/>
              <w:rPr>
                <w:rFonts w:ascii="Arial" w:cs="Arial" w:eastAsia="Arial" w:hAnsi="Arial"/>
                <w:sz w:val="16"/>
                <w:szCs w:val="16"/>
                <w:color w:val="auto"/>
              </w:rPr>
            </w:pPr>
            <w:hyperlink r:id="rId197">
              <w:r>
                <w:rPr>
                  <w:rFonts w:ascii="Arial" w:cs="Arial" w:eastAsia="Arial" w:hAnsi="Arial"/>
                  <w:sz w:val="16"/>
                  <w:szCs w:val="16"/>
                  <w:color w:val="auto"/>
                </w:rPr>
                <w:t>Securities, Inc. and Wells Fargo Securities, LLC, as representatives of the several underwriters identified on Schedule 1 thereto, filed as</w:t>
              </w:r>
            </w:hyperlink>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60" w:type="dxa"/>
            <w:vAlign w:val="bottom"/>
            <w:tcBorders>
              <w:top w:val="single" w:sz="8" w:color="0000EE"/>
            </w:tcBorders>
            <w:gridSpan w:val="22"/>
          </w:tcPr>
          <w:p>
            <w:pPr>
              <w:spacing w:after="0" w:line="169" w:lineRule="exact"/>
              <w:rPr>
                <w:rFonts w:ascii="Arial" w:cs="Arial" w:eastAsia="Arial" w:hAnsi="Arial"/>
                <w:sz w:val="16"/>
                <w:szCs w:val="16"/>
                <w:color w:val="auto"/>
              </w:rPr>
            </w:pPr>
            <w:hyperlink r:id="rId197">
              <w:r>
                <w:rPr>
                  <w:rFonts w:ascii="Arial" w:cs="Arial" w:eastAsia="Arial" w:hAnsi="Arial"/>
                  <w:sz w:val="16"/>
                  <w:szCs w:val="16"/>
                  <w:color w:val="auto"/>
                </w:rPr>
                <w:t>Exhibit 1.1 to the Company’s Current Report on Form 8-K filed with the Commission on November 13, 2025 (File No. 001-12984) and</w:t>
              </w:r>
            </w:hyperlink>
          </w:p>
        </w:tc>
        <w:tc>
          <w:tcPr>
            <w:tcW w:w="300" w:type="dxa"/>
            <w:vAlign w:val="bottom"/>
            <w:gridSpan w:val="11"/>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0" w:type="dxa"/>
            <w:vAlign w:val="bottom"/>
            <w:tcBorders>
              <w:top w:val="single" w:sz="8" w:color="0000EE"/>
            </w:tcBorders>
            <w:gridSpan w:val="16"/>
          </w:tcPr>
          <w:p>
            <w:pPr>
              <w:spacing w:after="0" w:line="169" w:lineRule="exact"/>
              <w:rPr>
                <w:rFonts w:ascii="Arial" w:cs="Arial" w:eastAsia="Arial" w:hAnsi="Arial"/>
                <w:sz w:val="16"/>
                <w:szCs w:val="16"/>
                <w:color w:val="auto"/>
              </w:rPr>
            </w:pPr>
            <w:hyperlink r:id="rId197">
              <w:r>
                <w:rPr>
                  <w:rFonts w:ascii="Arial" w:cs="Arial" w:eastAsia="Arial" w:hAnsi="Arial"/>
                  <w:sz w:val="16"/>
                  <w:szCs w:val="16"/>
                  <w:color w:val="auto"/>
                </w:rPr>
                <w:t>incorporated herein by reference.</w:t>
              </w:r>
            </w:hyperlink>
          </w:p>
        </w:tc>
        <w:tc>
          <w:tcPr>
            <w:tcW w:w="460" w:type="dxa"/>
            <w:vAlign w:val="bottom"/>
            <w:gridSpan w:val="17"/>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color w:val="auto"/>
              </w:rPr>
              <w:t>4.8</w:t>
            </w:r>
          </w:p>
        </w:tc>
        <w:tc>
          <w:tcPr>
            <w:tcW w:w="9620" w:type="dxa"/>
            <w:vAlign w:val="bottom"/>
            <w:tcBorders>
              <w:bottom w:val="single" w:sz="8" w:color="0000EE"/>
            </w:tcBorders>
            <w:gridSpan w:val="19"/>
          </w:tcPr>
          <w:p>
            <w:pPr>
              <w:spacing w:after="0"/>
              <w:rPr>
                <w:rFonts w:ascii="Arial" w:cs="Arial" w:eastAsia="Arial" w:hAnsi="Arial"/>
                <w:sz w:val="16"/>
                <w:szCs w:val="16"/>
                <w:color w:val="auto"/>
              </w:rPr>
            </w:pPr>
            <w:hyperlink r:id="rId199">
              <w:r>
                <w:rPr>
                  <w:rFonts w:ascii="Arial" w:cs="Arial" w:eastAsia="Arial" w:hAnsi="Arial"/>
                  <w:sz w:val="16"/>
                  <w:szCs w:val="16"/>
                  <w:color w:val="auto"/>
                </w:rPr>
                <w:t>Third Supplemental Indenture, dated as of November 13, 2025, between Eagle Materials Inc. and The Bank of New York Mellon Trust</w:t>
              </w:r>
            </w:hyperlink>
          </w:p>
        </w:tc>
        <w:tc>
          <w:tcPr>
            <w:tcW w:w="4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32"/>
          </w:tcPr>
          <w:p>
            <w:pPr>
              <w:spacing w:after="0" w:line="169" w:lineRule="exact"/>
              <w:rPr>
                <w:rFonts w:ascii="Arial" w:cs="Arial" w:eastAsia="Arial" w:hAnsi="Arial"/>
                <w:sz w:val="16"/>
                <w:szCs w:val="16"/>
                <w:color w:val="auto"/>
              </w:rPr>
            </w:pPr>
            <w:hyperlink r:id="rId199">
              <w:r>
                <w:rPr>
                  <w:rFonts w:ascii="Arial" w:cs="Arial" w:eastAsia="Arial" w:hAnsi="Arial"/>
                  <w:sz w:val="16"/>
                  <w:szCs w:val="16"/>
                  <w:color w:val="auto"/>
                </w:rPr>
                <w:t>Company, N.A., filed as Exhibit 4.2 to the Company’s Current Report on Form 8-K filed with the Commission on November 13, 2025 (File</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84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199">
              <w:r>
                <w:rPr>
                  <w:rFonts w:ascii="Arial" w:cs="Arial" w:eastAsia="Arial" w:hAnsi="Arial"/>
                  <w:sz w:val="16"/>
                  <w:szCs w:val="16"/>
                  <w:color w:val="auto"/>
                </w:rPr>
                <w:t>No. 001-12984)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4.9</w:t>
            </w:r>
          </w:p>
        </w:tc>
        <w:tc>
          <w:tcPr>
            <w:tcW w:w="10040" w:type="dxa"/>
            <w:vAlign w:val="bottom"/>
            <w:gridSpan w:val="32"/>
          </w:tcPr>
          <w:p>
            <w:pPr>
              <w:spacing w:after="0"/>
              <w:rPr>
                <w:rFonts w:ascii="Arial" w:cs="Arial" w:eastAsia="Arial" w:hAnsi="Arial"/>
                <w:sz w:val="16"/>
                <w:szCs w:val="16"/>
                <w:color w:val="auto"/>
              </w:rPr>
            </w:pPr>
            <w:hyperlink r:id="rId199">
              <w:r>
                <w:rPr>
                  <w:rFonts w:ascii="Arial" w:cs="Arial" w:eastAsia="Arial" w:hAnsi="Arial"/>
                  <w:sz w:val="16"/>
                  <w:szCs w:val="16"/>
                  <w:color w:val="auto"/>
                </w:rPr>
                <w:t>Form of 5.000% Senior Note due 2036, filed as Exhibit 4.2 to the Company’s Current Report on Form 8-K filed with the Commission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570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auto"/>
              </w:rPr>
            </w:pPr>
            <w:hyperlink r:id="rId199">
              <w:r>
                <w:rPr>
                  <w:rFonts w:ascii="Arial" w:cs="Arial" w:eastAsia="Arial" w:hAnsi="Arial"/>
                  <w:sz w:val="16"/>
                  <w:szCs w:val="16"/>
                  <w:color w:val="auto"/>
                </w:rPr>
                <w:t>November 13, 2025 (File No. 001-12984) and incorporated herein by reference.</w:t>
              </w:r>
            </w:hyperlink>
          </w:p>
        </w:tc>
        <w:tc>
          <w:tcPr>
            <w:tcW w:w="400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10.1</w:t>
            </w:r>
          </w:p>
        </w:tc>
        <w:tc>
          <w:tcPr>
            <w:tcW w:w="9580" w:type="dxa"/>
            <w:vAlign w:val="bottom"/>
            <w:tcBorders>
              <w:bottom w:val="single" w:sz="8" w:color="0000EE"/>
            </w:tcBorders>
            <w:gridSpan w:val="18"/>
          </w:tcPr>
          <w:p>
            <w:pPr>
              <w:spacing w:after="0"/>
              <w:rPr>
                <w:rFonts w:ascii="Arial" w:cs="Arial" w:eastAsia="Arial" w:hAnsi="Arial"/>
                <w:sz w:val="16"/>
                <w:szCs w:val="16"/>
                <w:color w:val="auto"/>
              </w:rPr>
            </w:pPr>
            <w:hyperlink r:id="rId200">
              <w:r>
                <w:rPr>
                  <w:rFonts w:ascii="Arial" w:cs="Arial" w:eastAsia="Arial" w:hAnsi="Arial"/>
                  <w:sz w:val="16"/>
                  <w:szCs w:val="16"/>
                  <w:color w:val="auto"/>
                </w:rPr>
                <w:t>Limited Partnership Agreement of Texas Lehigh Cement Company LP by and between Texas Cement Company and Lehigh Portland</w:t>
              </w:r>
            </w:hyperlink>
          </w:p>
        </w:tc>
        <w:tc>
          <w:tcPr>
            <w:tcW w:w="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32"/>
          </w:tcPr>
          <w:p>
            <w:pPr>
              <w:spacing w:after="0" w:line="169" w:lineRule="exact"/>
              <w:rPr>
                <w:rFonts w:ascii="Arial" w:cs="Arial" w:eastAsia="Arial" w:hAnsi="Arial"/>
                <w:sz w:val="16"/>
                <w:szCs w:val="16"/>
                <w:color w:val="auto"/>
              </w:rPr>
            </w:pPr>
            <w:hyperlink r:id="rId200">
              <w:r>
                <w:rPr>
                  <w:rFonts w:ascii="Arial" w:cs="Arial" w:eastAsia="Arial" w:hAnsi="Arial"/>
                  <w:sz w:val="16"/>
                  <w:szCs w:val="16"/>
                  <w:color w:val="auto"/>
                </w:rPr>
                <w:t>Cement Company effective as of October 1, 2000, filed as Exhibit 10.2 to the Company’s Annual Report on Form 10-K for the fiscal year</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12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auto"/>
              </w:rPr>
            </w:pPr>
            <w:hyperlink r:id="rId200">
              <w:r>
                <w:rPr>
                  <w:rFonts w:ascii="Arial" w:cs="Arial" w:eastAsia="Arial" w:hAnsi="Arial"/>
                  <w:sz w:val="16"/>
                  <w:szCs w:val="16"/>
                  <w:color w:val="auto"/>
                </w:rPr>
                <w:t>ended March 31, 2001, filed with the Commission on June 27, 2001 (File No. 001-12984) and incorporated herein by reference.</w:t>
              </w:r>
            </w:hyperlink>
          </w:p>
        </w:tc>
        <w:tc>
          <w:tcPr>
            <w:tcW w:w="680" w:type="dxa"/>
            <w:vAlign w:val="bottom"/>
            <w:tcBorders>
              <w:top w:val="single" w:sz="8" w:color="0000EE"/>
            </w:tcBorders>
            <w:gridSpan w:val="10"/>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10.1(a)</w:t>
            </w:r>
          </w:p>
        </w:tc>
        <w:tc>
          <w:tcPr>
            <w:tcW w:w="10040" w:type="dxa"/>
            <w:vAlign w:val="bottom"/>
            <w:gridSpan w:val="32"/>
          </w:tcPr>
          <w:p>
            <w:pPr>
              <w:spacing w:after="0"/>
              <w:rPr>
                <w:rFonts w:ascii="Arial" w:cs="Arial" w:eastAsia="Arial" w:hAnsi="Arial"/>
                <w:sz w:val="16"/>
                <w:szCs w:val="16"/>
                <w:color w:val="auto"/>
              </w:rPr>
            </w:pPr>
            <w:hyperlink r:id="rId201">
              <w:r>
                <w:rPr>
                  <w:rFonts w:ascii="Arial" w:cs="Arial" w:eastAsia="Arial" w:hAnsi="Arial"/>
                  <w:sz w:val="16"/>
                  <w:szCs w:val="16"/>
                  <w:color w:val="auto"/>
                </w:rPr>
                <w:t>Amendment No. 1 to Agreement of Limited Partnership by and among Texas Cement Company; TLCC LP LLC; TLCC GP LLC; Lehigh</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20" w:type="dxa"/>
            <w:vAlign w:val="bottom"/>
            <w:tcBorders>
              <w:top w:val="single" w:sz="8" w:color="0000EE"/>
            </w:tcBorders>
            <w:gridSpan w:val="21"/>
          </w:tcPr>
          <w:p>
            <w:pPr>
              <w:spacing w:after="0" w:line="169" w:lineRule="exact"/>
              <w:rPr>
                <w:rFonts w:ascii="Arial" w:cs="Arial" w:eastAsia="Arial" w:hAnsi="Arial"/>
                <w:sz w:val="16"/>
                <w:szCs w:val="16"/>
                <w:color w:val="auto"/>
              </w:rPr>
            </w:pPr>
            <w:hyperlink r:id="rId201">
              <w:r>
                <w:rPr>
                  <w:rFonts w:ascii="Arial" w:cs="Arial" w:eastAsia="Arial" w:hAnsi="Arial"/>
                  <w:sz w:val="16"/>
                  <w:szCs w:val="16"/>
                  <w:color w:val="auto"/>
                </w:rPr>
                <w:t>Portland Cement Company; Lehigh Portland Investments, LLC; and Lehigh Portland Holdings, LLC effective as of October 2, 2000,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9"/>
          </w:tcPr>
          <w:p>
            <w:pPr>
              <w:spacing w:after="0" w:line="169" w:lineRule="exact"/>
              <w:rPr>
                <w:rFonts w:ascii="Arial" w:cs="Arial" w:eastAsia="Arial" w:hAnsi="Arial"/>
                <w:sz w:val="16"/>
                <w:szCs w:val="16"/>
                <w:color w:val="auto"/>
              </w:rPr>
            </w:pPr>
            <w:hyperlink r:id="rId201">
              <w:r>
                <w:rPr>
                  <w:rFonts w:ascii="Arial" w:cs="Arial" w:eastAsia="Arial" w:hAnsi="Arial"/>
                  <w:sz w:val="16"/>
                  <w:szCs w:val="16"/>
                  <w:color w:val="auto"/>
                </w:rPr>
                <w:t>as</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80" w:type="dxa"/>
            <w:vAlign w:val="bottom"/>
            <w:tcBorders>
              <w:top w:val="single" w:sz="8" w:color="0000EE"/>
            </w:tcBorders>
            <w:gridSpan w:val="30"/>
          </w:tcPr>
          <w:p>
            <w:pPr>
              <w:spacing w:after="0" w:line="169" w:lineRule="exact"/>
              <w:rPr>
                <w:rFonts w:ascii="Arial" w:cs="Arial" w:eastAsia="Arial" w:hAnsi="Arial"/>
                <w:sz w:val="16"/>
                <w:szCs w:val="16"/>
                <w:color w:val="auto"/>
              </w:rPr>
            </w:pPr>
            <w:hyperlink r:id="rId201">
              <w:r>
                <w:rPr>
                  <w:rFonts w:ascii="Arial" w:cs="Arial" w:eastAsia="Arial" w:hAnsi="Arial"/>
                  <w:sz w:val="16"/>
                  <w:szCs w:val="16"/>
                  <w:color w:val="auto"/>
                </w:rPr>
                <w:t>Exhibit 10.2(a) to the 2001 Form 10-K (File No. 001-12984) 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10.3</w:t>
            </w:r>
          </w:p>
        </w:tc>
        <w:tc>
          <w:tcPr>
            <w:tcW w:w="10040" w:type="dxa"/>
            <w:vAlign w:val="bottom"/>
            <w:gridSpan w:val="32"/>
          </w:tcPr>
          <w:p>
            <w:pPr>
              <w:spacing w:after="0"/>
              <w:rPr>
                <w:rFonts w:ascii="Arial" w:cs="Arial" w:eastAsia="Arial" w:hAnsi="Arial"/>
                <w:sz w:val="16"/>
                <w:szCs w:val="16"/>
                <w:color w:val="auto"/>
              </w:rPr>
            </w:pPr>
            <w:hyperlink r:id="rId202">
              <w:r>
                <w:rPr>
                  <w:rFonts w:ascii="Arial" w:cs="Arial" w:eastAsia="Arial" w:hAnsi="Arial"/>
                  <w:sz w:val="16"/>
                  <w:szCs w:val="16"/>
                  <w:color w:val="auto"/>
                </w:rPr>
                <w:t>The Eagle Materials Inc. Amended and Restated Incentive Plan, filed as Exhibit A to the Company’s Schedule 14A filed with the</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6460" w:type="dxa"/>
            <w:vAlign w:val="bottom"/>
            <w:tcBorders>
              <w:top w:val="single" w:sz="8" w:color="0000EE"/>
              <w:bottom w:val="single" w:sz="8" w:color="0000EE"/>
            </w:tcBorders>
            <w:gridSpan w:val="8"/>
            <w:vMerge w:val="restart"/>
          </w:tcPr>
          <w:p>
            <w:pPr>
              <w:spacing w:after="0" w:line="169" w:lineRule="exact"/>
              <w:rPr>
                <w:rFonts w:ascii="Arial" w:cs="Arial" w:eastAsia="Arial" w:hAnsi="Arial"/>
                <w:sz w:val="16"/>
                <w:szCs w:val="16"/>
                <w:color w:val="auto"/>
              </w:rPr>
            </w:pPr>
            <w:hyperlink r:id="rId202">
              <w:r>
                <w:rPr>
                  <w:rFonts w:ascii="Arial" w:cs="Arial" w:eastAsia="Arial" w:hAnsi="Arial"/>
                  <w:sz w:val="16"/>
                  <w:szCs w:val="16"/>
                  <w:color w:val="auto"/>
                </w:rPr>
                <w:t>Commission on June 21, 2013 (File No. 001-12984) and incorporated herein by 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02">
              <w:r>
                <w:rPr>
                  <w:rFonts w:ascii="Arial" w:cs="Arial" w:eastAsia="Arial" w:hAnsi="Arial"/>
                  <w:sz w:val="8"/>
                  <w:szCs w:val="8"/>
                  <w:color w:val="auto"/>
                </w:rPr>
                <w:t>(1)</w:t>
              </w:r>
            </w:hyperlink>
          </w:p>
        </w:tc>
        <w:tc>
          <w:tcPr>
            <w:tcW w:w="1020" w:type="dxa"/>
            <w:vAlign w:val="bottom"/>
            <w:tcBorders>
              <w:top w:val="single" w:sz="8" w:color="0000EE"/>
              <w:bottom w:val="single" w:sz="8" w:color="0000EE"/>
            </w:tcBorders>
            <w:gridSpan w:val="3"/>
            <w:vMerge w:val="restart"/>
          </w:tcPr>
          <w:p>
            <w:pPr>
              <w:spacing w:after="0"/>
              <w:rPr>
                <w:sz w:val="7"/>
                <w:szCs w:val="7"/>
                <w:color w:val="auto"/>
              </w:rPr>
            </w:pPr>
          </w:p>
        </w:tc>
        <w:tc>
          <w:tcPr>
            <w:tcW w:w="1480" w:type="dxa"/>
            <w:vAlign w:val="bottom"/>
            <w:tcBorders>
              <w:top w:val="single" w:sz="8" w:color="0000EE"/>
              <w:bottom w:val="single" w:sz="8" w:color="0000EE"/>
            </w:tcBorders>
            <w:gridSpan w:val="2"/>
            <w:vMerge w:val="restart"/>
          </w:tcPr>
          <w:p>
            <w:pPr>
              <w:spacing w:after="0"/>
              <w:rPr>
                <w:sz w:val="7"/>
                <w:szCs w:val="7"/>
                <w:color w:val="auto"/>
              </w:rPr>
            </w:pPr>
          </w:p>
        </w:tc>
        <w:tc>
          <w:tcPr>
            <w:tcW w:w="80" w:type="dxa"/>
            <w:vAlign w:val="bottom"/>
            <w:tcBorders>
              <w:top w:val="single" w:sz="8" w:color="0000EE"/>
              <w:bottom w:val="single" w:sz="8" w:color="0000EE"/>
            </w:tcBorders>
            <w:gridSpan w:val="2"/>
            <w:vMerge w:val="restart"/>
          </w:tcPr>
          <w:p>
            <w:pPr>
              <w:spacing w:after="0"/>
              <w:rPr>
                <w:sz w:val="7"/>
                <w:szCs w:val="7"/>
                <w:color w:val="auto"/>
              </w:rPr>
            </w:pPr>
          </w:p>
        </w:tc>
        <w:tc>
          <w:tcPr>
            <w:tcW w:w="540" w:type="dxa"/>
            <w:vAlign w:val="bottom"/>
            <w:gridSpan w:val="5"/>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6460" w:type="dxa"/>
            <w:vAlign w:val="bottom"/>
            <w:tcBorders>
              <w:bottom w:val="single" w:sz="8" w:color="0000EE"/>
            </w:tcBorders>
            <w:gridSpan w:val="8"/>
            <w:vMerge w:val="continue"/>
          </w:tcPr>
          <w:p>
            <w:pPr>
              <w:spacing w:after="0"/>
              <w:rPr>
                <w:sz w:val="5"/>
                <w:szCs w:val="5"/>
                <w:color w:val="auto"/>
              </w:rPr>
            </w:pPr>
          </w:p>
        </w:tc>
        <w:tc>
          <w:tcPr>
            <w:tcW w:w="160" w:type="dxa"/>
            <w:vAlign w:val="bottom"/>
            <w:gridSpan w:val="2"/>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10.3(a)</w:t>
            </w:r>
          </w:p>
        </w:tc>
        <w:tc>
          <w:tcPr>
            <w:tcW w:w="10040" w:type="dxa"/>
            <w:vAlign w:val="bottom"/>
            <w:tcBorders>
              <w:bottom w:val="single" w:sz="8" w:color="0000EE"/>
            </w:tcBorders>
            <w:gridSpan w:val="32"/>
          </w:tcPr>
          <w:p>
            <w:pPr>
              <w:spacing w:after="0"/>
              <w:rPr>
                <w:rFonts w:ascii="Arial" w:cs="Arial" w:eastAsia="Arial" w:hAnsi="Arial"/>
                <w:sz w:val="16"/>
                <w:szCs w:val="16"/>
                <w:color w:val="auto"/>
              </w:rPr>
            </w:pPr>
            <w:hyperlink r:id="rId203">
              <w:r>
                <w:rPr>
                  <w:rFonts w:ascii="Arial" w:cs="Arial" w:eastAsia="Arial" w:hAnsi="Arial"/>
                  <w:sz w:val="16"/>
                  <w:szCs w:val="16"/>
                  <w:color w:val="auto"/>
                </w:rPr>
                <w:t>Amendment to Amended and Restated Incentive Plan, filed as Exhibit 10.4 to the Company’s Quarterly Report on Form 10-Q for the quarter</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8960" w:type="dxa"/>
            <w:vAlign w:val="bottom"/>
            <w:gridSpan w:val="14"/>
            <w:vMerge w:val="restart"/>
          </w:tcPr>
          <w:p>
            <w:pPr>
              <w:spacing w:after="0" w:line="169" w:lineRule="exact"/>
              <w:rPr>
                <w:rFonts w:ascii="Arial" w:cs="Arial" w:eastAsia="Arial" w:hAnsi="Arial"/>
                <w:sz w:val="16"/>
                <w:szCs w:val="16"/>
                <w:color w:val="auto"/>
              </w:rPr>
            </w:pPr>
            <w:hyperlink r:id="rId203">
              <w:r>
                <w:rPr>
                  <w:rFonts w:ascii="Arial" w:cs="Arial" w:eastAsia="Arial" w:hAnsi="Arial"/>
                  <w:sz w:val="16"/>
                  <w:szCs w:val="16"/>
                  <w:color w:val="auto"/>
                </w:rPr>
                <w:t>ended June 30, 2017, filed with the Commission on July 28, 2017 (File No. 001-12984) and incorporated 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03">
              <w:r>
                <w:rPr>
                  <w:rFonts w:ascii="Arial" w:cs="Arial" w:eastAsia="Arial" w:hAnsi="Arial"/>
                  <w:sz w:val="8"/>
                  <w:szCs w:val="8"/>
                  <w:color w:val="auto"/>
                </w:rPr>
                <w:t>(1)</w:t>
              </w:r>
            </w:hyperlink>
          </w:p>
        </w:tc>
        <w:tc>
          <w:tcPr>
            <w:tcW w:w="920" w:type="dxa"/>
            <w:vAlign w:val="bottom"/>
            <w:gridSpan w:val="17"/>
            <w:vMerge w:val="restart"/>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960" w:type="dxa"/>
            <w:vAlign w:val="bottom"/>
            <w:tcBorders>
              <w:bottom w:val="single" w:sz="8" w:color="0000EE"/>
            </w:tcBorders>
            <w:gridSpan w:val="14"/>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0040" w:type="dxa"/>
            <w:vAlign w:val="bottom"/>
            <w:gridSpan w:val="32"/>
          </w:tcPr>
          <w:p>
            <w:pPr>
              <w:spacing w:after="0"/>
              <w:rPr>
                <w:rFonts w:ascii="Arial" w:cs="Arial" w:eastAsia="Arial" w:hAnsi="Arial"/>
                <w:sz w:val="16"/>
                <w:szCs w:val="16"/>
                <w:color w:val="auto"/>
              </w:rPr>
            </w:pPr>
            <w:hyperlink r:id="rId204">
              <w:r>
                <w:rPr>
                  <w:rFonts w:ascii="Arial" w:cs="Arial" w:eastAsia="Arial" w:hAnsi="Arial"/>
                  <w:sz w:val="16"/>
                  <w:szCs w:val="16"/>
                  <w:color w:val="auto"/>
                </w:rPr>
                <w:t>Eagle Materials Inc. 2023 Equity Incentive Plan, filed as Exhibit 4.3 to the Company’s Registration Statement on Form S-8 filed with the</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60" w:type="dxa"/>
            <w:vAlign w:val="bottom"/>
            <w:tcBorders>
              <w:top w:val="single" w:sz="8" w:color="0000EE"/>
            </w:tcBorders>
            <w:gridSpan w:val="23"/>
          </w:tcPr>
          <w:p>
            <w:pPr>
              <w:spacing w:after="0" w:line="169" w:lineRule="exact"/>
              <w:rPr>
                <w:rFonts w:ascii="Arial" w:cs="Arial" w:eastAsia="Arial" w:hAnsi="Arial"/>
                <w:sz w:val="15"/>
                <w:szCs w:val="15"/>
                <w:color w:val="auto"/>
              </w:rPr>
            </w:pPr>
            <w:hyperlink r:id="rId204">
              <w:r>
                <w:rPr>
                  <w:rFonts w:ascii="Arial" w:cs="Arial" w:eastAsia="Arial" w:hAnsi="Arial"/>
                  <w:sz w:val="15"/>
                  <w:szCs w:val="15"/>
                  <w:color w:val="auto"/>
                </w:rPr>
                <w:t>Commission on August 4, 2023 (File No. 001-12984) and incorporated herein by reference.</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10.5</w:t>
            </w:r>
          </w:p>
        </w:tc>
        <w:tc>
          <w:tcPr>
            <w:tcW w:w="10040" w:type="dxa"/>
            <w:vAlign w:val="bottom"/>
            <w:gridSpan w:val="32"/>
          </w:tcPr>
          <w:p>
            <w:pPr>
              <w:spacing w:after="0"/>
              <w:rPr>
                <w:rFonts w:ascii="Arial" w:cs="Arial" w:eastAsia="Arial" w:hAnsi="Arial"/>
                <w:sz w:val="16"/>
                <w:szCs w:val="16"/>
                <w:color w:val="auto"/>
              </w:rPr>
            </w:pPr>
            <w:hyperlink r:id="rId205">
              <w:r>
                <w:rPr>
                  <w:rFonts w:ascii="Arial" w:cs="Arial" w:eastAsia="Arial" w:hAnsi="Arial"/>
                  <w:sz w:val="16"/>
                  <w:szCs w:val="16"/>
                  <w:color w:val="auto"/>
                </w:rPr>
                <w:t>Form of Restricted Stock Unit Agreement for Non-Employee Directors filed as Exhibit 10.1 to the Company’s Current Report on Form 8-K</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480" w:type="dxa"/>
            <w:vAlign w:val="bottom"/>
            <w:tcBorders>
              <w:top w:val="single" w:sz="8" w:color="0000EE"/>
              <w:bottom w:val="single" w:sz="8" w:color="0000EE"/>
            </w:tcBorders>
            <w:gridSpan w:val="12"/>
            <w:vMerge w:val="restart"/>
          </w:tcPr>
          <w:p>
            <w:pPr>
              <w:spacing w:after="0" w:line="169" w:lineRule="exact"/>
              <w:rPr>
                <w:rFonts w:ascii="Arial" w:cs="Arial" w:eastAsia="Arial" w:hAnsi="Arial"/>
                <w:sz w:val="16"/>
                <w:szCs w:val="16"/>
                <w:color w:val="auto"/>
              </w:rPr>
            </w:pPr>
            <w:hyperlink r:id="rId205">
              <w:r>
                <w:rPr>
                  <w:rFonts w:ascii="Arial" w:cs="Arial" w:eastAsia="Arial" w:hAnsi="Arial"/>
                  <w:sz w:val="16"/>
                  <w:szCs w:val="16"/>
                  <w:color w:val="auto"/>
                </w:rPr>
                <w:t>filed with the Commission on August 1, 2006 (File No. 001-12984) and 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05">
              <w:r>
                <w:rPr>
                  <w:rFonts w:ascii="Arial" w:cs="Arial" w:eastAsia="Arial" w:hAnsi="Arial"/>
                  <w:sz w:val="8"/>
                  <w:szCs w:val="8"/>
                  <w:color w:val="auto"/>
                </w:rPr>
                <w:t>(1)</w:t>
              </w:r>
            </w:hyperlink>
          </w:p>
        </w:tc>
        <w:tc>
          <w:tcPr>
            <w:tcW w:w="2220" w:type="dxa"/>
            <w:vAlign w:val="bottom"/>
            <w:tcBorders>
              <w:top w:val="single" w:sz="8" w:color="0000EE"/>
              <w:bottom w:val="single" w:sz="8" w:color="0000EE"/>
            </w:tcBorders>
            <w:gridSpan w:val="14"/>
            <w:vMerge w:val="restart"/>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480" w:type="dxa"/>
            <w:vAlign w:val="bottom"/>
            <w:tcBorders>
              <w:bottom w:val="single" w:sz="8" w:color="0000EE"/>
            </w:tcBorders>
            <w:gridSpan w:val="12"/>
            <w:vMerge w:val="continue"/>
          </w:tcPr>
          <w:p>
            <w:pPr>
              <w:spacing w:after="0"/>
              <w:rPr>
                <w:sz w:val="5"/>
                <w:szCs w:val="5"/>
                <w:color w:val="auto"/>
              </w:rPr>
            </w:pPr>
          </w:p>
        </w:tc>
        <w:tc>
          <w:tcPr>
            <w:tcW w:w="160" w:type="dxa"/>
            <w:vAlign w:val="bottom"/>
          </w:tcPr>
          <w:p>
            <w:pPr>
              <w:spacing w:after="0"/>
              <w:rPr>
                <w:sz w:val="5"/>
                <w:szCs w:val="5"/>
                <w:color w:val="auto"/>
              </w:rPr>
            </w:pPr>
          </w:p>
        </w:tc>
        <w:tc>
          <w:tcPr>
            <w:tcW w:w="2220" w:type="dxa"/>
            <w:vAlign w:val="bottom"/>
            <w:gridSpan w:val="14"/>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10.6</w:t>
            </w:r>
          </w:p>
        </w:tc>
        <w:tc>
          <w:tcPr>
            <w:tcW w:w="10040" w:type="dxa"/>
            <w:vAlign w:val="bottom"/>
            <w:gridSpan w:val="32"/>
          </w:tcPr>
          <w:p>
            <w:pPr>
              <w:spacing w:after="0"/>
              <w:rPr>
                <w:rFonts w:ascii="Arial" w:cs="Arial" w:eastAsia="Arial" w:hAnsi="Arial"/>
                <w:sz w:val="16"/>
                <w:szCs w:val="16"/>
                <w:color w:val="auto"/>
              </w:rPr>
            </w:pPr>
            <w:hyperlink r:id="rId206">
              <w:r>
                <w:rPr>
                  <w:rFonts w:ascii="Arial" w:cs="Arial" w:eastAsia="Arial" w:hAnsi="Arial"/>
                  <w:sz w:val="16"/>
                  <w:szCs w:val="16"/>
                  <w:color w:val="auto"/>
                </w:rPr>
                <w:t>Form of Restricted Stock Agreement for Non-Employee Directors filed as Exhibit 10.5 to the Company’s Quarterly Report on Form 10-Q for</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206">
              <w:r>
                <w:rPr>
                  <w:rFonts w:ascii="Arial" w:cs="Arial" w:eastAsia="Arial" w:hAnsi="Arial"/>
                  <w:sz w:val="16"/>
                  <w:szCs w:val="16"/>
                  <w:color w:val="auto"/>
                </w:rPr>
                <w:t>the quarter ended September 30, 2013, filed with the Commission on November 7, 2013 (File No. 001-12984) and incorporated herein by</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06">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06">
              <w:r>
                <w:rPr>
                  <w:rFonts w:ascii="Arial" w:cs="Arial" w:eastAsia="Arial" w:hAnsi="Arial"/>
                  <w:sz w:val="8"/>
                  <w:szCs w:val="8"/>
                  <w:color w:val="auto"/>
                </w:rPr>
                <w:t>(1)</w:t>
              </w:r>
            </w:hyperlink>
          </w:p>
        </w:tc>
        <w:tc>
          <w:tcPr>
            <w:tcW w:w="1660" w:type="dxa"/>
            <w:vAlign w:val="bottom"/>
            <w:tcBorders>
              <w:top w:val="single" w:sz="8" w:color="0000EE"/>
              <w:bottom w:val="single" w:sz="8" w:color="0000EE"/>
            </w:tcBorders>
            <w:gridSpan w:val="2"/>
            <w:vMerge w:val="restart"/>
          </w:tcPr>
          <w:p>
            <w:pPr>
              <w:spacing w:after="0"/>
              <w:rPr>
                <w:sz w:val="7"/>
                <w:szCs w:val="7"/>
                <w:color w:val="auto"/>
              </w:rPr>
            </w:pPr>
          </w:p>
        </w:tc>
        <w:tc>
          <w:tcPr>
            <w:tcW w:w="7340" w:type="dxa"/>
            <w:vAlign w:val="bottom"/>
            <w:tcBorders>
              <w:top w:val="single" w:sz="8" w:color="0000EE"/>
              <w:bottom w:val="single" w:sz="8" w:color="0000EE"/>
            </w:tcBorders>
            <w:gridSpan w:val="23"/>
            <w:vMerge w:val="restart"/>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7340" w:type="dxa"/>
            <w:vAlign w:val="bottom"/>
            <w:gridSpan w:val="23"/>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10.7</w:t>
            </w:r>
          </w:p>
        </w:tc>
        <w:tc>
          <w:tcPr>
            <w:tcW w:w="10040" w:type="dxa"/>
            <w:vAlign w:val="bottom"/>
            <w:gridSpan w:val="32"/>
          </w:tcPr>
          <w:p>
            <w:pPr>
              <w:spacing w:after="0"/>
              <w:rPr>
                <w:rFonts w:ascii="Arial" w:cs="Arial" w:eastAsia="Arial" w:hAnsi="Arial"/>
                <w:sz w:val="16"/>
                <w:szCs w:val="16"/>
                <w:color w:val="auto"/>
              </w:rPr>
            </w:pPr>
            <w:hyperlink r:id="rId207">
              <w:r>
                <w:rPr>
                  <w:rFonts w:ascii="Arial" w:cs="Arial" w:eastAsia="Arial" w:hAnsi="Arial"/>
                  <w:sz w:val="16"/>
                  <w:szCs w:val="16"/>
                  <w:color w:val="auto"/>
                </w:rPr>
                <w:t>Form of Restricted Stock Agreement for Non-Employee Directors filed as Exhibit 10.5 to the Company’s Quarterly Report on Form 10-Q for</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207">
              <w:r>
                <w:rPr>
                  <w:rFonts w:ascii="Arial" w:cs="Arial" w:eastAsia="Arial" w:hAnsi="Arial"/>
                  <w:sz w:val="16"/>
                  <w:szCs w:val="16"/>
                  <w:color w:val="auto"/>
                </w:rPr>
                <w:t>the quarter ended September 30, 2014, filed with the Commission on November 5, 2014 (File No. 001-12984) and incorporated herein by</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07">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07">
              <w:r>
                <w:rPr>
                  <w:rFonts w:ascii="Arial" w:cs="Arial" w:eastAsia="Arial" w:hAnsi="Arial"/>
                  <w:sz w:val="8"/>
                  <w:szCs w:val="8"/>
                  <w:color w:val="auto"/>
                </w:rPr>
                <w:t>(1)</w:t>
              </w:r>
            </w:hyperlink>
          </w:p>
        </w:tc>
        <w:tc>
          <w:tcPr>
            <w:tcW w:w="1660" w:type="dxa"/>
            <w:vAlign w:val="bottom"/>
            <w:tcBorders>
              <w:top w:val="single" w:sz="8" w:color="0000EE"/>
              <w:bottom w:val="single" w:sz="8" w:color="0000EE"/>
            </w:tcBorders>
            <w:gridSpan w:val="2"/>
            <w:vMerge w:val="restart"/>
          </w:tcPr>
          <w:p>
            <w:pPr>
              <w:spacing w:after="0"/>
              <w:rPr>
                <w:sz w:val="7"/>
                <w:szCs w:val="7"/>
                <w:color w:val="auto"/>
              </w:rPr>
            </w:pPr>
          </w:p>
        </w:tc>
        <w:tc>
          <w:tcPr>
            <w:tcW w:w="7340" w:type="dxa"/>
            <w:vAlign w:val="bottom"/>
            <w:tcBorders>
              <w:top w:val="single" w:sz="8" w:color="0000EE"/>
              <w:bottom w:val="single" w:sz="8" w:color="0000EE"/>
            </w:tcBorders>
            <w:gridSpan w:val="23"/>
            <w:vMerge w:val="restart"/>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7340" w:type="dxa"/>
            <w:vAlign w:val="bottom"/>
            <w:gridSpan w:val="23"/>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10.8(b)</w:t>
            </w:r>
          </w:p>
        </w:tc>
        <w:tc>
          <w:tcPr>
            <w:tcW w:w="10040" w:type="dxa"/>
            <w:vAlign w:val="bottom"/>
            <w:gridSpan w:val="32"/>
          </w:tcPr>
          <w:p>
            <w:pPr>
              <w:spacing w:after="0"/>
              <w:rPr>
                <w:rFonts w:ascii="Arial" w:cs="Arial" w:eastAsia="Arial" w:hAnsi="Arial"/>
                <w:sz w:val="16"/>
                <w:szCs w:val="16"/>
                <w:color w:val="auto"/>
              </w:rPr>
            </w:pPr>
            <w:hyperlink r:id="rId208">
              <w:r>
                <w:rPr>
                  <w:rFonts w:ascii="Arial" w:cs="Arial" w:eastAsia="Arial" w:hAnsi="Arial"/>
                  <w:sz w:val="16"/>
                  <w:szCs w:val="16"/>
                  <w:color w:val="auto"/>
                </w:rPr>
                <w:t>Form of Restricted Stock Agreement for Non-Employee Directors filed as Exhibit 10.3 to the Company’s Quarterly Report on Form 10-Q for</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208">
              <w:r>
                <w:rPr>
                  <w:rFonts w:ascii="Arial" w:cs="Arial" w:eastAsia="Arial" w:hAnsi="Arial"/>
                  <w:sz w:val="16"/>
                  <w:szCs w:val="16"/>
                  <w:color w:val="auto"/>
                </w:rPr>
                <w:t>the quarter ended September 30, 2015, filed with the Commission on October 27, 2015 (File No. 001-12984) and incorporated herein by</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08">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08">
              <w:r>
                <w:rPr>
                  <w:rFonts w:ascii="Arial" w:cs="Arial" w:eastAsia="Arial" w:hAnsi="Arial"/>
                  <w:sz w:val="8"/>
                  <w:szCs w:val="8"/>
                  <w:color w:val="auto"/>
                </w:rPr>
                <w:t>(1)</w:t>
              </w:r>
            </w:hyperlink>
          </w:p>
        </w:tc>
        <w:tc>
          <w:tcPr>
            <w:tcW w:w="1660" w:type="dxa"/>
            <w:vAlign w:val="bottom"/>
            <w:tcBorders>
              <w:top w:val="single" w:sz="8" w:color="0000EE"/>
              <w:bottom w:val="single" w:sz="8" w:color="0000EE"/>
            </w:tcBorders>
            <w:gridSpan w:val="2"/>
            <w:vMerge w:val="restart"/>
          </w:tcPr>
          <w:p>
            <w:pPr>
              <w:spacing w:after="0"/>
              <w:rPr>
                <w:sz w:val="7"/>
                <w:szCs w:val="7"/>
                <w:color w:val="auto"/>
              </w:rPr>
            </w:pPr>
          </w:p>
        </w:tc>
        <w:tc>
          <w:tcPr>
            <w:tcW w:w="7240" w:type="dxa"/>
            <w:vAlign w:val="bottom"/>
            <w:tcBorders>
              <w:top w:val="single" w:sz="8" w:color="0000EE"/>
              <w:bottom w:val="single" w:sz="8" w:color="0000EE"/>
            </w:tcBorders>
            <w:gridSpan w:val="19"/>
            <w:vMerge w:val="restart"/>
          </w:tcPr>
          <w:p>
            <w:pPr>
              <w:spacing w:after="0"/>
              <w:rPr>
                <w:sz w:val="7"/>
                <w:szCs w:val="7"/>
                <w:color w:val="auto"/>
              </w:rPr>
            </w:pPr>
          </w:p>
        </w:tc>
        <w:tc>
          <w:tcPr>
            <w:tcW w:w="160" w:type="dxa"/>
            <w:vAlign w:val="bottom"/>
            <w:gridSpan w:val="5"/>
          </w:tcPr>
          <w:p>
            <w:pPr>
              <w:spacing w:after="0"/>
              <w:rPr>
                <w:sz w:val="7"/>
                <w:szCs w:val="7"/>
                <w:color w:val="auto"/>
              </w:rPr>
            </w:pPr>
          </w:p>
        </w:tc>
        <w:tc>
          <w:tcPr>
            <w:tcW w:w="1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7240" w:type="dxa"/>
            <w:vAlign w:val="bottom"/>
            <w:gridSpan w:val="19"/>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10.9</w:t>
            </w:r>
          </w:p>
        </w:tc>
        <w:tc>
          <w:tcPr>
            <w:tcW w:w="10040" w:type="dxa"/>
            <w:vAlign w:val="bottom"/>
            <w:gridSpan w:val="32"/>
          </w:tcPr>
          <w:p>
            <w:pPr>
              <w:spacing w:after="0"/>
              <w:rPr>
                <w:rFonts w:ascii="Arial" w:cs="Arial" w:eastAsia="Arial" w:hAnsi="Arial"/>
                <w:sz w:val="16"/>
                <w:szCs w:val="16"/>
                <w:color w:val="auto"/>
              </w:rPr>
            </w:pPr>
            <w:hyperlink r:id="rId209">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40" w:type="dxa"/>
            <w:vAlign w:val="bottom"/>
            <w:tcBorders>
              <w:top w:val="single" w:sz="8" w:color="0000EE"/>
            </w:tcBorders>
            <w:gridSpan w:val="22"/>
          </w:tcPr>
          <w:p>
            <w:pPr>
              <w:spacing w:after="0" w:line="169" w:lineRule="exact"/>
              <w:rPr>
                <w:rFonts w:ascii="Arial" w:cs="Arial" w:eastAsia="Arial" w:hAnsi="Arial"/>
                <w:sz w:val="16"/>
                <w:szCs w:val="16"/>
                <w:color w:val="auto"/>
              </w:rPr>
            </w:pPr>
            <w:hyperlink r:id="rId209">
              <w:r>
                <w:rPr>
                  <w:rFonts w:ascii="Arial" w:cs="Arial" w:eastAsia="Arial" w:hAnsi="Arial"/>
                  <w:sz w:val="16"/>
                  <w:szCs w:val="16"/>
                  <w:color w:val="auto"/>
                </w:rPr>
                <w:t>Form 10-Q for the quarter ended September 30, 2016, filed with the Commission on October 24, 2016 (File No. 001-12984) and</w:t>
              </w:r>
            </w:hyperlink>
          </w:p>
        </w:tc>
        <w:tc>
          <w:tcPr>
            <w:tcW w:w="200" w:type="dxa"/>
            <w:vAlign w:val="bottom"/>
            <w:gridSpan w:val="7"/>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4"/>
            <w:vMerge w:val="restart"/>
          </w:tcPr>
          <w:p>
            <w:pPr>
              <w:spacing w:after="0" w:line="169" w:lineRule="exact"/>
              <w:rPr>
                <w:rFonts w:ascii="Arial" w:cs="Arial" w:eastAsia="Arial" w:hAnsi="Arial"/>
                <w:sz w:val="16"/>
                <w:szCs w:val="16"/>
                <w:color w:val="auto"/>
              </w:rPr>
            </w:pPr>
            <w:hyperlink r:id="rId209">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09">
              <w:r>
                <w:rPr>
                  <w:rFonts w:ascii="Arial" w:cs="Arial" w:eastAsia="Arial" w:hAnsi="Arial"/>
                  <w:sz w:val="8"/>
                  <w:szCs w:val="8"/>
                  <w:color w:val="auto"/>
                </w:rPr>
                <w:t>(1)</w:t>
              </w:r>
            </w:hyperlink>
          </w:p>
        </w:tc>
        <w:tc>
          <w:tcPr>
            <w:tcW w:w="6640" w:type="dxa"/>
            <w:vAlign w:val="bottom"/>
            <w:tcBorders>
              <w:top w:val="single" w:sz="8" w:color="0000EE"/>
              <w:bottom w:val="single" w:sz="8" w:color="0000EE"/>
            </w:tcBorders>
            <w:gridSpan w:val="11"/>
            <w:vMerge w:val="restart"/>
          </w:tcPr>
          <w:p>
            <w:pPr>
              <w:spacing w:after="0"/>
              <w:rPr>
                <w:sz w:val="7"/>
                <w:szCs w:val="7"/>
                <w:color w:val="auto"/>
              </w:rPr>
            </w:pPr>
          </w:p>
        </w:tc>
        <w:tc>
          <w:tcPr>
            <w:tcW w:w="760" w:type="dxa"/>
            <w:vAlign w:val="bottom"/>
            <w:gridSpan w:val="13"/>
          </w:tcPr>
          <w:p>
            <w:pPr>
              <w:spacing w:after="0"/>
              <w:rPr>
                <w:sz w:val="7"/>
                <w:szCs w:val="7"/>
                <w:color w:val="auto"/>
              </w:rPr>
            </w:pPr>
          </w:p>
        </w:tc>
        <w:tc>
          <w:tcPr>
            <w:tcW w:w="1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640" w:type="dxa"/>
            <w:vAlign w:val="bottom"/>
            <w:gridSpan w:val="11"/>
            <w:vMerge w:val="continue"/>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10.9(a)</w:t>
            </w:r>
          </w:p>
        </w:tc>
        <w:tc>
          <w:tcPr>
            <w:tcW w:w="10040" w:type="dxa"/>
            <w:vAlign w:val="bottom"/>
            <w:gridSpan w:val="32"/>
          </w:tcPr>
          <w:p>
            <w:pPr>
              <w:spacing w:after="0"/>
              <w:rPr>
                <w:rFonts w:ascii="Arial" w:cs="Arial" w:eastAsia="Arial" w:hAnsi="Arial"/>
                <w:sz w:val="16"/>
                <w:szCs w:val="16"/>
                <w:color w:val="auto"/>
              </w:rPr>
            </w:pPr>
            <w:hyperlink r:id="rId210">
              <w:r>
                <w:rPr>
                  <w:rFonts w:ascii="Arial" w:cs="Arial" w:eastAsia="Arial" w:hAnsi="Arial"/>
                  <w:sz w:val="16"/>
                  <w:szCs w:val="16"/>
                  <w:color w:val="auto"/>
                </w:rPr>
                <w:t>Form of Restricted Stock Agreement for Non-Employee Directors filed as Exhibit 10.3 to the Company’s Quarterly Report on Form 10-Q for</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31"/>
          </w:tcPr>
          <w:p>
            <w:pPr>
              <w:spacing w:after="0" w:line="169" w:lineRule="exact"/>
              <w:rPr>
                <w:rFonts w:ascii="Arial" w:cs="Arial" w:eastAsia="Arial" w:hAnsi="Arial"/>
                <w:sz w:val="16"/>
                <w:szCs w:val="16"/>
                <w:color w:val="auto"/>
              </w:rPr>
            </w:pPr>
            <w:hyperlink r:id="rId210">
              <w:r>
                <w:rPr>
                  <w:rFonts w:ascii="Arial" w:cs="Arial" w:eastAsia="Arial" w:hAnsi="Arial"/>
                  <w:sz w:val="16"/>
                  <w:szCs w:val="16"/>
                  <w:color w:val="auto"/>
                </w:rPr>
                <w:t>the quarter ended September 30, 2016, filed with the Commission on October 24, 2016 (File No. 001-12984) and incorporated herein by</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10">
              <w:r>
                <w:rPr>
                  <w:rFonts w:ascii="Arial" w:cs="Arial" w:eastAsia="Arial" w:hAnsi="Arial"/>
                  <w:sz w:val="16"/>
                  <w:szCs w:val="16"/>
                  <w:color w:val="auto"/>
                  <w:w w:val="97"/>
                </w:rPr>
                <w:t>reference.</w:t>
              </w:r>
            </w:hyperlink>
          </w:p>
        </w:tc>
        <w:tc>
          <w:tcPr>
            <w:tcW w:w="16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10">
              <w:r>
                <w:rPr>
                  <w:rFonts w:ascii="Arial" w:cs="Arial" w:eastAsia="Arial" w:hAnsi="Arial"/>
                  <w:sz w:val="8"/>
                  <w:szCs w:val="8"/>
                  <w:color w:val="auto"/>
                </w:rPr>
                <w:t>(1)</w:t>
              </w:r>
            </w:hyperlink>
          </w:p>
        </w:tc>
        <w:tc>
          <w:tcPr>
            <w:tcW w:w="8900" w:type="dxa"/>
            <w:vAlign w:val="bottom"/>
            <w:tcBorders>
              <w:top w:val="single" w:sz="8" w:color="0000EE"/>
              <w:bottom w:val="single" w:sz="8" w:color="0000EE"/>
            </w:tcBorders>
            <w:gridSpan w:val="21"/>
            <w:vMerge w:val="restart"/>
          </w:tcPr>
          <w:p>
            <w:pPr>
              <w:spacing w:after="0"/>
              <w:rPr>
                <w:sz w:val="7"/>
                <w:szCs w:val="7"/>
                <w:color w:val="auto"/>
              </w:rPr>
            </w:pPr>
          </w:p>
        </w:tc>
        <w:tc>
          <w:tcPr>
            <w:tcW w:w="160" w:type="dxa"/>
            <w:vAlign w:val="bottom"/>
            <w:gridSpan w:val="5"/>
          </w:tcPr>
          <w:p>
            <w:pPr>
              <w:spacing w:after="0"/>
              <w:rPr>
                <w:sz w:val="7"/>
                <w:szCs w:val="7"/>
                <w:color w:val="auto"/>
              </w:rPr>
            </w:pPr>
          </w:p>
        </w:tc>
        <w:tc>
          <w:tcPr>
            <w:tcW w:w="1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900" w:type="dxa"/>
            <w:vAlign w:val="bottom"/>
            <w:gridSpan w:val="21"/>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10.9(b)</w:t>
            </w:r>
          </w:p>
        </w:tc>
        <w:tc>
          <w:tcPr>
            <w:tcW w:w="10040" w:type="dxa"/>
            <w:vAlign w:val="bottom"/>
            <w:tcBorders>
              <w:bottom w:val="single" w:sz="8" w:color="0000EE"/>
            </w:tcBorders>
            <w:gridSpan w:val="32"/>
          </w:tcPr>
          <w:p>
            <w:pPr>
              <w:spacing w:after="0"/>
              <w:rPr>
                <w:rFonts w:ascii="Arial" w:cs="Arial" w:eastAsia="Arial" w:hAnsi="Arial"/>
                <w:sz w:val="16"/>
                <w:szCs w:val="16"/>
                <w:color w:val="auto"/>
              </w:rPr>
            </w:pPr>
            <w:hyperlink r:id="rId211">
              <w:r>
                <w:rPr>
                  <w:rFonts w:ascii="Arial" w:cs="Arial" w:eastAsia="Arial" w:hAnsi="Arial"/>
                  <w:sz w:val="16"/>
                  <w:szCs w:val="16"/>
                  <w:color w:val="auto"/>
                </w:rPr>
                <w:t>Form of Performance Vesting Non-Qualified Stock Option Agreement for Senior Executives filed as Exhibit 10.4 to the Company’s Quarterly</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32"/>
          </w:tcPr>
          <w:p>
            <w:pPr>
              <w:spacing w:after="0" w:line="169" w:lineRule="exact"/>
              <w:rPr>
                <w:rFonts w:ascii="Arial" w:cs="Arial" w:eastAsia="Arial" w:hAnsi="Arial"/>
                <w:sz w:val="16"/>
                <w:szCs w:val="16"/>
                <w:color w:val="auto"/>
              </w:rPr>
            </w:pPr>
            <w:hyperlink r:id="rId211">
              <w:r>
                <w:rPr>
                  <w:rFonts w:ascii="Arial" w:cs="Arial" w:eastAsia="Arial" w:hAnsi="Arial"/>
                  <w:sz w:val="16"/>
                  <w:szCs w:val="16"/>
                  <w:color w:val="auto"/>
                </w:rPr>
                <w:t>Report on Form 10-Q for the quarter ended September 30, 2016, filed with the Commission on October 24, 2016 (File No. 001-12984) and</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4"/>
            <w:vMerge w:val="restart"/>
          </w:tcPr>
          <w:p>
            <w:pPr>
              <w:spacing w:after="0" w:line="169" w:lineRule="exact"/>
              <w:rPr>
                <w:rFonts w:ascii="Arial" w:cs="Arial" w:eastAsia="Arial" w:hAnsi="Arial"/>
                <w:sz w:val="16"/>
                <w:szCs w:val="16"/>
                <w:color w:val="auto"/>
              </w:rPr>
            </w:pPr>
            <w:hyperlink r:id="rId211">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1">
              <w:r>
                <w:rPr>
                  <w:rFonts w:ascii="Arial" w:cs="Arial" w:eastAsia="Arial" w:hAnsi="Arial"/>
                  <w:sz w:val="8"/>
                  <w:szCs w:val="8"/>
                  <w:color w:val="auto"/>
                </w:rPr>
                <w:t>(1)</w:t>
              </w:r>
            </w:hyperlink>
          </w:p>
        </w:tc>
        <w:tc>
          <w:tcPr>
            <w:tcW w:w="7400" w:type="dxa"/>
            <w:vAlign w:val="bottom"/>
            <w:tcBorders>
              <w:top w:val="single" w:sz="8" w:color="0000EE"/>
              <w:bottom w:val="single" w:sz="8" w:color="0000EE"/>
            </w:tcBorders>
            <w:gridSpan w:val="24"/>
            <w:vMerge w:val="restart"/>
          </w:tcPr>
          <w:p>
            <w:pPr>
              <w:spacing w:after="0"/>
              <w:rPr>
                <w:sz w:val="7"/>
                <w:szCs w:val="7"/>
                <w:color w:val="auto"/>
              </w:rPr>
            </w:pPr>
          </w:p>
        </w:tc>
        <w:tc>
          <w:tcPr>
            <w:tcW w:w="1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7400" w:type="dxa"/>
            <w:vAlign w:val="bottom"/>
            <w:gridSpan w:val="2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color w:val="auto"/>
              </w:rPr>
              <w:t>10.9(c)</w:t>
            </w:r>
          </w:p>
        </w:tc>
        <w:tc>
          <w:tcPr>
            <w:tcW w:w="10060" w:type="dxa"/>
            <w:vAlign w:val="bottom"/>
            <w:gridSpan w:val="30"/>
          </w:tcPr>
          <w:p>
            <w:pPr>
              <w:spacing w:after="0"/>
              <w:rPr>
                <w:rFonts w:ascii="Arial" w:cs="Arial" w:eastAsia="Arial" w:hAnsi="Arial"/>
                <w:sz w:val="16"/>
                <w:szCs w:val="16"/>
                <w:color w:val="auto"/>
              </w:rPr>
            </w:pPr>
            <w:hyperlink r:id="rId213">
              <w:r>
                <w:rPr>
                  <w:rFonts w:ascii="Arial" w:cs="Arial" w:eastAsia="Arial" w:hAnsi="Arial"/>
                  <w:sz w:val="16"/>
                  <w:szCs w:val="16"/>
                  <w:color w:val="auto"/>
                </w:rPr>
                <w:t>Form of Time Vesting Non-Qualified Stock Option Agreement for Senior Executives filed as Exhibit 10.5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27"/>
          </w:tcPr>
          <w:p>
            <w:pPr>
              <w:spacing w:after="0" w:line="169" w:lineRule="exact"/>
              <w:rPr>
                <w:rFonts w:ascii="Arial" w:cs="Arial" w:eastAsia="Arial" w:hAnsi="Arial"/>
                <w:sz w:val="16"/>
                <w:szCs w:val="16"/>
                <w:color w:val="auto"/>
              </w:rPr>
            </w:pPr>
            <w:hyperlink r:id="rId213">
              <w:r>
                <w:rPr>
                  <w:rFonts w:ascii="Arial" w:cs="Arial" w:eastAsia="Arial" w:hAnsi="Arial"/>
                  <w:sz w:val="16"/>
                  <w:szCs w:val="16"/>
                  <w:color w:val="auto"/>
                </w:rPr>
                <w:t>on Form 10-Q for the quarter ended September 30, 2016, filed with the Commission on October 24, 2016 (File No. 001-12984)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3"/>
            <w:vMerge w:val="restart"/>
          </w:tcPr>
          <w:p>
            <w:pPr>
              <w:spacing w:after="0" w:line="169" w:lineRule="exact"/>
              <w:rPr>
                <w:rFonts w:ascii="Arial" w:cs="Arial" w:eastAsia="Arial" w:hAnsi="Arial"/>
                <w:sz w:val="16"/>
                <w:szCs w:val="16"/>
                <w:color w:val="auto"/>
              </w:rPr>
            </w:pPr>
            <w:hyperlink r:id="rId213">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3">
              <w:r>
                <w:rPr>
                  <w:rFonts w:ascii="Arial" w:cs="Arial" w:eastAsia="Arial" w:hAnsi="Arial"/>
                  <w:sz w:val="8"/>
                  <w:szCs w:val="8"/>
                  <w:color w:val="auto"/>
                </w:rPr>
                <w:t>(1)</w:t>
              </w:r>
            </w:hyperlink>
          </w:p>
        </w:tc>
        <w:tc>
          <w:tcPr>
            <w:tcW w:w="3060" w:type="dxa"/>
            <w:vAlign w:val="bottom"/>
            <w:tcBorders>
              <w:top w:val="single" w:sz="8" w:color="0000EE"/>
              <w:bottom w:val="single" w:sz="8" w:color="0000EE"/>
            </w:tcBorders>
            <w:gridSpan w:val="3"/>
            <w:vMerge w:val="restart"/>
          </w:tcPr>
          <w:p>
            <w:pPr>
              <w:spacing w:after="0"/>
              <w:rPr>
                <w:sz w:val="7"/>
                <w:szCs w:val="7"/>
                <w:color w:val="auto"/>
              </w:rPr>
            </w:pPr>
          </w:p>
        </w:tc>
        <w:tc>
          <w:tcPr>
            <w:tcW w:w="180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vMerge w:val="restart"/>
          </w:tcPr>
          <w:p>
            <w:pPr>
              <w:spacing w:after="0"/>
              <w:rPr>
                <w:sz w:val="7"/>
                <w:szCs w:val="7"/>
                <w:color w:val="auto"/>
              </w:rPr>
            </w:pPr>
          </w:p>
        </w:tc>
        <w:tc>
          <w:tcPr>
            <w:tcW w:w="38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vMerge w:val="restart"/>
          </w:tcPr>
          <w:p>
            <w:pPr>
              <w:spacing w:after="0"/>
              <w:rPr>
                <w:sz w:val="7"/>
                <w:szCs w:val="7"/>
                <w:color w:val="auto"/>
              </w:rPr>
            </w:pPr>
          </w:p>
        </w:tc>
        <w:tc>
          <w:tcPr>
            <w:tcW w:w="1200" w:type="dxa"/>
            <w:vAlign w:val="bottom"/>
            <w:tcBorders>
              <w:top w:val="single" w:sz="8" w:color="0000EE"/>
              <w:bottom w:val="single" w:sz="8" w:color="0000EE"/>
            </w:tcBorders>
            <w:gridSpan w:val="5"/>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10.10</w:t>
            </w:r>
          </w:p>
        </w:tc>
        <w:tc>
          <w:tcPr>
            <w:tcW w:w="10060" w:type="dxa"/>
            <w:vAlign w:val="bottom"/>
            <w:gridSpan w:val="30"/>
          </w:tcPr>
          <w:p>
            <w:pPr>
              <w:spacing w:after="0"/>
              <w:rPr>
                <w:rFonts w:ascii="Arial" w:cs="Arial" w:eastAsia="Arial" w:hAnsi="Arial"/>
                <w:sz w:val="16"/>
                <w:szCs w:val="16"/>
                <w:color w:val="auto"/>
              </w:rPr>
            </w:pPr>
            <w:hyperlink r:id="rId214">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2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14">
              <w:r>
                <w:rPr>
                  <w:rFonts w:ascii="Arial" w:cs="Arial" w:eastAsia="Arial" w:hAnsi="Arial"/>
                  <w:sz w:val="16"/>
                  <w:szCs w:val="16"/>
                  <w:color w:val="auto"/>
                </w:rPr>
                <w:t>Form 10-Q for the quarter ended September 30, 2017, filed with the Commission on October 25, 2017 (File No. 001-12984) and</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3"/>
            <w:vMerge w:val="restart"/>
          </w:tcPr>
          <w:p>
            <w:pPr>
              <w:spacing w:after="0" w:line="169" w:lineRule="exact"/>
              <w:rPr>
                <w:rFonts w:ascii="Arial" w:cs="Arial" w:eastAsia="Arial" w:hAnsi="Arial"/>
                <w:sz w:val="16"/>
                <w:szCs w:val="16"/>
                <w:color w:val="auto"/>
              </w:rPr>
            </w:pPr>
            <w:hyperlink r:id="rId214">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4">
              <w:r>
                <w:rPr>
                  <w:rFonts w:ascii="Arial" w:cs="Arial" w:eastAsia="Arial" w:hAnsi="Arial"/>
                  <w:sz w:val="8"/>
                  <w:szCs w:val="8"/>
                  <w:color w:val="auto"/>
                </w:rPr>
                <w:t>(1)</w:t>
              </w:r>
            </w:hyperlink>
          </w:p>
        </w:tc>
        <w:tc>
          <w:tcPr>
            <w:tcW w:w="3060" w:type="dxa"/>
            <w:vAlign w:val="bottom"/>
            <w:tcBorders>
              <w:top w:val="single" w:sz="8" w:color="0000EE"/>
              <w:bottom w:val="single" w:sz="8" w:color="0000EE"/>
            </w:tcBorders>
            <w:gridSpan w:val="3"/>
            <w:vMerge w:val="restart"/>
          </w:tcPr>
          <w:p>
            <w:pPr>
              <w:spacing w:after="0"/>
              <w:rPr>
                <w:sz w:val="7"/>
                <w:szCs w:val="7"/>
                <w:color w:val="auto"/>
              </w:rPr>
            </w:pPr>
          </w:p>
        </w:tc>
        <w:tc>
          <w:tcPr>
            <w:tcW w:w="180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vMerge w:val="restart"/>
          </w:tcPr>
          <w:p>
            <w:pPr>
              <w:spacing w:after="0"/>
              <w:rPr>
                <w:sz w:val="7"/>
                <w:szCs w:val="7"/>
                <w:color w:val="auto"/>
              </w:rPr>
            </w:pPr>
          </w:p>
        </w:tc>
        <w:tc>
          <w:tcPr>
            <w:tcW w:w="38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vMerge w:val="restart"/>
          </w:tcPr>
          <w:p>
            <w:pPr>
              <w:spacing w:after="0"/>
              <w:rPr>
                <w:sz w:val="7"/>
                <w:szCs w:val="7"/>
                <w:color w:val="auto"/>
              </w:rPr>
            </w:pPr>
          </w:p>
        </w:tc>
        <w:tc>
          <w:tcPr>
            <w:tcW w:w="1080" w:type="dxa"/>
            <w:vAlign w:val="bottom"/>
            <w:tcBorders>
              <w:top w:val="single" w:sz="8" w:color="0000EE"/>
              <w:bottom w:val="single" w:sz="8" w:color="0000EE"/>
            </w:tcBorders>
            <w:gridSpan w:val="3"/>
            <w:vMerge w:val="restart"/>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10.10(a)</w:t>
            </w:r>
          </w:p>
        </w:tc>
        <w:tc>
          <w:tcPr>
            <w:tcW w:w="10060" w:type="dxa"/>
            <w:vAlign w:val="bottom"/>
            <w:tcBorders>
              <w:bottom w:val="single" w:sz="8" w:color="0000EE"/>
            </w:tcBorders>
            <w:gridSpan w:val="30"/>
          </w:tcPr>
          <w:p>
            <w:pPr>
              <w:spacing w:after="0"/>
              <w:rPr>
                <w:rFonts w:ascii="Arial" w:cs="Arial" w:eastAsia="Arial" w:hAnsi="Arial"/>
                <w:sz w:val="16"/>
                <w:szCs w:val="16"/>
                <w:color w:val="auto"/>
              </w:rPr>
            </w:pPr>
            <w:hyperlink r:id="rId215">
              <w:r>
                <w:rPr>
                  <w:rFonts w:ascii="Arial" w:cs="Arial" w:eastAsia="Arial" w:hAnsi="Arial"/>
                  <w:sz w:val="16"/>
                  <w:szCs w:val="16"/>
                  <w:color w:val="auto"/>
                </w:rPr>
                <w:t>Form of Performance Vesting Non-Qualified Stock Option Agreement for Senior Executives filed as Exhibit 10.5 to the Company’s Quarterly</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60" w:type="dxa"/>
            <w:vAlign w:val="bottom"/>
            <w:gridSpan w:val="30"/>
          </w:tcPr>
          <w:p>
            <w:pPr>
              <w:spacing w:after="0" w:line="169" w:lineRule="exact"/>
              <w:rPr>
                <w:rFonts w:ascii="Arial" w:cs="Arial" w:eastAsia="Arial" w:hAnsi="Arial"/>
                <w:sz w:val="16"/>
                <w:szCs w:val="16"/>
                <w:color w:val="auto"/>
              </w:rPr>
            </w:pPr>
            <w:hyperlink r:id="rId215">
              <w:r>
                <w:rPr>
                  <w:rFonts w:ascii="Arial" w:cs="Arial" w:eastAsia="Arial" w:hAnsi="Arial"/>
                  <w:sz w:val="16"/>
                  <w:szCs w:val="16"/>
                  <w:color w:val="auto"/>
                </w:rPr>
                <w:t>Report on Form 10-Q for the quarter ended June 30, 2017, filed with the Commission on July 28, 2017 (File No. 001-12984) and</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3"/>
            <w:vMerge w:val="restart"/>
          </w:tcPr>
          <w:p>
            <w:pPr>
              <w:spacing w:after="0" w:line="169" w:lineRule="exact"/>
              <w:rPr>
                <w:rFonts w:ascii="Arial" w:cs="Arial" w:eastAsia="Arial" w:hAnsi="Arial"/>
                <w:sz w:val="16"/>
                <w:szCs w:val="16"/>
                <w:color w:val="auto"/>
              </w:rPr>
            </w:pPr>
            <w:hyperlink r:id="rId215">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5">
              <w:r>
                <w:rPr>
                  <w:rFonts w:ascii="Arial" w:cs="Arial" w:eastAsia="Arial" w:hAnsi="Arial"/>
                  <w:sz w:val="8"/>
                  <w:szCs w:val="8"/>
                  <w:color w:val="auto"/>
                </w:rPr>
                <w:t>(1)</w:t>
              </w:r>
            </w:hyperlink>
          </w:p>
        </w:tc>
        <w:tc>
          <w:tcPr>
            <w:tcW w:w="3060" w:type="dxa"/>
            <w:vAlign w:val="bottom"/>
            <w:tcBorders>
              <w:top w:val="single" w:sz="8" w:color="0000EE"/>
              <w:bottom w:val="single" w:sz="8" w:color="0000EE"/>
            </w:tcBorders>
            <w:gridSpan w:val="3"/>
            <w:vMerge w:val="restart"/>
          </w:tcPr>
          <w:p>
            <w:pPr>
              <w:spacing w:after="0"/>
              <w:rPr>
                <w:sz w:val="7"/>
                <w:szCs w:val="7"/>
                <w:color w:val="auto"/>
              </w:rPr>
            </w:pPr>
          </w:p>
        </w:tc>
        <w:tc>
          <w:tcPr>
            <w:tcW w:w="180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vMerge w:val="restart"/>
          </w:tcPr>
          <w:p>
            <w:pPr>
              <w:spacing w:after="0"/>
              <w:rPr>
                <w:sz w:val="7"/>
                <w:szCs w:val="7"/>
                <w:color w:val="auto"/>
              </w:rPr>
            </w:pPr>
          </w:p>
        </w:tc>
        <w:tc>
          <w:tcPr>
            <w:tcW w:w="38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vMerge w:val="restart"/>
          </w:tcPr>
          <w:p>
            <w:pPr>
              <w:spacing w:after="0"/>
              <w:rPr>
                <w:sz w:val="7"/>
                <w:szCs w:val="7"/>
                <w:color w:val="auto"/>
              </w:rPr>
            </w:pPr>
          </w:p>
        </w:tc>
        <w:tc>
          <w:tcPr>
            <w:tcW w:w="1120" w:type="dxa"/>
            <w:vAlign w:val="bottom"/>
            <w:tcBorders>
              <w:top w:val="single" w:sz="8" w:color="0000EE"/>
              <w:bottom w:val="single" w:sz="8" w:color="0000EE"/>
            </w:tcBorders>
            <w:gridSpan w:val="4"/>
            <w:vMerge w:val="restart"/>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10.10(b)</w:t>
            </w:r>
          </w:p>
        </w:tc>
        <w:tc>
          <w:tcPr>
            <w:tcW w:w="10060" w:type="dxa"/>
            <w:vAlign w:val="bottom"/>
            <w:gridSpan w:val="30"/>
          </w:tcPr>
          <w:p>
            <w:pPr>
              <w:spacing w:after="0"/>
              <w:rPr>
                <w:rFonts w:ascii="Arial" w:cs="Arial" w:eastAsia="Arial" w:hAnsi="Arial"/>
                <w:sz w:val="16"/>
                <w:szCs w:val="16"/>
                <w:color w:val="auto"/>
              </w:rPr>
            </w:pPr>
            <w:hyperlink r:id="rId216">
              <w:r>
                <w:rPr>
                  <w:rFonts w:ascii="Arial" w:cs="Arial" w:eastAsia="Arial" w:hAnsi="Arial"/>
                  <w:sz w:val="16"/>
                  <w:szCs w:val="16"/>
                  <w:color w:val="auto"/>
                </w:rPr>
                <w:t>Form of Time Vesting Non-Qualified Stock Option Agreement for Senior Executives filed as Exhibit 10.6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27"/>
          </w:tcPr>
          <w:p>
            <w:pPr>
              <w:spacing w:after="0" w:line="169" w:lineRule="exact"/>
              <w:rPr>
                <w:rFonts w:ascii="Arial" w:cs="Arial" w:eastAsia="Arial" w:hAnsi="Arial"/>
                <w:sz w:val="16"/>
                <w:szCs w:val="16"/>
                <w:color w:val="auto"/>
              </w:rPr>
            </w:pPr>
            <w:hyperlink r:id="rId216">
              <w:r>
                <w:rPr>
                  <w:rFonts w:ascii="Arial" w:cs="Arial" w:eastAsia="Arial" w:hAnsi="Arial"/>
                  <w:sz w:val="16"/>
                  <w:szCs w:val="16"/>
                  <w:color w:val="auto"/>
                </w:rPr>
                <w:t>on Form 10-Q for the quarter ended June 30, 2017, filed with the Commission on July 28, 2017 (File No. 001-12984) and incorporated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144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9"/>
              </w:rPr>
            </w:pPr>
            <w:hyperlink r:id="rId216">
              <w:r>
                <w:rPr>
                  <w:rFonts w:ascii="Arial" w:cs="Arial" w:eastAsia="Arial" w:hAnsi="Arial"/>
                  <w:sz w:val="16"/>
                  <w:szCs w:val="16"/>
                  <w:color w:val="auto"/>
                  <w:w w:val="99"/>
                </w:rPr>
                <w:t>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6">
              <w:r>
                <w:rPr>
                  <w:rFonts w:ascii="Arial" w:cs="Arial" w:eastAsia="Arial" w:hAnsi="Arial"/>
                  <w:sz w:val="8"/>
                  <w:szCs w:val="8"/>
                  <w:color w:val="auto"/>
                </w:rPr>
                <w:t>(1)</w:t>
              </w:r>
            </w:hyperlink>
          </w:p>
        </w:tc>
        <w:tc>
          <w:tcPr>
            <w:tcW w:w="4000" w:type="dxa"/>
            <w:vAlign w:val="bottom"/>
            <w:tcBorders>
              <w:top w:val="single" w:sz="8" w:color="0000EE"/>
              <w:bottom w:val="single" w:sz="8" w:color="0000EE"/>
            </w:tcBorders>
            <w:gridSpan w:val="5"/>
            <w:vMerge w:val="restart"/>
          </w:tcPr>
          <w:p>
            <w:pPr>
              <w:spacing w:after="0"/>
              <w:rPr>
                <w:sz w:val="7"/>
                <w:szCs w:val="7"/>
                <w:color w:val="auto"/>
              </w:rPr>
            </w:pPr>
          </w:p>
        </w:tc>
        <w:tc>
          <w:tcPr>
            <w:tcW w:w="180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vMerge w:val="restart"/>
          </w:tcPr>
          <w:p>
            <w:pPr>
              <w:spacing w:after="0"/>
              <w:rPr>
                <w:sz w:val="7"/>
                <w:szCs w:val="7"/>
                <w:color w:val="auto"/>
              </w:rPr>
            </w:pPr>
          </w:p>
        </w:tc>
        <w:tc>
          <w:tcPr>
            <w:tcW w:w="38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vMerge w:val="restart"/>
          </w:tcPr>
          <w:p>
            <w:pPr>
              <w:spacing w:after="0"/>
              <w:rPr>
                <w:sz w:val="7"/>
                <w:szCs w:val="7"/>
                <w:color w:val="auto"/>
              </w:rPr>
            </w:pPr>
          </w:p>
        </w:tc>
        <w:tc>
          <w:tcPr>
            <w:tcW w:w="1200" w:type="dxa"/>
            <w:vAlign w:val="bottom"/>
            <w:tcBorders>
              <w:top w:val="single" w:sz="8" w:color="0000EE"/>
              <w:bottom w:val="single" w:sz="8" w:color="0000EE"/>
            </w:tcBorders>
            <w:gridSpan w:val="5"/>
            <w:vMerge w:val="restart"/>
          </w:tcPr>
          <w:p>
            <w:pPr>
              <w:spacing w:after="0"/>
              <w:rPr>
                <w:sz w:val="7"/>
                <w:szCs w:val="7"/>
                <w:color w:val="auto"/>
              </w:rPr>
            </w:pPr>
          </w:p>
        </w:tc>
        <w:tc>
          <w:tcPr>
            <w:tcW w:w="340" w:type="dxa"/>
            <w:vAlign w:val="bottom"/>
            <w:tcBorders>
              <w:top w:val="single" w:sz="8" w:color="0000EE"/>
              <w:bottom w:val="single" w:sz="8" w:color="0000EE"/>
            </w:tcBorders>
            <w:gridSpan w:val="3"/>
            <w:vMerge w:val="restart"/>
          </w:tcPr>
          <w:p>
            <w:pPr>
              <w:spacing w:after="0"/>
              <w:rPr>
                <w:sz w:val="7"/>
                <w:szCs w:val="7"/>
                <w:color w:val="auto"/>
              </w:rPr>
            </w:pPr>
          </w:p>
        </w:tc>
        <w:tc>
          <w:tcPr>
            <w:tcW w:w="12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1440" w:type="dxa"/>
            <w:vAlign w:val="bottom"/>
            <w:tcBorders>
              <w:bottom w:val="single" w:sz="8" w:color="0000EE"/>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4000" w:type="dxa"/>
            <w:vAlign w:val="bottom"/>
            <w:gridSpan w:val="5"/>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10.11</w:t>
            </w:r>
          </w:p>
        </w:tc>
        <w:tc>
          <w:tcPr>
            <w:tcW w:w="10060" w:type="dxa"/>
            <w:vAlign w:val="bottom"/>
            <w:tcBorders>
              <w:bottom w:val="single" w:sz="8" w:color="0000EE"/>
            </w:tcBorders>
            <w:gridSpan w:val="30"/>
          </w:tcPr>
          <w:p>
            <w:pPr>
              <w:spacing w:after="0"/>
              <w:rPr>
                <w:rFonts w:ascii="Arial" w:cs="Arial" w:eastAsia="Arial" w:hAnsi="Arial"/>
                <w:sz w:val="16"/>
                <w:szCs w:val="16"/>
                <w:color w:val="auto"/>
              </w:rPr>
            </w:pPr>
            <w:hyperlink r:id="rId217">
              <w:r>
                <w:rPr>
                  <w:rFonts w:ascii="Arial" w:cs="Arial" w:eastAsia="Arial" w:hAnsi="Arial"/>
                  <w:sz w:val="16"/>
                  <w:szCs w:val="16"/>
                  <w:color w:val="auto"/>
                </w:rPr>
                <w:t>Form of Performance Vesting Non-Qualified Stock Option Agreement for Senior Executives filed as Exhibit 10.3 to the Company’s Quarterly</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60" w:type="dxa"/>
            <w:vAlign w:val="bottom"/>
            <w:gridSpan w:val="30"/>
          </w:tcPr>
          <w:p>
            <w:pPr>
              <w:spacing w:after="0" w:line="169" w:lineRule="exact"/>
              <w:rPr>
                <w:rFonts w:ascii="Arial" w:cs="Arial" w:eastAsia="Arial" w:hAnsi="Arial"/>
                <w:sz w:val="16"/>
                <w:szCs w:val="16"/>
                <w:color w:val="auto"/>
              </w:rPr>
            </w:pPr>
            <w:hyperlink r:id="rId217">
              <w:r>
                <w:rPr>
                  <w:rFonts w:ascii="Arial" w:cs="Arial" w:eastAsia="Arial" w:hAnsi="Arial"/>
                  <w:sz w:val="16"/>
                  <w:szCs w:val="16"/>
                  <w:color w:val="auto"/>
                </w:rPr>
                <w:t>Report on Form 10-Q for the quarter ended June 30, 2018, filed with the Commission on July 30, 2018 (File No. 001-12984) and</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3"/>
            <w:vMerge w:val="restart"/>
          </w:tcPr>
          <w:p>
            <w:pPr>
              <w:spacing w:after="0" w:line="169" w:lineRule="exact"/>
              <w:rPr>
                <w:rFonts w:ascii="Arial" w:cs="Arial" w:eastAsia="Arial" w:hAnsi="Arial"/>
                <w:sz w:val="16"/>
                <w:szCs w:val="16"/>
                <w:color w:val="auto"/>
              </w:rPr>
            </w:pPr>
            <w:hyperlink r:id="rId217">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7">
              <w:r>
                <w:rPr>
                  <w:rFonts w:ascii="Arial" w:cs="Arial" w:eastAsia="Arial" w:hAnsi="Arial"/>
                  <w:sz w:val="8"/>
                  <w:szCs w:val="8"/>
                  <w:color w:val="auto"/>
                </w:rPr>
                <w:t>(1)</w:t>
              </w:r>
            </w:hyperlink>
          </w:p>
        </w:tc>
        <w:tc>
          <w:tcPr>
            <w:tcW w:w="3060" w:type="dxa"/>
            <w:vAlign w:val="bottom"/>
            <w:tcBorders>
              <w:top w:val="single" w:sz="8" w:color="0000EE"/>
              <w:bottom w:val="single" w:sz="8" w:color="0000EE"/>
            </w:tcBorders>
            <w:gridSpan w:val="3"/>
            <w:vMerge w:val="restart"/>
          </w:tcPr>
          <w:p>
            <w:pPr>
              <w:spacing w:after="0"/>
              <w:rPr>
                <w:sz w:val="7"/>
                <w:szCs w:val="7"/>
                <w:color w:val="auto"/>
              </w:rPr>
            </w:pPr>
          </w:p>
        </w:tc>
        <w:tc>
          <w:tcPr>
            <w:tcW w:w="180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vMerge w:val="restart"/>
          </w:tcPr>
          <w:p>
            <w:pPr>
              <w:spacing w:after="0"/>
              <w:rPr>
                <w:sz w:val="7"/>
                <w:szCs w:val="7"/>
                <w:color w:val="auto"/>
              </w:rPr>
            </w:pPr>
          </w:p>
        </w:tc>
        <w:tc>
          <w:tcPr>
            <w:tcW w:w="38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vMerge w:val="restart"/>
          </w:tcPr>
          <w:p>
            <w:pPr>
              <w:spacing w:after="0"/>
              <w:rPr>
                <w:sz w:val="7"/>
                <w:szCs w:val="7"/>
                <w:color w:val="auto"/>
              </w:rPr>
            </w:pPr>
          </w:p>
        </w:tc>
        <w:tc>
          <w:tcPr>
            <w:tcW w:w="1120" w:type="dxa"/>
            <w:vAlign w:val="bottom"/>
            <w:tcBorders>
              <w:top w:val="single" w:sz="8" w:color="0000EE"/>
              <w:bottom w:val="single" w:sz="8" w:color="0000EE"/>
            </w:tcBorders>
            <w:gridSpan w:val="4"/>
            <w:vMerge w:val="restart"/>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180" w:type="dxa"/>
            <w:vAlign w:val="bottom"/>
            <w:gridSpan w:val="3"/>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10.11(a)</w:t>
            </w:r>
          </w:p>
        </w:tc>
        <w:tc>
          <w:tcPr>
            <w:tcW w:w="10060" w:type="dxa"/>
            <w:vAlign w:val="bottom"/>
            <w:gridSpan w:val="30"/>
          </w:tcPr>
          <w:p>
            <w:pPr>
              <w:spacing w:after="0"/>
              <w:rPr>
                <w:rFonts w:ascii="Arial" w:cs="Arial" w:eastAsia="Arial" w:hAnsi="Arial"/>
                <w:sz w:val="16"/>
                <w:szCs w:val="16"/>
                <w:color w:val="auto"/>
              </w:rPr>
            </w:pPr>
            <w:hyperlink r:id="rId218">
              <w:r>
                <w:rPr>
                  <w:rFonts w:ascii="Arial" w:cs="Arial" w:eastAsia="Arial" w:hAnsi="Arial"/>
                  <w:sz w:val="16"/>
                  <w:szCs w:val="16"/>
                  <w:color w:val="auto"/>
                </w:rPr>
                <w:t>Form of Time Vesting Non-Qualified Stock Option Agreement for Senior Executives filed as Exhibit 10.4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27"/>
          </w:tcPr>
          <w:p>
            <w:pPr>
              <w:spacing w:after="0" w:line="169" w:lineRule="exact"/>
              <w:rPr>
                <w:rFonts w:ascii="Arial" w:cs="Arial" w:eastAsia="Arial" w:hAnsi="Arial"/>
                <w:sz w:val="16"/>
                <w:szCs w:val="16"/>
                <w:color w:val="auto"/>
              </w:rPr>
            </w:pPr>
            <w:hyperlink r:id="rId218">
              <w:r>
                <w:rPr>
                  <w:rFonts w:ascii="Arial" w:cs="Arial" w:eastAsia="Arial" w:hAnsi="Arial"/>
                  <w:sz w:val="16"/>
                  <w:szCs w:val="16"/>
                  <w:color w:val="auto"/>
                </w:rPr>
                <w:t>on Form 10-Q for the quarter ended June 30, 2018, filed with the Commission on July 30, 2018 (File No. 001-12984) and incorporated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144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9"/>
              </w:rPr>
            </w:pPr>
            <w:hyperlink r:id="rId218">
              <w:r>
                <w:rPr>
                  <w:rFonts w:ascii="Arial" w:cs="Arial" w:eastAsia="Arial" w:hAnsi="Arial"/>
                  <w:sz w:val="16"/>
                  <w:szCs w:val="16"/>
                  <w:color w:val="auto"/>
                  <w:w w:val="99"/>
                </w:rPr>
                <w:t>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8">
              <w:r>
                <w:rPr>
                  <w:rFonts w:ascii="Arial" w:cs="Arial" w:eastAsia="Arial" w:hAnsi="Arial"/>
                  <w:sz w:val="8"/>
                  <w:szCs w:val="8"/>
                  <w:color w:val="auto"/>
                </w:rPr>
                <w:t>(1)</w:t>
              </w:r>
            </w:hyperlink>
          </w:p>
        </w:tc>
        <w:tc>
          <w:tcPr>
            <w:tcW w:w="4000" w:type="dxa"/>
            <w:vAlign w:val="bottom"/>
            <w:tcBorders>
              <w:top w:val="single" w:sz="8" w:color="0000EE"/>
              <w:bottom w:val="single" w:sz="8" w:color="0000EE"/>
            </w:tcBorders>
            <w:gridSpan w:val="5"/>
            <w:vMerge w:val="restart"/>
          </w:tcPr>
          <w:p>
            <w:pPr>
              <w:spacing w:after="0"/>
              <w:rPr>
                <w:sz w:val="7"/>
                <w:szCs w:val="7"/>
                <w:color w:val="auto"/>
              </w:rPr>
            </w:pPr>
          </w:p>
        </w:tc>
        <w:tc>
          <w:tcPr>
            <w:tcW w:w="180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vMerge w:val="restart"/>
          </w:tcPr>
          <w:p>
            <w:pPr>
              <w:spacing w:after="0"/>
              <w:rPr>
                <w:sz w:val="7"/>
                <w:szCs w:val="7"/>
                <w:color w:val="auto"/>
              </w:rPr>
            </w:pPr>
          </w:p>
        </w:tc>
        <w:tc>
          <w:tcPr>
            <w:tcW w:w="38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vMerge w:val="restart"/>
          </w:tcPr>
          <w:p>
            <w:pPr>
              <w:spacing w:after="0"/>
              <w:rPr>
                <w:sz w:val="7"/>
                <w:szCs w:val="7"/>
                <w:color w:val="auto"/>
              </w:rPr>
            </w:pPr>
          </w:p>
        </w:tc>
        <w:tc>
          <w:tcPr>
            <w:tcW w:w="1200" w:type="dxa"/>
            <w:vAlign w:val="bottom"/>
            <w:tcBorders>
              <w:top w:val="single" w:sz="8" w:color="0000EE"/>
              <w:bottom w:val="single" w:sz="8" w:color="0000EE"/>
            </w:tcBorders>
            <w:gridSpan w:val="5"/>
            <w:vMerge w:val="restart"/>
          </w:tcPr>
          <w:p>
            <w:pPr>
              <w:spacing w:after="0"/>
              <w:rPr>
                <w:sz w:val="7"/>
                <w:szCs w:val="7"/>
                <w:color w:val="auto"/>
              </w:rPr>
            </w:pPr>
          </w:p>
        </w:tc>
        <w:tc>
          <w:tcPr>
            <w:tcW w:w="340" w:type="dxa"/>
            <w:vAlign w:val="bottom"/>
            <w:tcBorders>
              <w:top w:val="single" w:sz="8" w:color="0000EE"/>
              <w:bottom w:val="single" w:sz="8" w:color="0000EE"/>
            </w:tcBorders>
            <w:gridSpan w:val="3"/>
            <w:vMerge w:val="restart"/>
          </w:tcPr>
          <w:p>
            <w:pPr>
              <w:spacing w:after="0"/>
              <w:rPr>
                <w:sz w:val="7"/>
                <w:szCs w:val="7"/>
                <w:color w:val="auto"/>
              </w:rPr>
            </w:pPr>
          </w:p>
        </w:tc>
        <w:tc>
          <w:tcPr>
            <w:tcW w:w="12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1440" w:type="dxa"/>
            <w:vAlign w:val="bottom"/>
            <w:tcBorders>
              <w:bottom w:val="single" w:sz="8" w:color="0000EE"/>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4000" w:type="dxa"/>
            <w:vAlign w:val="bottom"/>
            <w:gridSpan w:val="5"/>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10.11(b)</w:t>
            </w:r>
          </w:p>
        </w:tc>
        <w:tc>
          <w:tcPr>
            <w:tcW w:w="10060" w:type="dxa"/>
            <w:vAlign w:val="bottom"/>
            <w:gridSpan w:val="30"/>
          </w:tcPr>
          <w:p>
            <w:pPr>
              <w:spacing w:after="0"/>
              <w:rPr>
                <w:rFonts w:ascii="Arial" w:cs="Arial" w:eastAsia="Arial" w:hAnsi="Arial"/>
                <w:sz w:val="16"/>
                <w:szCs w:val="16"/>
                <w:color w:val="auto"/>
              </w:rPr>
            </w:pPr>
            <w:hyperlink r:id="rId219">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2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19">
              <w:r>
                <w:rPr>
                  <w:rFonts w:ascii="Arial" w:cs="Arial" w:eastAsia="Arial" w:hAnsi="Arial"/>
                  <w:sz w:val="16"/>
                  <w:szCs w:val="16"/>
                  <w:color w:val="auto"/>
                </w:rPr>
                <w:t>Form 10-Q for the quarter ended September 30, 2018, filed with the Commission on October 30, 2018 (File No. 001-12984) and</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3"/>
            <w:vMerge w:val="restart"/>
          </w:tcPr>
          <w:p>
            <w:pPr>
              <w:spacing w:after="0" w:line="169" w:lineRule="exact"/>
              <w:rPr>
                <w:rFonts w:ascii="Arial" w:cs="Arial" w:eastAsia="Arial" w:hAnsi="Arial"/>
                <w:sz w:val="16"/>
                <w:szCs w:val="16"/>
                <w:color w:val="auto"/>
              </w:rPr>
            </w:pPr>
            <w:hyperlink r:id="rId219">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19">
              <w:r>
                <w:rPr>
                  <w:rFonts w:ascii="Arial" w:cs="Arial" w:eastAsia="Arial" w:hAnsi="Arial"/>
                  <w:sz w:val="8"/>
                  <w:szCs w:val="8"/>
                  <w:color w:val="auto"/>
                </w:rPr>
                <w:t>(1)</w:t>
              </w:r>
            </w:hyperlink>
          </w:p>
        </w:tc>
        <w:tc>
          <w:tcPr>
            <w:tcW w:w="3060" w:type="dxa"/>
            <w:vAlign w:val="bottom"/>
            <w:tcBorders>
              <w:top w:val="single" w:sz="8" w:color="0000EE"/>
              <w:bottom w:val="single" w:sz="8" w:color="0000EE"/>
            </w:tcBorders>
            <w:gridSpan w:val="3"/>
            <w:vMerge w:val="restart"/>
          </w:tcPr>
          <w:p>
            <w:pPr>
              <w:spacing w:after="0"/>
              <w:rPr>
                <w:sz w:val="7"/>
                <w:szCs w:val="7"/>
                <w:color w:val="auto"/>
              </w:rPr>
            </w:pPr>
          </w:p>
        </w:tc>
        <w:tc>
          <w:tcPr>
            <w:tcW w:w="180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vMerge w:val="restart"/>
          </w:tcPr>
          <w:p>
            <w:pPr>
              <w:spacing w:after="0"/>
              <w:rPr>
                <w:sz w:val="7"/>
                <w:szCs w:val="7"/>
                <w:color w:val="auto"/>
              </w:rPr>
            </w:pPr>
          </w:p>
        </w:tc>
        <w:tc>
          <w:tcPr>
            <w:tcW w:w="38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vMerge w:val="restart"/>
          </w:tcPr>
          <w:p>
            <w:pPr>
              <w:spacing w:after="0"/>
              <w:rPr>
                <w:sz w:val="7"/>
                <w:szCs w:val="7"/>
                <w:color w:val="auto"/>
              </w:rPr>
            </w:pPr>
          </w:p>
        </w:tc>
        <w:tc>
          <w:tcPr>
            <w:tcW w:w="1080" w:type="dxa"/>
            <w:vAlign w:val="bottom"/>
            <w:tcBorders>
              <w:top w:val="single" w:sz="8" w:color="0000EE"/>
              <w:bottom w:val="single" w:sz="8" w:color="0000EE"/>
            </w:tcBorders>
            <w:gridSpan w:val="3"/>
            <w:vMerge w:val="restart"/>
          </w:tcPr>
          <w:p>
            <w:pPr>
              <w:spacing w:after="0"/>
              <w:rPr>
                <w:sz w:val="7"/>
                <w:szCs w:val="7"/>
                <w:color w:val="auto"/>
              </w:rPr>
            </w:pPr>
          </w:p>
        </w:tc>
        <w:tc>
          <w:tcPr>
            <w:tcW w:w="12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180" w:type="dxa"/>
            <w:vAlign w:val="bottom"/>
            <w:gridSpan w:val="3"/>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10.12</w:t>
            </w:r>
          </w:p>
        </w:tc>
        <w:tc>
          <w:tcPr>
            <w:tcW w:w="10060" w:type="dxa"/>
            <w:vAlign w:val="bottom"/>
            <w:gridSpan w:val="30"/>
          </w:tcPr>
          <w:p>
            <w:pPr>
              <w:spacing w:after="0"/>
              <w:rPr>
                <w:rFonts w:ascii="Arial" w:cs="Arial" w:eastAsia="Arial" w:hAnsi="Arial"/>
                <w:sz w:val="16"/>
                <w:szCs w:val="16"/>
                <w:color w:val="auto"/>
              </w:rPr>
            </w:pPr>
            <w:hyperlink r:id="rId220">
              <w:r>
                <w:rPr>
                  <w:rFonts w:ascii="Arial" w:cs="Arial" w:eastAsia="Arial" w:hAnsi="Arial"/>
                  <w:sz w:val="16"/>
                  <w:szCs w:val="16"/>
                  <w:color w:val="auto"/>
                </w:rPr>
                <w:t>The Eagle Materials Inc. Amended and Restated Retirement Plan filed as Exhibit 10.1 to the Company’s Form 10-Q for the quarter ended</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9140" w:type="dxa"/>
            <w:vAlign w:val="bottom"/>
            <w:tcBorders>
              <w:top w:val="single" w:sz="8" w:color="0000EE"/>
              <w:bottom w:val="single" w:sz="8" w:color="0000EE"/>
            </w:tcBorders>
            <w:gridSpan w:val="13"/>
            <w:vMerge w:val="restart"/>
          </w:tcPr>
          <w:p>
            <w:pPr>
              <w:spacing w:after="0" w:line="169" w:lineRule="exact"/>
              <w:rPr>
                <w:rFonts w:ascii="Arial" w:cs="Arial" w:eastAsia="Arial" w:hAnsi="Arial"/>
                <w:sz w:val="16"/>
                <w:szCs w:val="16"/>
                <w:color w:val="auto"/>
              </w:rPr>
            </w:pPr>
            <w:hyperlink r:id="rId220">
              <w:r>
                <w:rPr>
                  <w:rFonts w:ascii="Arial" w:cs="Arial" w:eastAsia="Arial" w:hAnsi="Arial"/>
                  <w:sz w:val="16"/>
                  <w:szCs w:val="16"/>
                  <w:color w:val="auto"/>
                </w:rPr>
                <w:t>December 31, 2025, filed with the Commission on January 29, 2026 (File No. 001-12984) and incorporated herein by reference.</w:t>
              </w:r>
            </w:hyperlink>
          </w:p>
        </w:tc>
        <w:tc>
          <w:tcPr>
            <w:tcW w:w="160" w:type="dxa"/>
            <w:vAlign w:val="bottom"/>
            <w:tcBorders>
              <w:top w:val="single" w:sz="8" w:color="0000EE"/>
              <w:bottom w:val="single" w:sz="8" w:color="0000EE"/>
            </w:tcBorders>
            <w:gridSpan w:val="3"/>
          </w:tcPr>
          <w:p>
            <w:pPr>
              <w:jc w:val="right"/>
              <w:spacing w:after="0" w:line="75" w:lineRule="exact"/>
              <w:rPr>
                <w:rFonts w:ascii="Arial" w:cs="Arial" w:eastAsia="Arial" w:hAnsi="Arial"/>
                <w:sz w:val="8"/>
                <w:szCs w:val="8"/>
                <w:color w:val="auto"/>
              </w:rPr>
            </w:pPr>
            <w:hyperlink r:id="rId220">
              <w:r>
                <w:rPr>
                  <w:rFonts w:ascii="Arial" w:cs="Arial" w:eastAsia="Arial" w:hAnsi="Arial"/>
                  <w:sz w:val="8"/>
                  <w:szCs w:val="8"/>
                  <w:color w:val="auto"/>
                </w:rPr>
                <w:t>(1)</w:t>
              </w:r>
            </w:hyperlink>
          </w:p>
        </w:tc>
        <w:tc>
          <w:tcPr>
            <w:tcW w:w="580" w:type="dxa"/>
            <w:vAlign w:val="bottom"/>
            <w:tcBorders>
              <w:top w:val="single" w:sz="8" w:color="0000EE"/>
              <w:bottom w:val="single" w:sz="8" w:color="0000EE"/>
            </w:tcBorders>
            <w:gridSpan w:val="7"/>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9140" w:type="dxa"/>
            <w:vAlign w:val="bottom"/>
            <w:tcBorders>
              <w:bottom w:val="single" w:sz="8" w:color="0000EE"/>
            </w:tcBorders>
            <w:gridSpan w:val="13"/>
            <w:vMerge w:val="continue"/>
          </w:tcPr>
          <w:p>
            <w:pPr>
              <w:spacing w:after="0"/>
              <w:rPr>
                <w:sz w:val="5"/>
                <w:szCs w:val="5"/>
                <w:color w:val="auto"/>
              </w:rPr>
            </w:pPr>
          </w:p>
        </w:tc>
        <w:tc>
          <w:tcPr>
            <w:tcW w:w="160" w:type="dxa"/>
            <w:vAlign w:val="bottom"/>
            <w:gridSpan w:val="3"/>
          </w:tcPr>
          <w:p>
            <w:pPr>
              <w:spacing w:after="0"/>
              <w:rPr>
                <w:sz w:val="5"/>
                <w:szCs w:val="5"/>
                <w:color w:val="auto"/>
              </w:rPr>
            </w:pPr>
          </w:p>
        </w:tc>
        <w:tc>
          <w:tcPr>
            <w:tcW w:w="58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00" w:type="dxa"/>
            <w:vAlign w:val="bottom"/>
            <w:vMerge w:val="restart"/>
          </w:tcPr>
          <w:p>
            <w:pPr>
              <w:spacing w:after="0"/>
              <w:rPr>
                <w:sz w:val="20"/>
                <w:szCs w:val="20"/>
                <w:color w:val="auto"/>
              </w:rPr>
            </w:pPr>
            <w:r>
              <w:rPr>
                <w:rFonts w:ascii="Arial" w:cs="Arial" w:eastAsia="Arial" w:hAnsi="Arial"/>
                <w:sz w:val="16"/>
                <w:szCs w:val="16"/>
                <w:color w:val="auto"/>
              </w:rPr>
              <w:t>10.12(a)</w:t>
            </w:r>
          </w:p>
        </w:tc>
        <w:tc>
          <w:tcPr>
            <w:tcW w:w="7920" w:type="dxa"/>
            <w:vAlign w:val="bottom"/>
            <w:gridSpan w:val="10"/>
            <w:vMerge w:val="restart"/>
          </w:tcPr>
          <w:p>
            <w:pPr>
              <w:spacing w:after="0"/>
              <w:rPr>
                <w:sz w:val="20"/>
                <w:szCs w:val="20"/>
                <w:color w:val="auto"/>
              </w:rPr>
            </w:pPr>
            <w:r>
              <w:rPr>
                <w:rFonts w:ascii="Arial" w:cs="Arial" w:eastAsia="Arial" w:hAnsi="Arial"/>
                <w:sz w:val="16"/>
                <w:szCs w:val="16"/>
                <w:color w:val="auto"/>
              </w:rPr>
              <w:t>First Amendment to the Eagle Materials Inc. Amended and Restated Retirement Plan, dated February 6, 2026.</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1"/>
                <w:szCs w:val="11"/>
                <w:color w:val="auto"/>
                <w:w w:val="90"/>
              </w:rPr>
              <w:t>(1)*</w:t>
            </w:r>
          </w:p>
        </w:tc>
        <w:tc>
          <w:tcPr>
            <w:tcW w:w="1960" w:type="dxa"/>
            <w:vAlign w:val="bottom"/>
            <w:gridSpan w:val="1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00" w:type="dxa"/>
            <w:vAlign w:val="bottom"/>
            <w:vMerge w:val="continue"/>
          </w:tcPr>
          <w:p>
            <w:pPr>
              <w:spacing w:after="0"/>
              <w:rPr>
                <w:sz w:val="5"/>
                <w:szCs w:val="5"/>
                <w:color w:val="auto"/>
              </w:rPr>
            </w:pPr>
          </w:p>
        </w:tc>
        <w:tc>
          <w:tcPr>
            <w:tcW w:w="7920" w:type="dxa"/>
            <w:vAlign w:val="bottom"/>
            <w:tcBorders>
              <w:bottom w:val="single" w:sz="8" w:color="0000EE"/>
            </w:tcBorders>
            <w:gridSpan w:val="10"/>
            <w:vMerge w:val="continue"/>
          </w:tcPr>
          <w:p>
            <w:pPr>
              <w:spacing w:after="0"/>
              <w:rPr>
                <w:sz w:val="5"/>
                <w:szCs w:val="5"/>
                <w:color w:val="auto"/>
              </w:rPr>
            </w:pPr>
          </w:p>
        </w:tc>
        <w:tc>
          <w:tcPr>
            <w:tcW w:w="180" w:type="dxa"/>
            <w:vAlign w:val="bottom"/>
          </w:tcPr>
          <w:p>
            <w:pPr>
              <w:spacing w:after="0"/>
              <w:rPr>
                <w:sz w:val="5"/>
                <w:szCs w:val="5"/>
                <w:color w:val="auto"/>
              </w:rPr>
            </w:pPr>
          </w:p>
        </w:tc>
        <w:tc>
          <w:tcPr>
            <w:tcW w:w="19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10.13</w:t>
            </w:r>
          </w:p>
        </w:tc>
        <w:tc>
          <w:tcPr>
            <w:tcW w:w="10060" w:type="dxa"/>
            <w:vAlign w:val="bottom"/>
            <w:gridSpan w:val="30"/>
          </w:tcPr>
          <w:p>
            <w:pPr>
              <w:spacing w:after="0"/>
              <w:rPr>
                <w:rFonts w:ascii="Arial" w:cs="Arial" w:eastAsia="Arial" w:hAnsi="Arial"/>
                <w:sz w:val="16"/>
                <w:szCs w:val="16"/>
                <w:color w:val="auto"/>
              </w:rPr>
            </w:pPr>
            <w:hyperlink r:id="rId221">
              <w:r>
                <w:rPr>
                  <w:rFonts w:ascii="Arial" w:cs="Arial" w:eastAsia="Arial" w:hAnsi="Arial"/>
                  <w:sz w:val="16"/>
                  <w:szCs w:val="16"/>
                  <w:color w:val="auto"/>
                </w:rPr>
                <w:t>The Eagle Materials Inc. Amended and Restated Supplemental Executive Retirement Plan filed as Exhibit 10.4 to the Company’s Annual</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820" w:type="dxa"/>
            <w:vAlign w:val="bottom"/>
            <w:tcBorders>
              <w:top w:val="single" w:sz="8" w:color="0000EE"/>
            </w:tcBorders>
            <w:gridSpan w:val="22"/>
          </w:tcPr>
          <w:p>
            <w:pPr>
              <w:spacing w:after="0" w:line="169" w:lineRule="exact"/>
              <w:rPr>
                <w:rFonts w:ascii="Arial" w:cs="Arial" w:eastAsia="Arial" w:hAnsi="Arial"/>
                <w:sz w:val="16"/>
                <w:szCs w:val="16"/>
                <w:color w:val="auto"/>
              </w:rPr>
            </w:pPr>
            <w:hyperlink r:id="rId221">
              <w:r>
                <w:rPr>
                  <w:rFonts w:ascii="Arial" w:cs="Arial" w:eastAsia="Arial" w:hAnsi="Arial"/>
                  <w:sz w:val="16"/>
                  <w:szCs w:val="16"/>
                  <w:color w:val="auto"/>
                </w:rPr>
                <w:t>Report on Form 10-K for the fiscal year ended March 31, 2000, filed with the Commission on June 21, 2000 (File No. 001-12984) and</w:t>
              </w:r>
            </w:hyperlink>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3"/>
            <w:vMerge w:val="restart"/>
          </w:tcPr>
          <w:p>
            <w:pPr>
              <w:spacing w:after="0" w:line="169" w:lineRule="exact"/>
              <w:rPr>
                <w:rFonts w:ascii="Arial" w:cs="Arial" w:eastAsia="Arial" w:hAnsi="Arial"/>
                <w:sz w:val="16"/>
                <w:szCs w:val="16"/>
                <w:color w:val="auto"/>
              </w:rPr>
            </w:pPr>
            <w:hyperlink r:id="rId221">
              <w:r>
                <w:rPr>
                  <w:rFonts w:ascii="Arial" w:cs="Arial" w:eastAsia="Arial" w:hAnsi="Arial"/>
                  <w:sz w:val="16"/>
                  <w:szCs w:val="16"/>
                  <w:color w:val="auto"/>
                </w:rPr>
                <w:t>incorporated 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21">
              <w:r>
                <w:rPr>
                  <w:rFonts w:ascii="Arial" w:cs="Arial" w:eastAsia="Arial" w:hAnsi="Arial"/>
                  <w:sz w:val="8"/>
                  <w:szCs w:val="8"/>
                  <w:color w:val="auto"/>
                </w:rPr>
                <w:t>(1)</w:t>
              </w:r>
            </w:hyperlink>
          </w:p>
        </w:tc>
        <w:tc>
          <w:tcPr>
            <w:tcW w:w="3060" w:type="dxa"/>
            <w:vAlign w:val="bottom"/>
            <w:tcBorders>
              <w:top w:val="single" w:sz="8" w:color="0000EE"/>
              <w:bottom w:val="single" w:sz="8" w:color="0000EE"/>
            </w:tcBorders>
            <w:gridSpan w:val="3"/>
            <w:vMerge w:val="restart"/>
          </w:tcPr>
          <w:p>
            <w:pPr>
              <w:spacing w:after="0"/>
              <w:rPr>
                <w:sz w:val="7"/>
                <w:szCs w:val="7"/>
                <w:color w:val="auto"/>
              </w:rPr>
            </w:pPr>
          </w:p>
        </w:tc>
        <w:tc>
          <w:tcPr>
            <w:tcW w:w="180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vMerge w:val="restart"/>
          </w:tcPr>
          <w:p>
            <w:pPr>
              <w:spacing w:after="0"/>
              <w:rPr>
                <w:sz w:val="7"/>
                <w:szCs w:val="7"/>
                <w:color w:val="auto"/>
              </w:rPr>
            </w:pPr>
          </w:p>
        </w:tc>
        <w:tc>
          <w:tcPr>
            <w:tcW w:w="2040" w:type="dxa"/>
            <w:vAlign w:val="bottom"/>
            <w:tcBorders>
              <w:top w:val="single" w:sz="8" w:color="0000EE"/>
              <w:bottom w:val="single" w:sz="8" w:color="0000EE"/>
            </w:tcBorders>
            <w:gridSpan w:val="9"/>
            <w:vMerge w:val="restart"/>
          </w:tcPr>
          <w:p>
            <w:pPr>
              <w:spacing w:after="0"/>
              <w:rPr>
                <w:sz w:val="7"/>
                <w:szCs w:val="7"/>
                <w:color w:val="auto"/>
              </w:rPr>
            </w:pPr>
          </w:p>
        </w:tc>
        <w:tc>
          <w:tcPr>
            <w:tcW w:w="180" w:type="dxa"/>
            <w:vAlign w:val="bottom"/>
            <w:gridSpan w:val="3"/>
          </w:tcPr>
          <w:p>
            <w:pPr>
              <w:spacing w:after="0"/>
              <w:rPr>
                <w:sz w:val="7"/>
                <w:szCs w:val="7"/>
                <w:color w:val="auto"/>
              </w:rPr>
            </w:pPr>
          </w:p>
        </w:tc>
        <w:tc>
          <w:tcPr>
            <w:tcW w:w="140" w:type="dxa"/>
            <w:vAlign w:val="bottom"/>
            <w:gridSpan w:val="3"/>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40" w:type="dxa"/>
            <w:vAlign w:val="bottom"/>
            <w:gridSpan w:val="9"/>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10.13(a)</w:t>
            </w:r>
          </w:p>
        </w:tc>
        <w:tc>
          <w:tcPr>
            <w:tcW w:w="10060" w:type="dxa"/>
            <w:vAlign w:val="bottom"/>
            <w:gridSpan w:val="30"/>
          </w:tcPr>
          <w:p>
            <w:pPr>
              <w:spacing w:after="0"/>
              <w:rPr>
                <w:rFonts w:ascii="Arial" w:cs="Arial" w:eastAsia="Arial" w:hAnsi="Arial"/>
                <w:sz w:val="16"/>
                <w:szCs w:val="16"/>
                <w:color w:val="auto"/>
              </w:rPr>
            </w:pPr>
            <w:hyperlink r:id="rId222">
              <w:r>
                <w:rPr>
                  <w:rFonts w:ascii="Arial" w:cs="Arial" w:eastAsia="Arial" w:hAnsi="Arial"/>
                  <w:sz w:val="16"/>
                  <w:szCs w:val="16"/>
                  <w:color w:val="auto"/>
                </w:rPr>
                <w:t>First Amendment to the Eagle Materials Inc. Amended and Restated Supplemental Executive Retirement Plan, dated as of May 11, 2004,</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00" w:type="dxa"/>
            <w:vAlign w:val="bottom"/>
            <w:tcBorders>
              <w:top w:val="single" w:sz="8" w:color="0000EE"/>
              <w:bottom w:val="single" w:sz="8" w:color="0000EE"/>
            </w:tcBorders>
            <w:gridSpan w:val="24"/>
          </w:tcPr>
          <w:p>
            <w:pPr>
              <w:spacing w:after="0" w:line="169" w:lineRule="exact"/>
              <w:rPr>
                <w:rFonts w:ascii="Arial" w:cs="Arial" w:eastAsia="Arial" w:hAnsi="Arial"/>
                <w:sz w:val="16"/>
                <w:szCs w:val="16"/>
                <w:color w:val="auto"/>
              </w:rPr>
            </w:pPr>
            <w:hyperlink r:id="rId222">
              <w:r>
                <w:rPr>
                  <w:rFonts w:ascii="Arial" w:cs="Arial" w:eastAsia="Arial" w:hAnsi="Arial"/>
                  <w:sz w:val="16"/>
                  <w:szCs w:val="16"/>
                  <w:color w:val="auto"/>
                </w:rPr>
                <w:t>filed as Exhibit 10.4(a) to the Company’s Annual Report on Form 10-K for the fiscal year ended March 31, 2006, filed with the Commission</w:t>
              </w:r>
            </w:hyperlink>
          </w:p>
        </w:tc>
        <w:tc>
          <w:tcPr>
            <w:tcW w:w="4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5440" w:type="dxa"/>
            <w:vAlign w:val="bottom"/>
            <w:gridSpan w:val="6"/>
            <w:vMerge w:val="restart"/>
          </w:tcPr>
          <w:p>
            <w:pPr>
              <w:spacing w:after="0" w:line="169" w:lineRule="exact"/>
              <w:rPr>
                <w:rFonts w:ascii="Arial" w:cs="Arial" w:eastAsia="Arial" w:hAnsi="Arial"/>
                <w:sz w:val="16"/>
                <w:szCs w:val="16"/>
                <w:color w:val="auto"/>
              </w:rPr>
            </w:pPr>
            <w:hyperlink r:id="rId222">
              <w:r>
                <w:rPr>
                  <w:rFonts w:ascii="Arial" w:cs="Arial" w:eastAsia="Arial" w:hAnsi="Arial"/>
                  <w:sz w:val="16"/>
                  <w:szCs w:val="16"/>
                  <w:color w:val="auto"/>
                </w:rPr>
                <w:t>on June 2, 2006 (File No. 001-12984) and incorporated 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22">
              <w:r>
                <w:rPr>
                  <w:rFonts w:ascii="Arial" w:cs="Arial" w:eastAsia="Arial" w:hAnsi="Arial"/>
                  <w:sz w:val="8"/>
                  <w:szCs w:val="8"/>
                  <w:color w:val="auto"/>
                </w:rPr>
                <w:t>(1)</w:t>
              </w:r>
            </w:hyperlink>
          </w:p>
        </w:tc>
        <w:tc>
          <w:tcPr>
            <w:tcW w:w="180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2400" w:type="dxa"/>
            <w:vAlign w:val="bottom"/>
            <w:gridSpan w:val="16"/>
            <w:vMerge w:val="restart"/>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5440" w:type="dxa"/>
            <w:vAlign w:val="bottom"/>
            <w:tcBorders>
              <w:bottom w:val="single" w:sz="8" w:color="0000EE"/>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400" w:type="dxa"/>
            <w:vAlign w:val="bottom"/>
            <w:gridSpan w:val="16"/>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10.14</w:t>
            </w:r>
          </w:p>
        </w:tc>
        <w:tc>
          <w:tcPr>
            <w:tcW w:w="10060" w:type="dxa"/>
            <w:vAlign w:val="bottom"/>
            <w:gridSpan w:val="30"/>
          </w:tcPr>
          <w:p>
            <w:pPr>
              <w:spacing w:after="0"/>
              <w:rPr>
                <w:rFonts w:ascii="Arial" w:cs="Arial" w:eastAsia="Arial" w:hAnsi="Arial"/>
                <w:sz w:val="16"/>
                <w:szCs w:val="16"/>
                <w:color w:val="auto"/>
              </w:rPr>
            </w:pPr>
            <w:hyperlink r:id="rId223">
              <w:r>
                <w:rPr>
                  <w:rFonts w:ascii="Arial" w:cs="Arial" w:eastAsia="Arial" w:hAnsi="Arial"/>
                  <w:sz w:val="16"/>
                  <w:szCs w:val="16"/>
                  <w:color w:val="auto"/>
                </w:rPr>
                <w:t>Trademark License and Domain Name Agreement dated January 30, 2004, between the Company and Centex Corporation, filed as Exhibit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tcBorders>
              <w:top w:val="single" w:sz="8" w:color="0000EE"/>
            </w:tcBorders>
            <w:gridSpan w:val="29"/>
          </w:tcPr>
          <w:p>
            <w:pPr>
              <w:spacing w:after="0" w:line="169" w:lineRule="exact"/>
              <w:rPr>
                <w:rFonts w:ascii="Arial" w:cs="Arial" w:eastAsia="Arial" w:hAnsi="Arial"/>
                <w:sz w:val="16"/>
                <w:szCs w:val="16"/>
                <w:color w:val="auto"/>
              </w:rPr>
            </w:pPr>
            <w:hyperlink r:id="rId223">
              <w:r>
                <w:rPr>
                  <w:rFonts w:ascii="Arial" w:cs="Arial" w:eastAsia="Arial" w:hAnsi="Arial"/>
                  <w:sz w:val="16"/>
                  <w:szCs w:val="16"/>
                  <w:color w:val="auto"/>
                </w:rPr>
                <w:t>10.5 to the Company’s Annual Report on Form 10-K for the fiscal year ended March 31, 2004, filed with the Commission on June 14, 2004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60" w:type="dxa"/>
            <w:vAlign w:val="bottom"/>
            <w:tcBorders>
              <w:top w:val="single" w:sz="8" w:color="0000EE"/>
            </w:tcBorders>
            <w:gridSpan w:val="26"/>
          </w:tcPr>
          <w:p>
            <w:pPr>
              <w:spacing w:after="0" w:line="169" w:lineRule="exact"/>
              <w:rPr>
                <w:rFonts w:ascii="Arial" w:cs="Arial" w:eastAsia="Arial" w:hAnsi="Arial"/>
                <w:sz w:val="16"/>
                <w:szCs w:val="16"/>
                <w:color w:val="auto"/>
              </w:rPr>
            </w:pPr>
            <w:hyperlink r:id="rId223">
              <w:r>
                <w:rPr>
                  <w:rFonts w:ascii="Arial" w:cs="Arial" w:eastAsia="Arial" w:hAnsi="Arial"/>
                  <w:sz w:val="16"/>
                  <w:szCs w:val="16"/>
                  <w:color w:val="auto"/>
                </w:rPr>
                <w:t>(File No. 001-12984) and incorporated herein by reference.</w:t>
              </w:r>
            </w:hyperlink>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10.15</w:t>
            </w:r>
          </w:p>
        </w:tc>
        <w:tc>
          <w:tcPr>
            <w:tcW w:w="10060" w:type="dxa"/>
            <w:vAlign w:val="bottom"/>
            <w:tcBorders>
              <w:bottom w:val="single" w:sz="8" w:color="0000EE"/>
            </w:tcBorders>
            <w:gridSpan w:val="30"/>
          </w:tcPr>
          <w:p>
            <w:pPr>
              <w:spacing w:after="0"/>
              <w:rPr>
                <w:rFonts w:ascii="Arial" w:cs="Arial" w:eastAsia="Arial" w:hAnsi="Arial"/>
                <w:sz w:val="16"/>
                <w:szCs w:val="16"/>
                <w:color w:val="auto"/>
              </w:rPr>
            </w:pPr>
            <w:hyperlink r:id="rId224">
              <w:r>
                <w:rPr>
                  <w:rFonts w:ascii="Arial" w:cs="Arial" w:eastAsia="Arial" w:hAnsi="Arial"/>
                  <w:sz w:val="16"/>
                  <w:szCs w:val="16"/>
                  <w:color w:val="auto"/>
                </w:rPr>
                <w:t>Form of Indemnification Agreement between the Company and each of its directors filed as Exhibit 10.9 to the Company’s Annual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60" w:type="dxa"/>
            <w:vAlign w:val="bottom"/>
            <w:gridSpan w:val="30"/>
          </w:tcPr>
          <w:p>
            <w:pPr>
              <w:spacing w:after="0" w:line="169" w:lineRule="exact"/>
              <w:rPr>
                <w:rFonts w:ascii="Arial" w:cs="Arial" w:eastAsia="Arial" w:hAnsi="Arial"/>
                <w:sz w:val="16"/>
                <w:szCs w:val="16"/>
                <w:color w:val="auto"/>
              </w:rPr>
            </w:pPr>
            <w:hyperlink r:id="rId224">
              <w:r>
                <w:rPr>
                  <w:rFonts w:ascii="Arial" w:cs="Arial" w:eastAsia="Arial" w:hAnsi="Arial"/>
                  <w:sz w:val="16"/>
                  <w:szCs w:val="16"/>
                  <w:color w:val="auto"/>
                </w:rPr>
                <w:t>Form 10-K for the fiscal year ended March 31, 2004, filed with the Commission on June 14, 2004 (File No. 001-12984) and incorporated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440" w:type="dxa"/>
            <w:vAlign w:val="bottom"/>
            <w:tcBorders>
              <w:top w:val="single" w:sz="8" w:color="0000EE"/>
              <w:bottom w:val="single" w:sz="8" w:color="0000EE"/>
            </w:tcBorders>
          </w:tcPr>
          <w:p>
            <w:pPr>
              <w:spacing w:after="0" w:line="169" w:lineRule="exact"/>
              <w:rPr>
                <w:rFonts w:ascii="Arial" w:cs="Arial" w:eastAsia="Arial" w:hAnsi="Arial"/>
                <w:sz w:val="16"/>
                <w:szCs w:val="16"/>
                <w:color w:val="auto"/>
                <w:w w:val="99"/>
              </w:rPr>
            </w:pPr>
            <w:hyperlink r:id="rId224">
              <w:r>
                <w:rPr>
                  <w:rFonts w:ascii="Arial" w:cs="Arial" w:eastAsia="Arial" w:hAnsi="Arial"/>
                  <w:sz w:val="16"/>
                  <w:szCs w:val="16"/>
                  <w:color w:val="auto"/>
                  <w:w w:val="99"/>
                </w:rPr>
                <w:t>herein by reference.</w:t>
              </w:r>
            </w:hyperlink>
          </w:p>
        </w:tc>
        <w:tc>
          <w:tcPr>
            <w:tcW w:w="8320" w:type="dxa"/>
            <w:vAlign w:val="bottom"/>
            <w:tcBorders>
              <w:top w:val="single" w:sz="8" w:color="0000EE"/>
            </w:tcBorders>
            <w:gridSpan w:val="20"/>
          </w:tcPr>
          <w:p>
            <w:pPr>
              <w:spacing w:after="0"/>
              <w:rPr>
                <w:sz w:val="14"/>
                <w:szCs w:val="14"/>
                <w:color w:val="auto"/>
              </w:rPr>
            </w:pPr>
          </w:p>
        </w:tc>
        <w:tc>
          <w:tcPr>
            <w:tcW w:w="26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10.16</w:t>
            </w:r>
          </w:p>
        </w:tc>
        <w:tc>
          <w:tcPr>
            <w:tcW w:w="10060" w:type="dxa"/>
            <w:vAlign w:val="bottom"/>
            <w:gridSpan w:val="30"/>
          </w:tcPr>
          <w:p>
            <w:pPr>
              <w:spacing w:after="0"/>
              <w:rPr>
                <w:rFonts w:ascii="Arial" w:cs="Arial" w:eastAsia="Arial" w:hAnsi="Arial"/>
                <w:sz w:val="16"/>
                <w:szCs w:val="16"/>
                <w:color w:val="auto"/>
              </w:rPr>
            </w:pPr>
            <w:hyperlink r:id="rId225">
              <w:r>
                <w:rPr>
                  <w:rFonts w:ascii="Arial" w:cs="Arial" w:eastAsia="Arial" w:hAnsi="Arial"/>
                  <w:sz w:val="16"/>
                  <w:szCs w:val="16"/>
                  <w:color w:val="auto"/>
                </w:rPr>
                <w:t>Eagle Materials Inc. Salaried Incentive Compensation Program for Fiscal Year 2026 filed as Exhibit 10.1 to the Current Report on Form 8-K</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400" w:type="dxa"/>
            <w:vAlign w:val="bottom"/>
            <w:tcBorders>
              <w:top w:val="single" w:sz="8" w:color="0000EE"/>
              <w:bottom w:val="single" w:sz="8" w:color="0000EE"/>
            </w:tcBorders>
            <w:gridSpan w:val="8"/>
            <w:vMerge w:val="restart"/>
          </w:tcPr>
          <w:p>
            <w:pPr>
              <w:spacing w:after="0" w:line="169" w:lineRule="exact"/>
              <w:rPr>
                <w:rFonts w:ascii="Arial" w:cs="Arial" w:eastAsia="Arial" w:hAnsi="Arial"/>
                <w:sz w:val="16"/>
                <w:szCs w:val="16"/>
                <w:color w:val="auto"/>
              </w:rPr>
            </w:pPr>
            <w:hyperlink r:id="rId225">
              <w:r>
                <w:rPr>
                  <w:rFonts w:ascii="Arial" w:cs="Arial" w:eastAsia="Arial" w:hAnsi="Arial"/>
                  <w:sz w:val="16"/>
                  <w:szCs w:val="16"/>
                  <w:color w:val="auto"/>
                </w:rPr>
                <w:t>filed with the Commission on May 22, 2025 (File No. 001-12984) and incorporated herein by reference.</w:t>
              </w:r>
            </w:hyperlink>
          </w:p>
        </w:tc>
        <w:tc>
          <w:tcPr>
            <w:tcW w:w="14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25">
              <w:r>
                <w:rPr>
                  <w:rFonts w:ascii="Arial" w:cs="Arial" w:eastAsia="Arial" w:hAnsi="Arial"/>
                  <w:sz w:val="8"/>
                  <w:szCs w:val="8"/>
                  <w:color w:val="auto"/>
                </w:rPr>
                <w:t>(1)</w:t>
              </w:r>
            </w:hyperlink>
          </w:p>
        </w:tc>
        <w:tc>
          <w:tcPr>
            <w:tcW w:w="2480" w:type="dxa"/>
            <w:vAlign w:val="bottom"/>
            <w:tcBorders>
              <w:top w:val="single" w:sz="8" w:color="0000EE"/>
              <w:bottom w:val="single" w:sz="8" w:color="0000EE"/>
            </w:tcBorders>
            <w:gridSpan w:val="19"/>
            <w:vMerge w:val="restart"/>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400" w:type="dxa"/>
            <w:vAlign w:val="bottom"/>
            <w:tcBorders>
              <w:bottom w:val="single" w:sz="8" w:color="0000EE"/>
            </w:tcBorders>
            <w:gridSpan w:val="8"/>
            <w:vMerge w:val="continue"/>
          </w:tcPr>
          <w:p>
            <w:pPr>
              <w:spacing w:after="0"/>
              <w:rPr>
                <w:sz w:val="5"/>
                <w:szCs w:val="5"/>
                <w:color w:val="auto"/>
              </w:rPr>
            </w:pPr>
          </w:p>
        </w:tc>
        <w:tc>
          <w:tcPr>
            <w:tcW w:w="140" w:type="dxa"/>
            <w:vAlign w:val="bottom"/>
          </w:tcPr>
          <w:p>
            <w:pPr>
              <w:spacing w:after="0"/>
              <w:rPr>
                <w:sz w:val="5"/>
                <w:szCs w:val="5"/>
                <w:color w:val="auto"/>
              </w:rPr>
            </w:pPr>
          </w:p>
        </w:tc>
        <w:tc>
          <w:tcPr>
            <w:tcW w:w="2480" w:type="dxa"/>
            <w:vAlign w:val="bottom"/>
            <w:gridSpan w:val="19"/>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10.16(a)</w:t>
            </w:r>
          </w:p>
        </w:tc>
        <w:tc>
          <w:tcPr>
            <w:tcW w:w="10060" w:type="dxa"/>
            <w:vAlign w:val="bottom"/>
            <w:tcBorders>
              <w:bottom w:val="single" w:sz="8" w:color="0000EE"/>
            </w:tcBorders>
            <w:gridSpan w:val="30"/>
          </w:tcPr>
          <w:p>
            <w:pPr>
              <w:spacing w:after="0"/>
              <w:rPr>
                <w:rFonts w:ascii="Arial" w:cs="Arial" w:eastAsia="Arial" w:hAnsi="Arial"/>
                <w:sz w:val="16"/>
                <w:szCs w:val="16"/>
                <w:color w:val="auto"/>
              </w:rPr>
            </w:pPr>
            <w:hyperlink r:id="rId226">
              <w:r>
                <w:rPr>
                  <w:rFonts w:ascii="Arial" w:cs="Arial" w:eastAsia="Arial" w:hAnsi="Arial"/>
                  <w:sz w:val="16"/>
                  <w:szCs w:val="16"/>
                  <w:color w:val="auto"/>
                </w:rPr>
                <w:t>American Gypsum Company Salaried Incentive Compensation Program for Fiscal Year 2026, filed as Exhibit 10.2 to the Company’s Current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60" w:type="dxa"/>
            <w:vAlign w:val="bottom"/>
            <w:gridSpan w:val="30"/>
          </w:tcPr>
          <w:p>
            <w:pPr>
              <w:spacing w:after="0" w:line="169" w:lineRule="exact"/>
              <w:rPr>
                <w:rFonts w:ascii="Arial" w:cs="Arial" w:eastAsia="Arial" w:hAnsi="Arial"/>
                <w:sz w:val="15"/>
                <w:szCs w:val="15"/>
                <w:color w:val="auto"/>
              </w:rPr>
            </w:pPr>
            <w:hyperlink r:id="rId226">
              <w:r>
                <w:rPr>
                  <w:rFonts w:ascii="Arial" w:cs="Arial" w:eastAsia="Arial" w:hAnsi="Arial"/>
                  <w:sz w:val="15"/>
                  <w:szCs w:val="15"/>
                  <w:color w:val="auto"/>
                </w:rPr>
                <w:t>Report on Form 8-K filed with the Commission on May 22, 2025 (File No. 001-12984) and incorporated herein by reference.</w:t>
              </w:r>
              <w:r>
                <w:rPr>
                  <w:rFonts w:ascii="Arial" w:cs="Arial" w:eastAsia="Arial" w:hAnsi="Arial"/>
                  <w:sz w:val="19"/>
                  <w:szCs w:val="19"/>
                  <w:color w:val="auto"/>
                  <w:vertAlign w:val="superscript"/>
                </w:rPr>
                <w:t>(1)</w:t>
              </w:r>
            </w:hyperlink>
          </w:p>
        </w:tc>
        <w:tc>
          <w:tcPr>
            <w:tcW w:w="0" w:type="dxa"/>
            <w:vAlign w:val="bottom"/>
          </w:tcPr>
          <w:p>
            <w:pPr>
              <w:spacing w:after="0"/>
              <w:rPr>
                <w:sz w:val="1"/>
                <w:szCs w:val="1"/>
                <w:color w:val="auto"/>
              </w:rPr>
            </w:pPr>
          </w:p>
        </w:tc>
      </w:tr>
      <w:tr>
        <w:trPr>
          <w:trHeight w:val="672"/>
        </w:trPr>
        <w:tc>
          <w:tcPr>
            <w:tcW w:w="1200" w:type="dxa"/>
            <w:vAlign w:val="bottom"/>
          </w:tcPr>
          <w:p>
            <w:pPr>
              <w:spacing w:after="0"/>
              <w:rPr>
                <w:sz w:val="24"/>
                <w:szCs w:val="24"/>
                <w:color w:val="auto"/>
              </w:rPr>
            </w:pPr>
          </w:p>
        </w:tc>
        <w:tc>
          <w:tcPr>
            <w:tcW w:w="5440" w:type="dxa"/>
            <w:vAlign w:val="bottom"/>
            <w:tcBorders>
              <w:top w:val="single" w:sz="8" w:color="0000EE"/>
            </w:tcBorders>
            <w:gridSpan w:val="6"/>
          </w:tcPr>
          <w:p>
            <w:pPr>
              <w:ind w:left="4280"/>
              <w:spacing w:after="0"/>
              <w:rPr>
                <w:sz w:val="20"/>
                <w:szCs w:val="20"/>
                <w:color w:val="auto"/>
              </w:rPr>
            </w:pPr>
            <w:r>
              <w:rPr>
                <w:rFonts w:ascii="Arial" w:cs="Arial" w:eastAsia="Arial" w:hAnsi="Arial"/>
                <w:sz w:val="18"/>
                <w:szCs w:val="18"/>
                <w:color w:val="auto"/>
              </w:rPr>
              <w:t>124</w:t>
            </w:r>
          </w:p>
        </w:tc>
        <w:tc>
          <w:tcPr>
            <w:tcW w:w="1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color w:val="auto"/>
              </w:rPr>
              <w:t>10.16(b)</w:t>
            </w:r>
          </w:p>
        </w:tc>
        <w:tc>
          <w:tcPr>
            <w:tcW w:w="10040" w:type="dxa"/>
            <w:vAlign w:val="bottom"/>
            <w:gridSpan w:val="28"/>
          </w:tcPr>
          <w:p>
            <w:pPr>
              <w:spacing w:after="0"/>
              <w:rPr>
                <w:rFonts w:ascii="Arial" w:cs="Arial" w:eastAsia="Arial" w:hAnsi="Arial"/>
                <w:sz w:val="16"/>
                <w:szCs w:val="16"/>
                <w:color w:val="auto"/>
              </w:rPr>
            </w:pPr>
            <w:hyperlink r:id="rId229">
              <w:r>
                <w:rPr>
                  <w:rFonts w:ascii="Arial" w:cs="Arial" w:eastAsia="Arial" w:hAnsi="Arial"/>
                  <w:sz w:val="16"/>
                  <w:szCs w:val="16"/>
                  <w:color w:val="auto"/>
                </w:rPr>
                <w:t>Cement Companies Salaried Incentive Compensation Program for Fiscal Year 2026, filed as Exhibit 10.3 to the Company’s Current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80" w:type="dxa"/>
            <w:vAlign w:val="bottom"/>
            <w:tcBorders>
              <w:top w:val="single" w:sz="8" w:color="0000EE"/>
            </w:tcBorders>
            <w:gridSpan w:val="25"/>
          </w:tcPr>
          <w:p>
            <w:pPr>
              <w:spacing w:after="0" w:line="169" w:lineRule="exact"/>
              <w:rPr>
                <w:rFonts w:ascii="Arial" w:cs="Arial" w:eastAsia="Arial" w:hAnsi="Arial"/>
                <w:sz w:val="15"/>
                <w:szCs w:val="15"/>
                <w:color w:val="auto"/>
              </w:rPr>
            </w:pPr>
            <w:hyperlink r:id="rId229">
              <w:r>
                <w:rPr>
                  <w:rFonts w:ascii="Arial" w:cs="Arial" w:eastAsia="Arial" w:hAnsi="Arial"/>
                  <w:sz w:val="15"/>
                  <w:szCs w:val="15"/>
                  <w:color w:val="auto"/>
                </w:rPr>
                <w:t>on Form 8-K filed with the Commission on May 22, 2025 (File No. 001-12984) and incorporated herein by reference.</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6"/>
                <w:szCs w:val="16"/>
                <w:color w:val="auto"/>
              </w:rPr>
              <w:t>10.16(c)</w:t>
            </w:r>
          </w:p>
        </w:tc>
        <w:tc>
          <w:tcPr>
            <w:tcW w:w="10040" w:type="dxa"/>
            <w:vAlign w:val="bottom"/>
            <w:gridSpan w:val="28"/>
          </w:tcPr>
          <w:p>
            <w:pPr>
              <w:spacing w:after="0"/>
              <w:rPr>
                <w:rFonts w:ascii="Arial" w:cs="Arial" w:eastAsia="Arial" w:hAnsi="Arial"/>
                <w:sz w:val="16"/>
                <w:szCs w:val="16"/>
                <w:color w:val="auto"/>
              </w:rPr>
            </w:pPr>
            <w:hyperlink r:id="rId230">
              <w:r>
                <w:rPr>
                  <w:rFonts w:ascii="Arial" w:cs="Arial" w:eastAsia="Arial" w:hAnsi="Arial"/>
                  <w:sz w:val="16"/>
                  <w:szCs w:val="16"/>
                  <w:color w:val="auto"/>
                </w:rPr>
                <w:t>Eagle Materials Inc. Special Situation Program for Fiscal 2026 filed as Exhibit 10.4 to the Current Report on Form 8-K filed with the</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6420" w:type="dxa"/>
            <w:vAlign w:val="bottom"/>
            <w:tcBorders>
              <w:top w:val="single" w:sz="8" w:color="0000EE"/>
              <w:bottom w:val="single" w:sz="8" w:color="0000EE"/>
            </w:tcBorders>
            <w:gridSpan w:val="11"/>
            <w:vMerge w:val="restart"/>
          </w:tcPr>
          <w:p>
            <w:pPr>
              <w:spacing w:after="0" w:line="169" w:lineRule="exact"/>
              <w:rPr>
                <w:rFonts w:ascii="Arial" w:cs="Arial" w:eastAsia="Arial" w:hAnsi="Arial"/>
                <w:sz w:val="16"/>
                <w:szCs w:val="16"/>
                <w:color w:val="auto"/>
              </w:rPr>
            </w:pPr>
            <w:hyperlink r:id="rId230">
              <w:r>
                <w:rPr>
                  <w:rFonts w:ascii="Arial" w:cs="Arial" w:eastAsia="Arial" w:hAnsi="Arial"/>
                  <w:sz w:val="16"/>
                  <w:szCs w:val="16"/>
                  <w:color w:val="auto"/>
                </w:rPr>
                <w:t>Commission on May 22, 2025 (File No. 001-12984) and incorporated herein by reference.</w:t>
              </w:r>
            </w:hyperlink>
          </w:p>
        </w:tc>
        <w:tc>
          <w:tcPr>
            <w:tcW w:w="12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30">
              <w:r>
                <w:rPr>
                  <w:rFonts w:ascii="Arial" w:cs="Arial" w:eastAsia="Arial" w:hAnsi="Arial"/>
                  <w:sz w:val="8"/>
                  <w:szCs w:val="8"/>
                  <w:color w:val="auto"/>
                </w:rPr>
                <w:t>(1)</w:t>
              </w:r>
            </w:hyperlink>
          </w:p>
        </w:tc>
        <w:tc>
          <w:tcPr>
            <w:tcW w:w="2880" w:type="dxa"/>
            <w:vAlign w:val="bottom"/>
            <w:tcBorders>
              <w:top w:val="single" w:sz="8" w:color="0000EE"/>
              <w:bottom w:val="single" w:sz="8" w:color="0000EE"/>
            </w:tcBorders>
            <w:gridSpan w:val="5"/>
            <w:vMerge w:val="restart"/>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6420" w:type="dxa"/>
            <w:vAlign w:val="bottom"/>
            <w:tcBorders>
              <w:bottom w:val="single" w:sz="8" w:color="0000EE"/>
            </w:tcBorders>
            <w:gridSpan w:val="11"/>
            <w:vMerge w:val="continue"/>
          </w:tcPr>
          <w:p>
            <w:pPr>
              <w:spacing w:after="0"/>
              <w:rPr>
                <w:sz w:val="5"/>
                <w:szCs w:val="5"/>
                <w:color w:val="auto"/>
              </w:rPr>
            </w:pPr>
          </w:p>
        </w:tc>
        <w:tc>
          <w:tcPr>
            <w:tcW w:w="120" w:type="dxa"/>
            <w:vAlign w:val="bottom"/>
          </w:tcPr>
          <w:p>
            <w:pPr>
              <w:spacing w:after="0"/>
              <w:rPr>
                <w:sz w:val="5"/>
                <w:szCs w:val="5"/>
                <w:color w:val="auto"/>
              </w:rPr>
            </w:pPr>
          </w:p>
        </w:tc>
        <w:tc>
          <w:tcPr>
            <w:tcW w:w="288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10.19</w:t>
            </w:r>
          </w:p>
        </w:tc>
        <w:tc>
          <w:tcPr>
            <w:tcW w:w="10040" w:type="dxa"/>
            <w:vAlign w:val="bottom"/>
            <w:gridSpan w:val="28"/>
          </w:tcPr>
          <w:p>
            <w:pPr>
              <w:spacing w:after="0"/>
              <w:rPr>
                <w:rFonts w:ascii="Arial" w:cs="Arial" w:eastAsia="Arial" w:hAnsi="Arial"/>
                <w:sz w:val="16"/>
                <w:szCs w:val="16"/>
                <w:color w:val="auto"/>
              </w:rPr>
            </w:pPr>
            <w:hyperlink r:id="rId231">
              <w:r>
                <w:rPr>
                  <w:rFonts w:ascii="Arial" w:cs="Arial" w:eastAsia="Arial" w:hAnsi="Arial"/>
                  <w:sz w:val="16"/>
                  <w:szCs w:val="16"/>
                  <w:color w:val="auto"/>
                </w:rPr>
                <w:t>Change in Control Continuity Agreement, dated as of June 20, 2019, by and between Eagle Materials Inc. and Michael R. Haack, filed as</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840" w:type="dxa"/>
            <w:vAlign w:val="bottom"/>
            <w:tcBorders>
              <w:top w:val="single" w:sz="8" w:color="0000EE"/>
              <w:bottom w:val="single" w:sz="8" w:color="0000EE"/>
            </w:tcBorders>
            <w:gridSpan w:val="22"/>
          </w:tcPr>
          <w:p>
            <w:pPr>
              <w:spacing w:after="0" w:line="169" w:lineRule="exact"/>
              <w:rPr>
                <w:rFonts w:ascii="Arial" w:cs="Arial" w:eastAsia="Arial" w:hAnsi="Arial"/>
                <w:sz w:val="16"/>
                <w:szCs w:val="16"/>
                <w:color w:val="auto"/>
              </w:rPr>
            </w:pPr>
            <w:hyperlink r:id="rId231">
              <w:r>
                <w:rPr>
                  <w:rFonts w:ascii="Arial" w:cs="Arial" w:eastAsia="Arial" w:hAnsi="Arial"/>
                  <w:sz w:val="16"/>
                  <w:szCs w:val="16"/>
                  <w:color w:val="auto"/>
                </w:rPr>
                <w:t>Exhibit 10.1 to the Current Report on Form 8-K filed with the Commission on June 25, 2019 (File No. 001-12984) and incorporated herein</w:t>
              </w:r>
            </w:hyperlink>
          </w:p>
        </w:tc>
        <w:tc>
          <w:tcPr>
            <w:tcW w:w="200" w:type="dxa"/>
            <w:vAlign w:val="bottom"/>
            <w:tcBorders>
              <w:bottom w:val="single" w:sz="8" w:color="0000EE"/>
            </w:tcBorders>
            <w:gridSpan w:val="6"/>
          </w:tcPr>
          <w:p>
            <w:pPr>
              <w:ind w:left="20"/>
              <w:spacing w:after="0" w:line="169" w:lineRule="exact"/>
              <w:rPr>
                <w:rFonts w:ascii="Arial" w:cs="Arial" w:eastAsia="Arial" w:hAnsi="Arial"/>
                <w:sz w:val="16"/>
                <w:szCs w:val="16"/>
                <w:color w:val="auto"/>
                <w:w w:val="94"/>
              </w:rPr>
            </w:pPr>
            <w:hyperlink r:id="rId231">
              <w:r>
                <w:rPr>
                  <w:rFonts w:ascii="Arial" w:cs="Arial" w:eastAsia="Arial" w:hAnsi="Arial"/>
                  <w:sz w:val="16"/>
                  <w:szCs w:val="16"/>
                  <w:color w:val="auto"/>
                  <w:w w:val="94"/>
                </w:rPr>
                <w:t>by</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20" w:type="dxa"/>
            <w:vAlign w:val="bottom"/>
            <w:vMerge w:val="restart"/>
          </w:tcPr>
          <w:p>
            <w:pPr>
              <w:spacing w:after="0" w:line="169" w:lineRule="exact"/>
              <w:rPr>
                <w:rFonts w:ascii="Arial" w:cs="Arial" w:eastAsia="Arial" w:hAnsi="Arial"/>
                <w:sz w:val="16"/>
                <w:szCs w:val="16"/>
                <w:color w:val="auto"/>
                <w:w w:val="97"/>
              </w:rPr>
            </w:pPr>
            <w:hyperlink r:id="rId231">
              <w:r>
                <w:rPr>
                  <w:rFonts w:ascii="Arial" w:cs="Arial" w:eastAsia="Arial" w:hAnsi="Arial"/>
                  <w:sz w:val="16"/>
                  <w:szCs w:val="16"/>
                  <w:color w:val="auto"/>
                  <w:w w:val="97"/>
                </w:rPr>
                <w:t>reference.</w:t>
              </w:r>
            </w:hyperlink>
          </w:p>
        </w:tc>
        <w:tc>
          <w:tcPr>
            <w:tcW w:w="140" w:type="dxa"/>
            <w:vAlign w:val="bottom"/>
            <w:tcBorders>
              <w:bottom w:val="single" w:sz="8" w:color="0000EE"/>
            </w:tcBorders>
            <w:gridSpan w:val="2"/>
          </w:tcPr>
          <w:p>
            <w:pPr>
              <w:jc w:val="right"/>
              <w:spacing w:after="0" w:line="75" w:lineRule="exact"/>
              <w:rPr>
                <w:rFonts w:ascii="Arial" w:cs="Arial" w:eastAsia="Arial" w:hAnsi="Arial"/>
                <w:sz w:val="8"/>
                <w:szCs w:val="8"/>
                <w:color w:val="auto"/>
              </w:rPr>
            </w:pPr>
            <w:hyperlink r:id="rId231">
              <w:r>
                <w:rPr>
                  <w:rFonts w:ascii="Arial" w:cs="Arial" w:eastAsia="Arial" w:hAnsi="Arial"/>
                  <w:sz w:val="8"/>
                  <w:szCs w:val="8"/>
                  <w:color w:val="auto"/>
                </w:rPr>
                <w:t>(1)</w:t>
              </w:r>
            </w:hyperlink>
          </w:p>
        </w:tc>
        <w:tc>
          <w:tcPr>
            <w:tcW w:w="700" w:type="dxa"/>
            <w:vAlign w:val="bottom"/>
            <w:gridSpan w:val="2"/>
            <w:vMerge w:val="restart"/>
          </w:tcPr>
          <w:p>
            <w:pPr>
              <w:spacing w:after="0"/>
              <w:rPr>
                <w:sz w:val="7"/>
                <w:szCs w:val="7"/>
                <w:color w:val="auto"/>
              </w:rPr>
            </w:pPr>
          </w:p>
        </w:tc>
        <w:tc>
          <w:tcPr>
            <w:tcW w:w="960" w:type="dxa"/>
            <w:vAlign w:val="bottom"/>
            <w:gridSpan w:val="3"/>
            <w:vMerge w:val="restart"/>
          </w:tcPr>
          <w:p>
            <w:pPr>
              <w:spacing w:after="0"/>
              <w:rPr>
                <w:sz w:val="7"/>
                <w:szCs w:val="7"/>
                <w:color w:val="auto"/>
              </w:rPr>
            </w:pPr>
          </w:p>
        </w:tc>
        <w:tc>
          <w:tcPr>
            <w:tcW w:w="7520" w:type="dxa"/>
            <w:vAlign w:val="bottom"/>
            <w:gridSpan w:val="20"/>
            <w:vMerge w:val="restart"/>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752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10.19(a)</w:t>
            </w:r>
          </w:p>
        </w:tc>
        <w:tc>
          <w:tcPr>
            <w:tcW w:w="9680" w:type="dxa"/>
            <w:vAlign w:val="bottom"/>
            <w:tcBorders>
              <w:bottom w:val="single" w:sz="8" w:color="0000EE"/>
            </w:tcBorders>
            <w:gridSpan w:val="19"/>
          </w:tcPr>
          <w:p>
            <w:pPr>
              <w:spacing w:after="0"/>
              <w:rPr>
                <w:rFonts w:ascii="Arial" w:cs="Arial" w:eastAsia="Arial" w:hAnsi="Arial"/>
                <w:sz w:val="16"/>
                <w:szCs w:val="16"/>
                <w:color w:val="auto"/>
              </w:rPr>
            </w:pPr>
            <w:hyperlink r:id="rId232">
              <w:r>
                <w:rPr>
                  <w:rFonts w:ascii="Arial" w:cs="Arial" w:eastAsia="Arial" w:hAnsi="Arial"/>
                  <w:sz w:val="16"/>
                  <w:szCs w:val="16"/>
                  <w:color w:val="auto"/>
                </w:rPr>
                <w:t>Change in Control Continuity Agreement, dated as of June 20, 2019, by and between Eagle Materials Inc. and D. Craig Kesler, filed as</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tcBorders>
              <w:bottom w:val="single" w:sz="8" w:color="0000EE"/>
            </w:tcBorders>
            <w:gridSpan w:val="28"/>
          </w:tcPr>
          <w:p>
            <w:pPr>
              <w:spacing w:after="0" w:line="169" w:lineRule="exact"/>
              <w:rPr>
                <w:rFonts w:ascii="Arial" w:cs="Arial" w:eastAsia="Arial" w:hAnsi="Arial"/>
                <w:sz w:val="16"/>
                <w:szCs w:val="16"/>
                <w:color w:val="auto"/>
              </w:rPr>
            </w:pPr>
            <w:hyperlink r:id="rId232">
              <w:r>
                <w:rPr>
                  <w:rFonts w:ascii="Arial" w:cs="Arial" w:eastAsia="Arial" w:hAnsi="Arial"/>
                  <w:sz w:val="16"/>
                  <w:szCs w:val="16"/>
                  <w:color w:val="auto"/>
                </w:rPr>
                <w:t>Exhibit 10.2 to the Current Report on Form 8-K filed with the Commission on June 25, 2019 (File No. 001-12984) and incorporated herein by</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20" w:type="dxa"/>
            <w:vAlign w:val="bottom"/>
            <w:vMerge w:val="restart"/>
          </w:tcPr>
          <w:p>
            <w:pPr>
              <w:spacing w:after="0" w:line="169" w:lineRule="exact"/>
              <w:rPr>
                <w:rFonts w:ascii="Arial" w:cs="Arial" w:eastAsia="Arial" w:hAnsi="Arial"/>
                <w:sz w:val="16"/>
                <w:szCs w:val="16"/>
                <w:color w:val="auto"/>
                <w:w w:val="97"/>
              </w:rPr>
            </w:pPr>
            <w:hyperlink r:id="rId232">
              <w:r>
                <w:rPr>
                  <w:rFonts w:ascii="Arial" w:cs="Arial" w:eastAsia="Arial" w:hAnsi="Arial"/>
                  <w:sz w:val="16"/>
                  <w:szCs w:val="16"/>
                  <w:color w:val="auto"/>
                  <w:w w:val="97"/>
                </w:rPr>
                <w:t>reference.</w:t>
              </w:r>
            </w:hyperlink>
          </w:p>
        </w:tc>
        <w:tc>
          <w:tcPr>
            <w:tcW w:w="140" w:type="dxa"/>
            <w:vAlign w:val="bottom"/>
            <w:tcBorders>
              <w:bottom w:val="single" w:sz="8" w:color="0000EE"/>
            </w:tcBorders>
            <w:gridSpan w:val="2"/>
          </w:tcPr>
          <w:p>
            <w:pPr>
              <w:jc w:val="right"/>
              <w:spacing w:after="0" w:line="75" w:lineRule="exact"/>
              <w:rPr>
                <w:rFonts w:ascii="Arial" w:cs="Arial" w:eastAsia="Arial" w:hAnsi="Arial"/>
                <w:sz w:val="8"/>
                <w:szCs w:val="8"/>
                <w:color w:val="auto"/>
              </w:rPr>
            </w:pPr>
            <w:hyperlink r:id="rId232">
              <w:r>
                <w:rPr>
                  <w:rFonts w:ascii="Arial" w:cs="Arial" w:eastAsia="Arial" w:hAnsi="Arial"/>
                  <w:sz w:val="8"/>
                  <w:szCs w:val="8"/>
                  <w:color w:val="auto"/>
                </w:rPr>
                <w:t>(1)</w:t>
              </w:r>
            </w:hyperlink>
          </w:p>
        </w:tc>
        <w:tc>
          <w:tcPr>
            <w:tcW w:w="700" w:type="dxa"/>
            <w:vAlign w:val="bottom"/>
            <w:gridSpan w:val="2"/>
            <w:vMerge w:val="restart"/>
          </w:tcPr>
          <w:p>
            <w:pPr>
              <w:spacing w:after="0"/>
              <w:rPr>
                <w:sz w:val="7"/>
                <w:szCs w:val="7"/>
                <w:color w:val="auto"/>
              </w:rPr>
            </w:pPr>
          </w:p>
        </w:tc>
        <w:tc>
          <w:tcPr>
            <w:tcW w:w="960" w:type="dxa"/>
            <w:vAlign w:val="bottom"/>
            <w:gridSpan w:val="3"/>
            <w:vMerge w:val="restart"/>
          </w:tcPr>
          <w:p>
            <w:pPr>
              <w:spacing w:after="0"/>
              <w:rPr>
                <w:sz w:val="7"/>
                <w:szCs w:val="7"/>
                <w:color w:val="auto"/>
              </w:rPr>
            </w:pPr>
          </w:p>
        </w:tc>
        <w:tc>
          <w:tcPr>
            <w:tcW w:w="7520" w:type="dxa"/>
            <w:vAlign w:val="bottom"/>
            <w:gridSpan w:val="20"/>
            <w:vMerge w:val="restart"/>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752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10.19(b)</w:t>
            </w:r>
          </w:p>
        </w:tc>
        <w:tc>
          <w:tcPr>
            <w:tcW w:w="10040" w:type="dxa"/>
            <w:vAlign w:val="bottom"/>
            <w:gridSpan w:val="28"/>
          </w:tcPr>
          <w:p>
            <w:pPr>
              <w:spacing w:after="0"/>
              <w:rPr>
                <w:rFonts w:ascii="Arial" w:cs="Arial" w:eastAsia="Arial" w:hAnsi="Arial"/>
                <w:sz w:val="16"/>
                <w:szCs w:val="16"/>
                <w:color w:val="auto"/>
              </w:rPr>
            </w:pPr>
            <w:hyperlink r:id="rId233">
              <w:r>
                <w:rPr>
                  <w:rFonts w:ascii="Arial" w:cs="Arial" w:eastAsia="Arial" w:hAnsi="Arial"/>
                  <w:sz w:val="16"/>
                  <w:szCs w:val="16"/>
                  <w:color w:val="auto"/>
                </w:rPr>
                <w:t>Change in Control Continuity Agreement, dated as of May 31, 2022, by and between Eagle Materials Inc. and Matt Newby, filed as Exhibit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20" w:type="dxa"/>
            <w:vAlign w:val="bottom"/>
            <w:tcBorders>
              <w:top w:val="single" w:sz="8" w:color="0000EE"/>
            </w:tcBorders>
            <w:gridSpan w:val="23"/>
          </w:tcPr>
          <w:p>
            <w:pPr>
              <w:spacing w:after="0" w:line="169" w:lineRule="exact"/>
              <w:rPr>
                <w:rFonts w:ascii="Arial" w:cs="Arial" w:eastAsia="Arial" w:hAnsi="Arial"/>
                <w:sz w:val="16"/>
                <w:szCs w:val="16"/>
                <w:color w:val="auto"/>
              </w:rPr>
            </w:pPr>
            <w:hyperlink r:id="rId233">
              <w:r>
                <w:rPr>
                  <w:rFonts w:ascii="Arial" w:cs="Arial" w:eastAsia="Arial" w:hAnsi="Arial"/>
                  <w:sz w:val="16"/>
                  <w:szCs w:val="16"/>
                  <w:color w:val="auto"/>
                </w:rPr>
                <w:t>10.5 to the Company’s Quarterly Report on Form 10-Q for the quarter ended June 30, 2023, filed with the Commission on July 27, 2023</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40" w:type="dxa"/>
            <w:vAlign w:val="bottom"/>
            <w:tcBorders>
              <w:top w:val="single" w:sz="8" w:color="0000EE"/>
            </w:tcBorders>
            <w:gridSpan w:val="20"/>
          </w:tcPr>
          <w:p>
            <w:pPr>
              <w:spacing w:after="0" w:line="169" w:lineRule="exact"/>
              <w:rPr>
                <w:rFonts w:ascii="Arial" w:cs="Arial" w:eastAsia="Arial" w:hAnsi="Arial"/>
                <w:sz w:val="15"/>
                <w:szCs w:val="15"/>
                <w:color w:val="auto"/>
              </w:rPr>
            </w:pPr>
            <w:hyperlink r:id="rId233">
              <w:r>
                <w:rPr>
                  <w:rFonts w:ascii="Arial" w:cs="Arial" w:eastAsia="Arial" w:hAnsi="Arial"/>
                  <w:sz w:val="15"/>
                  <w:szCs w:val="15"/>
                  <w:color w:val="auto"/>
                </w:rPr>
                <w:t>(File No. 001-12984) and incorporated herein by reference.</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10.20</w:t>
            </w:r>
          </w:p>
        </w:tc>
        <w:tc>
          <w:tcPr>
            <w:tcW w:w="9380" w:type="dxa"/>
            <w:vAlign w:val="bottom"/>
            <w:tcBorders>
              <w:bottom w:val="single" w:sz="8" w:color="0000EE"/>
            </w:tcBorders>
            <w:gridSpan w:val="15"/>
          </w:tcPr>
          <w:p>
            <w:pPr>
              <w:spacing w:after="0"/>
              <w:rPr>
                <w:rFonts w:ascii="Arial" w:cs="Arial" w:eastAsia="Arial" w:hAnsi="Arial"/>
                <w:sz w:val="16"/>
                <w:szCs w:val="16"/>
                <w:color w:val="auto"/>
              </w:rPr>
            </w:pPr>
            <w:hyperlink r:id="rId234">
              <w:r>
                <w:rPr>
                  <w:rFonts w:ascii="Arial" w:cs="Arial" w:eastAsia="Arial" w:hAnsi="Arial"/>
                  <w:sz w:val="16"/>
                  <w:szCs w:val="16"/>
                  <w:color w:val="auto"/>
                </w:rPr>
                <w:t>Form of Performance Vesting Non-Qualified Stock Option Agreement for Senior Executives, filed as Exhibit 10.8 to the Company’s</w:t>
              </w:r>
            </w:hyperlink>
          </w:p>
        </w:tc>
        <w:tc>
          <w:tcPr>
            <w:tcW w:w="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28"/>
          </w:tcPr>
          <w:p>
            <w:pPr>
              <w:spacing w:after="0" w:line="169" w:lineRule="exact"/>
              <w:rPr>
                <w:rFonts w:ascii="Arial" w:cs="Arial" w:eastAsia="Arial" w:hAnsi="Arial"/>
                <w:sz w:val="16"/>
                <w:szCs w:val="16"/>
                <w:color w:val="auto"/>
              </w:rPr>
            </w:pPr>
            <w:hyperlink r:id="rId234">
              <w:r>
                <w:rPr>
                  <w:rFonts w:ascii="Arial" w:cs="Arial" w:eastAsia="Arial" w:hAnsi="Arial"/>
                  <w:sz w:val="16"/>
                  <w:szCs w:val="16"/>
                  <w:color w:val="auto"/>
                </w:rPr>
                <w:t>Quarterly Report on Form 10-Q for the quarter ended June 30, 2019, filed with the Commission on July 31, 2019 (File No. 001-12984) and</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7"/>
            <w:vMerge w:val="restart"/>
          </w:tcPr>
          <w:p>
            <w:pPr>
              <w:spacing w:after="0" w:line="169" w:lineRule="exact"/>
              <w:rPr>
                <w:rFonts w:ascii="Arial" w:cs="Arial" w:eastAsia="Arial" w:hAnsi="Arial"/>
                <w:sz w:val="16"/>
                <w:szCs w:val="16"/>
                <w:color w:val="auto"/>
              </w:rPr>
            </w:pPr>
            <w:hyperlink r:id="rId234">
              <w:r>
                <w:rPr>
                  <w:rFonts w:ascii="Arial" w:cs="Arial" w:eastAsia="Arial" w:hAnsi="Arial"/>
                  <w:sz w:val="16"/>
                  <w:szCs w:val="16"/>
                  <w:color w:val="auto"/>
                </w:rPr>
                <w:t>incorporated herein by reference.</w:t>
              </w:r>
            </w:hyperlink>
          </w:p>
        </w:tc>
        <w:tc>
          <w:tcPr>
            <w:tcW w:w="14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34">
              <w:r>
                <w:rPr>
                  <w:rFonts w:ascii="Arial" w:cs="Arial" w:eastAsia="Arial" w:hAnsi="Arial"/>
                  <w:sz w:val="8"/>
                  <w:szCs w:val="8"/>
                  <w:color w:val="auto"/>
                </w:rPr>
                <w:t>(1)</w:t>
              </w:r>
            </w:hyperlink>
          </w:p>
        </w:tc>
        <w:tc>
          <w:tcPr>
            <w:tcW w:w="7420" w:type="dxa"/>
            <w:vAlign w:val="bottom"/>
            <w:tcBorders>
              <w:top w:val="single" w:sz="8" w:color="0000EE"/>
              <w:bottom w:val="single" w:sz="8" w:color="0000EE"/>
            </w:tcBorders>
            <w:gridSpan w:val="16"/>
            <w:vMerge w:val="restart"/>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742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10.20(a)</w:t>
            </w:r>
          </w:p>
        </w:tc>
        <w:tc>
          <w:tcPr>
            <w:tcW w:w="10040" w:type="dxa"/>
            <w:vAlign w:val="bottom"/>
            <w:tcBorders>
              <w:bottom w:val="single" w:sz="8" w:color="0000EE"/>
            </w:tcBorders>
            <w:gridSpan w:val="28"/>
          </w:tcPr>
          <w:p>
            <w:pPr>
              <w:spacing w:after="0"/>
              <w:rPr>
                <w:rFonts w:ascii="Arial" w:cs="Arial" w:eastAsia="Arial" w:hAnsi="Arial"/>
                <w:sz w:val="16"/>
                <w:szCs w:val="16"/>
                <w:color w:val="auto"/>
              </w:rPr>
            </w:pPr>
            <w:hyperlink r:id="rId235">
              <w:r>
                <w:rPr>
                  <w:rFonts w:ascii="Arial" w:cs="Arial" w:eastAsia="Arial" w:hAnsi="Arial"/>
                  <w:sz w:val="16"/>
                  <w:szCs w:val="16"/>
                  <w:color w:val="auto"/>
                </w:rPr>
                <w:t>Form of Time Vesting Non-Qualified Stock Option Agreement for Senior Executives, filed as Exhibit 10.9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28"/>
          </w:tcPr>
          <w:p>
            <w:pPr>
              <w:spacing w:after="0" w:line="169" w:lineRule="exact"/>
              <w:rPr>
                <w:rFonts w:ascii="Arial" w:cs="Arial" w:eastAsia="Arial" w:hAnsi="Arial"/>
                <w:sz w:val="16"/>
                <w:szCs w:val="16"/>
                <w:color w:val="auto"/>
              </w:rPr>
            </w:pPr>
            <w:hyperlink r:id="rId235">
              <w:r>
                <w:rPr>
                  <w:rFonts w:ascii="Arial" w:cs="Arial" w:eastAsia="Arial" w:hAnsi="Arial"/>
                  <w:sz w:val="16"/>
                  <w:szCs w:val="16"/>
                  <w:color w:val="auto"/>
                </w:rPr>
                <w:t>on Form 10-Q for the quarter ended June 30, 2019, filed with the Commission on July 31, 2019 (File No. 001-12984) and incorporated</w:t>
              </w:r>
            </w:hyperlink>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1400" w:type="dxa"/>
            <w:vAlign w:val="bottom"/>
            <w:tcBorders>
              <w:top w:val="single" w:sz="8" w:color="0000EE"/>
              <w:bottom w:val="single" w:sz="8" w:color="0000EE"/>
            </w:tcBorders>
            <w:gridSpan w:val="4"/>
            <w:vMerge w:val="restart"/>
          </w:tcPr>
          <w:p>
            <w:pPr>
              <w:spacing w:after="0" w:line="169" w:lineRule="exact"/>
              <w:rPr>
                <w:rFonts w:ascii="Arial" w:cs="Arial" w:eastAsia="Arial" w:hAnsi="Arial"/>
                <w:sz w:val="16"/>
                <w:szCs w:val="16"/>
                <w:color w:val="auto"/>
                <w:w w:val="95"/>
              </w:rPr>
            </w:pPr>
            <w:hyperlink r:id="rId235">
              <w:r>
                <w:rPr>
                  <w:rFonts w:ascii="Arial" w:cs="Arial" w:eastAsia="Arial" w:hAnsi="Arial"/>
                  <w:sz w:val="16"/>
                  <w:szCs w:val="16"/>
                  <w:color w:val="auto"/>
                  <w:w w:val="95"/>
                </w:rPr>
                <w:t>herein by reference.</w:t>
              </w:r>
            </w:hyperlink>
          </w:p>
        </w:tc>
        <w:tc>
          <w:tcPr>
            <w:tcW w:w="16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35">
              <w:r>
                <w:rPr>
                  <w:rFonts w:ascii="Arial" w:cs="Arial" w:eastAsia="Arial" w:hAnsi="Arial"/>
                  <w:sz w:val="8"/>
                  <w:szCs w:val="8"/>
                  <w:color w:val="auto"/>
                </w:rPr>
                <w:t>(1)</w:t>
              </w:r>
            </w:hyperlink>
          </w:p>
        </w:tc>
        <w:tc>
          <w:tcPr>
            <w:tcW w:w="8080" w:type="dxa"/>
            <w:vAlign w:val="bottom"/>
            <w:tcBorders>
              <w:top w:val="single" w:sz="8" w:color="0000EE"/>
              <w:bottom w:val="single" w:sz="8" w:color="0000EE"/>
            </w:tcBorders>
            <w:gridSpan w:val="13"/>
            <w:vMerge w:val="restart"/>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gridSpan w:val="2"/>
          </w:tcPr>
          <w:p>
            <w:pPr>
              <w:spacing w:after="0"/>
              <w:rPr>
                <w:sz w:val="7"/>
                <w:szCs w:val="7"/>
                <w:color w:val="auto"/>
              </w:rPr>
            </w:pPr>
          </w:p>
        </w:tc>
        <w:tc>
          <w:tcPr>
            <w:tcW w:w="240" w:type="dxa"/>
            <w:vAlign w:val="bottom"/>
            <w:gridSpan w:val="5"/>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1400" w:type="dxa"/>
            <w:vAlign w:val="bottom"/>
            <w:tcBorders>
              <w:bottom w:val="single" w:sz="8" w:color="0000EE"/>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80" w:type="dxa"/>
            <w:vAlign w:val="bottom"/>
            <w:gridSpan w:val="13"/>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10.21</w:t>
            </w:r>
          </w:p>
        </w:tc>
        <w:tc>
          <w:tcPr>
            <w:tcW w:w="9380" w:type="dxa"/>
            <w:vAlign w:val="bottom"/>
            <w:tcBorders>
              <w:bottom w:val="single" w:sz="8" w:color="0000EE"/>
            </w:tcBorders>
            <w:gridSpan w:val="15"/>
          </w:tcPr>
          <w:p>
            <w:pPr>
              <w:spacing w:after="0"/>
              <w:rPr>
                <w:rFonts w:ascii="Arial" w:cs="Arial" w:eastAsia="Arial" w:hAnsi="Arial"/>
                <w:sz w:val="16"/>
                <w:szCs w:val="16"/>
                <w:color w:val="auto"/>
              </w:rPr>
            </w:pPr>
            <w:hyperlink r:id="rId236">
              <w:r>
                <w:rPr>
                  <w:rFonts w:ascii="Arial" w:cs="Arial" w:eastAsia="Arial" w:hAnsi="Arial"/>
                  <w:sz w:val="16"/>
                  <w:szCs w:val="16"/>
                  <w:color w:val="auto"/>
                </w:rPr>
                <w:t>Form of Performance Vesting Non-Qualified Stock Option Agreement for Senior Executives, filed as Exhibit 10.3 to the Company’s</w:t>
              </w:r>
            </w:hyperlink>
          </w:p>
        </w:tc>
        <w:tc>
          <w:tcPr>
            <w:tcW w:w="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28"/>
          </w:tcPr>
          <w:p>
            <w:pPr>
              <w:spacing w:after="0" w:line="169" w:lineRule="exact"/>
              <w:rPr>
                <w:rFonts w:ascii="Arial" w:cs="Arial" w:eastAsia="Arial" w:hAnsi="Arial"/>
                <w:sz w:val="16"/>
                <w:szCs w:val="16"/>
                <w:color w:val="auto"/>
              </w:rPr>
            </w:pPr>
            <w:hyperlink r:id="rId236">
              <w:r>
                <w:rPr>
                  <w:rFonts w:ascii="Arial" w:cs="Arial" w:eastAsia="Arial" w:hAnsi="Arial"/>
                  <w:sz w:val="16"/>
                  <w:szCs w:val="16"/>
                  <w:color w:val="auto"/>
                </w:rPr>
                <w:t>Quarterly Report on Form 10-Q for the quarter ended June 30, 2020, filed with the Commission on July 31, 2020 (File No. 001-12984) and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40" w:type="dxa"/>
            <w:vAlign w:val="bottom"/>
            <w:tcBorders>
              <w:top w:val="single" w:sz="8" w:color="0000EE"/>
            </w:tcBorders>
            <w:gridSpan w:val="24"/>
          </w:tcPr>
          <w:p>
            <w:pPr>
              <w:spacing w:after="0" w:line="169" w:lineRule="exact"/>
              <w:rPr>
                <w:rFonts w:ascii="Arial" w:cs="Arial" w:eastAsia="Arial" w:hAnsi="Arial"/>
                <w:sz w:val="15"/>
                <w:szCs w:val="15"/>
                <w:color w:val="auto"/>
              </w:rPr>
            </w:pPr>
            <w:hyperlink r:id="rId236">
              <w:r>
                <w:rPr>
                  <w:rFonts w:ascii="Arial" w:cs="Arial" w:eastAsia="Arial" w:hAnsi="Arial"/>
                  <w:sz w:val="15"/>
                  <w:szCs w:val="15"/>
                  <w:color w:val="auto"/>
                </w:rPr>
                <w:t>incorporated herein by reference.</w:t>
              </w:r>
              <w:r>
                <w:rPr>
                  <w:rFonts w:ascii="Arial" w:cs="Arial" w:eastAsia="Arial" w:hAnsi="Arial"/>
                  <w:sz w:val="19"/>
                  <w:szCs w:val="19"/>
                  <w:color w:val="auto"/>
                  <w:vertAlign w:val="superscript"/>
                </w:rPr>
                <w:t>(1)</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10.21(a)</w:t>
            </w:r>
          </w:p>
        </w:tc>
        <w:tc>
          <w:tcPr>
            <w:tcW w:w="10040" w:type="dxa"/>
            <w:vAlign w:val="bottom"/>
            <w:tcBorders>
              <w:bottom w:val="single" w:sz="8" w:color="0000EE"/>
            </w:tcBorders>
            <w:gridSpan w:val="28"/>
          </w:tcPr>
          <w:p>
            <w:pPr>
              <w:spacing w:after="0"/>
              <w:rPr>
                <w:rFonts w:ascii="Arial" w:cs="Arial" w:eastAsia="Arial" w:hAnsi="Arial"/>
                <w:sz w:val="16"/>
                <w:szCs w:val="16"/>
                <w:color w:val="auto"/>
              </w:rPr>
            </w:pPr>
            <w:hyperlink r:id="rId237">
              <w:r>
                <w:rPr>
                  <w:rFonts w:ascii="Arial" w:cs="Arial" w:eastAsia="Arial" w:hAnsi="Arial"/>
                  <w:sz w:val="16"/>
                  <w:szCs w:val="16"/>
                  <w:color w:val="auto"/>
                </w:rPr>
                <w:t>Form of Time Vesting Non-Qualified Stock Option Agreement for Senior Executives, filed as Exhibit 10.4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28"/>
          </w:tcPr>
          <w:p>
            <w:pPr>
              <w:spacing w:after="0" w:line="169" w:lineRule="exact"/>
              <w:rPr>
                <w:rFonts w:ascii="Arial" w:cs="Arial" w:eastAsia="Arial" w:hAnsi="Arial"/>
                <w:sz w:val="16"/>
                <w:szCs w:val="16"/>
                <w:color w:val="auto"/>
              </w:rPr>
            </w:pPr>
            <w:hyperlink r:id="rId237">
              <w:r>
                <w:rPr>
                  <w:rFonts w:ascii="Arial" w:cs="Arial" w:eastAsia="Arial" w:hAnsi="Arial"/>
                  <w:sz w:val="16"/>
                  <w:szCs w:val="16"/>
                  <w:color w:val="auto"/>
                </w:rPr>
                <w:t>on Form 10-Q for the quarter ended June 30, 2020, filed with the Commission on July 31, 2020 (File No. 001-12984) and incorporated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40" w:type="dxa"/>
            <w:vAlign w:val="bottom"/>
            <w:tcBorders>
              <w:top w:val="single" w:sz="8" w:color="0000EE"/>
            </w:tcBorders>
            <w:gridSpan w:val="18"/>
          </w:tcPr>
          <w:p>
            <w:pPr>
              <w:spacing w:after="0" w:line="169" w:lineRule="exact"/>
              <w:rPr>
                <w:rFonts w:ascii="Arial" w:cs="Arial" w:eastAsia="Arial" w:hAnsi="Arial"/>
                <w:sz w:val="15"/>
                <w:szCs w:val="15"/>
                <w:color w:val="auto"/>
              </w:rPr>
            </w:pPr>
            <w:hyperlink r:id="rId237">
              <w:r>
                <w:rPr>
                  <w:rFonts w:ascii="Arial" w:cs="Arial" w:eastAsia="Arial" w:hAnsi="Arial"/>
                  <w:sz w:val="15"/>
                  <w:szCs w:val="15"/>
                  <w:color w:val="auto"/>
                </w:rPr>
                <w:t>herein by reference.</w:t>
              </w:r>
              <w:r>
                <w:rPr>
                  <w:rFonts w:ascii="Arial" w:cs="Arial" w:eastAsia="Arial" w:hAnsi="Arial"/>
                  <w:sz w:val="19"/>
                  <w:szCs w:val="19"/>
                  <w:color w:val="auto"/>
                  <w:vertAlign w:val="superscript"/>
                </w:rPr>
                <w:t>(1)</w:t>
              </w:r>
            </w:hyperlink>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10.22</w:t>
            </w:r>
          </w:p>
        </w:tc>
        <w:tc>
          <w:tcPr>
            <w:tcW w:w="9400" w:type="dxa"/>
            <w:vAlign w:val="bottom"/>
            <w:tcBorders>
              <w:bottom w:val="single" w:sz="8" w:color="0000EE"/>
            </w:tcBorders>
            <w:gridSpan w:val="16"/>
          </w:tcPr>
          <w:p>
            <w:pPr>
              <w:spacing w:after="0"/>
              <w:rPr>
                <w:rFonts w:ascii="Arial" w:cs="Arial" w:eastAsia="Arial" w:hAnsi="Arial"/>
                <w:sz w:val="16"/>
                <w:szCs w:val="16"/>
                <w:color w:val="auto"/>
              </w:rPr>
            </w:pPr>
            <w:hyperlink r:id="rId238">
              <w:r>
                <w:rPr>
                  <w:rFonts w:ascii="Arial" w:cs="Arial" w:eastAsia="Arial" w:hAnsi="Arial"/>
                  <w:sz w:val="16"/>
                  <w:szCs w:val="16"/>
                  <w:color w:val="auto"/>
                </w:rPr>
                <w:t>Amended and Restated Eagle Materials Inc. Employee Severance Plan and Summary Plan Description, filed as Exhibit 10.2 to the</w:t>
              </w:r>
            </w:hyperlink>
          </w:p>
        </w:tc>
        <w:tc>
          <w:tcPr>
            <w:tcW w:w="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28"/>
          </w:tcPr>
          <w:p>
            <w:pPr>
              <w:spacing w:after="0" w:line="169" w:lineRule="exact"/>
              <w:rPr>
                <w:rFonts w:ascii="Arial" w:cs="Arial" w:eastAsia="Arial" w:hAnsi="Arial"/>
                <w:sz w:val="16"/>
                <w:szCs w:val="16"/>
                <w:color w:val="auto"/>
              </w:rPr>
            </w:pPr>
            <w:hyperlink r:id="rId238">
              <w:r>
                <w:rPr>
                  <w:rFonts w:ascii="Arial" w:cs="Arial" w:eastAsia="Arial" w:hAnsi="Arial"/>
                  <w:sz w:val="16"/>
                  <w:szCs w:val="16"/>
                  <w:color w:val="auto"/>
                </w:rPr>
                <w:t>Company’s Quarterly Report on Form 10-Q for the quarter ended December 31, 2020, filed with the Commission on January 28, 2021 (File</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00" w:type="dxa"/>
            <w:vAlign w:val="bottom"/>
            <w:tcBorders>
              <w:top w:val="single" w:sz="8" w:color="0000EE"/>
            </w:tcBorders>
            <w:gridSpan w:val="26"/>
          </w:tcPr>
          <w:p>
            <w:pPr>
              <w:spacing w:after="0" w:line="169" w:lineRule="exact"/>
              <w:rPr>
                <w:rFonts w:ascii="Arial" w:cs="Arial" w:eastAsia="Arial" w:hAnsi="Arial"/>
                <w:sz w:val="15"/>
                <w:szCs w:val="15"/>
                <w:color w:val="auto"/>
              </w:rPr>
            </w:pPr>
            <w:hyperlink r:id="rId238">
              <w:r>
                <w:rPr>
                  <w:rFonts w:ascii="Arial" w:cs="Arial" w:eastAsia="Arial" w:hAnsi="Arial"/>
                  <w:sz w:val="15"/>
                  <w:szCs w:val="15"/>
                  <w:color w:val="auto"/>
                </w:rPr>
                <w:t>No. 001-12984) and incorporated herein by reference.</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10.25</w:t>
            </w:r>
          </w:p>
        </w:tc>
        <w:tc>
          <w:tcPr>
            <w:tcW w:w="10040" w:type="dxa"/>
            <w:vAlign w:val="bottom"/>
            <w:gridSpan w:val="28"/>
          </w:tcPr>
          <w:p>
            <w:pPr>
              <w:spacing w:after="0"/>
              <w:rPr>
                <w:rFonts w:ascii="Arial" w:cs="Arial" w:eastAsia="Arial" w:hAnsi="Arial"/>
                <w:sz w:val="16"/>
                <w:szCs w:val="16"/>
                <w:color w:val="auto"/>
              </w:rPr>
            </w:pPr>
            <w:hyperlink r:id="rId239">
              <w:r>
                <w:rPr>
                  <w:rFonts w:ascii="Arial" w:cs="Arial" w:eastAsia="Arial" w:hAnsi="Arial"/>
                  <w:sz w:val="16"/>
                  <w:szCs w:val="16"/>
                  <w:color w:val="auto"/>
                </w:rPr>
                <w:t>Eagle Materials Inc. Director Compensation Summary filed as Exhibit 10.1 to the Company’s Quarterly Report on Form 10-Q for the quarter</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20" w:type="dxa"/>
            <w:vAlign w:val="bottom"/>
            <w:tcBorders>
              <w:top w:val="single" w:sz="8" w:color="0000EE"/>
            </w:tcBorders>
            <w:gridSpan w:val="27"/>
          </w:tcPr>
          <w:p>
            <w:pPr>
              <w:spacing w:after="0" w:line="169" w:lineRule="exact"/>
              <w:rPr>
                <w:rFonts w:ascii="Arial" w:cs="Arial" w:eastAsia="Arial" w:hAnsi="Arial"/>
                <w:sz w:val="15"/>
                <w:szCs w:val="15"/>
                <w:color w:val="auto"/>
              </w:rPr>
            </w:pPr>
            <w:hyperlink r:id="rId239">
              <w:r>
                <w:rPr>
                  <w:rFonts w:ascii="Arial" w:cs="Arial" w:eastAsia="Arial" w:hAnsi="Arial"/>
                  <w:sz w:val="15"/>
                  <w:szCs w:val="15"/>
                  <w:color w:val="auto"/>
                </w:rPr>
                <w:t>ended September 30, 2024, filed with the Commission on October 29, 2024 (File No. 001-12984) and incorporated herein by reference.</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10.26</w:t>
            </w:r>
          </w:p>
        </w:tc>
        <w:tc>
          <w:tcPr>
            <w:tcW w:w="10040" w:type="dxa"/>
            <w:vAlign w:val="bottom"/>
            <w:gridSpan w:val="28"/>
          </w:tcPr>
          <w:p>
            <w:pPr>
              <w:spacing w:after="0"/>
              <w:rPr>
                <w:rFonts w:ascii="Arial" w:cs="Arial" w:eastAsia="Arial" w:hAnsi="Arial"/>
                <w:sz w:val="16"/>
                <w:szCs w:val="16"/>
                <w:color w:val="auto"/>
              </w:rPr>
            </w:pPr>
            <w:hyperlink r:id="rId240">
              <w:r>
                <w:rPr>
                  <w:rFonts w:ascii="Arial" w:cs="Arial" w:eastAsia="Arial" w:hAnsi="Arial"/>
                  <w:sz w:val="16"/>
                  <w:szCs w:val="16"/>
                  <w:color w:val="auto"/>
                </w:rPr>
                <w:t>Form of Non-Qualified Stock Option Agreement for Non-Employee Directors, filed as Exhibit 10.3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60" w:type="dxa"/>
            <w:vAlign w:val="bottom"/>
            <w:tcBorders>
              <w:top w:val="single" w:sz="8" w:color="0000EE"/>
            </w:tcBorders>
            <w:gridSpan w:val="21"/>
          </w:tcPr>
          <w:p>
            <w:pPr>
              <w:spacing w:after="0" w:line="169" w:lineRule="exact"/>
              <w:rPr>
                <w:rFonts w:ascii="Arial" w:cs="Arial" w:eastAsia="Arial" w:hAnsi="Arial"/>
                <w:sz w:val="16"/>
                <w:szCs w:val="16"/>
                <w:color w:val="auto"/>
              </w:rPr>
            </w:pPr>
            <w:hyperlink r:id="rId240">
              <w:r>
                <w:rPr>
                  <w:rFonts w:ascii="Arial" w:cs="Arial" w:eastAsia="Arial" w:hAnsi="Arial"/>
                  <w:sz w:val="16"/>
                  <w:szCs w:val="16"/>
                  <w:color w:val="auto"/>
                </w:rPr>
                <w:t>Form 10-Q for the quarter ended September 30, 2025, filed with the Commission on October 30, 2025 (File No. 001-12984) and</w:t>
              </w:r>
            </w:hyperlink>
          </w:p>
        </w:tc>
        <w:tc>
          <w:tcPr>
            <w:tcW w:w="2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7"/>
            <w:vMerge w:val="restart"/>
          </w:tcPr>
          <w:p>
            <w:pPr>
              <w:spacing w:after="0" w:line="169" w:lineRule="exact"/>
              <w:rPr>
                <w:rFonts w:ascii="Arial" w:cs="Arial" w:eastAsia="Arial" w:hAnsi="Arial"/>
                <w:sz w:val="16"/>
                <w:szCs w:val="16"/>
                <w:color w:val="auto"/>
              </w:rPr>
            </w:pPr>
            <w:hyperlink r:id="rId240">
              <w:r>
                <w:rPr>
                  <w:rFonts w:ascii="Arial" w:cs="Arial" w:eastAsia="Arial" w:hAnsi="Arial"/>
                  <w:sz w:val="16"/>
                  <w:szCs w:val="16"/>
                  <w:color w:val="auto"/>
                </w:rPr>
                <w:t>incorporated herein by reference.</w:t>
              </w:r>
            </w:hyperlink>
          </w:p>
        </w:tc>
        <w:tc>
          <w:tcPr>
            <w:tcW w:w="14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40">
              <w:r>
                <w:rPr>
                  <w:rFonts w:ascii="Arial" w:cs="Arial" w:eastAsia="Arial" w:hAnsi="Arial"/>
                  <w:sz w:val="8"/>
                  <w:szCs w:val="8"/>
                  <w:color w:val="auto"/>
                </w:rPr>
                <w:t>(1)</w:t>
              </w:r>
            </w:hyperlink>
          </w:p>
        </w:tc>
        <w:tc>
          <w:tcPr>
            <w:tcW w:w="6660" w:type="dxa"/>
            <w:vAlign w:val="bottom"/>
            <w:tcBorders>
              <w:top w:val="single" w:sz="8" w:color="0000EE"/>
              <w:bottom w:val="single" w:sz="8" w:color="0000EE"/>
            </w:tcBorders>
            <w:gridSpan w:val="6"/>
            <w:vMerge w:val="restart"/>
          </w:tcPr>
          <w:p>
            <w:pPr>
              <w:spacing w:after="0"/>
              <w:rPr>
                <w:sz w:val="7"/>
                <w:szCs w:val="7"/>
                <w:color w:val="auto"/>
              </w:rPr>
            </w:pPr>
          </w:p>
        </w:tc>
        <w:tc>
          <w:tcPr>
            <w:tcW w:w="860" w:type="dxa"/>
            <w:vAlign w:val="bottom"/>
            <w:gridSpan w:val="14"/>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666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10.29</w:t>
            </w:r>
          </w:p>
        </w:tc>
        <w:tc>
          <w:tcPr>
            <w:tcW w:w="9380" w:type="dxa"/>
            <w:vAlign w:val="bottom"/>
            <w:tcBorders>
              <w:bottom w:val="single" w:sz="8" w:color="0000EE"/>
            </w:tcBorders>
            <w:gridSpan w:val="15"/>
          </w:tcPr>
          <w:p>
            <w:pPr>
              <w:spacing w:after="0"/>
              <w:rPr>
                <w:rFonts w:ascii="Arial" w:cs="Arial" w:eastAsia="Arial" w:hAnsi="Arial"/>
                <w:sz w:val="16"/>
                <w:szCs w:val="16"/>
                <w:color w:val="auto"/>
              </w:rPr>
            </w:pPr>
            <w:hyperlink r:id="rId241">
              <w:r>
                <w:rPr>
                  <w:rFonts w:ascii="Arial" w:cs="Arial" w:eastAsia="Arial" w:hAnsi="Arial"/>
                  <w:sz w:val="16"/>
                  <w:szCs w:val="16"/>
                  <w:color w:val="auto"/>
                </w:rPr>
                <w:t>Form of Performance Vesting Non-Qualified Stock Option Agreement for Senior Executives, filed as Exhibit 10.7 to the Company’s</w:t>
              </w:r>
            </w:hyperlink>
          </w:p>
        </w:tc>
        <w:tc>
          <w:tcPr>
            <w:tcW w:w="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28"/>
          </w:tcPr>
          <w:p>
            <w:pPr>
              <w:spacing w:after="0" w:line="169" w:lineRule="exact"/>
              <w:rPr>
                <w:rFonts w:ascii="Arial" w:cs="Arial" w:eastAsia="Arial" w:hAnsi="Arial"/>
                <w:sz w:val="16"/>
                <w:szCs w:val="16"/>
                <w:color w:val="auto"/>
              </w:rPr>
            </w:pPr>
            <w:hyperlink r:id="rId241">
              <w:r>
                <w:rPr>
                  <w:rFonts w:ascii="Arial" w:cs="Arial" w:eastAsia="Arial" w:hAnsi="Arial"/>
                  <w:sz w:val="16"/>
                  <w:szCs w:val="16"/>
                  <w:color w:val="auto"/>
                </w:rPr>
                <w:t>Quarterly Report on Form 10-Q for the quarter ended June 30, 2022, filed with the Commission on July 28, 2022 (File No. 001-12984) and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40" w:type="dxa"/>
            <w:vAlign w:val="bottom"/>
            <w:tcBorders>
              <w:top w:val="single" w:sz="8" w:color="0000EE"/>
            </w:tcBorders>
            <w:gridSpan w:val="24"/>
          </w:tcPr>
          <w:p>
            <w:pPr>
              <w:spacing w:after="0" w:line="169" w:lineRule="exact"/>
              <w:rPr>
                <w:rFonts w:ascii="Arial" w:cs="Arial" w:eastAsia="Arial" w:hAnsi="Arial"/>
                <w:sz w:val="15"/>
                <w:szCs w:val="15"/>
                <w:color w:val="auto"/>
              </w:rPr>
            </w:pPr>
            <w:hyperlink r:id="rId241">
              <w:r>
                <w:rPr>
                  <w:rFonts w:ascii="Arial" w:cs="Arial" w:eastAsia="Arial" w:hAnsi="Arial"/>
                  <w:sz w:val="15"/>
                  <w:szCs w:val="15"/>
                  <w:color w:val="auto"/>
                </w:rPr>
                <w:t>incorporated herein by reference.</w:t>
              </w:r>
              <w:r>
                <w:rPr>
                  <w:rFonts w:ascii="Arial" w:cs="Arial" w:eastAsia="Arial" w:hAnsi="Arial"/>
                  <w:sz w:val="19"/>
                  <w:szCs w:val="19"/>
                  <w:color w:val="auto"/>
                  <w:vertAlign w:val="superscript"/>
                </w:rPr>
                <w:t>(1)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35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10.30</w:t>
            </w:r>
          </w:p>
        </w:tc>
        <w:tc>
          <w:tcPr>
            <w:tcW w:w="10040" w:type="dxa"/>
            <w:vAlign w:val="bottom"/>
            <w:tcBorders>
              <w:bottom w:val="single" w:sz="8" w:color="0000EE"/>
            </w:tcBorders>
            <w:gridSpan w:val="28"/>
          </w:tcPr>
          <w:p>
            <w:pPr>
              <w:spacing w:after="0"/>
              <w:rPr>
                <w:rFonts w:ascii="Arial" w:cs="Arial" w:eastAsia="Arial" w:hAnsi="Arial"/>
                <w:sz w:val="16"/>
                <w:szCs w:val="16"/>
                <w:color w:val="auto"/>
              </w:rPr>
            </w:pPr>
            <w:hyperlink r:id="rId242">
              <w:r>
                <w:rPr>
                  <w:rFonts w:ascii="Arial" w:cs="Arial" w:eastAsia="Arial" w:hAnsi="Arial"/>
                  <w:sz w:val="16"/>
                  <w:szCs w:val="16"/>
                  <w:color w:val="auto"/>
                </w:rPr>
                <w:t>Form of Time Vesting Non-Qualified Stock Option Agreement for Senior Executives, filed as Exhibit 10.8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gridSpan w:val="28"/>
          </w:tcPr>
          <w:p>
            <w:pPr>
              <w:spacing w:after="0" w:line="169" w:lineRule="exact"/>
              <w:rPr>
                <w:rFonts w:ascii="Arial" w:cs="Arial" w:eastAsia="Arial" w:hAnsi="Arial"/>
                <w:sz w:val="16"/>
                <w:szCs w:val="16"/>
                <w:color w:val="auto"/>
              </w:rPr>
            </w:pPr>
            <w:hyperlink r:id="rId242">
              <w:r>
                <w:rPr>
                  <w:rFonts w:ascii="Arial" w:cs="Arial" w:eastAsia="Arial" w:hAnsi="Arial"/>
                  <w:sz w:val="16"/>
                  <w:szCs w:val="16"/>
                  <w:color w:val="auto"/>
                </w:rPr>
                <w:t>on Form 10-Q for the quarter ended June 30, 2022, filed with the Commission on July 28, 2022 (File No. 001-12984) and incorporated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40" w:type="dxa"/>
            <w:vAlign w:val="bottom"/>
            <w:tcBorders>
              <w:top w:val="single" w:sz="8" w:color="0000EE"/>
            </w:tcBorders>
            <w:gridSpan w:val="18"/>
          </w:tcPr>
          <w:p>
            <w:pPr>
              <w:spacing w:after="0" w:line="169" w:lineRule="exact"/>
              <w:rPr>
                <w:rFonts w:ascii="Arial" w:cs="Arial" w:eastAsia="Arial" w:hAnsi="Arial"/>
                <w:sz w:val="15"/>
                <w:szCs w:val="15"/>
                <w:color w:val="auto"/>
              </w:rPr>
            </w:pPr>
            <w:hyperlink r:id="rId242">
              <w:r>
                <w:rPr>
                  <w:rFonts w:ascii="Arial" w:cs="Arial" w:eastAsia="Arial" w:hAnsi="Arial"/>
                  <w:sz w:val="15"/>
                  <w:szCs w:val="15"/>
                  <w:color w:val="auto"/>
                </w:rPr>
                <w:t>herein by reference.</w:t>
              </w:r>
              <w:r>
                <w:rPr>
                  <w:rFonts w:ascii="Arial" w:cs="Arial" w:eastAsia="Arial" w:hAnsi="Arial"/>
                  <w:sz w:val="19"/>
                  <w:szCs w:val="19"/>
                  <w:color w:val="auto"/>
                  <w:vertAlign w:val="superscript"/>
                </w:rPr>
                <w:t>(1)</w:t>
              </w:r>
            </w:hyperlink>
          </w:p>
        </w:tc>
        <w:tc>
          <w:tcPr>
            <w:tcW w:w="4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color w:val="auto"/>
              </w:rPr>
              <w:t>10.31</w:t>
            </w:r>
          </w:p>
        </w:tc>
        <w:tc>
          <w:tcPr>
            <w:tcW w:w="10060" w:type="dxa"/>
            <w:vAlign w:val="bottom"/>
            <w:gridSpan w:val="30"/>
          </w:tcPr>
          <w:p>
            <w:pPr>
              <w:spacing w:after="0"/>
              <w:rPr>
                <w:rFonts w:ascii="Arial" w:cs="Arial" w:eastAsia="Arial" w:hAnsi="Arial"/>
                <w:sz w:val="16"/>
                <w:szCs w:val="16"/>
                <w:color w:val="auto"/>
              </w:rPr>
            </w:pPr>
            <w:hyperlink r:id="rId244">
              <w:r>
                <w:rPr>
                  <w:rFonts w:ascii="Arial" w:cs="Arial" w:eastAsia="Arial" w:hAnsi="Arial"/>
                  <w:sz w:val="16"/>
                  <w:szCs w:val="16"/>
                  <w:color w:val="auto"/>
                </w:rPr>
                <w:t>Form of Non-Qualified Stock Option Agreement for Non-Employee Directors, filed as Exhibit 10.3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6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44">
              <w:r>
                <w:rPr>
                  <w:rFonts w:ascii="Arial" w:cs="Arial" w:eastAsia="Arial" w:hAnsi="Arial"/>
                  <w:sz w:val="16"/>
                  <w:szCs w:val="16"/>
                  <w:color w:val="auto"/>
                </w:rPr>
                <w:t>Form 10-Q for the quarter ended September 30, 2022, filed with the Commission on October 26, 2022 (File No. 001-12984)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180" w:type="dxa"/>
            <w:vAlign w:val="bottom"/>
            <w:tcBorders>
              <w:top w:val="single" w:sz="8" w:color="0000EE"/>
            </w:tcBorders>
            <w:gridSpan w:val="13"/>
          </w:tcPr>
          <w:p>
            <w:pPr>
              <w:spacing w:after="0" w:line="169" w:lineRule="exact"/>
              <w:rPr>
                <w:rFonts w:ascii="Arial" w:cs="Arial" w:eastAsia="Arial" w:hAnsi="Arial"/>
                <w:sz w:val="15"/>
                <w:szCs w:val="15"/>
                <w:color w:val="auto"/>
              </w:rPr>
            </w:pPr>
            <w:hyperlink r:id="rId244">
              <w:r>
                <w:rPr>
                  <w:rFonts w:ascii="Arial" w:cs="Arial" w:eastAsia="Arial" w:hAnsi="Arial"/>
                  <w:sz w:val="15"/>
                  <w:szCs w:val="15"/>
                  <w:color w:val="auto"/>
                </w:rPr>
                <w:t>incorporated herein by reference.</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10.35</w:t>
            </w:r>
          </w:p>
        </w:tc>
        <w:tc>
          <w:tcPr>
            <w:tcW w:w="10060" w:type="dxa"/>
            <w:vAlign w:val="bottom"/>
            <w:gridSpan w:val="30"/>
          </w:tcPr>
          <w:p>
            <w:pPr>
              <w:spacing w:after="0"/>
              <w:rPr>
                <w:rFonts w:ascii="Arial" w:cs="Arial" w:eastAsia="Arial" w:hAnsi="Arial"/>
                <w:sz w:val="16"/>
                <w:szCs w:val="16"/>
                <w:color w:val="auto"/>
              </w:rPr>
            </w:pPr>
            <w:hyperlink r:id="rId245">
              <w:r>
                <w:rPr>
                  <w:rFonts w:ascii="Arial" w:cs="Arial" w:eastAsia="Arial" w:hAnsi="Arial"/>
                  <w:sz w:val="16"/>
                  <w:szCs w:val="16"/>
                  <w:color w:val="auto"/>
                </w:rPr>
                <w:t>Form of Director Stock Option Agreement, filed as Exhibit 10.3 to the Company’s Quarterly Report on Form 10-Q for the quarter ended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80" w:type="dxa"/>
            <w:vAlign w:val="bottom"/>
            <w:tcBorders>
              <w:top w:val="single" w:sz="8" w:color="0000EE"/>
            </w:tcBorders>
            <w:gridSpan w:val="19"/>
          </w:tcPr>
          <w:p>
            <w:pPr>
              <w:spacing w:after="0" w:line="169" w:lineRule="exact"/>
              <w:rPr>
                <w:rFonts w:ascii="Arial" w:cs="Arial" w:eastAsia="Arial" w:hAnsi="Arial"/>
                <w:sz w:val="15"/>
                <w:szCs w:val="15"/>
                <w:color w:val="auto"/>
              </w:rPr>
            </w:pPr>
            <w:hyperlink r:id="rId245">
              <w:r>
                <w:rPr>
                  <w:rFonts w:ascii="Arial" w:cs="Arial" w:eastAsia="Arial" w:hAnsi="Arial"/>
                  <w:sz w:val="15"/>
                  <w:szCs w:val="15"/>
                  <w:color w:val="auto"/>
                </w:rPr>
                <w:t>September 30, 2023, filed with the Commission on October 26, 2023 (File No. 001-12984) and incorporated herein by reference.</w:t>
              </w:r>
              <w:r>
                <w:rPr>
                  <w:rFonts w:ascii="Arial" w:cs="Arial" w:eastAsia="Arial" w:hAnsi="Arial"/>
                  <w:sz w:val="19"/>
                  <w:szCs w:val="19"/>
                  <w:color w:val="auto"/>
                  <w:vertAlign w:val="superscript"/>
                </w:rPr>
                <w:t>(1)</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10.36</w:t>
            </w:r>
          </w:p>
        </w:tc>
        <w:tc>
          <w:tcPr>
            <w:tcW w:w="10060" w:type="dxa"/>
            <w:vAlign w:val="bottom"/>
            <w:gridSpan w:val="30"/>
          </w:tcPr>
          <w:p>
            <w:pPr>
              <w:spacing w:after="0"/>
              <w:rPr>
                <w:rFonts w:ascii="Arial" w:cs="Arial" w:eastAsia="Arial" w:hAnsi="Arial"/>
                <w:sz w:val="16"/>
                <w:szCs w:val="16"/>
                <w:color w:val="auto"/>
              </w:rPr>
            </w:pPr>
            <w:hyperlink r:id="rId246">
              <w:r>
                <w:rPr>
                  <w:rFonts w:ascii="Arial" w:cs="Arial" w:eastAsia="Arial" w:hAnsi="Arial"/>
                  <w:sz w:val="16"/>
                  <w:szCs w:val="16"/>
                  <w:color w:val="auto"/>
                </w:rPr>
                <w:t>Form of Time Vesting Restricted Stock Unit Agreement for Senior Executives, filed as Exhibit 10.1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820" w:type="dxa"/>
            <w:vAlign w:val="bottom"/>
            <w:tcBorders>
              <w:top w:val="single" w:sz="8" w:color="0000EE"/>
              <w:bottom w:val="single" w:sz="8" w:color="0000EE"/>
            </w:tcBorders>
            <w:gridSpan w:val="23"/>
          </w:tcPr>
          <w:p>
            <w:pPr>
              <w:spacing w:after="0" w:line="169" w:lineRule="exact"/>
              <w:rPr>
                <w:rFonts w:ascii="Arial" w:cs="Arial" w:eastAsia="Arial" w:hAnsi="Arial"/>
                <w:sz w:val="16"/>
                <w:szCs w:val="16"/>
                <w:color w:val="auto"/>
              </w:rPr>
            </w:pPr>
            <w:hyperlink r:id="rId246">
              <w:r>
                <w:rPr>
                  <w:rFonts w:ascii="Arial" w:cs="Arial" w:eastAsia="Arial" w:hAnsi="Arial"/>
                  <w:sz w:val="16"/>
                  <w:szCs w:val="16"/>
                  <w:color w:val="auto"/>
                </w:rPr>
                <w:t>Form 10-Q for the quarter ended June 30, 2024, filed with the Commission on July 30, 2024 (File No. 001-12984) and incorporated herein</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940" w:type="dxa"/>
            <w:vAlign w:val="bottom"/>
            <w:gridSpan w:val="4"/>
            <w:vMerge w:val="restart"/>
          </w:tcPr>
          <w:p>
            <w:pPr>
              <w:spacing w:after="0" w:line="169" w:lineRule="exact"/>
              <w:rPr>
                <w:rFonts w:ascii="Arial" w:cs="Arial" w:eastAsia="Arial" w:hAnsi="Arial"/>
                <w:sz w:val="16"/>
                <w:szCs w:val="16"/>
                <w:color w:val="auto"/>
                <w:w w:val="98"/>
              </w:rPr>
            </w:pPr>
            <w:hyperlink r:id="rId246">
              <w:r>
                <w:rPr>
                  <w:rFonts w:ascii="Arial" w:cs="Arial" w:eastAsia="Arial" w:hAnsi="Arial"/>
                  <w:sz w:val="16"/>
                  <w:szCs w:val="16"/>
                  <w:color w:val="auto"/>
                  <w:w w:val="98"/>
                </w:rPr>
                <w:t>by reference.</w:t>
              </w:r>
            </w:hyperlink>
          </w:p>
        </w:tc>
        <w:tc>
          <w:tcPr>
            <w:tcW w:w="14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46">
              <w:r>
                <w:rPr>
                  <w:rFonts w:ascii="Arial" w:cs="Arial" w:eastAsia="Arial" w:hAnsi="Arial"/>
                  <w:sz w:val="8"/>
                  <w:szCs w:val="8"/>
                  <w:color w:val="auto"/>
                </w:rPr>
                <w:t>(1)</w:t>
              </w:r>
            </w:hyperlink>
          </w:p>
        </w:tc>
        <w:tc>
          <w:tcPr>
            <w:tcW w:w="1440" w:type="dxa"/>
            <w:vAlign w:val="bottom"/>
            <w:gridSpan w:val="4"/>
            <w:vMerge w:val="restart"/>
          </w:tcPr>
          <w:p>
            <w:pPr>
              <w:spacing w:after="0"/>
              <w:rPr>
                <w:sz w:val="7"/>
                <w:szCs w:val="7"/>
                <w:color w:val="auto"/>
              </w:rPr>
            </w:pPr>
          </w:p>
        </w:tc>
        <w:tc>
          <w:tcPr>
            <w:tcW w:w="7380" w:type="dxa"/>
            <w:vAlign w:val="bottom"/>
            <w:gridSpan w:val="17"/>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940" w:type="dxa"/>
            <w:vAlign w:val="bottom"/>
            <w:tcBorders>
              <w:bottom w:val="single" w:sz="8" w:color="0000EE"/>
            </w:tcBorders>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7380" w:type="dxa"/>
            <w:vAlign w:val="bottom"/>
            <w:gridSpan w:val="17"/>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10.37</w:t>
            </w:r>
          </w:p>
        </w:tc>
        <w:tc>
          <w:tcPr>
            <w:tcW w:w="10060" w:type="dxa"/>
            <w:vAlign w:val="bottom"/>
            <w:gridSpan w:val="30"/>
          </w:tcPr>
          <w:p>
            <w:pPr>
              <w:spacing w:after="0"/>
              <w:rPr>
                <w:rFonts w:ascii="Arial" w:cs="Arial" w:eastAsia="Arial" w:hAnsi="Arial"/>
                <w:sz w:val="16"/>
                <w:szCs w:val="16"/>
                <w:color w:val="auto"/>
              </w:rPr>
            </w:pPr>
            <w:hyperlink r:id="rId247">
              <w:r>
                <w:rPr>
                  <w:rFonts w:ascii="Arial" w:cs="Arial" w:eastAsia="Arial" w:hAnsi="Arial"/>
                  <w:sz w:val="16"/>
                  <w:szCs w:val="16"/>
                  <w:color w:val="auto"/>
                </w:rPr>
                <w:t>Form of Performance Vesting Restricted Stock Unit Agreement for Senior Executives, filed as Exhibit 10.2 to the Company’s Quarterly</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60" w:type="dxa"/>
            <w:vAlign w:val="bottom"/>
            <w:tcBorders>
              <w:top w:val="single" w:sz="8" w:color="0000EE"/>
            </w:tcBorders>
            <w:gridSpan w:val="18"/>
          </w:tcPr>
          <w:p>
            <w:pPr>
              <w:spacing w:after="0" w:line="169" w:lineRule="exact"/>
              <w:rPr>
                <w:rFonts w:ascii="Arial" w:cs="Arial" w:eastAsia="Arial" w:hAnsi="Arial"/>
                <w:sz w:val="16"/>
                <w:szCs w:val="16"/>
                <w:color w:val="auto"/>
              </w:rPr>
            </w:pPr>
            <w:hyperlink r:id="rId247">
              <w:r>
                <w:rPr>
                  <w:rFonts w:ascii="Arial" w:cs="Arial" w:eastAsia="Arial" w:hAnsi="Arial"/>
                  <w:sz w:val="16"/>
                  <w:szCs w:val="16"/>
                  <w:color w:val="auto"/>
                </w:rPr>
                <w:t>Report on Form 10-Q for the quarter ended June 30, 2024, filed with the Commission on July 30, 2024 (File No. 001-12984) and</w:t>
              </w:r>
            </w:hyperlink>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8"/>
            <w:vMerge w:val="restart"/>
          </w:tcPr>
          <w:p>
            <w:pPr>
              <w:spacing w:after="0" w:line="169" w:lineRule="exact"/>
              <w:rPr>
                <w:rFonts w:ascii="Arial" w:cs="Arial" w:eastAsia="Arial" w:hAnsi="Arial"/>
                <w:sz w:val="16"/>
                <w:szCs w:val="16"/>
                <w:color w:val="auto"/>
                <w:w w:val="99"/>
              </w:rPr>
            </w:pPr>
            <w:hyperlink r:id="rId247">
              <w:r>
                <w:rPr>
                  <w:rFonts w:ascii="Arial" w:cs="Arial" w:eastAsia="Arial" w:hAnsi="Arial"/>
                  <w:sz w:val="16"/>
                  <w:szCs w:val="16"/>
                  <w:color w:val="auto"/>
                  <w:w w:val="99"/>
                </w:rPr>
                <w:t>incorporated herein by reference.</w:t>
              </w:r>
            </w:hyperlink>
          </w:p>
        </w:tc>
        <w:tc>
          <w:tcPr>
            <w:tcW w:w="14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47">
              <w:r>
                <w:rPr>
                  <w:rFonts w:ascii="Arial" w:cs="Arial" w:eastAsia="Arial" w:hAnsi="Arial"/>
                  <w:sz w:val="8"/>
                  <w:szCs w:val="8"/>
                  <w:color w:val="auto"/>
                </w:rPr>
                <w:t>(1)</w:t>
              </w:r>
            </w:hyperlink>
          </w:p>
        </w:tc>
        <w:tc>
          <w:tcPr>
            <w:tcW w:w="6700" w:type="dxa"/>
            <w:vAlign w:val="bottom"/>
            <w:tcBorders>
              <w:top w:val="single" w:sz="8" w:color="0000EE"/>
              <w:bottom w:val="single" w:sz="8" w:color="0000EE"/>
            </w:tcBorders>
            <w:gridSpan w:val="6"/>
            <w:vMerge w:val="restart"/>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8"/>
            <w:vMerge w:val="continue"/>
          </w:tcPr>
          <w:p>
            <w:pPr>
              <w:spacing w:after="0"/>
              <w:rPr>
                <w:sz w:val="5"/>
                <w:szCs w:val="5"/>
                <w:color w:val="auto"/>
              </w:rPr>
            </w:pPr>
          </w:p>
        </w:tc>
        <w:tc>
          <w:tcPr>
            <w:tcW w:w="140" w:type="dxa"/>
            <w:vAlign w:val="bottom"/>
          </w:tcPr>
          <w:p>
            <w:pPr>
              <w:spacing w:after="0"/>
              <w:rPr>
                <w:sz w:val="5"/>
                <w:szCs w:val="5"/>
                <w:color w:val="auto"/>
              </w:rPr>
            </w:pPr>
          </w:p>
        </w:tc>
        <w:tc>
          <w:tcPr>
            <w:tcW w:w="670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10.38</w:t>
            </w:r>
          </w:p>
        </w:tc>
        <w:tc>
          <w:tcPr>
            <w:tcW w:w="10060" w:type="dxa"/>
            <w:vAlign w:val="bottom"/>
            <w:gridSpan w:val="30"/>
          </w:tcPr>
          <w:p>
            <w:pPr>
              <w:spacing w:after="0"/>
              <w:rPr>
                <w:rFonts w:ascii="Arial" w:cs="Arial" w:eastAsia="Arial" w:hAnsi="Arial"/>
                <w:sz w:val="16"/>
                <w:szCs w:val="16"/>
                <w:color w:val="auto"/>
              </w:rPr>
            </w:pPr>
            <w:hyperlink r:id="rId248">
              <w:r>
                <w:rPr>
                  <w:rFonts w:ascii="Arial" w:cs="Arial" w:eastAsia="Arial" w:hAnsi="Arial"/>
                  <w:sz w:val="16"/>
                  <w:szCs w:val="16"/>
                  <w:color w:val="auto"/>
                </w:rPr>
                <w:t>Form of Restricted Stock Agreement for Non-Employee Directors, filed as Exhibit 10.2 to the Company’s Quarterly Report on Form 10-Q for</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40" w:type="dxa"/>
            <w:vAlign w:val="bottom"/>
            <w:tcBorders>
              <w:top w:val="single" w:sz="8" w:color="0000EE"/>
            </w:tcBorders>
            <w:gridSpan w:val="29"/>
          </w:tcPr>
          <w:p>
            <w:pPr>
              <w:spacing w:after="0" w:line="169" w:lineRule="exact"/>
              <w:rPr>
                <w:rFonts w:ascii="Arial" w:cs="Arial" w:eastAsia="Arial" w:hAnsi="Arial"/>
                <w:sz w:val="16"/>
                <w:szCs w:val="16"/>
                <w:color w:val="auto"/>
              </w:rPr>
            </w:pPr>
            <w:hyperlink r:id="rId248">
              <w:r>
                <w:rPr>
                  <w:rFonts w:ascii="Arial" w:cs="Arial" w:eastAsia="Arial" w:hAnsi="Arial"/>
                  <w:sz w:val="16"/>
                  <w:szCs w:val="16"/>
                  <w:color w:val="auto"/>
                </w:rPr>
                <w:t>the quarter ended September 30, 2025, filed with the Commission on October 30, 2025 (File No. 001-12984) and incorporated herein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720" w:type="dxa"/>
            <w:vAlign w:val="bottom"/>
            <w:tcBorders>
              <w:top w:val="single" w:sz="8" w:color="0000EE"/>
              <w:bottom w:val="single" w:sz="8" w:color="0000EE"/>
            </w:tcBorders>
            <w:vMerge w:val="restart"/>
          </w:tcPr>
          <w:p>
            <w:pPr>
              <w:spacing w:after="0" w:line="169" w:lineRule="exact"/>
              <w:rPr>
                <w:rFonts w:ascii="Arial" w:cs="Arial" w:eastAsia="Arial" w:hAnsi="Arial"/>
                <w:sz w:val="16"/>
                <w:szCs w:val="16"/>
                <w:color w:val="auto"/>
                <w:w w:val="97"/>
              </w:rPr>
            </w:pPr>
            <w:hyperlink r:id="rId248">
              <w:r>
                <w:rPr>
                  <w:rFonts w:ascii="Arial" w:cs="Arial" w:eastAsia="Arial" w:hAnsi="Arial"/>
                  <w:sz w:val="16"/>
                  <w:szCs w:val="16"/>
                  <w:color w:val="auto"/>
                  <w:w w:val="97"/>
                </w:rPr>
                <w:t>reference.</w:t>
              </w:r>
            </w:hyperlink>
          </w:p>
        </w:tc>
        <w:tc>
          <w:tcPr>
            <w:tcW w:w="140" w:type="dxa"/>
            <w:vAlign w:val="bottom"/>
            <w:tcBorders>
              <w:top w:val="single" w:sz="8" w:color="0000EE"/>
              <w:bottom w:val="single" w:sz="8" w:color="0000EE"/>
            </w:tcBorders>
            <w:gridSpan w:val="2"/>
          </w:tcPr>
          <w:p>
            <w:pPr>
              <w:jc w:val="right"/>
              <w:spacing w:after="0" w:line="75" w:lineRule="exact"/>
              <w:rPr>
                <w:rFonts w:ascii="Arial" w:cs="Arial" w:eastAsia="Arial" w:hAnsi="Arial"/>
                <w:sz w:val="8"/>
                <w:szCs w:val="8"/>
                <w:color w:val="auto"/>
              </w:rPr>
            </w:pPr>
            <w:hyperlink r:id="rId248">
              <w:r>
                <w:rPr>
                  <w:rFonts w:ascii="Arial" w:cs="Arial" w:eastAsia="Arial" w:hAnsi="Arial"/>
                  <w:sz w:val="8"/>
                  <w:szCs w:val="8"/>
                  <w:color w:val="auto"/>
                </w:rPr>
                <w:t>(1)</w:t>
              </w:r>
            </w:hyperlink>
          </w:p>
        </w:tc>
        <w:tc>
          <w:tcPr>
            <w:tcW w:w="8920" w:type="dxa"/>
            <w:vAlign w:val="bottom"/>
            <w:tcBorders>
              <w:top w:val="single" w:sz="8" w:color="0000EE"/>
              <w:bottom w:val="single" w:sz="8" w:color="0000EE"/>
            </w:tcBorders>
            <w:gridSpan w:val="18"/>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920" w:type="dxa"/>
            <w:vAlign w:val="bottom"/>
            <w:gridSpan w:val="18"/>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10.39</w:t>
            </w:r>
          </w:p>
        </w:tc>
        <w:tc>
          <w:tcPr>
            <w:tcW w:w="10060" w:type="dxa"/>
            <w:vAlign w:val="bottom"/>
            <w:gridSpan w:val="30"/>
          </w:tcPr>
          <w:p>
            <w:pPr>
              <w:spacing w:after="0"/>
              <w:rPr>
                <w:rFonts w:ascii="Arial" w:cs="Arial" w:eastAsia="Arial" w:hAnsi="Arial"/>
                <w:sz w:val="16"/>
                <w:szCs w:val="16"/>
                <w:color w:val="auto"/>
              </w:rPr>
            </w:pPr>
            <w:hyperlink r:id="rId249">
              <w:r>
                <w:rPr>
                  <w:rFonts w:ascii="Arial" w:cs="Arial" w:eastAsia="Arial" w:hAnsi="Arial"/>
                  <w:sz w:val="16"/>
                  <w:szCs w:val="16"/>
                  <w:color w:val="auto"/>
                </w:rPr>
                <w:t>Form of Non-Qualified Stock Option Agreement for Non-Employee Directors, filed as Exhibit 10.3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760" w:type="dxa"/>
            <w:vAlign w:val="bottom"/>
            <w:tcBorders>
              <w:top w:val="single" w:sz="8" w:color="0000EE"/>
            </w:tcBorders>
            <w:gridSpan w:val="20"/>
          </w:tcPr>
          <w:p>
            <w:pPr>
              <w:spacing w:after="0" w:line="169" w:lineRule="exact"/>
              <w:rPr>
                <w:rFonts w:ascii="Arial" w:cs="Arial" w:eastAsia="Arial" w:hAnsi="Arial"/>
                <w:sz w:val="16"/>
                <w:szCs w:val="16"/>
                <w:color w:val="auto"/>
              </w:rPr>
            </w:pPr>
            <w:hyperlink r:id="rId249">
              <w:r>
                <w:rPr>
                  <w:rFonts w:ascii="Arial" w:cs="Arial" w:eastAsia="Arial" w:hAnsi="Arial"/>
                  <w:sz w:val="16"/>
                  <w:szCs w:val="16"/>
                  <w:color w:val="auto"/>
                </w:rPr>
                <w:t>Form 10-Q for the quarter ended September 30, 2024, filed with the Commission on October 29, 2024 (File No. 001-12984) and</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2380" w:type="dxa"/>
            <w:vAlign w:val="bottom"/>
            <w:tcBorders>
              <w:top w:val="single" w:sz="8" w:color="0000EE"/>
              <w:bottom w:val="single" w:sz="8" w:color="0000EE"/>
            </w:tcBorders>
            <w:gridSpan w:val="8"/>
            <w:vMerge w:val="restart"/>
          </w:tcPr>
          <w:p>
            <w:pPr>
              <w:spacing w:after="0" w:line="169" w:lineRule="exact"/>
              <w:rPr>
                <w:rFonts w:ascii="Arial" w:cs="Arial" w:eastAsia="Arial" w:hAnsi="Arial"/>
                <w:sz w:val="16"/>
                <w:szCs w:val="16"/>
                <w:color w:val="auto"/>
                <w:w w:val="99"/>
              </w:rPr>
            </w:pPr>
            <w:hyperlink r:id="rId249">
              <w:r>
                <w:rPr>
                  <w:rFonts w:ascii="Arial" w:cs="Arial" w:eastAsia="Arial" w:hAnsi="Arial"/>
                  <w:sz w:val="16"/>
                  <w:szCs w:val="16"/>
                  <w:color w:val="auto"/>
                  <w:w w:val="99"/>
                </w:rPr>
                <w:t>incorporated herein by reference.</w:t>
              </w:r>
            </w:hyperlink>
          </w:p>
        </w:tc>
        <w:tc>
          <w:tcPr>
            <w:tcW w:w="140" w:type="dxa"/>
            <w:vAlign w:val="bottom"/>
            <w:tcBorders>
              <w:top w:val="single" w:sz="8" w:color="0000EE"/>
              <w:bottom w:val="single" w:sz="8" w:color="0000EE"/>
            </w:tcBorders>
          </w:tcPr>
          <w:p>
            <w:pPr>
              <w:jc w:val="right"/>
              <w:spacing w:after="0" w:line="75" w:lineRule="exact"/>
              <w:rPr>
                <w:rFonts w:ascii="Arial" w:cs="Arial" w:eastAsia="Arial" w:hAnsi="Arial"/>
                <w:sz w:val="8"/>
                <w:szCs w:val="8"/>
                <w:color w:val="auto"/>
              </w:rPr>
            </w:pPr>
            <w:hyperlink r:id="rId249">
              <w:r>
                <w:rPr>
                  <w:rFonts w:ascii="Arial" w:cs="Arial" w:eastAsia="Arial" w:hAnsi="Arial"/>
                  <w:sz w:val="8"/>
                  <w:szCs w:val="8"/>
                  <w:color w:val="auto"/>
                </w:rPr>
                <w:t>(1)</w:t>
              </w:r>
            </w:hyperlink>
          </w:p>
        </w:tc>
        <w:tc>
          <w:tcPr>
            <w:tcW w:w="6660" w:type="dxa"/>
            <w:vAlign w:val="bottom"/>
            <w:tcBorders>
              <w:top w:val="single" w:sz="8" w:color="0000EE"/>
              <w:bottom w:val="single" w:sz="8" w:color="0000EE"/>
            </w:tcBorders>
            <w:gridSpan w:val="4"/>
            <w:vMerge w:val="restart"/>
          </w:tcPr>
          <w:p>
            <w:pPr>
              <w:spacing w:after="0"/>
              <w:rPr>
                <w:sz w:val="7"/>
                <w:szCs w:val="7"/>
                <w:color w:val="auto"/>
              </w:rPr>
            </w:pPr>
          </w:p>
        </w:tc>
        <w:tc>
          <w:tcPr>
            <w:tcW w:w="200" w:type="dxa"/>
            <w:vAlign w:val="bottom"/>
            <w:gridSpan w:val="3"/>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gridSpan w:val="5"/>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00" w:type="dxa"/>
            <w:vAlign w:val="bottom"/>
          </w:tcPr>
          <w:p>
            <w:pPr>
              <w:spacing w:after="0"/>
              <w:rPr>
                <w:sz w:val="5"/>
                <w:szCs w:val="5"/>
                <w:color w:val="auto"/>
              </w:rPr>
            </w:pPr>
          </w:p>
        </w:tc>
        <w:tc>
          <w:tcPr>
            <w:tcW w:w="2380" w:type="dxa"/>
            <w:vAlign w:val="bottom"/>
            <w:tcBorders>
              <w:bottom w:val="single" w:sz="8" w:color="0000EE"/>
            </w:tcBorders>
            <w:gridSpan w:val="8"/>
            <w:vMerge w:val="continue"/>
          </w:tcPr>
          <w:p>
            <w:pPr>
              <w:spacing w:after="0"/>
              <w:rPr>
                <w:sz w:val="5"/>
                <w:szCs w:val="5"/>
                <w:color w:val="auto"/>
              </w:rPr>
            </w:pPr>
          </w:p>
        </w:tc>
        <w:tc>
          <w:tcPr>
            <w:tcW w:w="140" w:type="dxa"/>
            <w:vAlign w:val="bottom"/>
          </w:tcPr>
          <w:p>
            <w:pPr>
              <w:spacing w:after="0"/>
              <w:rPr>
                <w:sz w:val="5"/>
                <w:szCs w:val="5"/>
                <w:color w:val="auto"/>
              </w:rPr>
            </w:pPr>
          </w:p>
        </w:tc>
        <w:tc>
          <w:tcPr>
            <w:tcW w:w="66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auto"/>
              </w:rPr>
              <w:t>10.40</w:t>
            </w:r>
          </w:p>
        </w:tc>
        <w:tc>
          <w:tcPr>
            <w:tcW w:w="10060" w:type="dxa"/>
            <w:vAlign w:val="bottom"/>
            <w:gridSpan w:val="30"/>
          </w:tcPr>
          <w:p>
            <w:pPr>
              <w:spacing w:after="0"/>
              <w:rPr>
                <w:rFonts w:ascii="Arial" w:cs="Arial" w:eastAsia="Arial" w:hAnsi="Arial"/>
                <w:sz w:val="16"/>
                <w:szCs w:val="16"/>
                <w:color w:val="auto"/>
              </w:rPr>
            </w:pPr>
            <w:hyperlink r:id="rId250">
              <w:r>
                <w:rPr>
                  <w:rFonts w:ascii="Arial" w:cs="Arial" w:eastAsia="Arial" w:hAnsi="Arial"/>
                  <w:sz w:val="16"/>
                  <w:szCs w:val="16"/>
                  <w:color w:val="auto"/>
                </w:rPr>
                <w:t>Form of Time Vesting Restricted Stock Unit Agreement for Senior Executives, filed as Exhibit 10.1 to the Company’s Quarterly Report on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820" w:type="dxa"/>
            <w:vAlign w:val="bottom"/>
            <w:tcBorders>
              <w:top w:val="single" w:sz="8" w:color="0000EE"/>
            </w:tcBorders>
            <w:gridSpan w:val="23"/>
          </w:tcPr>
          <w:p>
            <w:pPr>
              <w:spacing w:after="0" w:line="169" w:lineRule="exact"/>
              <w:rPr>
                <w:rFonts w:ascii="Arial" w:cs="Arial" w:eastAsia="Arial" w:hAnsi="Arial"/>
                <w:sz w:val="16"/>
                <w:szCs w:val="16"/>
                <w:color w:val="auto"/>
              </w:rPr>
            </w:pPr>
            <w:hyperlink r:id="rId250">
              <w:r>
                <w:rPr>
                  <w:rFonts w:ascii="Arial" w:cs="Arial" w:eastAsia="Arial" w:hAnsi="Arial"/>
                  <w:sz w:val="16"/>
                  <w:szCs w:val="16"/>
                  <w:color w:val="auto"/>
                </w:rPr>
                <w:t>Form 10-Q for the quarter ended June 30, 2025, filed with the Commission on July 30, 2025 (File No. 001-12984) and incorporated herein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00" w:type="dxa"/>
            <w:vAlign w:val="bottom"/>
            <w:tcBorders>
              <w:top w:val="single" w:sz="8" w:color="0000EE"/>
            </w:tcBorders>
            <w:gridSpan w:val="26"/>
          </w:tcPr>
          <w:p>
            <w:pPr>
              <w:spacing w:after="0" w:line="169" w:lineRule="exact"/>
              <w:rPr>
                <w:rFonts w:ascii="Arial" w:cs="Arial" w:eastAsia="Arial" w:hAnsi="Arial"/>
                <w:sz w:val="15"/>
                <w:szCs w:val="15"/>
                <w:color w:val="auto"/>
              </w:rPr>
            </w:pPr>
            <w:hyperlink r:id="rId250">
              <w:r>
                <w:rPr>
                  <w:rFonts w:ascii="Arial" w:cs="Arial" w:eastAsia="Arial" w:hAnsi="Arial"/>
                  <w:sz w:val="15"/>
                  <w:szCs w:val="15"/>
                  <w:color w:val="auto"/>
                </w:rPr>
                <w:t>by reference.</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6"/>
                <w:szCs w:val="16"/>
                <w:color w:val="auto"/>
              </w:rPr>
              <w:t>10.41</w:t>
            </w:r>
          </w:p>
        </w:tc>
        <w:tc>
          <w:tcPr>
            <w:tcW w:w="10060" w:type="dxa"/>
            <w:vAlign w:val="bottom"/>
            <w:gridSpan w:val="30"/>
          </w:tcPr>
          <w:p>
            <w:pPr>
              <w:spacing w:after="0"/>
              <w:rPr>
                <w:rFonts w:ascii="Arial" w:cs="Arial" w:eastAsia="Arial" w:hAnsi="Arial"/>
                <w:sz w:val="16"/>
                <w:szCs w:val="16"/>
                <w:color w:val="auto"/>
              </w:rPr>
            </w:pPr>
            <w:hyperlink r:id="rId251">
              <w:r>
                <w:rPr>
                  <w:rFonts w:ascii="Arial" w:cs="Arial" w:eastAsia="Arial" w:hAnsi="Arial"/>
                  <w:sz w:val="16"/>
                  <w:szCs w:val="16"/>
                  <w:color w:val="auto"/>
                </w:rPr>
                <w:t>Form of Performance Vesting Restricted Stock Unit Agreement for Senior Executives, filed as Exhibit 10.2 to the Company’s Quarterly</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60" w:type="dxa"/>
            <w:vAlign w:val="bottom"/>
            <w:tcBorders>
              <w:top w:val="single" w:sz="8" w:color="0000EE"/>
            </w:tcBorders>
            <w:gridSpan w:val="18"/>
          </w:tcPr>
          <w:p>
            <w:pPr>
              <w:spacing w:after="0" w:line="169" w:lineRule="exact"/>
              <w:rPr>
                <w:rFonts w:ascii="Arial" w:cs="Arial" w:eastAsia="Arial" w:hAnsi="Arial"/>
                <w:sz w:val="16"/>
                <w:szCs w:val="16"/>
                <w:color w:val="auto"/>
              </w:rPr>
            </w:pPr>
            <w:hyperlink r:id="rId251">
              <w:r>
                <w:rPr>
                  <w:rFonts w:ascii="Arial" w:cs="Arial" w:eastAsia="Arial" w:hAnsi="Arial"/>
                  <w:sz w:val="16"/>
                  <w:szCs w:val="16"/>
                  <w:color w:val="auto"/>
                </w:rPr>
                <w:t>Report on Form 10-Q for the quarter ended June 30, 2025, filed with the Commission on July 30, 2025 (File No. 001-12984) and</w:t>
              </w:r>
            </w:hyperlink>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220" w:type="dxa"/>
            <w:vAlign w:val="bottom"/>
            <w:tcBorders>
              <w:top w:val="single" w:sz="8" w:color="0000EE"/>
            </w:tcBorders>
            <w:gridSpan w:val="15"/>
          </w:tcPr>
          <w:p>
            <w:pPr>
              <w:spacing w:after="0" w:line="169" w:lineRule="exact"/>
              <w:rPr>
                <w:rFonts w:ascii="Arial" w:cs="Arial" w:eastAsia="Arial" w:hAnsi="Arial"/>
                <w:sz w:val="15"/>
                <w:szCs w:val="15"/>
                <w:color w:val="auto"/>
              </w:rPr>
            </w:pPr>
            <w:hyperlink r:id="rId251">
              <w:r>
                <w:rPr>
                  <w:rFonts w:ascii="Arial" w:cs="Arial" w:eastAsia="Arial" w:hAnsi="Arial"/>
                  <w:sz w:val="15"/>
                  <w:szCs w:val="15"/>
                  <w:color w:val="auto"/>
                </w:rPr>
                <w:t>incorporated herein by reference.</w:t>
              </w:r>
              <w:r>
                <w:rPr>
                  <w:rFonts w:ascii="Arial" w:cs="Arial" w:eastAsia="Arial" w:hAnsi="Arial"/>
                  <w:sz w:val="19"/>
                  <w:szCs w:val="19"/>
                  <w:color w:val="auto"/>
                  <w:vertAlign w:val="superscript"/>
                </w:rPr>
                <w:t>(1)</w:t>
              </w:r>
            </w:hyperlink>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6"/>
                <w:szCs w:val="16"/>
                <w:color w:val="auto"/>
              </w:rPr>
              <w:t>10.42</w:t>
            </w:r>
          </w:p>
        </w:tc>
        <w:tc>
          <w:tcPr>
            <w:tcW w:w="10060" w:type="dxa"/>
            <w:vAlign w:val="bottom"/>
            <w:tcBorders>
              <w:bottom w:val="single" w:sz="8" w:color="0000EE"/>
            </w:tcBorders>
            <w:gridSpan w:val="30"/>
          </w:tcPr>
          <w:p>
            <w:pPr>
              <w:spacing w:after="0"/>
              <w:rPr>
                <w:rFonts w:ascii="Arial" w:cs="Arial" w:eastAsia="Arial" w:hAnsi="Arial"/>
                <w:sz w:val="16"/>
                <w:szCs w:val="16"/>
                <w:color w:val="auto"/>
              </w:rPr>
            </w:pPr>
            <w:hyperlink r:id="rId252">
              <w:r>
                <w:rPr>
                  <w:rFonts w:ascii="Arial" w:cs="Arial" w:eastAsia="Arial" w:hAnsi="Arial"/>
                  <w:sz w:val="16"/>
                  <w:szCs w:val="16"/>
                  <w:color w:val="auto"/>
                </w:rPr>
                <w:t>Form of Time Vesting Non-Qualified Stock Option Agreement for Senior Executives, filed as Exhibit 10.3 to the Company’s Quarterly Report</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60" w:type="dxa"/>
            <w:vAlign w:val="bottom"/>
            <w:gridSpan w:val="30"/>
          </w:tcPr>
          <w:p>
            <w:pPr>
              <w:spacing w:after="0" w:line="169" w:lineRule="exact"/>
              <w:rPr>
                <w:rFonts w:ascii="Arial" w:cs="Arial" w:eastAsia="Arial" w:hAnsi="Arial"/>
                <w:sz w:val="16"/>
                <w:szCs w:val="16"/>
                <w:color w:val="auto"/>
              </w:rPr>
            </w:pPr>
            <w:hyperlink r:id="rId252">
              <w:r>
                <w:rPr>
                  <w:rFonts w:ascii="Arial" w:cs="Arial" w:eastAsia="Arial" w:hAnsi="Arial"/>
                  <w:sz w:val="16"/>
                  <w:szCs w:val="16"/>
                  <w:color w:val="auto"/>
                </w:rPr>
                <w:t>on Form 10-Q for the quarter ended June 30, 2025, filed with the Commission on July 30, 2025 (File No. 001-12984) and incorporated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40" w:type="dxa"/>
            <w:vAlign w:val="bottom"/>
            <w:tcBorders>
              <w:top w:val="single" w:sz="8" w:color="0000EE"/>
            </w:tcBorders>
            <w:gridSpan w:val="17"/>
          </w:tcPr>
          <w:p>
            <w:pPr>
              <w:spacing w:after="0" w:line="169" w:lineRule="exact"/>
              <w:rPr>
                <w:rFonts w:ascii="Arial" w:cs="Arial" w:eastAsia="Arial" w:hAnsi="Arial"/>
                <w:sz w:val="15"/>
                <w:szCs w:val="15"/>
                <w:color w:val="auto"/>
              </w:rPr>
            </w:pPr>
            <w:hyperlink r:id="rId252">
              <w:r>
                <w:rPr>
                  <w:rFonts w:ascii="Arial" w:cs="Arial" w:eastAsia="Arial" w:hAnsi="Arial"/>
                  <w:sz w:val="15"/>
                  <w:szCs w:val="15"/>
                  <w:color w:val="auto"/>
                </w:rPr>
                <w:t>herein by reference.</w:t>
              </w:r>
              <w:r>
                <w:rPr>
                  <w:rFonts w:ascii="Arial" w:cs="Arial" w:eastAsia="Arial" w:hAnsi="Arial"/>
                  <w:sz w:val="19"/>
                  <w:szCs w:val="19"/>
                  <w:color w:val="auto"/>
                  <w:vertAlign w:val="superscript"/>
                </w:rPr>
                <w:t>(1)</w:t>
              </w:r>
            </w:hyperlink>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6"/>
                <w:szCs w:val="16"/>
                <w:color w:val="auto"/>
              </w:rPr>
              <w:t>10.43</w:t>
            </w:r>
          </w:p>
        </w:tc>
        <w:tc>
          <w:tcPr>
            <w:tcW w:w="9380" w:type="dxa"/>
            <w:vAlign w:val="bottom"/>
            <w:tcBorders>
              <w:bottom w:val="single" w:sz="8" w:color="0000EE"/>
            </w:tcBorders>
            <w:gridSpan w:val="16"/>
          </w:tcPr>
          <w:p>
            <w:pPr>
              <w:spacing w:after="0"/>
              <w:rPr>
                <w:rFonts w:ascii="Arial" w:cs="Arial" w:eastAsia="Arial" w:hAnsi="Arial"/>
                <w:sz w:val="16"/>
                <w:szCs w:val="16"/>
                <w:color w:val="auto"/>
              </w:rPr>
            </w:pPr>
            <w:hyperlink r:id="rId253">
              <w:r>
                <w:rPr>
                  <w:rFonts w:ascii="Arial" w:cs="Arial" w:eastAsia="Arial" w:hAnsi="Arial"/>
                  <w:sz w:val="16"/>
                  <w:szCs w:val="16"/>
                  <w:color w:val="auto"/>
                </w:rPr>
                <w:t>Form of Performance Vesting Non-Qualified Stock Option Agreement for Senior Executives, filed as Exhibit 10.4 to the Company’s</w:t>
              </w:r>
            </w:hyperlink>
          </w:p>
        </w:tc>
        <w:tc>
          <w:tcPr>
            <w:tcW w:w="6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060" w:type="dxa"/>
            <w:vAlign w:val="bottom"/>
            <w:gridSpan w:val="30"/>
          </w:tcPr>
          <w:p>
            <w:pPr>
              <w:spacing w:after="0" w:line="169" w:lineRule="exact"/>
              <w:rPr>
                <w:rFonts w:ascii="Arial" w:cs="Arial" w:eastAsia="Arial" w:hAnsi="Arial"/>
                <w:sz w:val="16"/>
                <w:szCs w:val="16"/>
                <w:color w:val="auto"/>
              </w:rPr>
            </w:pPr>
            <w:hyperlink r:id="rId253">
              <w:r>
                <w:rPr>
                  <w:rFonts w:ascii="Arial" w:cs="Arial" w:eastAsia="Arial" w:hAnsi="Arial"/>
                  <w:sz w:val="16"/>
                  <w:szCs w:val="16"/>
                  <w:color w:val="auto"/>
                </w:rPr>
                <w:t>Quarterly Report on Form 10-Q for the quarter ended June 30, 2025, filed with the Commission on July 30, 2025 (File No. 001-12984) and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920" w:type="dxa"/>
            <w:vAlign w:val="bottom"/>
            <w:tcBorders>
              <w:top w:val="single" w:sz="8" w:color="0000EE"/>
            </w:tcBorders>
            <w:gridSpan w:val="27"/>
          </w:tcPr>
          <w:p>
            <w:pPr>
              <w:spacing w:after="0" w:line="169" w:lineRule="exact"/>
              <w:rPr>
                <w:rFonts w:ascii="Arial" w:cs="Arial" w:eastAsia="Arial" w:hAnsi="Arial"/>
                <w:sz w:val="15"/>
                <w:szCs w:val="15"/>
                <w:color w:val="auto"/>
              </w:rPr>
            </w:pPr>
            <w:hyperlink r:id="rId253">
              <w:r>
                <w:rPr>
                  <w:rFonts w:ascii="Arial" w:cs="Arial" w:eastAsia="Arial" w:hAnsi="Arial"/>
                  <w:sz w:val="15"/>
                  <w:szCs w:val="15"/>
                  <w:color w:val="auto"/>
                </w:rPr>
                <w:t>incorporated herein by reference.</w:t>
              </w:r>
              <w:r>
                <w:rPr>
                  <w:rFonts w:ascii="Arial" w:cs="Arial" w:eastAsia="Arial" w:hAnsi="Arial"/>
                  <w:sz w:val="19"/>
                  <w:szCs w:val="19"/>
                  <w:color w:val="auto"/>
                  <w:vertAlign w:val="superscript"/>
                </w:rPr>
                <w:t>(1)</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6"/>
                <w:szCs w:val="16"/>
                <w:color w:val="auto"/>
              </w:rPr>
              <w:t>19.1</w:t>
            </w:r>
          </w:p>
        </w:tc>
        <w:tc>
          <w:tcPr>
            <w:tcW w:w="10060" w:type="dxa"/>
            <w:vAlign w:val="bottom"/>
            <w:gridSpan w:val="30"/>
          </w:tcPr>
          <w:p>
            <w:pPr>
              <w:spacing w:after="0"/>
              <w:rPr>
                <w:rFonts w:ascii="Arial" w:cs="Arial" w:eastAsia="Arial" w:hAnsi="Arial"/>
                <w:sz w:val="16"/>
                <w:szCs w:val="16"/>
                <w:color w:val="auto"/>
              </w:rPr>
            </w:pPr>
            <w:hyperlink r:id="rId254">
              <w:r>
                <w:rPr>
                  <w:rFonts w:ascii="Arial" w:cs="Arial" w:eastAsia="Arial" w:hAnsi="Arial"/>
                  <w:sz w:val="16"/>
                  <w:szCs w:val="16"/>
                  <w:color w:val="auto"/>
                </w:rPr>
                <w:t>Insider Trading Policy, filed as Exhibit 19.1 to the Company’s Annual Report on Form 10-K for the fiscal year ended March 31, 2024, filed</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7060" w:type="dxa"/>
            <w:vAlign w:val="bottom"/>
            <w:tcBorders>
              <w:top w:val="single" w:sz="8" w:color="0000EE"/>
              <w:bottom w:val="single" w:sz="8" w:color="0000EE"/>
            </w:tcBorders>
            <w:gridSpan w:val="12"/>
          </w:tcPr>
          <w:p>
            <w:pPr>
              <w:spacing w:after="0" w:line="169" w:lineRule="exact"/>
              <w:rPr>
                <w:rFonts w:ascii="Arial" w:cs="Arial" w:eastAsia="Arial" w:hAnsi="Arial"/>
                <w:sz w:val="16"/>
                <w:szCs w:val="16"/>
                <w:color w:val="auto"/>
              </w:rPr>
            </w:pPr>
            <w:hyperlink r:id="rId254">
              <w:r>
                <w:rPr>
                  <w:rFonts w:ascii="Arial" w:cs="Arial" w:eastAsia="Arial" w:hAnsi="Arial"/>
                  <w:sz w:val="16"/>
                  <w:szCs w:val="16"/>
                  <w:color w:val="auto"/>
                </w:rPr>
                <w:t>with the Commission on May 22, 2024 (File No. 001-12984) and incorporated herein by reference.</w:t>
              </w:r>
            </w:hyperlink>
          </w:p>
        </w:tc>
        <w:tc>
          <w:tcPr>
            <w:tcW w:w="278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6"/>
                <w:szCs w:val="16"/>
                <w:color w:val="auto"/>
              </w:rPr>
              <w:t>21*</w:t>
            </w:r>
          </w:p>
        </w:tc>
        <w:tc>
          <w:tcPr>
            <w:tcW w:w="21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auto"/>
              </w:rPr>
              <w:t>Subsidiaries of the Company.</w:t>
            </w:r>
          </w:p>
        </w:tc>
        <w:tc>
          <w:tcPr>
            <w:tcW w:w="794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6"/>
                <w:szCs w:val="16"/>
                <w:color w:val="404040"/>
              </w:rPr>
              <w:t>23.1*</w:t>
            </w:r>
          </w:p>
        </w:tc>
        <w:tc>
          <w:tcPr>
            <w:tcW w:w="586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auto"/>
              </w:rPr>
              <w:t>Consent of Registered Independent Public Accounting Firm – Ernst &amp; Young LLP.</w:t>
            </w:r>
          </w:p>
        </w:tc>
        <w:tc>
          <w:tcPr>
            <w:tcW w:w="42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31.1*</w:t>
            </w:r>
          </w:p>
        </w:tc>
        <w:tc>
          <w:tcPr>
            <w:tcW w:w="10060" w:type="dxa"/>
            <w:vAlign w:val="bottom"/>
            <w:gridSpan w:val="30"/>
          </w:tcPr>
          <w:p>
            <w:pPr>
              <w:spacing w:after="0"/>
              <w:rPr>
                <w:sz w:val="20"/>
                <w:szCs w:val="20"/>
                <w:color w:val="auto"/>
              </w:rPr>
            </w:pPr>
            <w:r>
              <w:rPr>
                <w:rFonts w:ascii="Arial" w:cs="Arial" w:eastAsia="Arial" w:hAnsi="Arial"/>
                <w:sz w:val="16"/>
                <w:szCs w:val="16"/>
                <w:color w:val="auto"/>
              </w:rPr>
              <w:t>Certification of the Chief Executive Officer of Eagle Materials Inc. pursuant to Rules 13a-14 and 15d-14 promulgated under the Securities</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86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color w:val="auto"/>
              </w:rPr>
              <w:t>Exchange Act of 1934, as amended.</w:t>
            </w: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31.2*</w:t>
            </w:r>
          </w:p>
        </w:tc>
        <w:tc>
          <w:tcPr>
            <w:tcW w:w="10060" w:type="dxa"/>
            <w:vAlign w:val="bottom"/>
            <w:gridSpan w:val="30"/>
          </w:tcPr>
          <w:p>
            <w:pPr>
              <w:spacing w:after="0"/>
              <w:rPr>
                <w:sz w:val="20"/>
                <w:szCs w:val="20"/>
                <w:color w:val="auto"/>
              </w:rPr>
            </w:pPr>
            <w:r>
              <w:rPr>
                <w:rFonts w:ascii="Arial" w:cs="Arial" w:eastAsia="Arial" w:hAnsi="Arial"/>
                <w:sz w:val="16"/>
                <w:szCs w:val="16"/>
                <w:color w:val="auto"/>
              </w:rPr>
              <w:t>Certification of the Chief Financial Officer of Eagle Materials Inc. pursuant to Rules 13a-14 and 15d-14 promulgated under the Securities</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80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6"/>
                <w:szCs w:val="16"/>
                <w:color w:val="auto"/>
              </w:rPr>
              <w:t>Exchange Act of 1934, as amended.</w:t>
            </w:r>
          </w:p>
        </w:tc>
        <w:tc>
          <w:tcPr>
            <w:tcW w:w="140" w:type="dxa"/>
            <w:vAlign w:val="bottom"/>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340" w:type="dxa"/>
            <w:vAlign w:val="bottom"/>
            <w:gridSpan w:val="1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994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auto"/>
              </w:rPr>
              <w:t>Certification of the Chief Executive Officer of Eagle Materials Inc. pursuant to 18 U.S.C. Section 1350, as adopted pursuant to Section 906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200" w:type="dxa"/>
            <w:vAlign w:val="bottom"/>
            <w:vMerge w:val="continue"/>
          </w:tcPr>
          <w:p>
            <w:pPr>
              <w:spacing w:after="0"/>
              <w:rPr>
                <w:sz w:val="11"/>
                <w:szCs w:val="11"/>
                <w:color w:val="auto"/>
              </w:rPr>
            </w:pPr>
          </w:p>
        </w:tc>
        <w:tc>
          <w:tcPr>
            <w:tcW w:w="2600" w:type="dxa"/>
            <w:vAlign w:val="bottom"/>
            <w:gridSpan w:val="10"/>
            <w:vMerge w:val="restart"/>
          </w:tcPr>
          <w:p>
            <w:pPr>
              <w:spacing w:after="0" w:line="169" w:lineRule="exact"/>
              <w:rPr>
                <w:sz w:val="20"/>
                <w:szCs w:val="20"/>
                <w:color w:val="auto"/>
              </w:rPr>
            </w:pPr>
            <w:r>
              <w:rPr>
                <w:rFonts w:ascii="Arial" w:cs="Arial" w:eastAsia="Arial" w:hAnsi="Arial"/>
                <w:sz w:val="16"/>
                <w:szCs w:val="16"/>
                <w:color w:val="auto"/>
              </w:rPr>
              <w:t>of the Sarbanes-Oxley Act of 2002.</w:t>
            </w:r>
          </w:p>
        </w:tc>
        <w:tc>
          <w:tcPr>
            <w:tcW w:w="7460" w:type="dxa"/>
            <w:vAlign w:val="bottom"/>
            <w:gridSpan w:val="2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200" w:type="dxa"/>
            <w:vAlign w:val="bottom"/>
          </w:tcPr>
          <w:p>
            <w:pPr>
              <w:spacing w:after="0"/>
              <w:rPr>
                <w:sz w:val="3"/>
                <w:szCs w:val="3"/>
                <w:color w:val="auto"/>
              </w:rPr>
            </w:pPr>
          </w:p>
        </w:tc>
        <w:tc>
          <w:tcPr>
            <w:tcW w:w="2600" w:type="dxa"/>
            <w:vAlign w:val="bottom"/>
            <w:tcBorders>
              <w:bottom w:val="single" w:sz="8" w:color="0000EE"/>
            </w:tcBorders>
            <w:gridSpan w:val="10"/>
            <w:vMerge w:val="continue"/>
          </w:tcPr>
          <w:p>
            <w:pPr>
              <w:spacing w:after="0"/>
              <w:rPr>
                <w:sz w:val="3"/>
                <w:szCs w:val="3"/>
                <w:color w:val="auto"/>
              </w:rPr>
            </w:pPr>
          </w:p>
        </w:tc>
        <w:tc>
          <w:tcPr>
            <w:tcW w:w="7460" w:type="dxa"/>
            <w:vAlign w:val="bottom"/>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32.2*</w:t>
            </w:r>
          </w:p>
        </w:tc>
        <w:tc>
          <w:tcPr>
            <w:tcW w:w="1006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auto"/>
              </w:rPr>
              <w:t>Certification of the Chief Financial Officer of Eagle Materials Inc. pursuant to 18 U.S.C. Section 1350, as adopted pursuant to Section 906 of</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38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auto"/>
              </w:rPr>
              <w:t>the Sarbanes-Oxley Act of 2002.</w:t>
            </w:r>
          </w:p>
        </w:tc>
        <w:tc>
          <w:tcPr>
            <w:tcW w:w="768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672"/>
        </w:trPr>
        <w:tc>
          <w:tcPr>
            <w:tcW w:w="1200" w:type="dxa"/>
            <w:vAlign w:val="bottom"/>
          </w:tcPr>
          <w:p>
            <w:pPr>
              <w:spacing w:after="0"/>
              <w:rPr>
                <w:sz w:val="24"/>
                <w:szCs w:val="24"/>
                <w:color w:val="auto"/>
              </w:rPr>
            </w:pPr>
          </w:p>
        </w:tc>
        <w:tc>
          <w:tcPr>
            <w:tcW w:w="5860" w:type="dxa"/>
            <w:vAlign w:val="bottom"/>
            <w:gridSpan w:val="11"/>
          </w:tcPr>
          <w:p>
            <w:pPr>
              <w:ind w:left="4280"/>
              <w:spacing w:after="0"/>
              <w:rPr>
                <w:sz w:val="20"/>
                <w:szCs w:val="20"/>
                <w:color w:val="auto"/>
              </w:rPr>
            </w:pPr>
            <w:r>
              <w:rPr>
                <w:rFonts w:ascii="Arial" w:cs="Arial" w:eastAsia="Arial" w:hAnsi="Arial"/>
                <w:sz w:val="18"/>
                <w:szCs w:val="18"/>
                <w:color w:val="auto"/>
              </w:rPr>
              <w:t>126</w:t>
            </w:r>
          </w:p>
        </w:tc>
        <w:tc>
          <w:tcPr>
            <w:tcW w:w="1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color w:val="auto"/>
              </w:rPr>
              <w:t>95*</w:t>
            </w:r>
          </w:p>
        </w:tc>
        <w:tc>
          <w:tcPr>
            <w:tcW w:w="1700" w:type="dxa"/>
            <w:vAlign w:val="bottom"/>
            <w:tcBorders>
              <w:bottom w:val="single" w:sz="8" w:color="0000EE"/>
            </w:tcBorders>
          </w:tcPr>
          <w:p>
            <w:pPr>
              <w:spacing w:after="0"/>
              <w:rPr>
                <w:sz w:val="20"/>
                <w:szCs w:val="20"/>
                <w:color w:val="auto"/>
              </w:rPr>
            </w:pPr>
            <w:r>
              <w:rPr>
                <w:rFonts w:ascii="Arial" w:cs="Arial" w:eastAsia="Arial" w:hAnsi="Arial"/>
                <w:sz w:val="16"/>
                <w:szCs w:val="16"/>
                <w:color w:val="auto"/>
                <w:w w:val="99"/>
              </w:rPr>
              <w:t>Mine Safety Disclosure.</w:t>
            </w:r>
          </w:p>
        </w:tc>
        <w:tc>
          <w:tcPr>
            <w:tcW w:w="8340" w:type="dxa"/>
            <w:vAlign w:val="bottom"/>
            <w:gridSpan w:val="3"/>
          </w:tcPr>
          <w:p>
            <w:pPr>
              <w:spacing w:after="0"/>
              <w:rPr>
                <w:sz w:val="16"/>
                <w:szCs w:val="16"/>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97.1</w:t>
            </w:r>
          </w:p>
        </w:tc>
        <w:tc>
          <w:tcPr>
            <w:tcW w:w="10040" w:type="dxa"/>
            <w:vAlign w:val="bottom"/>
            <w:gridSpan w:val="4"/>
          </w:tcPr>
          <w:p>
            <w:pPr>
              <w:spacing w:after="0"/>
              <w:rPr>
                <w:rFonts w:ascii="Arial" w:cs="Arial" w:eastAsia="Arial" w:hAnsi="Arial"/>
                <w:sz w:val="16"/>
                <w:szCs w:val="16"/>
                <w:color w:val="auto"/>
              </w:rPr>
            </w:pPr>
            <w:hyperlink r:id="rId257">
              <w:r>
                <w:rPr>
                  <w:rFonts w:ascii="Arial" w:cs="Arial" w:eastAsia="Arial" w:hAnsi="Arial"/>
                  <w:sz w:val="16"/>
                  <w:szCs w:val="16"/>
                  <w:color w:val="auto"/>
                </w:rPr>
                <w:t>Recoupment Policy, filed as Exhibit 97.1 to the Company's Annual Report on Form 10-K for the fiscal year ended March 31, 2024, filed with</w:t>
              </w:r>
            </w:hyperlink>
          </w:p>
        </w:tc>
      </w:tr>
      <w:tr>
        <w:trPr>
          <w:trHeight w:val="169"/>
        </w:trPr>
        <w:tc>
          <w:tcPr>
            <w:tcW w:w="1200" w:type="dxa"/>
            <w:vAlign w:val="bottom"/>
          </w:tcPr>
          <w:p>
            <w:pPr>
              <w:spacing w:after="0"/>
              <w:rPr>
                <w:sz w:val="14"/>
                <w:szCs w:val="14"/>
                <w:color w:val="auto"/>
              </w:rPr>
            </w:pPr>
          </w:p>
        </w:tc>
        <w:tc>
          <w:tcPr>
            <w:tcW w:w="10020" w:type="dxa"/>
            <w:vAlign w:val="bottom"/>
            <w:tcBorders>
              <w:top w:val="single" w:sz="8" w:color="0000EE"/>
            </w:tcBorders>
            <w:gridSpan w:val="3"/>
          </w:tcPr>
          <w:p>
            <w:pPr>
              <w:spacing w:after="0" w:line="169" w:lineRule="exact"/>
              <w:rPr>
                <w:rFonts w:ascii="Arial" w:cs="Arial" w:eastAsia="Arial" w:hAnsi="Arial"/>
                <w:sz w:val="16"/>
                <w:szCs w:val="16"/>
                <w:color w:val="auto"/>
              </w:rPr>
            </w:pPr>
            <w:hyperlink r:id="rId257">
              <w:r>
                <w:rPr>
                  <w:rFonts w:ascii="Arial" w:cs="Arial" w:eastAsia="Arial" w:hAnsi="Arial"/>
                  <w:sz w:val="16"/>
                  <w:szCs w:val="16"/>
                  <w:color w:val="auto"/>
                </w:rPr>
                <w:t>the Commission on May 22, 2024 (File No. 001-12984) and incorporated herein by reference.</w:t>
              </w:r>
            </w:hyperlink>
          </w:p>
        </w:tc>
        <w:tc>
          <w:tcPr>
            <w:tcW w:w="2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6680" w:type="dxa"/>
            <w:vAlign w:val="bottom"/>
            <w:gridSpan w:val="2"/>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r>
      <w:tr>
        <w:trPr>
          <w:trHeight w:val="384"/>
        </w:trPr>
        <w:tc>
          <w:tcPr>
            <w:tcW w:w="1200" w:type="dxa"/>
            <w:vAlign w:val="bottom"/>
          </w:tcPr>
          <w:p>
            <w:pPr>
              <w:spacing w:after="0"/>
              <w:rPr>
                <w:sz w:val="20"/>
                <w:szCs w:val="20"/>
                <w:color w:val="auto"/>
              </w:rPr>
            </w:pPr>
            <w:r>
              <w:rPr>
                <w:rFonts w:ascii="Arial" w:cs="Arial" w:eastAsia="Arial" w:hAnsi="Arial"/>
                <w:sz w:val="16"/>
                <w:szCs w:val="16"/>
                <w:color w:val="auto"/>
              </w:rPr>
              <w:t>101.INS*</w:t>
            </w:r>
          </w:p>
        </w:tc>
        <w:tc>
          <w:tcPr>
            <w:tcW w:w="10040" w:type="dxa"/>
            <w:vAlign w:val="bottom"/>
            <w:gridSpan w:val="4"/>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215"/>
        </w:trPr>
        <w:tc>
          <w:tcPr>
            <w:tcW w:w="120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6"/>
                <w:szCs w:val="16"/>
                <w:color w:val="auto"/>
              </w:rPr>
              <w:t>embedded within the Inline XBRL document.</w:t>
            </w:r>
          </w:p>
        </w:tc>
      </w:tr>
      <w:tr>
        <w:trPr>
          <w:trHeight w:val="391"/>
        </w:trPr>
        <w:tc>
          <w:tcPr>
            <w:tcW w:w="1200" w:type="dxa"/>
            <w:vAlign w:val="bottom"/>
          </w:tcPr>
          <w:p>
            <w:pPr>
              <w:spacing w:after="0"/>
              <w:rPr>
                <w:sz w:val="20"/>
                <w:szCs w:val="20"/>
                <w:color w:val="auto"/>
              </w:rPr>
            </w:pPr>
            <w:r>
              <w:rPr>
                <w:rFonts w:ascii="Arial" w:cs="Arial" w:eastAsia="Arial" w:hAnsi="Arial"/>
                <w:sz w:val="16"/>
                <w:szCs w:val="16"/>
                <w:color w:val="auto"/>
              </w:rPr>
              <w:t>101.SCH*</w:t>
            </w:r>
          </w:p>
        </w:tc>
        <w:tc>
          <w:tcPr>
            <w:tcW w:w="1004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 with Embedded Linkbase Documents.</w:t>
            </w:r>
          </w:p>
        </w:tc>
      </w:tr>
    </w:tbl>
    <w:p>
      <w:pPr>
        <w:spacing w:after="0" w:line="177" w:lineRule="exact"/>
        <w:rPr>
          <w:sz w:val="20"/>
          <w:szCs w:val="20"/>
          <w:color w:val="auto"/>
        </w:rPr>
      </w:pPr>
    </w:p>
    <w:p>
      <w:pPr>
        <w:ind w:left="1200" w:hanging="1192"/>
        <w:spacing w:after="0"/>
        <w:tabs>
          <w:tab w:leader="none" w:pos="12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 and Contained in Exhibit 101).</w:t>
      </w:r>
    </w:p>
    <w:p>
      <w:pPr>
        <w:spacing w:after="0" w:line="21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4230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220" w:hanging="212"/>
        <w:spacing w:after="0" w:line="229" w:lineRule="auto"/>
        <w:tabs>
          <w:tab w:leader="none" w:pos="2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Required to be identified as a management contract or a compensatory plan or arrangement pursuant to Item 15(a) (3) of Form 10-K.</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color w:val="auto"/>
        </w:rPr>
        <w:t>SIGNATURES</w:t>
      </w:r>
    </w:p>
    <w:p>
      <w:pPr>
        <w:spacing w:after="0" w:line="9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140"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Registrant</w:t>
      </w:r>
    </w:p>
    <w:p>
      <w:pPr>
        <w:spacing w:after="0" w:line="329" w:lineRule="exact"/>
        <w:rPr>
          <w:sz w:val="20"/>
          <w:szCs w:val="20"/>
          <w:color w:val="auto"/>
        </w:rPr>
      </w:pPr>
    </w:p>
    <w:p>
      <w:pPr>
        <w:spacing w:after="0"/>
        <w:tabs>
          <w:tab w:leader="none" w:pos="8140" w:val="left"/>
        </w:tabs>
        <w:rPr>
          <w:sz w:val="20"/>
          <w:szCs w:val="20"/>
          <w:color w:val="auto"/>
        </w:rPr>
      </w:pPr>
      <w:r>
        <w:rPr>
          <w:rFonts w:ascii="Arial" w:cs="Arial" w:eastAsia="Arial" w:hAnsi="Arial"/>
          <w:sz w:val="18"/>
          <w:szCs w:val="18"/>
          <w:color w:val="auto"/>
        </w:rPr>
        <w:t>May 19, 2026</w:t>
      </w:r>
      <w:r>
        <w:rPr>
          <w:sz w:val="20"/>
          <w:szCs w:val="20"/>
          <w:color w:val="auto"/>
        </w:rPr>
        <w:tab/>
      </w:r>
      <w:r>
        <w:rPr>
          <w:rFonts w:ascii="Arial" w:cs="Arial" w:eastAsia="Arial" w:hAnsi="Arial"/>
          <w:sz w:val="18"/>
          <w:szCs w:val="18"/>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jc w:val="center"/>
        <w:ind w:left="6660"/>
        <w:spacing w:after="0"/>
        <w:rPr>
          <w:sz w:val="20"/>
          <w:szCs w:val="20"/>
          <w:color w:val="auto"/>
        </w:rPr>
      </w:pPr>
      <w:r>
        <w:rPr>
          <w:rFonts w:ascii="Arial" w:cs="Arial" w:eastAsia="Arial" w:hAnsi="Arial"/>
          <w:sz w:val="18"/>
          <w:szCs w:val="18"/>
          <w:color w:val="auto"/>
        </w:rPr>
        <w:t>Michael R. Haack,</w:t>
      </w:r>
    </w:p>
    <w:p>
      <w:pPr>
        <w:jc w:val="center"/>
        <w:ind w:left="6720"/>
        <w:spacing w:after="0"/>
        <w:rPr>
          <w:sz w:val="20"/>
          <w:szCs w:val="20"/>
          <w:color w:val="auto"/>
        </w:rPr>
      </w:pPr>
      <w:r>
        <w:rPr>
          <w:rFonts w:ascii="Arial" w:cs="Arial" w:eastAsia="Arial" w:hAnsi="Arial"/>
          <w:sz w:val="18"/>
          <w:szCs w:val="18"/>
          <w:color w:val="auto"/>
        </w:rPr>
        <w:t>President and Chief Executive Officer</w:t>
      </w:r>
    </w:p>
    <w:p>
      <w:pPr>
        <w:spacing w:after="0" w:line="15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412" w:right="3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May 19, 2026</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28460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Michael R. Haack</w:t>
      </w:r>
    </w:p>
    <w:p>
      <w:pPr>
        <w:jc w:val="center"/>
        <w:ind w:right="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(principal executive officer)</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28460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 Craig Kesler</w:t>
      </w:r>
    </w:p>
    <w:p>
      <w:pPr>
        <w:jc w:val="right"/>
        <w:ind w:right="80"/>
        <w:spacing w:after="0" w:line="234" w:lineRule="auto"/>
        <w:rPr>
          <w:sz w:val="20"/>
          <w:szCs w:val="20"/>
          <w:color w:val="auto"/>
        </w:rPr>
      </w:pPr>
      <w:r>
        <w:rPr>
          <w:rFonts w:ascii="Arial" w:cs="Arial" w:eastAsia="Arial" w:hAnsi="Arial"/>
          <w:sz w:val="18"/>
          <w:szCs w:val="18"/>
          <w:color w:val="auto"/>
        </w:rPr>
        <w:t>Executive Vice President – Finance and Administration</w:t>
      </w:r>
    </w:p>
    <w:p>
      <w:pPr>
        <w:spacing w:after="0" w:line="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and Chief Financial Officer (principal financial officer)</w:t>
      </w:r>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28460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William R. Devlin</w:t>
      </w:r>
    </w:p>
    <w:p>
      <w:pPr>
        <w:jc w:val="center"/>
        <w:ind w:right="20"/>
        <w:spacing w:after="0" w:line="234" w:lineRule="auto"/>
        <w:rPr>
          <w:sz w:val="20"/>
          <w:szCs w:val="20"/>
          <w:color w:val="auto"/>
        </w:rPr>
      </w:pPr>
      <w:r>
        <w:rPr>
          <w:rFonts w:ascii="Arial" w:cs="Arial" w:eastAsia="Arial" w:hAnsi="Arial"/>
          <w:sz w:val="18"/>
          <w:szCs w:val="18"/>
          <w:color w:val="auto"/>
        </w:rPr>
        <w:t>Senior Vice President – Controller and</w:t>
      </w:r>
    </w:p>
    <w:p>
      <w:pPr>
        <w:jc w:val="center"/>
        <w:ind w:right="2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6060" w:space="720"/>
            <w:col w:w="4460"/>
          </w:cols>
          <w:pgMar w:left="320" w:top="1412"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80" w:type="dxa"/>
            <w:vAlign w:val="bottom"/>
          </w:tcPr>
          <w:p>
            <w:pPr>
              <w:spacing w:after="0"/>
              <w:rPr>
                <w:sz w:val="20"/>
                <w:szCs w:val="20"/>
                <w:color w:val="auto"/>
              </w:rPr>
            </w:pPr>
            <w:r>
              <w:rPr>
                <w:rFonts w:ascii="Arial" w:cs="Arial" w:eastAsia="Arial" w:hAnsi="Arial"/>
                <w:sz w:val="18"/>
                <w:szCs w:val="18"/>
                <w:color w:val="auto"/>
              </w:rPr>
              <w:t>May 19, 2026</w:t>
            </w:r>
          </w:p>
        </w:tc>
        <w:tc>
          <w:tcPr>
            <w:tcW w:w="3480" w:type="dxa"/>
            <w:vAlign w:val="bottom"/>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Richard Beckwitt</w:t>
            </w:r>
          </w:p>
        </w:tc>
      </w:tr>
      <w:tr>
        <w:trPr>
          <w:trHeight w:val="232"/>
        </w:trPr>
        <w:tc>
          <w:tcPr>
            <w:tcW w:w="3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Richard Beckwitt, Director</w:t>
            </w:r>
          </w:p>
        </w:tc>
      </w:tr>
      <w:tr>
        <w:trPr>
          <w:trHeight w:val="369"/>
        </w:trPr>
        <w:tc>
          <w:tcPr>
            <w:tcW w:w="3280" w:type="dxa"/>
            <w:vAlign w:val="bottom"/>
          </w:tcPr>
          <w:p>
            <w:pPr>
              <w:spacing w:after="0"/>
              <w:rPr>
                <w:sz w:val="20"/>
                <w:szCs w:val="20"/>
                <w:color w:val="auto"/>
              </w:rPr>
            </w:pPr>
            <w:r>
              <w:rPr>
                <w:rFonts w:ascii="Arial" w:cs="Arial" w:eastAsia="Arial" w:hAnsi="Arial"/>
                <w:sz w:val="18"/>
                <w:szCs w:val="18"/>
                <w:color w:val="auto"/>
              </w:rPr>
              <w:t>May 19, 2026</w:t>
            </w:r>
          </w:p>
        </w:tc>
        <w:tc>
          <w:tcPr>
            <w:tcW w:w="348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Margot L. Carter</w:t>
            </w:r>
          </w:p>
        </w:tc>
      </w:tr>
      <w:tr>
        <w:trPr>
          <w:trHeight w:val="232"/>
        </w:trPr>
        <w:tc>
          <w:tcPr>
            <w:tcW w:w="3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Margot L. Carter, Director</w:t>
            </w:r>
          </w:p>
        </w:tc>
      </w:tr>
      <w:tr>
        <w:trPr>
          <w:trHeight w:val="369"/>
        </w:trPr>
        <w:tc>
          <w:tcPr>
            <w:tcW w:w="3280" w:type="dxa"/>
            <w:vAlign w:val="bottom"/>
          </w:tcPr>
          <w:p>
            <w:pPr>
              <w:spacing w:after="0"/>
              <w:rPr>
                <w:sz w:val="20"/>
                <w:szCs w:val="20"/>
                <w:color w:val="auto"/>
              </w:rPr>
            </w:pPr>
            <w:r>
              <w:rPr>
                <w:rFonts w:ascii="Arial" w:cs="Arial" w:eastAsia="Arial" w:hAnsi="Arial"/>
                <w:sz w:val="18"/>
                <w:szCs w:val="18"/>
                <w:color w:val="auto"/>
              </w:rPr>
              <w:t>May 19, 2026</w:t>
            </w:r>
          </w:p>
        </w:tc>
        <w:tc>
          <w:tcPr>
            <w:tcW w:w="348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George J. Damiris</w:t>
            </w:r>
          </w:p>
        </w:tc>
      </w:tr>
      <w:tr>
        <w:trPr>
          <w:trHeight w:val="232"/>
        </w:trPr>
        <w:tc>
          <w:tcPr>
            <w:tcW w:w="3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George J. Damiris, Director</w:t>
            </w:r>
          </w:p>
        </w:tc>
      </w:tr>
      <w:tr>
        <w:trPr>
          <w:trHeight w:val="625"/>
        </w:trPr>
        <w:tc>
          <w:tcPr>
            <w:tcW w:w="3280" w:type="dxa"/>
            <w:vAlign w:val="bottom"/>
          </w:tcPr>
          <w:p>
            <w:pPr>
              <w:spacing w:after="0"/>
              <w:rPr>
                <w:sz w:val="20"/>
                <w:szCs w:val="20"/>
                <w:color w:val="auto"/>
              </w:rPr>
            </w:pPr>
            <w:r>
              <w:rPr>
                <w:rFonts w:ascii="Arial" w:cs="Arial" w:eastAsia="Arial" w:hAnsi="Arial"/>
                <w:sz w:val="18"/>
                <w:szCs w:val="18"/>
                <w:color w:val="auto"/>
              </w:rPr>
              <w:t>May 19, 2026</w:t>
            </w:r>
          </w:p>
        </w:tc>
        <w:tc>
          <w:tcPr>
            <w:tcW w:w="348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Martin M. Ellen</w:t>
            </w:r>
          </w:p>
        </w:tc>
      </w:tr>
      <w:tr>
        <w:trPr>
          <w:trHeight w:val="232"/>
        </w:trPr>
        <w:tc>
          <w:tcPr>
            <w:tcW w:w="3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rPr>
              <w:t>Martin M. Ellen, Director</w:t>
            </w:r>
          </w:p>
        </w:tc>
      </w:tr>
      <w:tr>
        <w:trPr>
          <w:trHeight w:val="409"/>
        </w:trPr>
        <w:tc>
          <w:tcPr>
            <w:tcW w:w="3280" w:type="dxa"/>
            <w:vAlign w:val="bottom"/>
          </w:tcPr>
          <w:p>
            <w:pPr>
              <w:spacing w:after="0"/>
              <w:rPr>
                <w:sz w:val="20"/>
                <w:szCs w:val="20"/>
                <w:color w:val="auto"/>
              </w:rPr>
            </w:pPr>
            <w:r>
              <w:rPr>
                <w:rFonts w:ascii="Arial" w:cs="Arial" w:eastAsia="Arial" w:hAnsi="Arial"/>
                <w:sz w:val="18"/>
                <w:szCs w:val="18"/>
                <w:color w:val="auto"/>
              </w:rPr>
              <w:t>May 19, 2026</w:t>
            </w:r>
          </w:p>
        </w:tc>
        <w:tc>
          <w:tcPr>
            <w:tcW w:w="348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Mauro Gregorio</w:t>
            </w:r>
          </w:p>
        </w:tc>
      </w:tr>
      <w:tr>
        <w:trPr>
          <w:trHeight w:val="232"/>
        </w:trPr>
        <w:tc>
          <w:tcPr>
            <w:tcW w:w="3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Mauro Gregorio, Director</w:t>
            </w:r>
          </w:p>
        </w:tc>
      </w:tr>
      <w:tr>
        <w:trPr>
          <w:trHeight w:val="409"/>
        </w:trPr>
        <w:tc>
          <w:tcPr>
            <w:tcW w:w="3280" w:type="dxa"/>
            <w:vAlign w:val="bottom"/>
          </w:tcPr>
          <w:p>
            <w:pPr>
              <w:spacing w:after="0"/>
              <w:rPr>
                <w:sz w:val="20"/>
                <w:szCs w:val="20"/>
                <w:color w:val="auto"/>
              </w:rPr>
            </w:pPr>
            <w:r>
              <w:rPr>
                <w:rFonts w:ascii="Arial" w:cs="Arial" w:eastAsia="Arial" w:hAnsi="Arial"/>
                <w:sz w:val="18"/>
                <w:szCs w:val="18"/>
                <w:color w:val="auto"/>
              </w:rPr>
              <w:t>May 19, 2026</w:t>
            </w:r>
          </w:p>
        </w:tc>
        <w:tc>
          <w:tcPr>
            <w:tcW w:w="348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Michael R. Nicolais</w:t>
            </w:r>
          </w:p>
        </w:tc>
      </w:tr>
      <w:tr>
        <w:trPr>
          <w:trHeight w:val="232"/>
        </w:trPr>
        <w:tc>
          <w:tcPr>
            <w:tcW w:w="3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Michael R. Nicolais, Director</w:t>
            </w:r>
          </w:p>
        </w:tc>
      </w:tr>
      <w:tr>
        <w:trPr>
          <w:trHeight w:val="629"/>
        </w:trPr>
        <w:tc>
          <w:tcPr>
            <w:tcW w:w="3280" w:type="dxa"/>
            <w:vAlign w:val="bottom"/>
          </w:tcPr>
          <w:p>
            <w:pPr>
              <w:spacing w:after="0"/>
              <w:rPr>
                <w:sz w:val="24"/>
                <w:szCs w:val="24"/>
                <w:color w:val="auto"/>
              </w:rPr>
            </w:pPr>
          </w:p>
        </w:tc>
        <w:tc>
          <w:tcPr>
            <w:tcW w:w="3480" w:type="dxa"/>
            <w:vAlign w:val="bottom"/>
          </w:tcPr>
          <w:p>
            <w:pPr>
              <w:jc w:val="right"/>
              <w:ind w:right="890"/>
              <w:spacing w:after="0"/>
              <w:rPr>
                <w:sz w:val="20"/>
                <w:szCs w:val="20"/>
                <w:color w:val="auto"/>
              </w:rPr>
            </w:pPr>
            <w:r>
              <w:rPr>
                <w:rFonts w:ascii="Arial" w:cs="Arial" w:eastAsia="Arial" w:hAnsi="Arial"/>
                <w:sz w:val="18"/>
                <w:szCs w:val="18"/>
                <w:color w:val="auto"/>
              </w:rPr>
              <w:t>128</w:t>
            </w:r>
          </w:p>
        </w:tc>
        <w:tc>
          <w:tcPr>
            <w:tcW w:w="4480" w:type="dxa"/>
            <w:vAlign w:val="bottom"/>
          </w:tcPr>
          <w:p>
            <w:pPr>
              <w:spacing w:after="0"/>
              <w:rPr>
                <w:sz w:val="24"/>
                <w:szCs w:val="24"/>
                <w:color w:val="auto"/>
              </w:rPr>
            </w:pPr>
          </w:p>
        </w:tc>
      </w:tr>
      <w:tr>
        <w:trPr>
          <w:trHeight w:val="746"/>
        </w:trPr>
        <w:tc>
          <w:tcPr>
            <w:tcW w:w="32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30" w:name="page131"/>
    <w:bookmarkEnd w:id="130"/>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80" w:type="dxa"/>
            <w:vAlign w:val="bottom"/>
          </w:tcPr>
          <w:p>
            <w:pPr>
              <w:spacing w:after="0"/>
              <w:rPr>
                <w:sz w:val="20"/>
                <w:szCs w:val="20"/>
                <w:color w:val="auto"/>
              </w:rPr>
            </w:pPr>
            <w:r>
              <w:rPr>
                <w:rFonts w:ascii="Arial" w:cs="Arial" w:eastAsia="Arial" w:hAnsi="Arial"/>
                <w:sz w:val="18"/>
                <w:szCs w:val="18"/>
                <w:color w:val="auto"/>
              </w:rPr>
              <w:t>May 19, 2026</w:t>
            </w:r>
          </w:p>
        </w:tc>
        <w:tc>
          <w:tcPr>
            <w:tcW w:w="3480" w:type="dxa"/>
            <w:vAlign w:val="bottom"/>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Mary P. Ricciardello</w:t>
            </w:r>
          </w:p>
        </w:tc>
      </w:tr>
      <w:tr>
        <w:trPr>
          <w:trHeight w:val="232"/>
        </w:trPr>
        <w:tc>
          <w:tcPr>
            <w:tcW w:w="3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rPr>
              <w:t>Mary P. Ricciardello, Director</w:t>
            </w:r>
          </w:p>
        </w:tc>
      </w:tr>
      <w:tr>
        <w:trPr>
          <w:trHeight w:val="436"/>
        </w:trPr>
        <w:tc>
          <w:tcPr>
            <w:tcW w:w="3280" w:type="dxa"/>
            <w:vAlign w:val="bottom"/>
          </w:tcPr>
          <w:p>
            <w:pPr>
              <w:spacing w:after="0"/>
              <w:rPr>
                <w:sz w:val="20"/>
                <w:szCs w:val="20"/>
                <w:color w:val="auto"/>
              </w:rPr>
            </w:pPr>
            <w:r>
              <w:rPr>
                <w:rFonts w:ascii="Arial" w:cs="Arial" w:eastAsia="Arial" w:hAnsi="Arial"/>
                <w:sz w:val="18"/>
                <w:szCs w:val="18"/>
                <w:color w:val="auto"/>
              </w:rPr>
              <w:t>May 19, 2026</w:t>
            </w:r>
          </w:p>
        </w:tc>
        <w:tc>
          <w:tcPr>
            <w:tcW w:w="348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Rush</w:t>
            </w:r>
          </w:p>
        </w:tc>
      </w:tr>
      <w:tr>
        <w:trPr>
          <w:trHeight w:val="254"/>
        </w:trPr>
        <w:tc>
          <w:tcPr>
            <w:tcW w:w="32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David Rush, Director</w:t>
            </w:r>
          </w:p>
        </w:tc>
      </w:tr>
      <w:tr>
        <w:trPr>
          <w:trHeight w:val="891"/>
        </w:trPr>
        <w:tc>
          <w:tcPr>
            <w:tcW w:w="3280" w:type="dxa"/>
            <w:vAlign w:val="bottom"/>
          </w:tcPr>
          <w:p>
            <w:pPr>
              <w:spacing w:after="0"/>
              <w:rPr>
                <w:sz w:val="24"/>
                <w:szCs w:val="24"/>
                <w:color w:val="auto"/>
              </w:rPr>
            </w:pPr>
          </w:p>
        </w:tc>
        <w:tc>
          <w:tcPr>
            <w:tcW w:w="3480" w:type="dxa"/>
            <w:vAlign w:val="bottom"/>
          </w:tcPr>
          <w:p>
            <w:pPr>
              <w:jc w:val="right"/>
              <w:ind w:right="890"/>
              <w:spacing w:after="0"/>
              <w:rPr>
                <w:sz w:val="20"/>
                <w:szCs w:val="20"/>
                <w:color w:val="auto"/>
              </w:rPr>
            </w:pPr>
            <w:r>
              <w:rPr>
                <w:rFonts w:ascii="Arial" w:cs="Arial" w:eastAsia="Arial" w:hAnsi="Arial"/>
                <w:sz w:val="18"/>
                <w:szCs w:val="18"/>
                <w:color w:val="auto"/>
              </w:rPr>
              <w:t>129</w:t>
            </w:r>
          </w:p>
        </w:tc>
        <w:tc>
          <w:tcPr>
            <w:tcW w:w="4480" w:type="dxa"/>
            <w:vAlign w:val="bottom"/>
          </w:tcPr>
          <w:p>
            <w:pPr>
              <w:spacing w:after="0"/>
              <w:rPr>
                <w:sz w:val="24"/>
                <w:szCs w:val="24"/>
                <w:color w:val="auto"/>
              </w:rPr>
            </w:pPr>
          </w:p>
        </w:tc>
      </w:tr>
      <w:tr>
        <w:trPr>
          <w:trHeight w:val="745"/>
        </w:trPr>
        <w:tc>
          <w:tcPr>
            <w:tcW w:w="32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10.12(a)</w:t>
      </w:r>
    </w:p>
    <w:p>
      <w:pPr>
        <w:spacing w:after="0" w:line="23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EAGLE MATERIALS INC. RETIREMENT PLAN</w:t>
      </w:r>
    </w:p>
    <w:p>
      <w:pPr>
        <w:spacing w:after="0" w:line="1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(As Amended and Restated Effective January 1, 2026)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w:t>
      </w:r>
    </w:p>
    <w:p>
      <w:pPr>
        <w:spacing w:after="0" w:line="200" w:lineRule="exact"/>
        <w:rPr>
          <w:sz w:val="20"/>
          <w:szCs w:val="20"/>
          <w:color w:val="auto"/>
        </w:rPr>
      </w:pPr>
    </w:p>
    <w:p>
      <w:pPr>
        <w:spacing w:after="0" w:line="247" w:lineRule="exact"/>
        <w:rPr>
          <w:sz w:val="20"/>
          <w:szCs w:val="20"/>
          <w:color w:val="auto"/>
        </w:rPr>
      </w:pPr>
    </w:p>
    <w:p>
      <w:pPr>
        <w:ind w:right="480" w:firstLine="749"/>
        <w:spacing w:after="0"/>
        <w:rPr>
          <w:sz w:val="20"/>
          <w:szCs w:val="20"/>
          <w:color w:val="auto"/>
        </w:rPr>
      </w:pPr>
      <w:r>
        <w:rPr>
          <w:rFonts w:ascii="Times New Roman" w:cs="Times New Roman" w:eastAsia="Times New Roman" w:hAnsi="Times New Roman"/>
          <w:sz w:val="22"/>
          <w:szCs w:val="22"/>
          <w:color w:val="auto"/>
        </w:rPr>
        <w:t>WHEREAS, Eagle Materials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established and maintains the Eagle Materials Inc. Retirement Plan, as amended and restated effective January 1, 2026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benefit of its eligible employees and eligible employees of its affiliates that have adopted the Plan;</w:t>
      </w:r>
    </w:p>
    <w:p>
      <w:pPr>
        <w:ind w:right="160" w:firstLine="749"/>
        <w:spacing w:after="0" w:line="230" w:lineRule="auto"/>
        <w:rPr>
          <w:sz w:val="20"/>
          <w:szCs w:val="20"/>
          <w:color w:val="auto"/>
        </w:rPr>
      </w:pPr>
      <w:r>
        <w:rPr>
          <w:rFonts w:ascii="Times New Roman" w:cs="Times New Roman" w:eastAsia="Times New Roman" w:hAnsi="Times New Roman"/>
          <w:sz w:val="22"/>
          <w:szCs w:val="22"/>
          <w:color w:val="auto"/>
        </w:rPr>
        <w:t>WHEREAS, pursuant to Section 10.4 of the Plan, the Company desires to amend the Plan to (i) stop the Employer Matching Contributions as reflected on Appendix A to the Plan for certain Salaried Participants, (ii) allow those certain Salaried Participants to receive the Employer Profit Sharing Contribution, and (iii) clarify that the Plan does not apply a deemed Roth Catch-Up Contribution election to Catch-Up Contribution elections made by certain Participants;</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NOW, THEREFORE, effective as provided below, in consideration of the premises and covenants herein contained,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is hereby amended as follows:</w:t>
      </w:r>
    </w:p>
    <w:p>
      <w:pPr>
        <w:spacing w:after="0" w:line="74" w:lineRule="exact"/>
        <w:rPr>
          <w:sz w:val="20"/>
          <w:szCs w:val="20"/>
          <w:color w:val="auto"/>
        </w:rPr>
      </w:pPr>
    </w:p>
    <w:p>
      <w:pPr>
        <w:ind w:firstLine="757"/>
        <w:spacing w:after="0" w:line="258" w:lineRule="auto"/>
        <w:tabs>
          <w:tab w:leader="none" w:pos="118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February 5, 2026, Section A.II(m) of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of the Plan is hereby amended and restated in its entirety to read as follows:</w:t>
      </w:r>
    </w:p>
    <w:p>
      <w:pPr>
        <w:spacing w:after="0" w:line="158"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Effective January 7, 2025, each Hourly Participant who is employed by Bullskin Stone &amp; Lime, LLC (“Bullskin Employee”) shall be eligible to receive an Employer Matching Contribution, on a payroll period basis, in an amount equal to $1.00 for each $1.00 of Pre-Tax Contributions made by such employee up to 4% of the Bullskin Employee’s Eligible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1285240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2" w:name="page133"/>
    <w:bookmarkEnd w:id="132"/>
    <w:p>
      <w:pPr>
        <w:spacing w:after="0" w:line="77" w:lineRule="exact"/>
        <w:rPr>
          <w:sz w:val="20"/>
          <w:szCs w:val="20"/>
          <w:color w:val="auto"/>
        </w:rPr>
      </w:pPr>
    </w:p>
    <w:p>
      <w:pPr>
        <w:jc w:val="both"/>
        <w:ind w:left="-20" w:firstLine="757"/>
        <w:spacing w:after="0" w:line="244" w:lineRule="auto"/>
        <w:tabs>
          <w:tab w:leader="none" w:pos="116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January 1, 2026, the last sentence of Section 3.1(d) of the Plan notwithstanding, each Salaried Participant who is employed by Bullskin Stone &amp; Lime, LLC shall be eligible for Employer Profit Sharing Contributions in accordance with Section 4.2(a) of the Plan.</w:t>
      </w:r>
    </w:p>
    <w:p>
      <w:pPr>
        <w:spacing w:after="0" w:line="173" w:lineRule="exact"/>
        <w:rPr>
          <w:rFonts w:ascii="Times New Roman" w:cs="Times New Roman" w:eastAsia="Times New Roman" w:hAnsi="Times New Roman"/>
          <w:sz w:val="22"/>
          <w:szCs w:val="22"/>
          <w:color w:val="auto"/>
        </w:rPr>
      </w:pPr>
    </w:p>
    <w:p>
      <w:pPr>
        <w:ind w:left="-20" w:right="20" w:firstLine="757"/>
        <w:spacing w:after="0" w:line="258" w:lineRule="auto"/>
        <w:tabs>
          <w:tab w:leader="none" w:pos="116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January 1, 2026, the last sentence of the second paragraph of Section 4.1(a) of the Plan is hereby deleted in its entirety.</w:t>
      </w:r>
    </w:p>
    <w:p>
      <w:pPr>
        <w:spacing w:after="0" w:line="200" w:lineRule="exact"/>
        <w:rPr>
          <w:sz w:val="20"/>
          <w:szCs w:val="20"/>
          <w:color w:val="auto"/>
        </w:rPr>
      </w:pPr>
    </w:p>
    <w:p>
      <w:pPr>
        <w:spacing w:after="0" w:line="20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33" w:name="page134"/>
    <w:bookmarkEnd w:id="133"/>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IN WITNESS WHEREOF, Eagle Materials Inc. has caused these presents to be executed by its duly authorized officer in a number of copies, all of which shall constitute one and the same instrument, which may be sufficiently evidenced by any executed copy hereof, this 6th day of February 2026, but effective as provided herein.</w:t>
      </w:r>
    </w:p>
    <w:p>
      <w:pPr>
        <w:ind w:left="5240"/>
        <w:spacing w:after="0"/>
        <w:rPr>
          <w:sz w:val="20"/>
          <w:szCs w:val="20"/>
          <w:color w:val="auto"/>
        </w:rPr>
      </w:pPr>
      <w:r>
        <w:rPr>
          <w:rFonts w:ascii="Times New Roman" w:cs="Times New Roman" w:eastAsia="Times New Roman" w:hAnsi="Times New Roman"/>
          <w:sz w:val="22"/>
          <w:szCs w:val="22"/>
          <w:b w:val="1"/>
          <w:bCs w:val="1"/>
          <w:color w:val="auto"/>
        </w:rPr>
        <w:t>EAGLE MATERIALS INC.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/s/ D. Craig Kesler</w:t>
      </w:r>
    </w:p>
    <w:p>
      <w:pPr>
        <w:spacing w:after="0" w:line="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D. Craig Kesler</w:t>
      </w:r>
    </w:p>
    <w:p>
      <w:pPr>
        <w:spacing w:after="0" w:line="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Title: EVP-CFO</w:t>
      </w: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34" w:name="page135"/>
    <w:bookmarkEnd w:id="134"/>
    <w:p>
      <w:pPr>
        <w:spacing w:after="0" w:line="14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color w:val="auto"/>
        </w:rPr>
        <w:t>Exhibit 21</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Eagle Materials Inc., wholly-owned unless otherwise stated. This list of subsidiaries includes all of the significant subsidiaries of Eagle Materials Inc. as of May 19,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9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42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AG SOUTH CAROLINA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AMERICAN GYPSUM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AMERICAN GYPSUM MARKETING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AUDUBON MATERIALS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d/b/a Central Plains Cement Company LLC</w:t>
            </w:r>
          </w:p>
        </w:tc>
        <w:tc>
          <w:tcPr>
            <w:tcW w:w="19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AUDUBON READYMIX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d/b/a Quicksilver Readymix LLC</w:t>
            </w:r>
          </w:p>
        </w:tc>
        <w:tc>
          <w:tcPr>
            <w:tcW w:w="19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BULLSKIN STONE AND LIME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CCP CEMENT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CCP CONCRETE/AGGREGATES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CCP GYPSUM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CENTEX MATERIALS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ILLINOIS CEMENT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FAIRBORN CEMENT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HOLLIS &amp; EASTERN RAILROAD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KANSAS CITY AGGREGATE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d/b/a Talon Concrete and Aggregates LLC</w:t>
            </w:r>
          </w:p>
        </w:tc>
        <w:tc>
          <w:tcPr>
            <w:tcW w:w="19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KANSAS CITY FLY ASH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1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KANSAS CITY READYMIX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d/b/a Talon Concrete and Aggregates LLC</w:t>
            </w:r>
          </w:p>
        </w:tc>
        <w:tc>
          <w:tcPr>
            <w:tcW w:w="19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KOSMOS CEMENT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MOUNTAIN CEMENT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MOUNTAIN LAND &amp; CATTLE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NEVADA CEMENT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RAPTOR MATERIALS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REPUBLIC PAPERBOARD COMPANY LLC</w:t>
            </w:r>
          </w:p>
        </w:tc>
        <w:tc>
          <w:tcPr>
            <w:tcW w:w="19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1411"/>
        </w:trPr>
        <w:tc>
          <w:tcPr>
            <w:tcW w:w="58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SKYWAY CEMENT COMPANY LLC</w:t>
            </w:r>
          </w:p>
        </w:tc>
        <w:tc>
          <w:tcPr>
            <w:tcW w:w="3100" w:type="dxa"/>
            <w:vAlign w:val="bottom"/>
          </w:tcPr>
          <w:p>
            <w:pPr>
              <w:spacing w:after="0"/>
              <w:rPr>
                <w:sz w:val="20"/>
                <w:szCs w:val="20"/>
                <w:color w:val="auto"/>
              </w:rPr>
            </w:pPr>
          </w:p>
        </w:tc>
        <w:tc>
          <w:tcPr>
            <w:tcW w:w="31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TEXAS CEMENT COMPANY</w:t>
            </w:r>
          </w:p>
        </w:tc>
        <w:tc>
          <w:tcPr>
            <w:tcW w:w="3100" w:type="dxa"/>
            <w:vAlign w:val="bottom"/>
          </w:tcPr>
          <w:p>
            <w:pPr>
              <w:spacing w:after="0"/>
              <w:rPr>
                <w:sz w:val="24"/>
                <w:szCs w:val="24"/>
                <w:color w:val="auto"/>
              </w:rPr>
            </w:pPr>
          </w:p>
        </w:tc>
        <w:tc>
          <w:tcPr>
            <w:tcW w:w="31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TEXAS LEHIGH CEMENT COMPANY LP</w:t>
            </w:r>
          </w:p>
        </w:tc>
        <w:tc>
          <w:tcPr>
            <w:tcW w:w="3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50%</w:t>
            </w:r>
          </w:p>
        </w:tc>
        <w:tc>
          <w:tcPr>
            <w:tcW w:w="31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d/b/a Texas Lehigh Cement</w:t>
            </w:r>
          </w:p>
        </w:tc>
        <w:tc>
          <w:tcPr>
            <w:tcW w:w="3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TLCC GP LLC</w:t>
            </w:r>
          </w:p>
        </w:tc>
        <w:tc>
          <w:tcPr>
            <w:tcW w:w="3100" w:type="dxa"/>
            <w:vAlign w:val="bottom"/>
          </w:tcPr>
          <w:p>
            <w:pPr>
              <w:spacing w:after="0"/>
              <w:rPr>
                <w:sz w:val="24"/>
                <w:szCs w:val="24"/>
                <w:color w:val="auto"/>
              </w:rPr>
            </w:pPr>
          </w:p>
        </w:tc>
        <w:tc>
          <w:tcPr>
            <w:tcW w:w="31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TLCC LP LLC</w:t>
            </w:r>
          </w:p>
        </w:tc>
        <w:tc>
          <w:tcPr>
            <w:tcW w:w="3100" w:type="dxa"/>
            <w:vAlign w:val="bottom"/>
          </w:tcPr>
          <w:p>
            <w:pPr>
              <w:spacing w:after="0"/>
              <w:rPr>
                <w:sz w:val="24"/>
                <w:szCs w:val="24"/>
                <w:color w:val="auto"/>
              </w:rPr>
            </w:pPr>
          </w:p>
        </w:tc>
        <w:tc>
          <w:tcPr>
            <w:tcW w:w="31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TULSA CEMENT LLC</w:t>
            </w:r>
          </w:p>
        </w:tc>
        <w:tc>
          <w:tcPr>
            <w:tcW w:w="3100" w:type="dxa"/>
            <w:vAlign w:val="bottom"/>
          </w:tcPr>
          <w:p>
            <w:pPr>
              <w:spacing w:after="0"/>
              <w:rPr>
                <w:sz w:val="24"/>
                <w:szCs w:val="24"/>
                <w:color w:val="auto"/>
              </w:rPr>
            </w:pPr>
          </w:p>
        </w:tc>
        <w:tc>
          <w:tcPr>
            <w:tcW w:w="31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d/b/a Central Plains Cement Company LLC</w:t>
            </w:r>
          </w:p>
        </w:tc>
        <w:tc>
          <w:tcPr>
            <w:tcW w:w="3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1411"/>
        </w:trPr>
        <w:tc>
          <w:tcPr>
            <w:tcW w:w="50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5"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33-82820) of Eagle Materials Inc., pertaining to the 1994 stock option plan,</w:t>
      </w:r>
    </w:p>
    <w:p>
      <w:pPr>
        <w:spacing w:after="0" w:line="117" w:lineRule="exact"/>
        <w:rPr>
          <w:rFonts w:ascii="Times New Roman" w:cs="Times New Roman" w:eastAsia="Times New Roman" w:hAnsi="Times New Roman"/>
          <w:sz w:val="18"/>
          <w:szCs w:val="18"/>
          <w:color w:val="auto"/>
        </w:rPr>
      </w:pPr>
    </w:p>
    <w:p>
      <w:pPr>
        <w:ind w:right="660" w:firstLine="8"/>
        <w:spacing w:after="0" w:line="282" w:lineRule="auto"/>
        <w:tabs>
          <w:tab w:leader="none" w:pos="3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33-82928) of Eagle Materials Inc., pertaining to the 1994 profit sharing and retirement plan for salaried employees,</w:t>
      </w:r>
    </w:p>
    <w:p>
      <w:pPr>
        <w:spacing w:after="0" w:line="5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33-84394) of Eagle Materials Inc., pertaining to the 1994 profit sharing plan for hourly employees,</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333-54102) of Eagle Materials Inc., pertaining to the 2000 stock option plan,</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333-163061) of Eagle Materials Inc., pertaining to the 2000 incentive plan (fka stock option plan),</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333-190487) of Eagle Materials Inc., pertaining to the 2013 amended and restated incentive plan,</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333-273700) of Eagle Materials Inc., pertaining to the 2023 Equity Incentive Plan, and</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333-283155) of Eagle Materials Inc., pertaining to the 2024 shelf registration statement,</w:t>
      </w:r>
    </w:p>
    <w:p>
      <w:pPr>
        <w:spacing w:after="0" w:line="333"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of our reports dated May 19, 2026, with respect to the consolidated financial statements of Eagle Materials Inc., and the effectiveness of internal control over financial reporting of Eagle Materials Inc., included in this Annual Report (Form 10-K) of Eagle Materials Inc. for the year ended March 31, 2026.</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Certification of Periodic Report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Michael R. Haack, certify that:</w:t>
      </w:r>
    </w:p>
    <w:p>
      <w:pPr>
        <w:spacing w:after="0" w:line="202"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report on Form 10-K of Eagle Materials Inc.;</w:t>
      </w:r>
    </w:p>
    <w:p>
      <w:pPr>
        <w:spacing w:after="0" w:line="202" w:lineRule="exact"/>
        <w:rPr>
          <w:rFonts w:ascii="Times New Roman" w:cs="Times New Roman" w:eastAsia="Times New Roman" w:hAnsi="Times New Roman"/>
          <w:sz w:val="20"/>
          <w:szCs w:val="20"/>
          <w:color w:val="auto"/>
        </w:rPr>
      </w:pPr>
    </w:p>
    <w:p>
      <w:pPr>
        <w:jc w:val="both"/>
        <w:ind w:left="520" w:hanging="512"/>
        <w:spacing w:after="0" w:line="254" w:lineRule="auto"/>
        <w:tabs>
          <w:tab w:leader="none" w:pos="5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20"/>
          <w:szCs w:val="20"/>
          <w:color w:val="auto"/>
        </w:rPr>
      </w:pPr>
    </w:p>
    <w:p>
      <w:pPr>
        <w:jc w:val="both"/>
        <w:ind w:left="520" w:hanging="512"/>
        <w:spacing w:after="0" w:line="295" w:lineRule="auto"/>
        <w:tabs>
          <w:tab w:leader="none" w:pos="5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9"/>
          <w:szCs w:val="19"/>
          <w:color w:val="auto"/>
        </w:rPr>
      </w:pPr>
    </w:p>
    <w:p>
      <w:pPr>
        <w:jc w:val="both"/>
        <w:ind w:left="520" w:hanging="512"/>
        <w:spacing w:after="0" w:line="254" w:lineRule="auto"/>
        <w:tabs>
          <w:tab w:leader="none" w:pos="5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jc w:val="both"/>
        <w:ind w:left="520" w:hanging="512"/>
        <w:spacing w:after="0" w:line="254" w:lineRule="auto"/>
        <w:tabs>
          <w:tab w:leader="none" w:pos="5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20"/>
          <w:szCs w:val="20"/>
          <w:color w:val="auto"/>
        </w:rPr>
      </w:pPr>
    </w:p>
    <w:p>
      <w:pPr>
        <w:jc w:val="both"/>
        <w:ind w:left="520" w:hanging="512"/>
        <w:spacing w:after="0" w:line="254" w:lineRule="auto"/>
        <w:tabs>
          <w:tab w:leader="none" w:pos="5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20"/>
          <w:szCs w:val="20"/>
          <w:color w:val="auto"/>
        </w:rPr>
      </w:pPr>
    </w:p>
    <w:p>
      <w:pPr>
        <w:jc w:val="both"/>
        <w:ind w:left="520" w:hanging="512"/>
        <w:spacing w:after="0" w:line="295" w:lineRule="auto"/>
        <w:tabs>
          <w:tab w:leader="none" w:pos="52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9"/>
          <w:szCs w:val="19"/>
          <w:color w:val="auto"/>
        </w:rPr>
      </w:pPr>
    </w:p>
    <w:p>
      <w:pPr>
        <w:jc w:val="both"/>
        <w:ind w:left="520" w:hanging="512"/>
        <w:spacing w:after="0" w:line="254" w:lineRule="auto"/>
        <w:tabs>
          <w:tab w:leader="none" w:pos="5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jc w:val="both"/>
        <w:ind w:left="520" w:hanging="512"/>
        <w:spacing w:after="0" w:line="254" w:lineRule="auto"/>
        <w:tabs>
          <w:tab w:leader="none" w:pos="5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sz w:val="20"/>
          <w:szCs w:val="20"/>
          <w:color w:val="auto"/>
        </w:rPr>
      </w:pPr>
    </w:p>
    <w:p>
      <w:pPr>
        <w:ind w:left="520" w:right="20" w:hanging="512"/>
        <w:spacing w:after="0" w:line="269" w:lineRule="auto"/>
        <w:tabs>
          <w:tab w:leader="none" w:pos="5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20"/>
          <w:szCs w:val="20"/>
          <w:color w:val="auto"/>
        </w:rPr>
      </w:pPr>
    </w:p>
    <w:p>
      <w:pPr>
        <w:ind w:left="520" w:hanging="512"/>
        <w:spacing w:after="0" w:line="269" w:lineRule="auto"/>
        <w:tabs>
          <w:tab w:leader="none" w:pos="5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10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19, 2026</w:t>
            </w:r>
          </w:p>
        </w:tc>
      </w:tr>
      <w:tr>
        <w:trPr>
          <w:trHeight w:val="45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Michael R. Haack</w:t>
            </w:r>
          </w:p>
        </w:tc>
      </w:tr>
      <w:tr>
        <w:trPr>
          <w:trHeight w:val="200"/>
        </w:trPr>
        <w:tc>
          <w:tcPr>
            <w:tcW w:w="760" w:type="dxa"/>
            <w:vAlign w:val="bottom"/>
          </w:tcPr>
          <w:p>
            <w:pPr>
              <w:spacing w:after="0"/>
              <w:rPr>
                <w:sz w:val="17"/>
                <w:szCs w:val="17"/>
                <w:color w:val="auto"/>
              </w:rPr>
            </w:pPr>
          </w:p>
        </w:tc>
        <w:tc>
          <w:tcPr>
            <w:tcW w:w="49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Michael R. Haack</w:t>
            </w:r>
          </w:p>
        </w:tc>
        <w:tc>
          <w:tcPr>
            <w:tcW w:w="5500" w:type="dxa"/>
            <w:vAlign w:val="bottom"/>
          </w:tcPr>
          <w:p>
            <w:pPr>
              <w:spacing w:after="0"/>
              <w:rPr>
                <w:sz w:val="17"/>
                <w:szCs w:val="17"/>
                <w:color w:val="auto"/>
              </w:rPr>
            </w:pPr>
          </w:p>
        </w:tc>
      </w:tr>
      <w:tr>
        <w:trPr>
          <w:trHeight w:val="258"/>
        </w:trPr>
        <w:tc>
          <w:tcPr>
            <w:tcW w:w="760" w:type="dxa"/>
            <w:vAlign w:val="bottom"/>
          </w:tcPr>
          <w:p>
            <w:pPr>
              <w:spacing w:after="0"/>
              <w:rPr>
                <w:sz w:val="22"/>
                <w:szCs w:val="22"/>
                <w:color w:val="auto"/>
              </w:rPr>
            </w:pPr>
          </w:p>
        </w:tc>
        <w:tc>
          <w:tcPr>
            <w:tcW w:w="10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649"/>
        </w:trPr>
        <w:tc>
          <w:tcPr>
            <w:tcW w:w="7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Certification of Periodic Report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 Craig Kesler, certify that:</w:t>
      </w:r>
    </w:p>
    <w:p>
      <w:pPr>
        <w:spacing w:after="0" w:line="202"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report on Form 10-K of Eagle Materials Inc.;</w:t>
      </w:r>
    </w:p>
    <w:p>
      <w:pPr>
        <w:spacing w:after="0" w:line="202" w:lineRule="exact"/>
        <w:rPr>
          <w:rFonts w:ascii="Times New Roman" w:cs="Times New Roman" w:eastAsia="Times New Roman" w:hAnsi="Times New Roman"/>
          <w:sz w:val="20"/>
          <w:szCs w:val="20"/>
          <w:color w:val="auto"/>
        </w:rPr>
      </w:pPr>
    </w:p>
    <w:p>
      <w:pPr>
        <w:jc w:val="both"/>
        <w:ind w:left="520" w:hanging="512"/>
        <w:spacing w:after="0" w:line="254" w:lineRule="auto"/>
        <w:tabs>
          <w:tab w:leader="none" w:pos="5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20"/>
          <w:szCs w:val="20"/>
          <w:color w:val="auto"/>
        </w:rPr>
      </w:pPr>
    </w:p>
    <w:p>
      <w:pPr>
        <w:jc w:val="both"/>
        <w:ind w:left="520" w:hanging="512"/>
        <w:spacing w:after="0" w:line="295" w:lineRule="auto"/>
        <w:tabs>
          <w:tab w:leader="none" w:pos="5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9"/>
          <w:szCs w:val="19"/>
          <w:color w:val="auto"/>
        </w:rPr>
      </w:pPr>
    </w:p>
    <w:p>
      <w:pPr>
        <w:jc w:val="both"/>
        <w:ind w:left="520" w:hanging="512"/>
        <w:spacing w:after="0" w:line="254" w:lineRule="auto"/>
        <w:tabs>
          <w:tab w:leader="none" w:pos="5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jc w:val="both"/>
        <w:ind w:left="520" w:hanging="512"/>
        <w:spacing w:after="0" w:line="254" w:lineRule="auto"/>
        <w:tabs>
          <w:tab w:leader="none" w:pos="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20"/>
          <w:szCs w:val="20"/>
          <w:color w:val="auto"/>
        </w:rPr>
      </w:pPr>
    </w:p>
    <w:p>
      <w:pPr>
        <w:jc w:val="both"/>
        <w:ind w:left="520" w:hanging="512"/>
        <w:spacing w:after="0" w:line="254" w:lineRule="auto"/>
        <w:tabs>
          <w:tab w:leader="none" w:pos="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20"/>
          <w:szCs w:val="20"/>
          <w:color w:val="auto"/>
        </w:rPr>
      </w:pPr>
    </w:p>
    <w:p>
      <w:pPr>
        <w:jc w:val="both"/>
        <w:ind w:left="520" w:hanging="512"/>
        <w:spacing w:after="0" w:line="295" w:lineRule="auto"/>
        <w:tabs>
          <w:tab w:leader="none" w:pos="5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9"/>
          <w:szCs w:val="19"/>
          <w:color w:val="auto"/>
        </w:rPr>
      </w:pPr>
    </w:p>
    <w:p>
      <w:pPr>
        <w:jc w:val="both"/>
        <w:ind w:left="520" w:hanging="512"/>
        <w:spacing w:after="0" w:line="254" w:lineRule="auto"/>
        <w:tabs>
          <w:tab w:leader="none" w:pos="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jc w:val="both"/>
        <w:ind w:left="520" w:hanging="512"/>
        <w:spacing w:after="0" w:line="254" w:lineRule="auto"/>
        <w:tabs>
          <w:tab w:leader="none" w:pos="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sz w:val="20"/>
          <w:szCs w:val="20"/>
          <w:color w:val="auto"/>
        </w:rPr>
      </w:pPr>
    </w:p>
    <w:p>
      <w:pPr>
        <w:ind w:left="520" w:right="20" w:hanging="512"/>
        <w:spacing w:after="0" w:line="269" w:lineRule="auto"/>
        <w:tabs>
          <w:tab w:leader="none" w:pos="5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20"/>
          <w:szCs w:val="20"/>
          <w:color w:val="auto"/>
        </w:rPr>
      </w:pPr>
    </w:p>
    <w:p>
      <w:pPr>
        <w:ind w:left="520" w:hanging="512"/>
        <w:spacing w:after="0" w:line="269" w:lineRule="auto"/>
        <w:tabs>
          <w:tab w:leader="none" w:pos="5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10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19, 2026</w:t>
            </w:r>
          </w:p>
        </w:tc>
      </w:tr>
      <w:tr>
        <w:trPr>
          <w:trHeight w:val="45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D. Craig Kesler</w:t>
            </w:r>
          </w:p>
        </w:tc>
      </w:tr>
      <w:tr>
        <w:trPr>
          <w:trHeight w:val="200"/>
        </w:trPr>
        <w:tc>
          <w:tcPr>
            <w:tcW w:w="760" w:type="dxa"/>
            <w:vAlign w:val="bottom"/>
          </w:tcPr>
          <w:p>
            <w:pPr>
              <w:spacing w:after="0"/>
              <w:rPr>
                <w:sz w:val="17"/>
                <w:szCs w:val="17"/>
                <w:color w:val="auto"/>
              </w:rPr>
            </w:pPr>
          </w:p>
        </w:tc>
        <w:tc>
          <w:tcPr>
            <w:tcW w:w="49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D. Craig Kesler</w:t>
            </w:r>
          </w:p>
        </w:tc>
        <w:tc>
          <w:tcPr>
            <w:tcW w:w="550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8"/>
        </w:trPr>
        <w:tc>
          <w:tcPr>
            <w:tcW w:w="760" w:type="dxa"/>
            <w:vAlign w:val="bottom"/>
          </w:tcPr>
          <w:p>
            <w:pPr>
              <w:spacing w:after="0"/>
              <w:rPr>
                <w:sz w:val="22"/>
                <w:szCs w:val="22"/>
                <w:color w:val="auto"/>
              </w:rPr>
            </w:pPr>
          </w:p>
        </w:tc>
        <w:tc>
          <w:tcPr>
            <w:tcW w:w="10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649"/>
        </w:trPr>
        <w:tc>
          <w:tcPr>
            <w:tcW w:w="7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Periodic Report Pursuant to Section 906 of the Sarbanes-Oxley Act of 2002</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Eagle Materials Inc. and subsidiaries (the "Company") on Form 10-K for the period ended March 31, 2026 as filed with the Securities and Exchange Commission on the date hereof (the "Report"), I, Michael R. Haack, Chief Executive Officer of the Company, certify, pursuant to 18 U.S.C. section 1350, as adopted pursuant to section 906 of the Sarbanes-Oxley Act of 2002, that, to the best of my knowledge:</w:t>
      </w:r>
    </w:p>
    <w:p>
      <w:pPr>
        <w:spacing w:after="0" w:line="193" w:lineRule="exact"/>
        <w:rPr>
          <w:sz w:val="20"/>
          <w:szCs w:val="20"/>
          <w:color w:val="auto"/>
        </w:rPr>
      </w:pPr>
    </w:p>
    <w:p>
      <w:pPr>
        <w:ind w:left="1500" w:hanging="743"/>
        <w:spacing w:after="0"/>
        <w:tabs>
          <w:tab w:leader="none" w:pos="15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10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19, 2026</w:t>
            </w:r>
          </w:p>
        </w:tc>
      </w:tr>
      <w:tr>
        <w:trPr>
          <w:trHeight w:val="45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Michael R. Haack</w:t>
            </w:r>
          </w:p>
        </w:tc>
      </w:tr>
      <w:tr>
        <w:trPr>
          <w:trHeight w:val="200"/>
        </w:trPr>
        <w:tc>
          <w:tcPr>
            <w:tcW w:w="840" w:type="dxa"/>
            <w:vAlign w:val="bottom"/>
          </w:tcPr>
          <w:p>
            <w:pPr>
              <w:spacing w:after="0"/>
              <w:rPr>
                <w:sz w:val="17"/>
                <w:szCs w:val="17"/>
                <w:color w:val="auto"/>
              </w:rPr>
            </w:pPr>
          </w:p>
        </w:tc>
        <w:tc>
          <w:tcPr>
            <w:tcW w:w="47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Michael R. Haack</w:t>
            </w:r>
          </w:p>
        </w:tc>
        <w:tc>
          <w:tcPr>
            <w:tcW w:w="5620" w:type="dxa"/>
            <w:vAlign w:val="bottom"/>
          </w:tcPr>
          <w:p>
            <w:pPr>
              <w:spacing w:after="0"/>
              <w:rPr>
                <w:sz w:val="17"/>
                <w:szCs w:val="17"/>
                <w:color w:val="auto"/>
              </w:rPr>
            </w:pPr>
          </w:p>
        </w:tc>
      </w:tr>
      <w:tr>
        <w:trPr>
          <w:trHeight w:val="258"/>
        </w:trPr>
        <w:tc>
          <w:tcPr>
            <w:tcW w:w="840" w:type="dxa"/>
            <w:vAlign w:val="bottom"/>
          </w:tcPr>
          <w:p>
            <w:pPr>
              <w:spacing w:after="0"/>
              <w:rPr>
                <w:sz w:val="22"/>
                <w:szCs w:val="22"/>
                <w:color w:val="auto"/>
              </w:rPr>
            </w:pPr>
          </w:p>
        </w:tc>
        <w:tc>
          <w:tcPr>
            <w:tcW w:w="10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716"/>
        </w:trPr>
        <w:tc>
          <w:tcPr>
            <w:tcW w:w="8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Periodic Report Pursuant to Section 906 of the Sarbanes-Oxley Act of 2002</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Eagle Materials Inc. and subsidiaries (the "Company") on Form 10-K for the period ended March 31, 2026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193" w:lineRule="exact"/>
        <w:rPr>
          <w:sz w:val="20"/>
          <w:szCs w:val="20"/>
          <w:color w:val="auto"/>
        </w:rPr>
      </w:pPr>
    </w:p>
    <w:p>
      <w:pPr>
        <w:ind w:left="1500" w:hanging="743"/>
        <w:spacing w:after="0"/>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10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19, 2026</w:t>
            </w:r>
          </w:p>
        </w:tc>
      </w:tr>
      <w:tr>
        <w:trPr>
          <w:trHeight w:val="45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D. Craig Kesler</w:t>
            </w:r>
          </w:p>
        </w:tc>
      </w:tr>
      <w:tr>
        <w:trPr>
          <w:trHeight w:val="200"/>
        </w:trPr>
        <w:tc>
          <w:tcPr>
            <w:tcW w:w="840" w:type="dxa"/>
            <w:vAlign w:val="bottom"/>
          </w:tcPr>
          <w:p>
            <w:pPr>
              <w:spacing w:after="0"/>
              <w:rPr>
                <w:sz w:val="17"/>
                <w:szCs w:val="17"/>
                <w:color w:val="auto"/>
              </w:rPr>
            </w:pPr>
          </w:p>
        </w:tc>
        <w:tc>
          <w:tcPr>
            <w:tcW w:w="47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D. Craig Kesler</w:t>
            </w:r>
          </w:p>
        </w:tc>
        <w:tc>
          <w:tcPr>
            <w:tcW w:w="5620" w:type="dxa"/>
            <w:vAlign w:val="bottom"/>
          </w:tcPr>
          <w:p>
            <w:pPr>
              <w:spacing w:after="0"/>
              <w:rPr>
                <w:sz w:val="17"/>
                <w:szCs w:val="17"/>
                <w:color w:val="auto"/>
              </w:rPr>
            </w:pPr>
          </w:p>
        </w:tc>
      </w:tr>
      <w:tr>
        <w:trPr>
          <w:trHeight w:val="229"/>
        </w:trPr>
        <w:tc>
          <w:tcPr>
            <w:tcW w:w="840" w:type="dxa"/>
            <w:vAlign w:val="bottom"/>
          </w:tcPr>
          <w:p>
            <w:pPr>
              <w:spacing w:after="0"/>
              <w:rPr>
                <w:sz w:val="19"/>
                <w:szCs w:val="19"/>
                <w:color w:val="auto"/>
              </w:rPr>
            </w:pPr>
          </w:p>
        </w:tc>
        <w:tc>
          <w:tcPr>
            <w:tcW w:w="10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8"/>
        </w:trPr>
        <w:tc>
          <w:tcPr>
            <w:tcW w:w="840" w:type="dxa"/>
            <w:vAlign w:val="bottom"/>
          </w:tcPr>
          <w:p>
            <w:pPr>
              <w:spacing w:after="0"/>
              <w:rPr>
                <w:sz w:val="22"/>
                <w:szCs w:val="22"/>
                <w:color w:val="auto"/>
              </w:rPr>
            </w:pPr>
          </w:p>
        </w:tc>
        <w:tc>
          <w:tcPr>
            <w:tcW w:w="10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717"/>
        </w:trPr>
        <w:tc>
          <w:tcPr>
            <w:tcW w:w="8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41" w:name="page142"/>
    <w:bookmarkEnd w:id="14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both"/>
        <w:ind w:left="9240"/>
        <w:spacing w:after="0"/>
        <w:tabs>
          <w:tab w:leader="none" w:pos="9580" w:val="left"/>
        </w:tabs>
        <w:rPr>
          <w:sz w:val="20"/>
          <w:szCs w:val="20"/>
          <w:color w:val="auto"/>
        </w:rPr>
      </w:pPr>
      <w:r>
        <w:rPr>
          <w:rFonts w:ascii="Times New Roman" w:cs="Times New Roman" w:eastAsia="Times New Roman" w:hAnsi="Times New Roman"/>
          <w:sz w:val="18"/>
          <w:szCs w:val="18"/>
          <w:b w:val="1"/>
          <w:bCs w:val="1"/>
          <w:i w:val="1"/>
          <w:iCs w:val="1"/>
          <w:color w:val="auto"/>
        </w:rPr>
        <w:t>`</w:t>
        <w:tab/>
        <w:t>Exhibit 95</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w:t>
      </w:r>
    </w:p>
    <w:p>
      <w:pPr>
        <w:spacing w:after="0" w:line="225" w:lineRule="exact"/>
        <w:rPr>
          <w:sz w:val="20"/>
          <w:szCs w:val="20"/>
          <w:color w:val="auto"/>
        </w:rPr>
      </w:pPr>
    </w:p>
    <w:p>
      <w:pPr>
        <w:ind w:left="120" w:right="640"/>
        <w:spacing w:after="0" w:line="269" w:lineRule="auto"/>
        <w:rPr>
          <w:sz w:val="20"/>
          <w:szCs w:val="20"/>
          <w:color w:val="auto"/>
        </w:rPr>
      </w:pPr>
      <w:r>
        <w:rPr>
          <w:rFonts w:ascii="Times New Roman" w:cs="Times New Roman" w:eastAsia="Times New Roman" w:hAnsi="Times New Roman"/>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FYE 2026, April 1, 2025 – March 31, 2026,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080" w:type="dxa"/>
            <w:vAlign w:val="bottom"/>
            <w:tcBorders>
              <w:top w:val="single" w:sz="8" w:color="auto"/>
              <w:left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Receive</w:t>
            </w:r>
          </w:p>
        </w:tc>
        <w:tc>
          <w:tcPr>
            <w:tcW w:w="72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Receive</w:t>
            </w:r>
          </w:p>
        </w:tc>
        <w:tc>
          <w:tcPr>
            <w:tcW w:w="8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 Notice</w:t>
            </w: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 Notice</w:t>
            </w: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Mine or</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Dollar</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Have</w:t>
            </w: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vMerge w:val="continue"/>
          </w:tcPr>
          <w:p>
            <w:pPr>
              <w:spacing w:after="0"/>
              <w:rPr>
                <w:sz w:val="12"/>
                <w:szCs w:val="12"/>
                <w:color w:val="auto"/>
              </w:rPr>
            </w:pPr>
          </w:p>
        </w:tc>
        <w:tc>
          <w:tcPr>
            <w:tcW w:w="5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on</w:t>
            </w: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ns</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5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Mining</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Name/MSHA</w:t>
            </w:r>
          </w:p>
        </w:tc>
        <w:tc>
          <w:tcPr>
            <w:tcW w:w="54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8"/>
              </w:rPr>
              <w:t>S&amp;S</w:t>
            </w: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Assessm</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Section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of Last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Initiated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Fatalitie</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Day of</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ons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ns</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23"/>
        </w:trPr>
        <w:tc>
          <w:tcPr>
            <w:tcW w:w="108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4"/>
                <w:szCs w:val="14"/>
                <w:color w:val="auto"/>
              </w:rPr>
              <w:t>3D Concrete</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$44,332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80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85"/>
        </w:trPr>
        <w:tc>
          <w:tcPr>
            <w:tcW w:w="1080" w:type="dxa"/>
            <w:vAlign w:val="bottom"/>
            <w:tcBorders>
              <w:right w:val="single" w:sz="8" w:color="auto"/>
            </w:tcBorders>
          </w:tcPr>
          <w:p>
            <w:pPr>
              <w:ind w:left="120"/>
              <w:spacing w:after="0" w:line="85" w:lineRule="exact"/>
              <w:rPr>
                <w:sz w:val="20"/>
                <w:szCs w:val="20"/>
                <w:color w:val="auto"/>
              </w:rPr>
            </w:pPr>
            <w:r>
              <w:rPr>
                <w:rFonts w:ascii="Times New Roman" w:cs="Times New Roman" w:eastAsia="Times New Roman" w:hAnsi="Times New Roman"/>
                <w:sz w:val="9"/>
                <w:szCs w:val="9"/>
                <w:color w:val="auto"/>
              </w:rPr>
              <w:t>Lyon, Nevada</w:t>
            </w:r>
          </w:p>
        </w:tc>
        <w:tc>
          <w:tcPr>
            <w:tcW w:w="5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(2602412)</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$302</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Albuquerque,</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(2900181)</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$517</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Duke, OK</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(3400256)</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American</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$151</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left w:val="single" w:sz="8" w:color="D9E2F3"/>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54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Eagle, CO</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(0503997)</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Battletown</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$4,014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Meade, KY</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(1518147)</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Battletown</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Quarry</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$4,869</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Battletown,</w:t>
            </w: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(1500040)</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Bullskin</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Stone &amp;</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$453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Lime, LLC,</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Fayette, PA</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(3610047)</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Centex</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$2,744</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(4102241)</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Central Plains</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$125,129</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4</w:t>
            </w: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Sugar Creek,</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MO</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(2302171)</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Central Plains</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D9E2F3"/>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76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$134,710</w:t>
            </w:r>
          </w:p>
        </w:tc>
        <w:tc>
          <w:tcPr>
            <w:tcW w:w="70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shd w:val="clear" w:color="auto" w:fill="D9E2F3"/>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800" w:type="dxa"/>
            <w:vAlign w:val="bottom"/>
            <w:tcBorders>
              <w:right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shd w:val="clear" w:color="auto" w:fill="D9E2F3"/>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0" w:type="dxa"/>
            <w:vAlign w:val="bottom"/>
          </w:tcPr>
          <w:p>
            <w:pPr>
              <w:spacing w:after="0"/>
              <w:rPr>
                <w:sz w:val="1"/>
                <w:szCs w:val="1"/>
                <w:color w:val="auto"/>
              </w:rPr>
            </w:pPr>
          </w:p>
        </w:tc>
      </w:tr>
      <w:tr>
        <w:trPr>
          <w:trHeight w:val="85"/>
        </w:trPr>
        <w:tc>
          <w:tcPr>
            <w:tcW w:w="1080" w:type="dxa"/>
            <w:vAlign w:val="bottom"/>
            <w:tcBorders>
              <w:left w:val="single" w:sz="8" w:color="D9E2F3"/>
              <w:right w:val="single" w:sz="8" w:color="auto"/>
            </w:tcBorders>
            <w:shd w:val="clear" w:color="auto" w:fill="D9E2F3"/>
          </w:tcPr>
          <w:p>
            <w:pPr>
              <w:ind w:left="120"/>
              <w:spacing w:after="0" w:line="85" w:lineRule="exact"/>
              <w:rPr>
                <w:sz w:val="20"/>
                <w:szCs w:val="20"/>
                <w:color w:val="auto"/>
              </w:rPr>
            </w:pPr>
            <w:r>
              <w:rPr>
                <w:rFonts w:ascii="Times New Roman" w:cs="Times New Roman" w:eastAsia="Times New Roman" w:hAnsi="Times New Roman"/>
                <w:sz w:val="9"/>
                <w:szCs w:val="9"/>
                <w:color w:val="auto"/>
              </w:rPr>
              <w:t>LLC, Tulsa,</w:t>
            </w:r>
          </w:p>
        </w:tc>
        <w:tc>
          <w:tcPr>
            <w:tcW w:w="540" w:type="dxa"/>
            <w:vAlign w:val="bottom"/>
            <w:tcBorders>
              <w:right w:val="single" w:sz="8" w:color="auto"/>
            </w:tcBorders>
            <w:shd w:val="clear" w:color="auto" w:fill="D9E2F3"/>
          </w:tcPr>
          <w:p>
            <w:pPr>
              <w:spacing w:after="0"/>
              <w:rPr>
                <w:sz w:val="7"/>
                <w:szCs w:val="7"/>
                <w:color w:val="auto"/>
              </w:rPr>
            </w:pPr>
          </w:p>
        </w:tc>
        <w:tc>
          <w:tcPr>
            <w:tcW w:w="760" w:type="dxa"/>
            <w:vAlign w:val="bottom"/>
            <w:tcBorders>
              <w:right w:val="single" w:sz="8" w:color="auto"/>
            </w:tcBorders>
            <w:shd w:val="clear" w:color="auto" w:fill="D9E2F3"/>
          </w:tcPr>
          <w:p>
            <w:pPr>
              <w:spacing w:after="0"/>
              <w:rPr>
                <w:sz w:val="7"/>
                <w:szCs w:val="7"/>
                <w:color w:val="auto"/>
              </w:rPr>
            </w:pPr>
          </w:p>
        </w:tc>
        <w:tc>
          <w:tcPr>
            <w:tcW w:w="780" w:type="dxa"/>
            <w:vAlign w:val="bottom"/>
            <w:tcBorders>
              <w:right w:val="single" w:sz="8" w:color="auto"/>
            </w:tcBorders>
            <w:shd w:val="clear" w:color="auto" w:fill="D9E2F3"/>
          </w:tcPr>
          <w:p>
            <w:pPr>
              <w:spacing w:after="0"/>
              <w:rPr>
                <w:sz w:val="7"/>
                <w:szCs w:val="7"/>
                <w:color w:val="auto"/>
              </w:rPr>
            </w:pPr>
          </w:p>
        </w:tc>
        <w:tc>
          <w:tcPr>
            <w:tcW w:w="700" w:type="dxa"/>
            <w:vAlign w:val="bottom"/>
            <w:tcBorders>
              <w:right w:val="single" w:sz="8" w:color="auto"/>
            </w:tcBorders>
            <w:shd w:val="clear" w:color="auto" w:fill="D9E2F3"/>
          </w:tcPr>
          <w:p>
            <w:pPr>
              <w:spacing w:after="0"/>
              <w:rPr>
                <w:sz w:val="7"/>
                <w:szCs w:val="7"/>
                <w:color w:val="auto"/>
              </w:rPr>
            </w:pPr>
          </w:p>
        </w:tc>
        <w:tc>
          <w:tcPr>
            <w:tcW w:w="700" w:type="dxa"/>
            <w:vAlign w:val="bottom"/>
            <w:tcBorders>
              <w:right w:val="single" w:sz="8" w:color="auto"/>
            </w:tcBorders>
            <w:shd w:val="clear" w:color="auto" w:fill="D9E2F3"/>
          </w:tcPr>
          <w:p>
            <w:pPr>
              <w:spacing w:after="0"/>
              <w:rPr>
                <w:sz w:val="7"/>
                <w:szCs w:val="7"/>
                <w:color w:val="auto"/>
              </w:rPr>
            </w:pPr>
          </w:p>
        </w:tc>
        <w:tc>
          <w:tcPr>
            <w:tcW w:w="760" w:type="dxa"/>
            <w:vAlign w:val="bottom"/>
            <w:tcBorders>
              <w:right w:val="single" w:sz="8" w:color="auto"/>
            </w:tcBorders>
            <w:shd w:val="clear" w:color="auto" w:fill="D9E2F3"/>
          </w:tcPr>
          <w:p>
            <w:pPr>
              <w:spacing w:after="0"/>
              <w:rPr>
                <w:sz w:val="7"/>
                <w:szCs w:val="7"/>
                <w:color w:val="auto"/>
              </w:rPr>
            </w:pPr>
          </w:p>
        </w:tc>
        <w:tc>
          <w:tcPr>
            <w:tcW w:w="700" w:type="dxa"/>
            <w:vAlign w:val="bottom"/>
            <w:tcBorders>
              <w:right w:val="single" w:sz="8" w:color="auto"/>
            </w:tcBorders>
            <w:shd w:val="clear" w:color="auto" w:fill="D9E2F3"/>
          </w:tcPr>
          <w:p>
            <w:pPr>
              <w:spacing w:after="0"/>
              <w:rPr>
                <w:sz w:val="7"/>
                <w:szCs w:val="7"/>
                <w:color w:val="auto"/>
              </w:rPr>
            </w:pPr>
          </w:p>
        </w:tc>
        <w:tc>
          <w:tcPr>
            <w:tcW w:w="740" w:type="dxa"/>
            <w:vAlign w:val="bottom"/>
            <w:tcBorders>
              <w:right w:val="single" w:sz="8" w:color="auto"/>
            </w:tcBorders>
            <w:shd w:val="clear" w:color="auto" w:fill="D9E2F3"/>
          </w:tcPr>
          <w:p>
            <w:pPr>
              <w:spacing w:after="0"/>
              <w:rPr>
                <w:sz w:val="7"/>
                <w:szCs w:val="7"/>
                <w:color w:val="auto"/>
              </w:rPr>
            </w:pPr>
          </w:p>
        </w:tc>
        <w:tc>
          <w:tcPr>
            <w:tcW w:w="720" w:type="dxa"/>
            <w:vAlign w:val="bottom"/>
            <w:tcBorders>
              <w:right w:val="single" w:sz="8" w:color="auto"/>
            </w:tcBorders>
            <w:shd w:val="clear" w:color="auto" w:fill="D9E2F3"/>
          </w:tcPr>
          <w:p>
            <w:pPr>
              <w:spacing w:after="0"/>
              <w:rPr>
                <w:sz w:val="7"/>
                <w:szCs w:val="7"/>
                <w:color w:val="auto"/>
              </w:rPr>
            </w:pPr>
          </w:p>
        </w:tc>
        <w:tc>
          <w:tcPr>
            <w:tcW w:w="800" w:type="dxa"/>
            <w:vAlign w:val="bottom"/>
            <w:tcBorders>
              <w:right w:val="single" w:sz="8" w:color="auto"/>
            </w:tcBorders>
            <w:shd w:val="clear" w:color="auto" w:fill="D9E2F3"/>
          </w:tcPr>
          <w:p>
            <w:pPr>
              <w:spacing w:after="0"/>
              <w:rPr>
                <w:sz w:val="7"/>
                <w:szCs w:val="7"/>
                <w:color w:val="auto"/>
              </w:rPr>
            </w:pPr>
          </w:p>
        </w:tc>
        <w:tc>
          <w:tcPr>
            <w:tcW w:w="800" w:type="dxa"/>
            <w:vAlign w:val="bottom"/>
            <w:tcBorders>
              <w:right w:val="single" w:sz="8" w:color="auto"/>
            </w:tcBorders>
            <w:shd w:val="clear" w:color="auto" w:fill="D9E2F3"/>
          </w:tcPr>
          <w:p>
            <w:pPr>
              <w:spacing w:after="0"/>
              <w:rPr>
                <w:sz w:val="7"/>
                <w:szCs w:val="7"/>
                <w:color w:val="auto"/>
              </w:rPr>
            </w:pPr>
          </w:p>
        </w:tc>
        <w:tc>
          <w:tcPr>
            <w:tcW w:w="840" w:type="dxa"/>
            <w:vAlign w:val="bottom"/>
            <w:tcBorders>
              <w:right w:val="single" w:sz="8" w:color="auto"/>
            </w:tcBorders>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OK</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(3400026)</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Fairborn</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$6,131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Greene</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County, OH</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(3300161)</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left w:val="single" w:sz="8" w:color="D9E2F3"/>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Illinois</w:t>
            </w:r>
          </w:p>
        </w:tc>
        <w:tc>
          <w:tcPr>
            <w:tcW w:w="54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$9,071</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left w:val="single" w:sz="8" w:color="D9E2F3"/>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4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54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4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LaSalle, IL</w:t>
            </w:r>
          </w:p>
        </w:tc>
        <w:tc>
          <w:tcPr>
            <w:tcW w:w="54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(1100003)</w:t>
            </w:r>
          </w:p>
        </w:tc>
        <w:tc>
          <w:tcPr>
            <w:tcW w:w="54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Kosmos</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$33,113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8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Jefferson, KY</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(1504469)</w:t>
            </w:r>
          </w:p>
        </w:tc>
        <w:tc>
          <w:tcPr>
            <w:tcW w:w="5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restart"/>
          </w:tcPr>
          <w:p>
            <w:pPr>
              <w:jc w:val="center"/>
              <w:spacing w:after="0" w:line="310"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tcPr>
          <w:p>
            <w:pPr>
              <w:jc w:val="center"/>
              <w:spacing w:after="0" w:line="310"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139"/>
        </w:trPr>
        <w:tc>
          <w:tcPr>
            <w:tcW w:w="1080" w:type="dxa"/>
            <w:vAlign w:val="bottom"/>
            <w:tcBorders>
              <w:right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color w:val="auto"/>
              </w:rPr>
              <w:t>Mountain</w:t>
            </w:r>
          </w:p>
        </w:tc>
        <w:tc>
          <w:tcPr>
            <w:tcW w:w="5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9</w:t>
            </w:r>
          </w:p>
        </w:tc>
        <w:tc>
          <w:tcPr>
            <w:tcW w:w="7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$31,564</w:t>
            </w:r>
          </w:p>
        </w:tc>
        <w:tc>
          <w:tcPr>
            <w:tcW w:w="7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3"/>
              </w:rPr>
              <w:t>No</w:t>
            </w:r>
          </w:p>
        </w:tc>
        <w:tc>
          <w:tcPr>
            <w:tcW w:w="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Company</w:t>
            </w:r>
          </w:p>
        </w:tc>
        <w:tc>
          <w:tcPr>
            <w:tcW w:w="5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0380"/>
          </w:cols>
          <w:pgMar w:left="640" w:top="765" w:right="879" w:bottom="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3197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7136130" cy="33197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1060" w:type="dxa"/>
            <w:vAlign w:val="bottom"/>
            <w:tcBorders>
              <w:left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LLC</w:t>
            </w:r>
          </w:p>
        </w:tc>
        <w:tc>
          <w:tcPr>
            <w:tcW w:w="56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shd w:val="clear" w:color="auto" w:fill="D9E2F3"/>
          </w:tcPr>
          <w:p>
            <w:pPr>
              <w:spacing w:after="0"/>
              <w:rPr>
                <w:sz w:val="13"/>
                <w:szCs w:val="13"/>
                <w:color w:val="auto"/>
              </w:rPr>
            </w:pPr>
          </w:p>
        </w:tc>
        <w:tc>
          <w:tcPr>
            <w:tcW w:w="780" w:type="dxa"/>
            <w:vAlign w:val="bottom"/>
            <w:tcBorders>
              <w:right w:val="single" w:sz="8" w:color="auto"/>
            </w:tcBorders>
            <w:shd w:val="clear" w:color="auto" w:fill="D9E2F3"/>
          </w:tcPr>
          <w:p>
            <w:pPr>
              <w:spacing w:after="0"/>
              <w:rPr>
                <w:sz w:val="13"/>
                <w:szCs w:val="13"/>
                <w:color w:val="auto"/>
              </w:rPr>
            </w:pPr>
          </w:p>
        </w:tc>
        <w:tc>
          <w:tcPr>
            <w:tcW w:w="700" w:type="dxa"/>
            <w:vAlign w:val="bottom"/>
            <w:tcBorders>
              <w:right w:val="single" w:sz="8" w:color="auto"/>
            </w:tcBorders>
            <w:shd w:val="clear" w:color="auto" w:fill="D9E2F3"/>
          </w:tcPr>
          <w:p>
            <w:pPr>
              <w:spacing w:after="0"/>
              <w:rPr>
                <w:sz w:val="13"/>
                <w:szCs w:val="13"/>
                <w:color w:val="auto"/>
              </w:rPr>
            </w:pPr>
          </w:p>
        </w:tc>
        <w:tc>
          <w:tcPr>
            <w:tcW w:w="700" w:type="dxa"/>
            <w:vAlign w:val="bottom"/>
            <w:tcBorders>
              <w:right w:val="single" w:sz="8" w:color="auto"/>
            </w:tcBorders>
            <w:shd w:val="clear" w:color="auto" w:fill="D9E2F3"/>
          </w:tcPr>
          <w:p>
            <w:pPr>
              <w:spacing w:after="0"/>
              <w:rPr>
                <w:sz w:val="13"/>
                <w:szCs w:val="13"/>
                <w:color w:val="auto"/>
              </w:rPr>
            </w:pPr>
          </w:p>
        </w:tc>
        <w:tc>
          <w:tcPr>
            <w:tcW w:w="760" w:type="dxa"/>
            <w:vAlign w:val="bottom"/>
            <w:tcBorders>
              <w:right w:val="single" w:sz="8" w:color="auto"/>
            </w:tcBorders>
            <w:shd w:val="clear" w:color="auto" w:fill="D9E2F3"/>
          </w:tcPr>
          <w:p>
            <w:pPr>
              <w:spacing w:after="0"/>
              <w:rPr>
                <w:sz w:val="13"/>
                <w:szCs w:val="13"/>
                <w:color w:val="auto"/>
              </w:rPr>
            </w:pPr>
          </w:p>
        </w:tc>
        <w:tc>
          <w:tcPr>
            <w:tcW w:w="700" w:type="dxa"/>
            <w:vAlign w:val="bottom"/>
            <w:tcBorders>
              <w:right w:val="single" w:sz="8" w:color="auto"/>
            </w:tcBorders>
            <w:shd w:val="clear" w:color="auto" w:fill="D9E2F3"/>
          </w:tcPr>
          <w:p>
            <w:pPr>
              <w:spacing w:after="0"/>
              <w:rPr>
                <w:sz w:val="13"/>
                <w:szCs w:val="13"/>
                <w:color w:val="auto"/>
              </w:rPr>
            </w:pPr>
          </w:p>
        </w:tc>
        <w:tc>
          <w:tcPr>
            <w:tcW w:w="740" w:type="dxa"/>
            <w:vAlign w:val="bottom"/>
            <w:tcBorders>
              <w:right w:val="single" w:sz="8" w:color="auto"/>
            </w:tcBorders>
            <w:shd w:val="clear" w:color="auto" w:fill="D9E2F3"/>
          </w:tcPr>
          <w:p>
            <w:pPr>
              <w:spacing w:after="0"/>
              <w:rPr>
                <w:sz w:val="13"/>
                <w:szCs w:val="13"/>
                <w:color w:val="auto"/>
              </w:rPr>
            </w:pPr>
          </w:p>
        </w:tc>
        <w:tc>
          <w:tcPr>
            <w:tcW w:w="720" w:type="dxa"/>
            <w:vAlign w:val="bottom"/>
            <w:tcBorders>
              <w:right w:val="single" w:sz="8" w:color="auto"/>
            </w:tcBorders>
            <w:shd w:val="clear" w:color="auto" w:fill="D9E2F3"/>
          </w:tcPr>
          <w:p>
            <w:pPr>
              <w:spacing w:after="0"/>
              <w:rPr>
                <w:sz w:val="13"/>
                <w:szCs w:val="13"/>
                <w:color w:val="auto"/>
              </w:rPr>
            </w:pPr>
          </w:p>
        </w:tc>
        <w:tc>
          <w:tcPr>
            <w:tcW w:w="800" w:type="dxa"/>
            <w:vAlign w:val="bottom"/>
            <w:tcBorders>
              <w:right w:val="single" w:sz="8" w:color="auto"/>
            </w:tcBorders>
            <w:shd w:val="clear" w:color="auto" w:fill="D9E2F3"/>
          </w:tcPr>
          <w:p>
            <w:pPr>
              <w:spacing w:after="0"/>
              <w:rPr>
                <w:sz w:val="13"/>
                <w:szCs w:val="13"/>
                <w:color w:val="auto"/>
              </w:rPr>
            </w:pPr>
          </w:p>
        </w:tc>
        <w:tc>
          <w:tcPr>
            <w:tcW w:w="800" w:type="dxa"/>
            <w:vAlign w:val="bottom"/>
            <w:tcBorders>
              <w:right w:val="single" w:sz="8" w:color="auto"/>
            </w:tcBorders>
            <w:shd w:val="clear" w:color="auto" w:fill="D9E2F3"/>
          </w:tcPr>
          <w:p>
            <w:pPr>
              <w:spacing w:after="0"/>
              <w:rPr>
                <w:sz w:val="13"/>
                <w:szCs w:val="13"/>
                <w:color w:val="auto"/>
              </w:rPr>
            </w:pPr>
          </w:p>
        </w:tc>
        <w:tc>
          <w:tcPr>
            <w:tcW w:w="840" w:type="dxa"/>
            <w:vAlign w:val="bottom"/>
            <w:tcBorders>
              <w:right w:val="single" w:sz="8" w:color="auto"/>
            </w:tcBorders>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Laramie, WY</w:t>
            </w: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(4800007)</w:t>
            </w:r>
          </w:p>
        </w:tc>
        <w:tc>
          <w:tcPr>
            <w:tcW w:w="56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Nevada</w:t>
            </w:r>
          </w:p>
        </w:tc>
        <w:tc>
          <w:tcPr>
            <w:tcW w:w="5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560" w:type="dxa"/>
            <w:vAlign w:val="bottom"/>
            <w:tcBorders>
              <w:right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$6,196</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60" w:type="dxa"/>
            <w:vAlign w:val="bottom"/>
            <w:tcBorders>
              <w:left w:val="single" w:sz="8" w:color="auto"/>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5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right w:val="single" w:sz="8" w:color="auto"/>
            </w:tcBorders>
            <w:vMerge w:val="continue"/>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Fernley, NV</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(2600015)</w:t>
            </w:r>
          </w:p>
        </w:tc>
        <w:tc>
          <w:tcPr>
            <w:tcW w:w="5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Raptor</w:t>
            </w:r>
          </w:p>
        </w:tc>
        <w:tc>
          <w:tcPr>
            <w:tcW w:w="56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8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60" w:type="dxa"/>
            <w:vAlign w:val="bottom"/>
            <w:tcBorders>
              <w:right w:val="single" w:sz="8" w:color="auto"/>
            </w:tcBorders>
            <w:shd w:val="clear" w:color="auto" w:fill="D9E2F3"/>
          </w:tcPr>
          <w:p>
            <w:pPr>
              <w:spacing w:after="0"/>
              <w:rPr>
                <w:sz w:val="10"/>
                <w:szCs w:val="10"/>
                <w:color w:val="auto"/>
              </w:rPr>
            </w:pPr>
          </w:p>
        </w:tc>
        <w:tc>
          <w:tcPr>
            <w:tcW w:w="700" w:type="dxa"/>
            <w:vAlign w:val="bottom"/>
            <w:tcBorders>
              <w:right w:val="single" w:sz="8" w:color="auto"/>
            </w:tcBorders>
            <w:shd w:val="clear" w:color="auto" w:fill="D9E2F3"/>
          </w:tcPr>
          <w:p>
            <w:pPr>
              <w:spacing w:after="0"/>
              <w:rPr>
                <w:sz w:val="10"/>
                <w:szCs w:val="10"/>
                <w:color w:val="auto"/>
              </w:rPr>
            </w:pPr>
          </w:p>
        </w:tc>
        <w:tc>
          <w:tcPr>
            <w:tcW w:w="740" w:type="dxa"/>
            <w:vAlign w:val="bottom"/>
            <w:tcBorders>
              <w:right w:val="single" w:sz="8" w:color="auto"/>
            </w:tcBorders>
            <w:shd w:val="clear" w:color="auto" w:fill="D9E2F3"/>
          </w:tcPr>
          <w:p>
            <w:pPr>
              <w:spacing w:after="0"/>
              <w:rPr>
                <w:sz w:val="10"/>
                <w:szCs w:val="10"/>
                <w:color w:val="auto"/>
              </w:rPr>
            </w:pPr>
          </w:p>
        </w:tc>
        <w:tc>
          <w:tcPr>
            <w:tcW w:w="72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00" w:type="dxa"/>
            <w:vAlign w:val="bottom"/>
            <w:tcBorders>
              <w:right w:val="single" w:sz="8" w:color="auto"/>
            </w:tcBorders>
            <w:shd w:val="clear" w:color="auto" w:fill="D9E2F3"/>
          </w:tcPr>
          <w:p>
            <w:pPr>
              <w:spacing w:after="0"/>
              <w:rPr>
                <w:sz w:val="10"/>
                <w:szCs w:val="10"/>
                <w:color w:val="auto"/>
              </w:rPr>
            </w:pPr>
          </w:p>
        </w:tc>
        <w:tc>
          <w:tcPr>
            <w:tcW w:w="840" w:type="dxa"/>
            <w:vAlign w:val="bottom"/>
            <w:tcBorders>
              <w:right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60" w:type="dxa"/>
            <w:vAlign w:val="bottom"/>
            <w:tcBorders>
              <w:right w:val="single" w:sz="8" w:color="auto"/>
            </w:tcBorders>
            <w:vMerge w:val="restart"/>
            <w:shd w:val="clear" w:color="auto" w:fill="D9E2F3"/>
          </w:tcPr>
          <w:p>
            <w:pPr>
              <w:jc w:val="right"/>
              <w:ind w:right="188"/>
              <w:spacing w:after="0"/>
              <w:rPr>
                <w:sz w:val="20"/>
                <w:szCs w:val="20"/>
                <w:color w:val="auto"/>
              </w:rPr>
            </w:pPr>
            <w:r>
              <w:rPr>
                <w:rFonts w:ascii="Times New Roman" w:cs="Times New Roman" w:eastAsia="Times New Roman" w:hAnsi="Times New Roman"/>
                <w:sz w:val="14"/>
                <w:szCs w:val="14"/>
                <w:color w:val="auto"/>
              </w:rPr>
              <w:t>5</w:t>
            </w:r>
          </w:p>
        </w:tc>
        <w:tc>
          <w:tcPr>
            <w:tcW w:w="76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$4,101</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ind w:left="26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shd w:val="clear" w:color="auto" w:fill="D9E2F3"/>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 Weld,</w:t>
            </w:r>
          </w:p>
        </w:tc>
        <w:tc>
          <w:tcPr>
            <w:tcW w:w="56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 (115)</w:t>
            </w:r>
          </w:p>
        </w:tc>
        <w:tc>
          <w:tcPr>
            <w:tcW w:w="56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4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(504681)</w:t>
            </w:r>
          </w:p>
        </w:tc>
        <w:tc>
          <w:tcPr>
            <w:tcW w:w="56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Raptor</w:t>
            </w:r>
          </w:p>
        </w:tc>
        <w:tc>
          <w:tcPr>
            <w:tcW w:w="5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 Weld,</w:t>
            </w:r>
          </w:p>
        </w:tc>
        <w:tc>
          <w:tcPr>
            <w:tcW w:w="560" w:type="dxa"/>
            <w:vAlign w:val="bottom"/>
            <w:tcBorders>
              <w:right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$151</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060" w:type="dxa"/>
            <w:vAlign w:val="bottom"/>
            <w:tcBorders>
              <w:left w:val="single" w:sz="8" w:color="auto"/>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CO (Two</w:t>
            </w:r>
          </w:p>
        </w:tc>
        <w:tc>
          <w:tcPr>
            <w:tcW w:w="5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right w:val="single" w:sz="8" w:color="auto"/>
            </w:tcBorders>
            <w:vMerge w:val="continue"/>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Rivers) (117)</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(505192)</w:t>
            </w:r>
          </w:p>
        </w:tc>
        <w:tc>
          <w:tcPr>
            <w:tcW w:w="5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shd w:val="clear" w:color="auto" w:fill="D9E2F3"/>
          </w:tcPr>
          <w:p>
            <w:pPr>
              <w:ind w:left="120"/>
              <w:spacing w:after="0" w:line="119" w:lineRule="exact"/>
              <w:rPr>
                <w:sz w:val="20"/>
                <w:szCs w:val="20"/>
                <w:color w:val="auto"/>
              </w:rPr>
            </w:pPr>
            <w:r>
              <w:rPr>
                <w:rFonts w:ascii="Times New Roman" w:cs="Times New Roman" w:eastAsia="Times New Roman" w:hAnsi="Times New Roman"/>
                <w:sz w:val="13"/>
                <w:szCs w:val="13"/>
                <w:color w:val="auto"/>
              </w:rPr>
              <w:t>Seguin Sand</w:t>
            </w:r>
          </w:p>
        </w:tc>
        <w:tc>
          <w:tcPr>
            <w:tcW w:w="560" w:type="dxa"/>
            <w:vAlign w:val="bottom"/>
            <w:tcBorders>
              <w:right w:val="single" w:sz="8" w:color="auto"/>
            </w:tcBorders>
            <w:vMerge w:val="restart"/>
            <w:shd w:val="clear" w:color="auto" w:fill="D9E2F3"/>
          </w:tcPr>
          <w:p>
            <w:pPr>
              <w:jc w:val="right"/>
              <w:ind w:right="18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shd w:val="clear" w:color="auto" w:fill="D9E2F3"/>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ind w:left="26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Guadalupe,</w:t>
            </w:r>
          </w:p>
        </w:tc>
        <w:tc>
          <w:tcPr>
            <w:tcW w:w="56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4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TX (4105665)</w:t>
            </w:r>
          </w:p>
        </w:tc>
        <w:tc>
          <w:tcPr>
            <w:tcW w:w="56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8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60" w:type="dxa"/>
            <w:vAlign w:val="bottom"/>
            <w:tcBorders>
              <w:bottom w:val="single" w:sz="8" w:color="auto"/>
              <w:right w:val="single" w:sz="8" w:color="auto"/>
            </w:tcBorders>
            <w:shd w:val="clear" w:color="auto" w:fill="D9E2F3"/>
          </w:tcPr>
          <w:p>
            <w:pPr>
              <w:spacing w:after="0"/>
              <w:rPr>
                <w:sz w:val="14"/>
                <w:szCs w:val="14"/>
                <w:color w:val="auto"/>
              </w:rPr>
            </w:pPr>
          </w:p>
        </w:tc>
        <w:tc>
          <w:tcPr>
            <w:tcW w:w="700" w:type="dxa"/>
            <w:vAlign w:val="bottom"/>
            <w:tcBorders>
              <w:bottom w:val="single" w:sz="8" w:color="auto"/>
              <w:right w:val="single" w:sz="8" w:color="auto"/>
            </w:tcBorders>
            <w:shd w:val="clear" w:color="auto" w:fill="D9E2F3"/>
          </w:tcPr>
          <w:p>
            <w:pPr>
              <w:spacing w:after="0"/>
              <w:rPr>
                <w:sz w:val="14"/>
                <w:szCs w:val="14"/>
                <w:color w:val="auto"/>
              </w:rPr>
            </w:pPr>
          </w:p>
        </w:tc>
        <w:tc>
          <w:tcPr>
            <w:tcW w:w="740" w:type="dxa"/>
            <w:vAlign w:val="bottom"/>
            <w:tcBorders>
              <w:bottom w:val="single" w:sz="8" w:color="auto"/>
              <w:right w:val="single" w:sz="8" w:color="auto"/>
            </w:tcBorders>
            <w:shd w:val="clear" w:color="auto" w:fill="D9E2F3"/>
          </w:tcPr>
          <w:p>
            <w:pPr>
              <w:spacing w:after="0"/>
              <w:rPr>
                <w:sz w:val="14"/>
                <w:szCs w:val="14"/>
                <w:color w:val="auto"/>
              </w:rPr>
            </w:pPr>
          </w:p>
        </w:tc>
        <w:tc>
          <w:tcPr>
            <w:tcW w:w="72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00" w:type="dxa"/>
            <w:vAlign w:val="bottom"/>
            <w:tcBorders>
              <w:bottom w:val="single" w:sz="8" w:color="auto"/>
              <w:right w:val="single" w:sz="8" w:color="auto"/>
            </w:tcBorders>
            <w:shd w:val="clear" w:color="auto" w:fill="D9E2F3"/>
          </w:tcPr>
          <w:p>
            <w:pPr>
              <w:spacing w:after="0"/>
              <w:rPr>
                <w:sz w:val="14"/>
                <w:szCs w:val="14"/>
                <w:color w:val="auto"/>
              </w:rPr>
            </w:pPr>
          </w:p>
        </w:tc>
        <w:tc>
          <w:tcPr>
            <w:tcW w:w="840" w:type="dxa"/>
            <w:vAlign w:val="bottom"/>
            <w:tcBorders>
              <w:bottom w:val="single" w:sz="8" w:color="auto"/>
              <w:right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color w:val="auto"/>
              </w:rPr>
              <w:t>Texas Lehigh</w:t>
            </w:r>
          </w:p>
        </w:tc>
        <w:tc>
          <w:tcPr>
            <w:tcW w:w="5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560" w:type="dxa"/>
            <w:vAlign w:val="bottom"/>
            <w:tcBorders>
              <w:right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$39,152</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0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 LP</w:t>
            </w:r>
          </w:p>
        </w:tc>
        <w:tc>
          <w:tcPr>
            <w:tcW w:w="5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(4102781)</w:t>
            </w:r>
          </w:p>
        </w:tc>
        <w:tc>
          <w:tcPr>
            <w:tcW w:w="5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360" w:hanging="727"/>
        <w:spacing w:after="0"/>
        <w:tabs>
          <w:tab w:leader="none" w:pos="1360"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456565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640" w:top="77" w:right="135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214"/>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emdash "/>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upperLetter"/>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0"/>
    </w:lvl>
  </w:abstractNum>
  <w:abstractNum w:abstractNumId="32">
    <w:nsid w:val="725A06FB"/>
    <w:multiLevelType w:val="hybridMultilevel"/>
    <w:lvl w:ilvl="0">
      <w:lvlJc w:val="left"/>
      <w:lvlText w:val="%1"/>
      <w:numFmt w:val="decimal"/>
      <w:start w:val="10"/>
    </w:lvl>
  </w:abstractNum>
  <w:abstractNum w:abstractNumId="33">
    <w:nsid w:val="2CD89A32"/>
    <w:multiLevelType w:val="hybridMultilevel"/>
    <w:lvl w:ilvl="0">
      <w:lvlJc w:val="left"/>
      <w:lvlText w:val="%1"/>
      <w:numFmt w:val="decimal"/>
      <w:start w:val="10"/>
    </w:lvl>
  </w:abstractNum>
  <w:abstractNum w:abstractNumId="34">
    <w:nsid w:val="57E4CCAF"/>
    <w:multiLevelType w:val="hybridMultilevel"/>
    <w:lvl w:ilvl="0">
      <w:lvlJc w:val="left"/>
      <w:lvlText w:val="%1"/>
      <w:numFmt w:val="decimal"/>
      <w:start w:val="10"/>
    </w:lvl>
  </w:abstractNum>
  <w:abstractNum w:abstractNumId="35">
    <w:nsid w:val="7A6D8D3C"/>
    <w:multiLevelType w:val="hybridMultilevel"/>
    <w:lvl w:ilvl="0">
      <w:lvlJc w:val="left"/>
      <w:lvlText w:val="%1"/>
      <w:numFmt w:val="decimal"/>
      <w:start w:val="11"/>
    </w:lvl>
  </w:abstractNum>
  <w:abstractNum w:abstractNumId="36">
    <w:nsid w:val="4B588F54"/>
    <w:multiLevelType w:val="hybridMultilevel"/>
    <w:lvl w:ilvl="0">
      <w:lvlJc w:val="left"/>
      <w:lvlText w:val="%1"/>
      <w:numFmt w:val="decimal"/>
      <w:start w:val="11"/>
    </w:lvl>
  </w:abstractNum>
  <w:abstractNum w:abstractNumId="37">
    <w:nsid w:val="542289EC"/>
    <w:multiLevelType w:val="hybridMultilevel"/>
    <w:lvl w:ilvl="0">
      <w:lvlJc w:val="left"/>
      <w:lvlText w:val="%1"/>
      <w:numFmt w:val="decimal"/>
      <w:start w:val="13"/>
    </w:lvl>
  </w:abstractNum>
  <w:abstractNum w:abstractNumId="38">
    <w:nsid w:val="6DE91B18"/>
    <w:multiLevelType w:val="hybridMultilevel"/>
    <w:lvl w:ilvl="0">
      <w:lvlJc w:val="left"/>
      <w:lvlText w:val="%1."/>
      <w:numFmt w:val="upperLetter"/>
      <w:start w:val="1"/>
    </w:lvl>
    <w:lvl w:ilvl="1">
      <w:lvlJc w:val="left"/>
      <w:lvlText w:val="%2."/>
      <w:numFmt w:val="decimal"/>
      <w:start w:val="1"/>
    </w:lvl>
  </w:abstractNum>
  <w:abstractNum w:abstractNumId="39">
    <w:nsid w:val="38437FDB"/>
    <w:multiLevelType w:val="hybridMultilevel"/>
    <w:lvl w:ilvl="0">
      <w:lvlJc w:val="left"/>
      <w:lvlText w:val="*"/>
      <w:numFmt w:val="bullet"/>
      <w:start w:val="1"/>
    </w:lvl>
    <w:lvl w:ilvl="1">
      <w:lvlJc w:val="left"/>
      <w:lvlText w:val="%2"/>
      <w:numFmt w:val="decimal"/>
      <w:start w:val="104"/>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2"/>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decimal"/>
      <w:start w:val="5"/>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5"/>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Roman"/>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8" Type="http://schemas.openxmlformats.org/officeDocument/2006/relationships/image" Target="media/image180.png"/><Relationship Id="rId212"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43" Type="http://schemas.openxmlformats.org/officeDocument/2006/relationships/image" Target="media/image184.png"/><Relationship Id="rId255" Type="http://schemas.openxmlformats.org/officeDocument/2006/relationships/image" Target="media/image185.png"/><Relationship Id="rId256"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282" Type="http://schemas.openxmlformats.org/officeDocument/2006/relationships/image" Target="media/image211.png"/><Relationship Id="rId283" Type="http://schemas.openxmlformats.org/officeDocument/2006/relationships/image" Target="media/image212.png"/><Relationship Id="rId284" Type="http://schemas.openxmlformats.org/officeDocument/2006/relationships/image" Target="media/image213.png"/><Relationship Id="rId285" Type="http://schemas.openxmlformats.org/officeDocument/2006/relationships/image" Target="media/image214.png"/><Relationship Id="rId286" Type="http://schemas.openxmlformats.org/officeDocument/2006/relationships/image" Target="media/image215.png"/><Relationship Id="rId287" Type="http://schemas.openxmlformats.org/officeDocument/2006/relationships/image" Target="media/image216.png"/><Relationship Id="rId288" Type="http://schemas.openxmlformats.org/officeDocument/2006/relationships/image" Target="media/image217.png"/><Relationship Id="rId187" Type="http://schemas.openxmlformats.org/officeDocument/2006/relationships/hyperlink" Target="https://www.sec.gov/Archives/edgar/data/0000918646/000095013406007120/d34975exv3w1.htm" TargetMode="External"/><Relationship Id="rId188" Type="http://schemas.openxmlformats.org/officeDocument/2006/relationships/hyperlink" Target="https://www.sec.gov/Archives/edgar/data/918646/000119312524195946/d877046dex31.htm" TargetMode="External"/><Relationship Id="rId189" Type="http://schemas.openxmlformats.org/officeDocument/2006/relationships/hyperlink" Target="https://www.sec.gov/Archives/edgar/data/0000918646/000095013406007120/d34975exv3w2.htm" TargetMode="External"/><Relationship Id="rId190" Type="http://schemas.openxmlformats.org/officeDocument/2006/relationships/hyperlink" Target="https://www.sec.gov/Archives/edgar/data/0000918646/000119312522279133/d385636dex31.htm" TargetMode="External"/><Relationship Id="rId191" Type="http://schemas.openxmlformats.org/officeDocument/2006/relationships/hyperlink" Target="https://www.sec.gov/Archives/edgar/data/918646/000095017022010413/exp-ex4_1.htm" TargetMode="External"/><Relationship Id="rId192" Type="http://schemas.openxmlformats.org/officeDocument/2006/relationships/hyperlink" Target="https://www.sec.gov/Archives/edgar/data/0000918646/000119312521206385/d66136dex101.htm" TargetMode="External"/><Relationship Id="rId193" Type="http://schemas.openxmlformats.org/officeDocument/2006/relationships/hyperlink" Target="https://www.sec.gov/Archives/edgar/data/918646/000119312522143703/d284371dex101.htm" TargetMode="External"/><Relationship Id="rId194" Type="http://schemas.openxmlformats.org/officeDocument/2006/relationships/hyperlink" Target="https://www.sec.gov/Archives/edgar/data/918646/000119312525020106/d859399dex101.htm" TargetMode="External"/><Relationship Id="rId195" Type="http://schemas.openxmlformats.org/officeDocument/2006/relationships/hyperlink" Target="https://www.sec.gov/Archives/edgar/data/918646/000119312509106356/ds3asr.htm" TargetMode="External"/><Relationship Id="rId196" Type="http://schemas.openxmlformats.org/officeDocument/2006/relationships/hyperlink" Target="https://www.sec.gov/Archives/edgar/data/0000918646/000119312521206385/d66136dex42.htm" TargetMode="External"/><Relationship Id="rId197" Type="http://schemas.openxmlformats.org/officeDocument/2006/relationships/hyperlink" Target="https://www.sec.gov/Archives/edgar/data/918646/000119312525280206/d911833dex11.htm" TargetMode="External"/><Relationship Id="rId199" Type="http://schemas.openxmlformats.org/officeDocument/2006/relationships/hyperlink" Target="https://www.sec.gov/Archives/edgar/data/918646/000119312525280206/d911833dex42.htm" TargetMode="External"/><Relationship Id="rId200" Type="http://schemas.openxmlformats.org/officeDocument/2006/relationships/hyperlink" Target="https://www.sec.gov/Archives/edgar/data/918646/000095013401503553/d88409ex10-2.txt" TargetMode="External"/><Relationship Id="rId201" Type="http://schemas.openxmlformats.org/officeDocument/2006/relationships/hyperlink" Target="https://www.sec.gov/Archives/edgar/data/918646/000095013401503553/d88409ex10-2a.txt" TargetMode="External"/><Relationship Id="rId202" Type="http://schemas.openxmlformats.org/officeDocument/2006/relationships/hyperlink" Target="https://www.sec.gov/Archives/edgar/data/918646/000119312513267613/d555548ddef14a.htm" TargetMode="External"/><Relationship Id="rId203" Type="http://schemas.openxmlformats.org/officeDocument/2006/relationships/hyperlink" Target="https://www.sec.gov/Archives/edgar/data/0000918646/000156459017014404/exp-ex104_60.htm" TargetMode="External"/><Relationship Id="rId204" Type="http://schemas.openxmlformats.org/officeDocument/2006/relationships/hyperlink" Target="https://www.sec.gov/Archives/edgar/data/918646/000119312523203677/d520775dex43.htm" TargetMode="External"/><Relationship Id="rId205" Type="http://schemas.openxmlformats.org/officeDocument/2006/relationships/hyperlink" Target="https://www.sec.gov/Archives/edgar/data/0000918646/000095013406014442/d38289exv10w1.htm" TargetMode="External"/><Relationship Id="rId206" Type="http://schemas.openxmlformats.org/officeDocument/2006/relationships/hyperlink" Target="https://www.sec.gov/Archives/edgar/data/918646/000119312513432851/d599914dex105.htm" TargetMode="External"/><Relationship Id="rId207" Type="http://schemas.openxmlformats.org/officeDocument/2006/relationships/hyperlink" Target="https://www.sec.gov/Archives/edgar/data/918646/000156459014005047/exp-ex105_20140930432.htm" TargetMode="External"/><Relationship Id="rId208" Type="http://schemas.openxmlformats.org/officeDocument/2006/relationships/hyperlink" Target="https://www.sec.gov/Archives/edgar/data/918646/000156459015008677/exp-ex103_273.htm" TargetMode="External"/><Relationship Id="rId209" Type="http://schemas.openxmlformats.org/officeDocument/2006/relationships/hyperlink" Target="https://www.sec.gov/Archives/edgar/data/918646/000156459016026026/exp-ex102_129.htm" TargetMode="External"/><Relationship Id="rId210" Type="http://schemas.openxmlformats.org/officeDocument/2006/relationships/hyperlink" Target="https://www.sec.gov/Archives/edgar/data/918646/000156459016026026/exp-ex103_128.htm" TargetMode="External"/><Relationship Id="rId211" Type="http://schemas.openxmlformats.org/officeDocument/2006/relationships/hyperlink" Target="https://www.sec.gov/Archives/edgar/data/918646/000156459016026026/exp-ex104_127.htm" TargetMode="External"/><Relationship Id="rId213" Type="http://schemas.openxmlformats.org/officeDocument/2006/relationships/hyperlink" Target="https://www.sec.gov/Archives/edgar/data/918646/000156459016026026/exp-ex105_126.htm" TargetMode="External"/><Relationship Id="rId214" Type="http://schemas.openxmlformats.org/officeDocument/2006/relationships/hyperlink" Target="https://www.sec.gov/Archives/edgar/data/918646/000156459017020034/exp-ex102_52.htm" TargetMode="External"/><Relationship Id="rId215" Type="http://schemas.openxmlformats.org/officeDocument/2006/relationships/hyperlink" Target="https://www.sec.gov/Archives/edgar/data/918646/000156459017014404/exp-ex105_64.htm" TargetMode="External"/><Relationship Id="rId216" Type="http://schemas.openxmlformats.org/officeDocument/2006/relationships/hyperlink" Target="https://www.sec.gov/Archives/edgar/data/918646/000156459017014404/exp-ex106_63.htm" TargetMode="External"/><Relationship Id="rId217" Type="http://schemas.openxmlformats.org/officeDocument/2006/relationships/hyperlink" Target="https://www.sec.gov/Archives/edgar/data/918646/000156459018017911/exp-ex103_169.htm" TargetMode="External"/><Relationship Id="rId218" Type="http://schemas.openxmlformats.org/officeDocument/2006/relationships/hyperlink" Target="https://www.sec.gov/Archives/edgar/data/918646/000156459018017911/exp-ex104_168.htm" TargetMode="External"/><Relationship Id="rId219" Type="http://schemas.openxmlformats.org/officeDocument/2006/relationships/hyperlink" Target="https://www.sec.gov/Archives/edgar/data/918646/000156459018025641/exp-ex102_261.htm" TargetMode="External"/><Relationship Id="rId220" Type="http://schemas.openxmlformats.org/officeDocument/2006/relationships/hyperlink" Target="https://www.sec.gov/Archives/edgar/data/918646/000119312519024134/d629735dex46.htm" TargetMode="External"/><Relationship Id="rId221" Type="http://schemas.openxmlformats.org/officeDocument/2006/relationships/hyperlink" Target="https://www.sec.gov/Archives/edgar/data/918646/000095013400005170/0000950134-00-005170-0002.txt" TargetMode="External"/><Relationship Id="rId222" Type="http://schemas.openxmlformats.org/officeDocument/2006/relationships/hyperlink" Target="https://www.sec.gov/Archives/edgar/data/918646/000095013406010995/d36609exv10w4xay.htm" TargetMode="External"/><Relationship Id="rId223" Type="http://schemas.openxmlformats.org/officeDocument/2006/relationships/hyperlink" Target="https://www.sec.gov/Archives/edgar/data/918646/000095013404008774/d15917exv10w5.txt" TargetMode="External"/><Relationship Id="rId224" Type="http://schemas.openxmlformats.org/officeDocument/2006/relationships/hyperlink" Target="https://www.sec.gov/Archives/edgar/data/918646/000095013404008774/d15917exv10w9.txt" TargetMode="External"/><Relationship Id="rId225" Type="http://schemas.openxmlformats.org/officeDocument/2006/relationships/hyperlink" Target="https://www.sec.gov/Archives/edgar/data/918646/000119312523151850/d689064dex101.htm" TargetMode="External"/><Relationship Id="rId226" Type="http://schemas.openxmlformats.org/officeDocument/2006/relationships/hyperlink" Target="https://www.sec.gov/Archives/edgar/data/918646/000119312525125096/d882826dex102.htm" TargetMode="External"/><Relationship Id="rId229" Type="http://schemas.openxmlformats.org/officeDocument/2006/relationships/hyperlink" Target="https://www.sec.gov/Archives/edgar/data/918646/000119312525125096/d882826dex103.htm" TargetMode="External"/><Relationship Id="rId230" Type="http://schemas.openxmlformats.org/officeDocument/2006/relationships/hyperlink" Target="https://www.sec.gov/Archives/edgar/data/918646/000119312523151850/d689064dex102.htm" TargetMode="External"/><Relationship Id="rId231" Type="http://schemas.openxmlformats.org/officeDocument/2006/relationships/hyperlink" Target="https://www.sec.gov/Archives/edgar/data/918646/000119312519181237/d767495dex101.htm" TargetMode="External"/><Relationship Id="rId232" Type="http://schemas.openxmlformats.org/officeDocument/2006/relationships/hyperlink" Target="https://www.sec.gov/Archives/edgar/data/918646/000119312519181237/d767495dex102.htm" TargetMode="External"/><Relationship Id="rId233" Type="http://schemas.openxmlformats.org/officeDocument/2006/relationships/hyperlink" Target="https://www.sec.gov/Archives/edgar/data/918646/000095017023035181/exp-ex10_5.htm" TargetMode="External"/><Relationship Id="rId234" Type="http://schemas.openxmlformats.org/officeDocument/2006/relationships/hyperlink" Target="https://www.sec.gov/Archives/edgar/data/918646/000156459019027178/exp-ex108_10.htm" TargetMode="External"/><Relationship Id="rId235" Type="http://schemas.openxmlformats.org/officeDocument/2006/relationships/hyperlink" Target="https://www.sec.gov/Archives/edgar/data/918646/000156459019027178/exp-ex109_6.htm" TargetMode="External"/><Relationship Id="rId236" Type="http://schemas.openxmlformats.org/officeDocument/2006/relationships/hyperlink" Target="https://www.sec.gov/Archives/edgar/data/918646/000156459020034976/exp-ex103_394.htm" TargetMode="External"/><Relationship Id="rId237" Type="http://schemas.openxmlformats.org/officeDocument/2006/relationships/hyperlink" Target="https://www.sec.gov/Archives/edgar/data/918646/000156459020034976/exp-ex104_395.htm" TargetMode="External"/><Relationship Id="rId238" Type="http://schemas.openxmlformats.org/officeDocument/2006/relationships/hyperlink" Target="https://www.sec.gov/Archives/edgar/data/918646/000156459021003065/exp-ex102_244.htm" TargetMode="External"/><Relationship Id="rId239" Type="http://schemas.openxmlformats.org/officeDocument/2006/relationships/hyperlink" Target="https://www.sec.gov/Archives/edgar/data/0000918646/000095017021002466/exp-ex10_1.htm" TargetMode="External"/><Relationship Id="rId240" Type="http://schemas.openxmlformats.org/officeDocument/2006/relationships/hyperlink" Target="https://www.sec.gov/Archives/edgar/data/0000918646/000095017021002466/exp-ex10_3.htm" TargetMode="External"/><Relationship Id="rId241" Type="http://schemas.openxmlformats.org/officeDocument/2006/relationships/hyperlink" Target="https://www.sec.gov/Archives/edgar/data/918646/000095017022013395/exp-ex10_7.htm" TargetMode="External"/><Relationship Id="rId242" Type="http://schemas.openxmlformats.org/officeDocument/2006/relationships/hyperlink" Target="https://www.sec.gov/Archives/edgar/data/918646/000095017022013395/exp-ex10_8.htm" TargetMode="External"/><Relationship Id="rId244" Type="http://schemas.openxmlformats.org/officeDocument/2006/relationships/hyperlink" Target="https://www.sec.gov/Archives/edgar/data/918646/000095017022020194/exp-ex10_3.htm" TargetMode="External"/><Relationship Id="rId245" Type="http://schemas.openxmlformats.org/officeDocument/2006/relationships/hyperlink" Target="https://www.sec.gov/Archives/edgar/data/918646/000095017023055671/exp-ex10_3.htm" TargetMode="External"/><Relationship Id="rId246" Type="http://schemas.openxmlformats.org/officeDocument/2006/relationships/hyperlink" Target="https://www.sec.gov/Archives/edgar/data/918646/000095017024087945/exp-ex10_1.htm" TargetMode="External"/><Relationship Id="rId247" Type="http://schemas.openxmlformats.org/officeDocument/2006/relationships/hyperlink" Target="https://www.sec.gov/Archives/edgar/data/918646/000095017024087945/exp-ex10_2.htm" TargetMode="External"/><Relationship Id="rId248" Type="http://schemas.openxmlformats.org/officeDocument/2006/relationships/hyperlink" Target="https://www.sec.gov/Archives/edgar/data/918646/000095017024118307/exp-ex10_2.htm" TargetMode="External"/><Relationship Id="rId249" Type="http://schemas.openxmlformats.org/officeDocument/2006/relationships/hyperlink" Target="https://www.sec.gov/Archives/edgar/data/918646/000095017024118307/exp-ex10_3.htm" TargetMode="External"/><Relationship Id="rId250" Type="http://schemas.openxmlformats.org/officeDocument/2006/relationships/hyperlink" Target="https://www.sec.gov/Archives/edgar/data/918646/000095017025099771/exp-ex10_1.htm" TargetMode="External"/><Relationship Id="rId251" Type="http://schemas.openxmlformats.org/officeDocument/2006/relationships/hyperlink" Target="https://www.sec.gov/Archives/edgar/data/918646/000095017025099771/exp-ex10_2.htm" TargetMode="External"/><Relationship Id="rId252" Type="http://schemas.openxmlformats.org/officeDocument/2006/relationships/hyperlink" Target="https://www.sec.gov/Archives/edgar/data/918646/000095017025099771/exp-ex10_3.htm" TargetMode="External"/><Relationship Id="rId253" Type="http://schemas.openxmlformats.org/officeDocument/2006/relationships/hyperlink" Target="https://www.sec.gov/Archives/edgar/data/918646/000095017025099771/exp-ex10_4.htm" TargetMode="External"/><Relationship Id="rId254" Type="http://schemas.openxmlformats.org/officeDocument/2006/relationships/hyperlink" Target="https://www.sec.gov/Archives/edgar/data/918646/000095017024063523/exp-ex19_1.htm" TargetMode="External"/><Relationship Id="rId257" Type="http://schemas.openxmlformats.org/officeDocument/2006/relationships/hyperlink" Target="https://www.sec.gov/Archives/edgar/data/918646/000095017024063523/ex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2026-05-19T16:21:38Z</dcterms:created>
  <dcterms:modified xsi:type="dcterms:W3CDTF">2026-05-19T16:21:38Z</dcterms:modified>
</cp:coreProperties>
</file>