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exp-20260630.htm"/>
      <w:bookmarkStart w:id="1" w:name="ksexp20260630"/>
      <w:bookmarkEnd w:id="0"/>
      <w:bookmarkEnd w:id="1"/>
      <w:r>
        <w:rPr/>
        <w:t> </w:t>
      </w:r>
    </w:p>
    <w:p>
      <w:pPr>
        <w:pStyle w:val="TextBody"/>
        <w:bidi w:val="0"/>
        <w:spacing w:before="60" w:after="283"/>
        <w:jc w:val="center"/>
        <w:rPr>
          <w:rFonts w:ascii="Times New Roman" w:hAnsi="Times New Roman"/>
          <w:sz w:val="20"/>
        </w:rPr>
      </w:pPr>
      <w:r>
        <w:rPr>
          <w:rFonts w:ascii="Arial" w:hAnsi="Arial"/>
          <w:b/>
          <w:color w:val="000000"/>
          <w:sz w:val="28"/>
        </w:rPr>
        <w:t>UNITED STATES 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rFonts w:ascii="Arial" w:hAnsi="Arial"/>
          <w:b/>
          <w:color w:val="000000"/>
          <w:sz w:val="28"/>
        </w:rPr>
      </w:pPr>
      <w:r>
        <w:rPr>
          <w:rFonts w:ascii="Arial" w:hAnsi="Arial"/>
          <w:b/>
          <w:color w:val="000000"/>
          <w:sz w:val="28"/>
        </w:rPr>
        <w:t>FORM 10-Q</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20"/>
        </w:rPr>
        <w:t>QUARTERLY REPORT</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For the Quarterly Period Ended</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June 30, 2026</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Commission File Number 1-12984</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pPr>
      <w:r>
        <w:rPr/>
        <w:drawing>
          <wp:inline distT="0" distB="0" distL="0" distR="0">
            <wp:extent cx="14478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742950"/>
                    </a:xfrm>
                    <a:prstGeom prst="rect">
                      <a:avLst/>
                    </a:prstGeom>
                  </pic:spPr>
                </pic:pic>
              </a:graphicData>
            </a:graphic>
          </wp:inline>
        </w:drawing>
      </w:r>
    </w:p>
    <w:p>
      <w:pPr>
        <w:pStyle w:val="TextBody"/>
        <w:bidi w:val="0"/>
        <w:spacing w:before="60" w:after="283"/>
        <w:jc w:val="center"/>
        <w:rPr>
          <w:rFonts w:ascii="Times New Roman" w:hAnsi="Times New Roman"/>
          <w:sz w:val="20"/>
        </w:rPr>
      </w:pPr>
      <w:r>
        <w:rPr>
          <w:rFonts w:ascii="Arial" w:hAnsi="Arial"/>
          <w:b/>
          <w:color w:val="000000"/>
          <w:sz w:val="40"/>
        </w:rPr>
        <w:t>EAGLE MATERIALS INC.</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20"/>
        </w:rPr>
        <w:t>Delaware</w:t>
      </w:r>
      <w:r>
        <w:rPr>
          <w:rFonts w:ascii="Times New Roman" w:hAnsi="Times New Roman"/>
          <w:color w:val="000000"/>
          <w:sz w:val="20"/>
        </w:rPr>
        <w:t xml:space="preserve"> </w:t>
      </w:r>
      <w:r>
        <w:rPr>
          <w:rFonts w:ascii="Arial" w:hAnsi="Arial"/>
          <w:color w:val="000000"/>
          <w:sz w:val="18"/>
        </w:rPr>
        <w:t>(State of Incorporation)</w:t>
      </w:r>
    </w:p>
    <w:p>
      <w:pPr>
        <w:pStyle w:val="TextBody"/>
        <w:bidi w:val="0"/>
        <w:spacing w:before="60" w:after="283"/>
        <w:jc w:val="center"/>
        <w:rPr>
          <w:rFonts w:ascii="Times New Roman" w:hAnsi="Times New Roman"/>
          <w:sz w:val="20"/>
        </w:rPr>
      </w:pPr>
      <w:r>
        <w:rPr>
          <w:rFonts w:ascii="Arial" w:hAnsi="Arial"/>
          <w:b/>
          <w:color w:val="000000"/>
          <w:sz w:val="20"/>
        </w:rPr>
        <w:t>75-2520779</w:t>
      </w:r>
      <w:r>
        <w:rPr>
          <w:rFonts w:ascii="Times New Roman" w:hAnsi="Times New Roman"/>
          <w:color w:val="000000"/>
          <w:sz w:val="20"/>
        </w:rPr>
        <w:t xml:space="preserve"> </w:t>
      </w:r>
      <w:r>
        <w:rPr>
          <w:rFonts w:ascii="Arial" w:hAnsi="Arial"/>
          <w:color w:val="000000"/>
          <w:sz w:val="18"/>
        </w:rPr>
        <w:t>(I.R.S. Employer Identification No.)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5960 Berkshire Lane, Suite 900, Dallas, Texas</w:t>
      </w:r>
      <w:r>
        <w:rPr>
          <w:rFonts w:ascii="Times New Roman" w:hAnsi="Times New Roman"/>
          <w:color w:val="000000"/>
          <w:sz w:val="20"/>
        </w:rPr>
        <w:t xml:space="preserve"> </w:t>
      </w:r>
      <w:r>
        <w:rPr>
          <w:rFonts w:ascii="Arial" w:hAnsi="Arial"/>
          <w:b/>
          <w:color w:val="000000"/>
          <w:sz w:val="20"/>
        </w:rPr>
        <w:t>75225</w:t>
      </w:r>
      <w:r>
        <w:rPr>
          <w:rFonts w:ascii="Times New Roman" w:hAnsi="Times New Roman"/>
          <w:color w:val="000000"/>
          <w:sz w:val="20"/>
        </w:rPr>
        <w:t xml:space="preserve"> </w:t>
      </w:r>
      <w:r>
        <w:rPr>
          <w:rFonts w:ascii="Arial" w:hAnsi="Arial"/>
          <w:color w:val="000000"/>
          <w:sz w:val="18"/>
        </w:rPr>
        <w:t>(Address of principal executive offices)</w:t>
      </w:r>
      <w:r>
        <w:rPr>
          <w:rFonts w:ascii="Times New Roman" w:hAnsi="Times New Roman"/>
          <w:color w:val="000000"/>
          <w:sz w:val="20"/>
        </w:rPr>
        <w:t xml:space="preserve"> </w:t>
      </w:r>
    </w:p>
    <w:p>
      <w:pPr>
        <w:pStyle w:val="TextBody"/>
        <w:bidi w:val="0"/>
        <w:spacing w:before="60" w:after="60"/>
        <w:jc w:val="center"/>
        <w:rPr>
          <w:rFonts w:ascii="Times New Roman" w:hAnsi="Times New Roman"/>
          <w:sz w:val="20"/>
        </w:rPr>
      </w:pPr>
      <w:r>
        <w:rPr>
          <w:rFonts w:ascii="Arial" w:hAnsi="Arial"/>
          <w:b/>
          <w:color w:val="000000"/>
          <w:sz w:val="20"/>
        </w:rPr>
        <w:t>(214) 432-2000</w:t>
      </w:r>
      <w:r>
        <w:rPr>
          <w:rFonts w:ascii="Times New Roman" w:hAnsi="Times New Roman"/>
          <w:color w:val="000000"/>
          <w:sz w:val="20"/>
        </w:rPr>
        <w:t xml:space="preserve"> </w:t>
      </w:r>
      <w:r>
        <w:rPr>
          <w:rFonts w:ascii="Arial" w:hAnsi="Arial"/>
          <w:color w:val="000000"/>
          <w:sz w:val="18"/>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spacing w:before="60" w:after="283"/>
        <w:jc w:val="both"/>
        <w:rPr>
          <w:rFonts w:ascii="Arial" w:hAnsi="Arial"/>
          <w:color w:val="000000"/>
          <w:sz w:val="20"/>
        </w:rPr>
      </w:pPr>
      <w:r>
        <w:rPr>
          <w:rFonts w:ascii="Arial" w:hAnsi="Arial"/>
          <w:color w:val="000000"/>
          <w:sz w:val="20"/>
        </w:rPr>
        <w:t>Securities registered pursuant to Section 12(b) of the Act:</w:t>
      </w:r>
    </w:p>
    <w:p>
      <w:pPr>
        <w:pStyle w:val="TextBody"/>
        <w:bidi w:val="0"/>
        <w:jc w:val="both"/>
        <w:rPr/>
      </w:pPr>
      <w:r>
        <w:rPr/>
        <w:t> </w:t>
      </w:r>
    </w:p>
    <w:tbl>
      <w:tblPr>
        <w:tblW w:w="8395" w:type="dxa"/>
        <w:jc w:val="left"/>
        <w:tblInd w:w="0" w:type="dxa"/>
        <w:tblLayout w:type="fixed"/>
        <w:tblCellMar>
          <w:top w:w="28" w:type="dxa"/>
          <w:left w:w="28" w:type="dxa"/>
          <w:bottom w:w="28" w:type="dxa"/>
          <w:right w:w="28" w:type="dxa"/>
        </w:tblCellMar>
      </w:tblPr>
      <w:tblGrid>
        <w:gridCol w:w="3526"/>
        <w:gridCol w:w="146"/>
        <w:gridCol w:w="916"/>
        <w:gridCol w:w="146"/>
        <w:gridCol w:w="366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EXP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New York Stock Exchange</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EXP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NYSE Texas, Inc.</w:t>
            </w:r>
          </w:p>
        </w:tc>
      </w:tr>
    </w:tbl>
    <w:p>
      <w:pPr>
        <w:pStyle w:val="TextBody"/>
        <w:bidi w:val="0"/>
        <w:jc w:val="both"/>
        <w:rPr/>
      </w:pPr>
      <w:r>
        <w:rPr/>
        <w:t> </w:t>
      </w:r>
    </w:p>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hAnsi="Arial"/>
          <w:caps/>
          <w:color w:val="000000"/>
          <w:sz w:val="20"/>
        </w:rPr>
        <w:t>Y</w:t>
      </w:r>
      <w:r>
        <w:rPr>
          <w:rFonts w:ascii="Arial" w:hAnsi="Arial"/>
          <w:color w:val="000000"/>
          <w:sz w:val="20"/>
        </w:rPr>
        <w:t>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6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2431"/>
        <w:gridCol w:w="146"/>
        <w:gridCol w:w="316"/>
        <w:gridCol w:w="146"/>
        <w:gridCol w:w="2431"/>
        <w:gridCol w:w="146"/>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20"/>
        </w:rPr>
        <w:t>Indicate by check mark whether the registrant is a shell company (as defined in Rule 12b-2 of the Exchange 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Yes </w:t>
      </w:r>
      <w:r>
        <w:rPr>
          <w:rFonts w:ascii="Times New Roman" w:hAnsi="Times New Roman"/>
          <w:color w:val="000000"/>
          <w:sz w:val="20"/>
        </w:rPr>
        <w:t xml:space="preserve">☐ </w:t>
      </w:r>
      <w:r>
        <w:rPr>
          <w:rFonts w:ascii="Arial" w:hAnsi="Arial"/>
          <w:color w:val="000000"/>
          <w:sz w:val="20"/>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20"/>
        </w:rPr>
        <w:t>As of July 27, 2026, the number of outstanding shares of common stock was:</w:t>
      </w:r>
      <w:r>
        <w:rPr>
          <w:rFonts w:ascii="Times New Roman" w:hAnsi="Times New Roman"/>
          <w:color w:val="000000"/>
          <w:sz w:val="20"/>
        </w:rPr>
        <w:t xml:space="preserve"> </w:t>
      </w:r>
    </w:p>
    <w:p>
      <w:pPr>
        <w:pStyle w:val="TextBody"/>
        <w:bidi w:val="0"/>
        <w:jc w:val="left"/>
        <w:rPr/>
      </w:pPr>
      <w:r>
        <w:rPr/>
        <w:t> </w:t>
      </w:r>
    </w:p>
    <w:tbl>
      <w:tblPr>
        <w:tblW w:w="4986" w:type="dxa"/>
        <w:jc w:val="left"/>
        <w:tblInd w:w="0" w:type="dxa"/>
        <w:tblLayout w:type="fixed"/>
        <w:tblCellMar>
          <w:top w:w="28" w:type="dxa"/>
          <w:left w:w="28" w:type="dxa"/>
          <w:bottom w:w="28" w:type="dxa"/>
          <w:right w:w="28" w:type="dxa"/>
        </w:tblCellMar>
      </w:tblPr>
      <w:tblGrid>
        <w:gridCol w:w="2881"/>
        <w:gridCol w:w="109"/>
        <w:gridCol w:w="1996"/>
      </w:tblGrid>
      <w:tr>
        <w:trPr/>
        <w:tc>
          <w:tcPr>
            <w:tcW w:w="2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Outstanding Shares</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30,675,325</w:t>
            </w:r>
          </w:p>
        </w:tc>
      </w:tr>
    </w:tbl>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b/>
          <w:color w:val="000000"/>
          <w:sz w:val="22"/>
          <w:u w:val="single"/>
        </w:rPr>
      </w:pPr>
      <w:r>
        <w:rPr>
          <w:rFonts w:ascii="Arial" w:hAnsi="Arial"/>
          <w:b/>
          <w:color w:val="000000"/>
          <w:sz w:val="22"/>
          <w:u w:val="single"/>
        </w:rPr>
        <w:t>TABLE OF CONTENTS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Arial" w:hAnsi="Arial"/>
          <w:b/>
          <w:color w:val="000000"/>
          <w:sz w:val="22"/>
          <w:u w:val="single"/>
        </w:rPr>
        <w:t>PART I. FINANCIAL INFORMATION (unaudited)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22"/>
        <w:gridCol w:w="391"/>
        <w:gridCol w:w="8244"/>
        <w:gridCol w:w="146"/>
        <w:gridCol w:w="602"/>
      </w:tblGrid>
      <w:tr>
        <w:trPr/>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statement_of_earnings">
              <w:r>
                <w:rPr>
                  <w:rStyle w:val="InternetLink"/>
                  <w:rFonts w:ascii="Arial" w:hAnsi="Arial"/>
                  <w:color w:val="000000"/>
                  <w:sz w:val="20"/>
                </w:rPr>
                <w:t>Consolidated Statements of Earnings for the Three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_stmt_comprehensive_income">
              <w:r>
                <w:rPr>
                  <w:rStyle w:val="InternetLink"/>
                  <w:rFonts w:ascii="Arial" w:hAnsi="Arial"/>
                  <w:color w:val="000000"/>
                  <w:sz w:val="20"/>
                </w:rPr>
                <w:t>Consolidated Statements of Comprehensive Earnings for the Three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cons_balance_sheet">
              <w:r>
                <w:rPr>
                  <w:rStyle w:val="InternetLink"/>
                  <w:rFonts w:ascii="Arial" w:hAnsi="Arial"/>
                  <w:color w:val="000000"/>
                  <w:sz w:val="20"/>
                </w:rPr>
                <w:t>Consolidated Balance Sheets as of June 30, 2026, and March 31,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_stmt_cash_flows">
              <w:r>
                <w:rPr>
                  <w:rStyle w:val="InternetLink"/>
                  <w:rFonts w:ascii="Arial" w:hAnsi="Arial"/>
                  <w:color w:val="000000"/>
                  <w:sz w:val="20"/>
                </w:rPr>
                <w:t>Consolidated Statements of Cash Flows for the Three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_stmt_stockholders_equity">
              <w:r>
                <w:rPr>
                  <w:rStyle w:val="InternetLink"/>
                  <w:rFonts w:ascii="Arial" w:hAnsi="Arial"/>
                  <w:color w:val="000000"/>
                  <w:sz w:val="20"/>
                </w:rPr>
                <w:t>Consolidated Statements of Stockholders' Equity for the Three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Arial" w:hAnsi="Arial"/>
                  <w:color w:val="000000"/>
                  <w:sz w:val="20"/>
                </w:rPr>
                <w:t>Notes to Unaudited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Arial" w:hAnsi="Arial"/>
                  <w:color w:val="000000"/>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Arial" w:hAnsi="Arial"/>
                  <w:color w:val="000000"/>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Arial" w:hAnsi="Arial"/>
                  <w:color w:val="000000"/>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120"/>
              <w:jc w:val="left"/>
              <w:rPr/>
            </w:pPr>
            <w:hyperlink w:anchor="part_ii">
              <w:r>
                <w:rPr>
                  <w:rStyle w:val="InternetLink"/>
                  <w:rFonts w:ascii="Arial" w:hAnsi="Arial"/>
                  <w:b/>
                  <w:color w:val="000000"/>
                  <w:sz w:val="22"/>
                </w:rPr>
                <w:t>PART II. OTHER INFORMATION</w:t>
              </w:r>
            </w:hyperlink>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Arial" w:hAnsi="Arial"/>
                  <w:color w:val="000000"/>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Arial" w:hAnsi="Arial"/>
                  <w:color w:val="000000"/>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unregistered_sales">
              <w:r>
                <w:rPr>
                  <w:rStyle w:val="InternetLink"/>
                  <w:rFonts w:ascii="Arial" w:hAnsi="Arial"/>
                  <w:color w:val="000000"/>
                  <w:sz w:val="20"/>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Arial" w:hAnsi="Arial"/>
                  <w:color w:val="000000"/>
                  <w:sz w:val="20"/>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Arial" w:hAnsi="Arial"/>
                  <w:color w:val="000000"/>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00"/>
                  <w:sz w:val="20"/>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r>
      <w:tr>
        <w:trPr/>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57"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b/>
                  <w:color w:val="000000"/>
                  <w:sz w:val="20"/>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6"/>
        </w:rPr>
      </w:pPr>
      <w:r>
        <w:rPr>
          <w:rFonts w:ascii="Arial" w:hAnsi="Arial"/>
          <w:b/>
          <w:color w:val="000000"/>
          <w:sz w:val="26"/>
        </w:rPr>
        <w:t>PART I. FINANCIAL INFORMATION (UNAUDITED)</w:t>
      </w:r>
    </w:p>
    <w:p>
      <w:pPr>
        <w:pStyle w:val="TextBody"/>
        <w:pBdr>
          <w:bottom w:val="single" w:sz="8" w:space="1" w:color="000000"/>
        </w:pBdr>
        <w:bidi w:val="0"/>
        <w:spacing w:before="540" w:after="283"/>
        <w:jc w:val="left"/>
        <w:rPr>
          <w:rFonts w:ascii="Arial" w:hAnsi="Arial"/>
          <w:b/>
          <w:color w:val="000000"/>
          <w:sz w:val="26"/>
        </w:rPr>
      </w:pPr>
      <w:r>
        <w:rPr>
          <w:rFonts w:ascii="Arial" w:hAnsi="Arial"/>
          <w:b/>
          <w:color w:val="000000"/>
          <w:sz w:val="26"/>
        </w:rPr>
        <w:t>ITEM 1. Consolidated Financial Statements</w:t>
      </w:r>
    </w:p>
    <w:p>
      <w:pPr>
        <w:pStyle w:val="TextBody"/>
        <w:bidi w:val="0"/>
        <w:jc w:val="left"/>
        <w:rPr>
          <w:rFonts w:ascii="Arial" w:hAnsi="Arial"/>
          <w:b/>
          <w:color w:val="000000"/>
          <w:sz w:val="20"/>
        </w:rPr>
      </w:pPr>
      <w:bookmarkStart w:id="2" w:name="consolidated_statement_of_earnings"/>
      <w:bookmarkEnd w:id="2"/>
      <w:r>
        <w:rPr>
          <w:rFonts w:ascii="Arial" w:hAnsi="Arial"/>
          <w:b/>
          <w:color w:val="000000"/>
          <w:sz w:val="20"/>
        </w:rPr>
        <w:t>EAGLE MATERIALS INC. AND SUBSIDIARIES CONSOLIDATED STATEMENTS OF EARNINGS (unaudited)</w:t>
      </w:r>
    </w:p>
    <w:p>
      <w:pPr>
        <w:pStyle w:val="TextBody"/>
        <w:bidi w:val="0"/>
        <w:jc w:val="left"/>
        <w:rPr/>
      </w:pPr>
      <w:r>
        <w:rPr/>
        <w:t> </w:t>
      </w:r>
    </w:p>
    <w:tbl>
      <w:tblPr>
        <w:tblW w:w="8884" w:type="dxa"/>
        <w:jc w:val="left"/>
        <w:tblInd w:w="0" w:type="dxa"/>
        <w:tblLayout w:type="fixed"/>
        <w:tblCellMar>
          <w:top w:w="28" w:type="dxa"/>
          <w:left w:w="28" w:type="dxa"/>
          <w:bottom w:w="28" w:type="dxa"/>
          <w:right w:w="28" w:type="dxa"/>
        </w:tblCellMar>
      </w:tblPr>
      <w:tblGrid>
        <w:gridCol w:w="4401"/>
        <w:gridCol w:w="146"/>
        <w:gridCol w:w="196"/>
        <w:gridCol w:w="186"/>
        <w:gridCol w:w="1172"/>
        <w:gridCol w:w="212"/>
        <w:gridCol w:w="186"/>
        <w:gridCol w:w="186"/>
        <w:gridCol w:w="250"/>
        <w:gridCol w:w="186"/>
        <w:gridCol w:w="1172"/>
        <w:gridCol w:w="59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 except share and per share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650,966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634,690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489,721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449,091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b/>
                <w:color w:val="004483"/>
                <w:sz w:val="20"/>
              </w:rPr>
            </w:pPr>
            <w:r>
              <w:rPr>
                <w:rFonts w:ascii="Arial Narrow;sans-serif" w:hAnsi="Arial Narrow;sans-serif"/>
                <w:b/>
                <w:color w:val="004483"/>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161,245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185,599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Equity in Earnings of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2,843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Corporate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(20,202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(20,783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Other Non-Operating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(12,947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(11,716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b/>
                <w:color w:val="004483"/>
                <w:sz w:val="20"/>
              </w:rPr>
            </w:pPr>
            <w:r>
              <w:rPr>
                <w:rFonts w:ascii="Arial Narrow;sans-serif" w:hAnsi="Arial Narrow;sans-serif"/>
                <w:b/>
                <w:color w:val="004483"/>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131,685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157,858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(29,558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(34,496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b/>
                <w:color w:val="000000"/>
                <w:sz w:val="20"/>
              </w:rPr>
            </w:pPr>
            <w:r>
              <w:rPr>
                <w:rFonts w:ascii="Arial Narrow;sans-serif" w:hAnsi="Arial Narrow;sans-serif"/>
                <w:b/>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102,127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123,362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30,936,307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32,624,075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31,088,474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32,808,568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4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CASH DIVIDENDS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0.25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0.25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Arial" w:hAnsi="Arial"/>
          <w:i/>
          <w:color w:val="000000"/>
          <w:sz w:val="20"/>
        </w:rPr>
        <w:t>See Notes to Unaudited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3" w:name="cons_stmt_comprehensive_income"/>
      <w:bookmarkEnd w:id="3"/>
      <w:r>
        <w:rPr>
          <w:rFonts w:ascii="Arial" w:hAnsi="Arial"/>
          <w:b/>
          <w:color w:val="000000"/>
          <w:sz w:val="20"/>
        </w:rPr>
        <w:t>EAGLE MATERIALS INC. AND SUBSIDIARIES CONSOLIDATED STATEMENTS OF COMPREHENSIVE EARNINGS (unaudited)</w:t>
      </w:r>
    </w:p>
    <w:p>
      <w:pPr>
        <w:pStyle w:val="TextBody"/>
        <w:bidi w:val="0"/>
        <w:jc w:val="left"/>
        <w:rPr/>
      </w:pPr>
      <w:r>
        <w:rPr/>
        <w:t> </w:t>
      </w:r>
    </w:p>
    <w:p>
      <w:pPr>
        <w:pStyle w:val="TextBody"/>
        <w:bidi w:val="0"/>
        <w:jc w:val="left"/>
        <w:rPr/>
      </w:pPr>
      <w:r>
        <w:rPr/>
        <w:t> </w:t>
      </w:r>
    </w:p>
    <w:tbl>
      <w:tblPr>
        <w:tblW w:w="7241" w:type="dxa"/>
        <w:jc w:val="left"/>
        <w:tblInd w:w="0" w:type="dxa"/>
        <w:tblLayout w:type="fixed"/>
        <w:tblCellMar>
          <w:top w:w="28" w:type="dxa"/>
          <w:left w:w="28" w:type="dxa"/>
          <w:bottom w:w="28" w:type="dxa"/>
          <w:right w:w="28" w:type="dxa"/>
        </w:tblCellMar>
      </w:tblPr>
      <w:tblGrid>
        <w:gridCol w:w="3811"/>
        <w:gridCol w:w="146"/>
        <w:gridCol w:w="196"/>
        <w:gridCol w:w="169"/>
        <w:gridCol w:w="801"/>
        <w:gridCol w:w="192"/>
        <w:gridCol w:w="169"/>
        <w:gridCol w:w="169"/>
        <w:gridCol w:w="227"/>
        <w:gridCol w:w="169"/>
        <w:gridCol w:w="801"/>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102,127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123,362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Actuarial Change in Defined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Amortization of Net Actuarial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1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381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Comprehensive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102,246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123,403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i/>
          <w:color w:val="000000"/>
          <w:sz w:val="20"/>
        </w:rPr>
      </w:pPr>
      <w:r>
        <w:rPr>
          <w:rFonts w:ascii="Arial" w:hAnsi="Arial"/>
          <w:i/>
          <w:color w:val="000000"/>
          <w:sz w:val="20"/>
        </w:rPr>
        <w:t>See Notes to Unaudited Consolidated Financial Statements.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4" w:name="cons_balance_sheet"/>
      <w:bookmarkEnd w:id="4"/>
      <w:r>
        <w:rPr>
          <w:rFonts w:ascii="Arial" w:hAnsi="Arial"/>
          <w:b/>
          <w:color w:val="000000"/>
          <w:sz w:val="20"/>
        </w:rPr>
        <w:t>EAGLE MATERIALS INC. AND SUBSIDIARIES CONSOLIDATED BALANCE SHEETS (unaudited)</w:t>
      </w:r>
    </w:p>
    <w:p>
      <w:pPr>
        <w:pStyle w:val="TextBody"/>
        <w:bidi w:val="0"/>
        <w:jc w:val="left"/>
        <w:rPr/>
      </w:pPr>
      <w:r>
        <w:rPr/>
        <w:t> </w:t>
      </w:r>
    </w:p>
    <w:tbl>
      <w:tblPr>
        <w:tblW w:w="8342" w:type="dxa"/>
        <w:jc w:val="left"/>
        <w:tblInd w:w="0" w:type="dxa"/>
        <w:tblLayout w:type="fixed"/>
        <w:tblCellMar>
          <w:top w:w="28" w:type="dxa"/>
          <w:left w:w="28" w:type="dxa"/>
          <w:bottom w:w="28" w:type="dxa"/>
          <w:right w:w="28" w:type="dxa"/>
        </w:tblCellMar>
      </w:tblPr>
      <w:tblGrid>
        <w:gridCol w:w="5366"/>
        <w:gridCol w:w="146"/>
        <w:gridCol w:w="181"/>
        <w:gridCol w:w="146"/>
        <w:gridCol w:w="721"/>
        <w:gridCol w:w="151"/>
        <w:gridCol w:w="146"/>
        <w:gridCol w:w="146"/>
        <w:gridCol w:w="181"/>
        <w:gridCol w:w="146"/>
        <w:gridCol w:w="721"/>
        <w:gridCol w:w="291"/>
      </w:tblGrid>
      <w:tr>
        <w:trPr/>
        <w:tc>
          <w:tcPr>
            <w:tcW w:w="5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6"/>
              </w:rPr>
            </w:pPr>
            <w:r>
              <w:rPr>
                <w:rFonts w:ascii="Arial Narrow;sans-serif" w:hAnsi="Arial Narrow;sans-serif"/>
                <w:b/>
                <w:color w:val="000000"/>
                <w:sz w:val="16"/>
              </w:rPr>
              <w:t>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6"/>
              </w:rPr>
            </w:pPr>
            <w:r>
              <w:rPr>
                <w:rFonts w:ascii="Arial Narrow;sans-serif" w:hAnsi="Arial Narrow;sans-serif"/>
                <w:b/>
                <w:color w:val="000000"/>
                <w:sz w:val="16"/>
              </w:rPr>
              <w:t>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233,539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297,920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293,818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228,573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379,573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408,391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6,309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7,536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8,469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929,358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950,889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2,149,314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2,064,622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162,921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160,078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31,321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29,346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Goodwill and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582,867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585,443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52,384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51,866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3,908,165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3,842,244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156,882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138,884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108,248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102,127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4,684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4,144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2,787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287,601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260,155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1,742,011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1,745,081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33,712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32,559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68,236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66,959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289,673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262,662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2,421,233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2,367,416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6"/>
              </w:rPr>
            </w:pPr>
            <w:r>
              <w:rPr>
                <w:rFonts w:ascii="Arial Narrow;sans-serif" w:hAnsi="Arial Narrow;sans-serif"/>
                <w:b/>
                <w:color w:val="004483"/>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Narrow;sans-serif" w:hAnsi="Arial Narrow;sans-serif"/>
                <w:b/>
                <w:color w:val="004483"/>
                <w:sz w:val="16"/>
              </w:rPr>
              <w:t>Preferred Stock, Par Value $0.01; Authorized 5,000,000</w:t>
            </w:r>
            <w:r>
              <w:rPr>
                <w:rFonts w:ascii="Times New Roman" w:hAnsi="Times New Roman"/>
                <w:color w:val="004483"/>
                <w:sz w:val="20"/>
              </w:rPr>
              <w:t> </w:t>
            </w:r>
            <w:r>
              <w:rPr>
                <w:rFonts w:ascii="Arial Narrow;sans-serif" w:hAnsi="Arial Narrow;sans-serif"/>
                <w:b/>
                <w:color w:val="004483"/>
                <w:sz w:val="16"/>
              </w:rPr>
              <w:t>Shares; None</w:t>
            </w:r>
            <w:r>
              <w:rPr>
                <w:rFonts w:ascii="Times New Roman" w:hAnsi="Times New Roman"/>
                <w:color w:val="004483"/>
                <w:sz w:val="20"/>
              </w:rPr>
              <w:t> </w:t>
            </w:r>
            <w:r>
              <w:rPr>
                <w:rFonts w:ascii="Arial Narrow;sans-serif" w:hAnsi="Arial Narrow;sans-serif"/>
                <w:b/>
                <w:color w:val="004483"/>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Narrow;sans-serif" w:hAnsi="Arial Narrow;sans-serif"/>
                <w:b/>
                <w:color w:val="004483"/>
                <w:sz w:val="16"/>
              </w:rPr>
              <w:t>Common Stock, Par Value $0.01; Authorized 100,000,000</w:t>
            </w:r>
            <w:r>
              <w:rPr>
                <w:rFonts w:ascii="Times New Roman" w:hAnsi="Times New Roman"/>
                <w:color w:val="004483"/>
                <w:sz w:val="20"/>
              </w:rPr>
              <w:t> </w:t>
            </w:r>
            <w:r>
              <w:rPr>
                <w:rFonts w:ascii="Arial Narrow;sans-serif" w:hAnsi="Arial Narrow;sans-serif"/>
                <w:b/>
                <w:color w:val="004483"/>
                <w:sz w:val="16"/>
              </w:rPr>
              <w:t>Shares;</w:t>
              <w:br/>
              <w:t>   Issued and Outstanding 30,804,441</w:t>
            </w:r>
            <w:r>
              <w:rPr>
                <w:rFonts w:ascii="Times New Roman" w:hAnsi="Times New Roman"/>
                <w:color w:val="004483"/>
                <w:sz w:val="20"/>
              </w:rPr>
              <w:t> </w:t>
            </w:r>
            <w:r>
              <w:rPr>
                <w:rFonts w:ascii="Arial Narrow;sans-serif" w:hAnsi="Arial Narrow;sans-serif"/>
                <w:b/>
                <w:color w:val="004483"/>
                <w:sz w:val="16"/>
              </w:rPr>
              <w:t>and 31,227,012</w:t>
            </w:r>
            <w:r>
              <w:rPr>
                <w:rFonts w:ascii="Times New Roman" w:hAnsi="Times New Roman"/>
                <w:color w:val="004483"/>
                <w:sz w:val="20"/>
              </w:rPr>
              <w:t> </w:t>
            </w:r>
            <w:r>
              <w:rPr>
                <w:rFonts w:ascii="Arial Narrow;sans-serif" w:hAnsi="Arial Narrow;sans-serif"/>
                <w:b/>
                <w:color w:val="004483"/>
                <w:sz w:val="16"/>
              </w:rPr>
              <w:t>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Accumulated Other Comprehensive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(4,285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(4,404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6"/>
              </w:rPr>
            </w:pPr>
            <w:r>
              <w:rPr>
                <w:rFonts w:ascii="Arial Narrow;sans-serif" w:hAnsi="Arial Narrow;sans-serif"/>
                <w:b/>
                <w:color w:val="004483"/>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1,490,909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1,478,920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1,486,932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1,474,828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3,908,165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3,842,244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i/>
          <w:color w:val="000000"/>
          <w:sz w:val="20"/>
        </w:rPr>
      </w:pPr>
      <w:r>
        <w:rPr>
          <w:rFonts w:ascii="Arial" w:hAnsi="Arial"/>
          <w:i/>
          <w:color w:val="000000"/>
          <w:sz w:val="20"/>
        </w:rPr>
        <w:t>See Notes to Unaudited Consolidated Financial Statements.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5" w:name="cons_stmt_cash_flows"/>
      <w:bookmarkEnd w:id="5"/>
      <w:r>
        <w:rPr>
          <w:rFonts w:ascii="Arial" w:hAnsi="Arial"/>
          <w:b/>
          <w:color w:val="000000"/>
          <w:sz w:val="20"/>
        </w:rPr>
        <w:t>EAGLE MATERIALS INC. AND SUBSIDIARIES CONSOLIDATED STATEMENTS OF CASH FLOWS (unaudited)</w:t>
      </w:r>
    </w:p>
    <w:p>
      <w:pPr>
        <w:pStyle w:val="TextBody"/>
        <w:bidi w:val="0"/>
        <w:jc w:val="left"/>
        <w:rPr/>
      </w:pPr>
      <w:r>
        <w:rPr/>
        <w:t> </w:t>
      </w:r>
    </w:p>
    <w:tbl>
      <w:tblPr>
        <w:tblW w:w="7063" w:type="dxa"/>
        <w:jc w:val="left"/>
        <w:tblInd w:w="0" w:type="dxa"/>
        <w:tblLayout w:type="fixed"/>
        <w:tblCellMar>
          <w:top w:w="28" w:type="dxa"/>
          <w:left w:w="28" w:type="dxa"/>
          <w:bottom w:w="28" w:type="dxa"/>
          <w:right w:w="28" w:type="dxa"/>
        </w:tblCellMar>
      </w:tblPr>
      <w:tblGrid>
        <w:gridCol w:w="4216"/>
        <w:gridCol w:w="146"/>
        <w:gridCol w:w="181"/>
        <w:gridCol w:w="159"/>
        <w:gridCol w:w="688"/>
        <w:gridCol w:w="164"/>
        <w:gridCol w:w="159"/>
        <w:gridCol w:w="159"/>
        <w:gridCol w:w="197"/>
        <w:gridCol w:w="159"/>
        <w:gridCol w:w="639"/>
        <w:gridCol w:w="19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5"/>
              </w:rPr>
            </w:pPr>
            <w:r>
              <w:rPr>
                <w:rFonts w:ascii="Arial Narrow;sans-serif" w:hAnsi="Arial Narrow;sans-serif"/>
                <w:b/>
                <w:color w:val="000000"/>
                <w:sz w:val="15"/>
              </w:rPr>
              <w:t>For the Three Months Ended June 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5"/>
              </w:rPr>
            </w:pPr>
            <w:r>
              <w:rPr>
                <w:rFonts w:ascii="Arial Narrow;sans-serif" w:hAnsi="Arial Narrow;sans-serif"/>
                <w:b/>
                <w:color w:val="000000"/>
                <w:sz w:val="15"/>
              </w:rPr>
              <w:t>2026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5"/>
              </w:rPr>
            </w:pPr>
            <w:r>
              <w:rPr>
                <w:rFonts w:ascii="Arial Narrow;sans-serif" w:hAnsi="Arial Narrow;sans-serif"/>
                <w:b/>
                <w:color w:val="000000"/>
                <w:sz w:val="15"/>
              </w:rPr>
              <w:t>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5"/>
              </w:rPr>
            </w:pPr>
            <w:r>
              <w:rPr>
                <w:rFonts w:ascii="Arial Narrow;sans-serif" w:hAnsi="Arial Narrow;sans-serif"/>
                <w:b/>
                <w:color w:val="000000"/>
                <w:sz w:val="15"/>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102,127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123,362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Adjustments to Reconcile Net Earnings to Net Cash Provided</w:t>
              <w:br/>
              <w:t>by Operating Activities, Net of Effect of Non-Cash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41,199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40,644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Deferred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27,011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2,736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4,695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4,822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Equity in Earnings of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(2,843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(3,804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(65,245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(51,066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28,818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21,774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24,058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(5,534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(6,775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(27,361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1,333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31,061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154,378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136,634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5"/>
              </w:rPr>
            </w:pPr>
            <w:r>
              <w:rPr>
                <w:rFonts w:ascii="Arial Narrow;sans-serif" w:hAnsi="Arial Narrow;sans-serif"/>
                <w:b/>
                <w:color w:val="000000"/>
                <w:sz w:val="15"/>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(120,755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(76,097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(120,755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(76,097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5"/>
              </w:rPr>
            </w:pPr>
            <w:r>
              <w:rPr>
                <w:rFonts w:ascii="Arial Narrow;sans-serif" w:hAnsi="Arial Narrow;sans-serif"/>
                <w:b/>
                <w:color w:val="000000"/>
                <w:sz w:val="15"/>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100,000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Repayment of 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(25,000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Repayment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(3,750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(3,750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Dividends Paid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(7,964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(8,254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(83,833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(78,616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Shares Redeemed to Settle Employee Taxes on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(2,524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(5,579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5"/>
              </w:rPr>
            </w:pPr>
            <w:r>
              <w:rPr>
                <w:rFonts w:ascii="Arial Narrow;sans-serif" w:hAnsi="Arial Narrow;sans-serif"/>
                <w:b/>
                <w:color w:val="004483"/>
                <w:sz w:val="15"/>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(98,004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(21,199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5"/>
              </w:rPr>
            </w:pPr>
            <w:r>
              <w:rPr>
                <w:rFonts w:ascii="Arial Narrow;sans-serif" w:hAnsi="Arial Narrow;sans-serif"/>
                <w:b/>
                <w:color w:val="000000"/>
                <w:sz w:val="15"/>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(64,381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5"/>
              </w:rPr>
            </w:pPr>
            <w:r>
              <w:rPr>
                <w:rFonts w:ascii="Arial Narrow;sans-serif" w:hAnsi="Arial Narrow;sans-serif"/>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39,338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5"/>
              </w:rPr>
            </w:pPr>
            <w:r>
              <w:rPr>
                <w:rFonts w:ascii="Arial Narrow;sans-serif" w:hAnsi="Arial Narrow;sans-serif"/>
                <w:b/>
                <w:color w:val="000000"/>
                <w:sz w:val="15"/>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297,920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5"/>
              </w:rPr>
            </w:pPr>
            <w:r>
              <w:rPr>
                <w:rFonts w:ascii="Arial Narrow;sans-serif" w:hAnsi="Arial Narrow;sans-serif"/>
                <w:color w:val="000000"/>
                <w:sz w:val="15"/>
              </w:rPr>
              <w:t>20,401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5"/>
              </w:rPr>
            </w:pPr>
            <w:r>
              <w:rPr>
                <w:rFonts w:ascii="Arial Narrow;sans-serif" w:hAnsi="Arial Narrow;sans-serif"/>
                <w:b/>
                <w:color w:val="000000"/>
                <w:sz w:val="15"/>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5"/>
              </w:rPr>
            </w:pPr>
            <w:r>
              <w:rPr>
                <w:rFonts w:ascii="Arial Narrow;sans-serif" w:hAnsi="Arial Narrow;sans-serif"/>
                <w:b/>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5"/>
              </w:rPr>
            </w:pPr>
            <w:r>
              <w:rPr>
                <w:rFonts w:ascii="Arial Narrow;sans-serif" w:hAnsi="Arial Narrow;sans-serif"/>
                <w:b/>
                <w:color w:val="000000"/>
                <w:sz w:val="15"/>
              </w:rPr>
              <w:t>233,539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5"/>
              </w:rPr>
            </w:pPr>
            <w:r>
              <w:rPr>
                <w:rFonts w:ascii="Arial Narrow;sans-serif" w:hAnsi="Arial Narrow;sans-serif"/>
                <w:b/>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5"/>
              </w:rPr>
            </w:pPr>
            <w:r>
              <w:rPr>
                <w:rFonts w:ascii="Arial Narrow;sans-serif" w:hAnsi="Arial Narrow;sans-serif"/>
                <w:b/>
                <w:color w:val="000000"/>
                <w:sz w:val="15"/>
              </w:rPr>
              <w:t>59,739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i/>
          <w:color w:val="000000"/>
          <w:sz w:val="20"/>
        </w:rPr>
      </w:pPr>
      <w:r>
        <w:rPr>
          <w:rFonts w:ascii="Arial" w:hAnsi="Arial"/>
          <w:i/>
          <w:color w:val="000000"/>
          <w:sz w:val="20"/>
        </w:rPr>
        <w:t>See Notes to Unaudited Consolidated Financial Statements.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6" w:name="cons_stmt_stockholders_equity"/>
      <w:bookmarkEnd w:id="6"/>
      <w:r>
        <w:rPr>
          <w:rFonts w:ascii="Arial" w:hAnsi="Arial"/>
          <w:b/>
          <w:color w:val="000000"/>
          <w:sz w:val="20"/>
        </w:rPr>
        <w:t>EAGLE MATERIALS INC. AND SUBSIDIARIES CONSOLIDATED STATEMENTS OF STOCKHOLDERS’ EQUITY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5"/>
        <w:gridCol w:w="146"/>
        <w:gridCol w:w="201"/>
        <w:gridCol w:w="162"/>
        <w:gridCol w:w="388"/>
        <w:gridCol w:w="151"/>
        <w:gridCol w:w="146"/>
        <w:gridCol w:w="146"/>
        <w:gridCol w:w="181"/>
        <w:gridCol w:w="146"/>
        <w:gridCol w:w="496"/>
        <w:gridCol w:w="151"/>
        <w:gridCol w:w="146"/>
        <w:gridCol w:w="146"/>
        <w:gridCol w:w="181"/>
        <w:gridCol w:w="146"/>
        <w:gridCol w:w="721"/>
        <w:gridCol w:w="151"/>
        <w:gridCol w:w="146"/>
        <w:gridCol w:w="146"/>
        <w:gridCol w:w="260"/>
        <w:gridCol w:w="210"/>
        <w:gridCol w:w="716"/>
        <w:gridCol w:w="151"/>
        <w:gridCol w:w="146"/>
        <w:gridCol w:w="146"/>
        <w:gridCol w:w="181"/>
        <w:gridCol w:w="146"/>
        <w:gridCol w:w="721"/>
        <w:gridCol w:w="196"/>
      </w:tblGrid>
      <w:tr>
        <w:trPr/>
        <w:tc>
          <w:tcPr>
            <w:tcW w:w="3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Common</w:t>
              <w:b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Capital in</w:t>
              <w:br/>
              <w:t>Excess of</w:t>
              <w:br/>
              <w:t>Par Value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Retained</w:t>
              <w:br/>
              <w:t>Earnings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Accumulated</w:t>
              <w:br/>
              <w:t>Other</w:t>
              <w:br/>
              <w:t>Comprehensive</w:t>
              <w:br/>
              <w:t>Losses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7"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1,459,495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1,456,700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123,362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123,362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Stock Option Exercises and Restricted Share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Shares Redeemed to Settle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(79,400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(79,403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(8,169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(8,169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Unfunded Pension Liability,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1,494,532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(3,084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1,491,774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Common</w:t>
              <w:b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Capital in</w:t>
              <w:br/>
              <w:t>Excess of</w:t>
              <w:br/>
              <w:t>Par Value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Retained</w:t>
              <w:br/>
              <w:t>Earnings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Accumulated</w:t>
              <w:br/>
              <w:t>Other</w:t>
              <w:br/>
              <w:t>Comprehensive</w:t>
              <w:br/>
              <w:t>Losses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7"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1,478,920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(4,404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1,474,828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102,127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102,127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Stock Option Exercises and Restricted Share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Shares Redeemed to Settle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(2,524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(2,524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(82,429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(84,671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(7,709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(7,709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Unfunded Pension Liability,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1,490,909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(4,285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1,486,932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i/>
          <w:color w:val="000000"/>
          <w:sz w:val="20"/>
        </w:rPr>
        <w:t>See Notes to Unaudited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bottom w:val="single" w:sz="8" w:space="1" w:color="000000"/>
        </w:pBdr>
        <w:bidi w:val="0"/>
        <w:spacing w:before="560" w:after="283"/>
        <w:jc w:val="left"/>
        <w:rPr>
          <w:rFonts w:ascii="Arial" w:hAnsi="Arial"/>
          <w:b/>
          <w:color w:val="000000"/>
          <w:sz w:val="26"/>
        </w:rPr>
      </w:pPr>
      <w:bookmarkStart w:id="7" w:name="notes_to_consolidated_financial_statemen"/>
      <w:bookmarkEnd w:id="7"/>
      <w:r>
        <w:rPr>
          <w:rFonts w:ascii="Arial" w:hAnsi="Arial"/>
          <w:b/>
          <w:color w:val="000000"/>
          <w:sz w:val="26"/>
        </w:rPr>
        <w:t>Eagle Materials Inc. and Subsidiaries</w:t>
        <w:br/>
        <w:t>Notes to Unaudited Consolidated Financial Statements</w:t>
      </w:r>
    </w:p>
    <w:p>
      <w:pPr>
        <w:pStyle w:val="TextBody"/>
        <w:bidi w:val="0"/>
        <w:spacing w:before="40" w:after="283"/>
        <w:jc w:val="left"/>
        <w:rPr/>
      </w:pPr>
      <w:r>
        <w:rPr/>
        <w:t> </w:t>
      </w:r>
    </w:p>
    <w:p>
      <w:pPr>
        <w:pStyle w:val="TextBody"/>
        <w:bidi w:val="0"/>
        <w:spacing w:before="30" w:after="283"/>
        <w:jc w:val="both"/>
        <w:rPr>
          <w:rFonts w:ascii="Times New Roman" w:hAnsi="Times New Roman"/>
          <w:sz w:val="20"/>
        </w:rPr>
      </w:pPr>
      <w:r>
        <w:rPr>
          <w:rFonts w:ascii="Arial" w:hAnsi="Arial"/>
          <w:color w:val="004483"/>
          <w:sz w:val="22"/>
        </w:rPr>
        <w:t>(A) BASIS OF PRESENTATION</w:t>
      </w:r>
      <w:r>
        <w:rPr>
          <w:rFonts w:ascii="Times New Roman" w:hAnsi="Times New Roman"/>
          <w:color w:val="004483"/>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accompanying Unaudited Consolidated Financial Statements as of and for the three-month period ended June 30, 2026,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for the fiscal year ended March 31, 2026, filed with the Securities and Exchange Commission on May 19, 2026.</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preparation of financial statements in conformity with accounting principles generally accepted in the United States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4483"/>
          <w:sz w:val="22"/>
          <w:u w:val="single"/>
        </w:rPr>
        <w:t>Recent Accounting Pronouncements</w:t>
      </w:r>
      <w:r>
        <w:rPr>
          <w:rFonts w:ascii="Times New Roman" w:hAnsi="Times New Roman"/>
          <w:color w:val="000000"/>
          <w:sz w:val="20"/>
        </w:rPr>
        <w:t xml:space="preserve"> </w:t>
      </w:r>
    </w:p>
    <w:p>
      <w:pPr>
        <w:pStyle w:val="TextBody"/>
        <w:bidi w:val="0"/>
        <w:spacing w:before="270" w:after="283"/>
        <w:jc w:val="left"/>
        <w:rPr>
          <w:rFonts w:ascii="Arial" w:hAnsi="Arial"/>
          <w:b/>
          <w:color w:val="004483"/>
          <w:sz w:val="20"/>
        </w:rPr>
      </w:pPr>
      <w:r>
        <w:rPr>
          <w:rFonts w:ascii="Arial" w:hAnsi="Arial"/>
          <w:b/>
          <w:color w:val="004483"/>
          <w:sz w:val="20"/>
        </w:rPr>
        <w:t>RECENTLY ADOPTED</w:t>
      </w:r>
    </w:p>
    <w:p>
      <w:pPr>
        <w:pStyle w:val="TextBody"/>
        <w:bidi w:val="0"/>
        <w:spacing w:before="120" w:after="283"/>
        <w:jc w:val="left"/>
        <w:rPr>
          <w:rFonts w:ascii="Arial" w:hAnsi="Arial"/>
          <w:color w:val="000000"/>
          <w:sz w:val="20"/>
        </w:rPr>
      </w:pPr>
      <w:r>
        <w:rPr>
          <w:rFonts w:ascii="Arial" w:hAnsi="Arial"/>
          <w:color w:val="000000"/>
          <w:sz w:val="20"/>
        </w:rPr>
        <w:t>In July 2025, the Financial Accounting Standards Board (FASB) issued Accounting Standards Update 2025-05, Credit Losses (Topic 326): Measurement of Credit Losses for Accounts Receivable and Contract Assets. The standard applies when entities are developing a reasonable and supportable forecast as part of estimating expected credit losses on current accounts receivable and current contract assets arising from transactions accounted for under Accounting Standards Codification (ASC) 606, Revenue from Contracts with Customers. The update provides entities in these situations with a practical expedient to assume that the conditions as of the balance sheet date will remain unchanged for the remaining life of the asset. This standard should be applied prospectively and is effective for fiscal years beginning after December 15, 2025, and interim periods within those fiscal years, with early adoption permitted. The standard became effective for the Company on April 1, 2026. Upon adoption, the Company elected to apply the practical expedient on a prospective basis. The adoption of this standard did not have a material impact on the Company’s Consolidated Financial Statements and related disclosures.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4483"/>
          <w:sz w:val="20"/>
        </w:rPr>
      </w:pPr>
      <w:r>
        <w:rPr>
          <w:rFonts w:ascii="Arial" w:hAnsi="Arial"/>
          <w:b/>
          <w:color w:val="004483"/>
          <w:sz w:val="20"/>
        </w:rPr>
        <w:t>PENDING ADOPTION</w:t>
      </w:r>
    </w:p>
    <w:p>
      <w:pPr>
        <w:pStyle w:val="TextBody"/>
        <w:bidi w:val="0"/>
        <w:spacing w:before="120" w:after="283"/>
        <w:jc w:val="left"/>
        <w:rPr>
          <w:rFonts w:ascii="Arial" w:hAnsi="Arial"/>
          <w:color w:val="000000"/>
          <w:sz w:val="20"/>
        </w:rPr>
      </w:pPr>
      <w:r>
        <w:rPr>
          <w:rFonts w:ascii="Arial" w:hAnsi="Arial"/>
          <w:color w:val="000000"/>
          <w:sz w:val="20"/>
        </w:rPr>
        <w:t>In November 2024, the FASB issued Accounting Standards Update No. 2024-03, Income Statement-Reporting Comprehensive Income-Expense Disaggregation Disclosures (Subtopic 220-40): Disaggregation of Income and Expenses (ASU 2024-03). ASU 2024-03 requires public business entities to disclose additional information about certain key expense categories within major income statement captions in the Notes to the Consolidated Financial Statements. The new standard is effective for fiscal years beginning after December 15, 2026, and is to be applied prospectively. Early adoption is permitted. The Company is currently evaluating the impact of adopting this guidance on its Consolidated Financial Statements.</w:t>
      </w:r>
    </w:p>
    <w:p>
      <w:pPr>
        <w:pStyle w:val="TextBody"/>
        <w:bidi w:val="0"/>
        <w:spacing w:before="120" w:after="283"/>
        <w:jc w:val="left"/>
        <w:rPr>
          <w:rFonts w:ascii="Arial" w:hAnsi="Arial"/>
          <w:color w:val="000000"/>
          <w:sz w:val="20"/>
        </w:rPr>
      </w:pPr>
      <w:r>
        <w:rPr>
          <w:rFonts w:ascii="Arial" w:hAnsi="Arial"/>
          <w:color w:val="000000"/>
          <w:sz w:val="20"/>
        </w:rPr>
        <w:t>In September 2025, the FASB issued Accounting Standards Update No. 2025-06, Intangibles—Goodwill and Other—Internal-Use Software (Subtopic 350-40): Targeted Improvements to the Accounting for Internal-Use Software (ASU 2025-06), to modernize the accounting for and disclosure of internal-use software costs. The guidance removes all references to project stages, defines the threshold to begin capitalizing costs, and clarifies the disclosure requirements of capitalized software costs. The new standard is effective for annual periods beginning after December 15, 2027, and interim periods within those fiscal years, and can be applied retrospectively, prospectively, or on a modified transition approach. Early adoption is permitted. The Company is currently evaluating the impact of adopting this guidance on its Consolidated Financial Statements.</w:t>
      </w:r>
    </w:p>
    <w:p>
      <w:pPr>
        <w:pStyle w:val="TextBody"/>
        <w:bidi w:val="0"/>
        <w:spacing w:before="240" w:after="283"/>
        <w:jc w:val="both"/>
        <w:rPr>
          <w:rFonts w:ascii="Times New Roman" w:hAnsi="Times New Roman"/>
          <w:sz w:val="20"/>
        </w:rPr>
      </w:pPr>
      <w:r>
        <w:rPr>
          <w:rFonts w:ascii="Arial" w:hAnsi="Arial"/>
          <w:color w:val="004483"/>
          <w:sz w:val="22"/>
        </w:rPr>
        <w:t>(B) SUPPLEMENTAL CASH FLOW INFORMATION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Supplemental cash flow information is as follows.</w:t>
      </w:r>
    </w:p>
    <w:tbl>
      <w:tblPr>
        <w:tblW w:w="7734" w:type="dxa"/>
        <w:jc w:val="left"/>
        <w:tblInd w:w="0" w:type="dxa"/>
        <w:tblLayout w:type="fixed"/>
        <w:tblCellMar>
          <w:top w:w="28" w:type="dxa"/>
          <w:left w:w="28" w:type="dxa"/>
          <w:bottom w:w="28" w:type="dxa"/>
          <w:right w:w="28" w:type="dxa"/>
        </w:tblCellMar>
      </w:tblPr>
      <w:tblGrid>
        <w:gridCol w:w="4601"/>
        <w:gridCol w:w="146"/>
        <w:gridCol w:w="264"/>
        <w:gridCol w:w="197"/>
        <w:gridCol w:w="690"/>
        <w:gridCol w:w="197"/>
        <w:gridCol w:w="197"/>
        <w:gridCol w:w="264"/>
        <w:gridCol w:w="197"/>
        <w:gridCol w:w="690"/>
        <w:gridCol w:w="291"/>
      </w:tblGrid>
      <w:tr>
        <w:trPr/>
        <w:tc>
          <w:tcPr>
            <w:tcW w:w="4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3,953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7,948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6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6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Operating Cash Flows Used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1,602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1,498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6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6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Right-of-Use Assets Obtained for Capitalized Operating</w:t>
              <w:br/>
              <w:t>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6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Excise Tax on 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838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color w:val="004483"/>
          <w:sz w:val="22"/>
        </w:rPr>
        <w:t>(C)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earn Revenue primarily from the sale of products, which include cement, concrete, aggregates, gypsum wallboard, and recycled paperboard. The vast majority of Revenue from the sale of concrete, aggregates, and gypsum wallboard is originated by purchase orders from our customers, who are mostly third-party contractors and suppliers. Revenue from the sale of cement is recognized at the point-of-sale to customers under sales orders. Revenue from our Recycled Paperboard segment is generated mainly through long-term supply agreements. These agreements do not have a stated maturity date but may be terminated by either party with a two-to-three-year</w:t>
      </w:r>
      <w:r>
        <w:rPr>
          <w:rFonts w:ascii="Times New Roman" w:hAnsi="Times New Roman"/>
          <w:color w:val="000000"/>
          <w:sz w:val="20"/>
        </w:rPr>
        <w:t xml:space="preserve"> </w:t>
      </w:r>
      <w:r>
        <w:rPr>
          <w:rFonts w:ascii="Arial" w:hAnsi="Arial"/>
          <w:color w:val="000000"/>
          <w:sz w:val="20"/>
        </w:rPr>
        <w:t>notice period. We invoice customers upon shipment, and our collection terms range from 30</w:t>
      </w:r>
      <w:r>
        <w:rPr>
          <w:rFonts w:ascii="Times New Roman" w:hAnsi="Times New Roman"/>
          <w:color w:val="000000"/>
          <w:sz w:val="20"/>
        </w:rPr>
        <w:t xml:space="preserve"> </w:t>
      </w:r>
      <w:r>
        <w:rPr>
          <w:rFonts w:ascii="Arial" w:hAnsi="Arial"/>
          <w:color w:val="000000"/>
          <w:sz w:val="20"/>
        </w:rPr>
        <w:t>to 75</w:t>
      </w:r>
      <w:r>
        <w:rPr>
          <w:rFonts w:ascii="Times New Roman" w:hAnsi="Times New Roman"/>
          <w:color w:val="000000"/>
          <w:sz w:val="20"/>
        </w:rPr>
        <w:t xml:space="preserve"> </w:t>
      </w:r>
      <w:r>
        <w:rPr>
          <w:rFonts w:ascii="Arial" w:hAnsi="Arial"/>
          <w:color w:val="000000"/>
          <w:sz w:val="20"/>
        </w:rPr>
        <w:t>days. Revenue from the sale of cement, concrete, aggregates, and gypsum wallboard not related to long-term</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supply agreements is recognized upon shipment of the related products to customers, which is when title and ownership are transferred, and the customer is obligated to pay.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Company offers certain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pStyle w:val="TextBody"/>
        <w:bidi w:val="0"/>
        <w:spacing w:before="120" w:after="283"/>
        <w:jc w:val="left"/>
        <w:rPr>
          <w:rFonts w:ascii="Times New Roman" w:hAnsi="Times New Roman"/>
          <w:sz w:val="20"/>
        </w:rPr>
      </w:pPr>
      <w:r>
        <w:rPr>
          <w:rFonts w:ascii="Arial" w:hAnsi="Arial"/>
          <w:color w:val="000000"/>
          <w:sz w:val="20"/>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we incur for shipping and handling are recorded as expenses and included in Cost of Goods Sold.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Other Non-Operating Income includes lease and rental income, asset sale income, non-inventoried aggregates sales income, and trucking income, as well as other miscellaneous revenue items and costs that have not been allocated to a business segment.</w:t>
      </w:r>
    </w:p>
    <w:p>
      <w:pPr>
        <w:pStyle w:val="TextBody"/>
        <w:bidi w:val="0"/>
        <w:spacing w:before="120" w:after="283"/>
        <w:jc w:val="left"/>
        <w:rPr>
          <w:rFonts w:ascii="Times New Roman" w:hAnsi="Times New Roman"/>
          <w:sz w:val="20"/>
        </w:rPr>
      </w:pPr>
      <w:r>
        <w:rPr>
          <w:rFonts w:ascii="Arial" w:hAnsi="Arial"/>
          <w:color w:val="000000"/>
          <w:sz w:val="20"/>
        </w:rPr>
        <w:t>See Note (M) to the Unaudited Consolidated Financial Statements for disaggregation of revenue by segment.</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color w:val="004483"/>
          <w:sz w:val="22"/>
        </w:rPr>
        <w:t>(D) ACCOUNTS RECEIVABLE</w:t>
      </w:r>
      <w:r>
        <w:rPr>
          <w:rFonts w:ascii="Times New Roman" w:hAnsi="Times New Roman"/>
          <w:color w:val="004483"/>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Accounts Receivable are shown net of the allowance for doubtful accounts totaling $6.7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$6.3</w:t>
      </w:r>
      <w:r>
        <w:rPr>
          <w:rFonts w:ascii="Times New Roman" w:hAnsi="Times New Roman"/>
          <w:color w:val="000000"/>
          <w:sz w:val="20"/>
        </w:rPr>
        <w:t xml:space="preserve"> </w:t>
      </w:r>
      <w:r>
        <w:rPr>
          <w:rFonts w:ascii="Arial" w:hAnsi="Arial"/>
          <w:color w:val="000000"/>
          <w:sz w:val="20"/>
        </w:rPr>
        <w:t>million at June 30, 2026, and March 31, 2026, respectively. We perform ongoing credit evaluations of our customers’ financial condition and generally require no collateral from our customers. The allowance for non-collection of receivables is based on analysis of economic trends in the construction industry, detailed analysis of the expected collectability of past due accounts receivable, and the expected collectability of overall receivables. We have no significant credit risk concentration among our diversified customer base.</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color w:val="004483"/>
          <w:sz w:val="22"/>
        </w:rPr>
        <w:t>(E) 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size and location of the inventory piles and are converted to tonnage using standard inventory density factors. Inventories consist of the following. </w:t>
      </w:r>
    </w:p>
    <w:p>
      <w:pPr>
        <w:pStyle w:val="TextBody"/>
        <w:bidi w:val="0"/>
        <w:jc w:val="left"/>
        <w:rPr/>
      </w:pPr>
      <w:r>
        <w:rPr/>
        <w:t> </w:t>
      </w:r>
    </w:p>
    <w:tbl>
      <w:tblPr>
        <w:tblW w:w="5674" w:type="dxa"/>
        <w:jc w:val="left"/>
        <w:tblInd w:w="0" w:type="dxa"/>
        <w:tblLayout w:type="fixed"/>
        <w:tblCellMar>
          <w:top w:w="28" w:type="dxa"/>
          <w:left w:w="28" w:type="dxa"/>
          <w:bottom w:w="28" w:type="dxa"/>
          <w:right w:w="28" w:type="dxa"/>
        </w:tblCellMar>
      </w:tblPr>
      <w:tblGrid>
        <w:gridCol w:w="3271"/>
        <w:gridCol w:w="146"/>
        <w:gridCol w:w="196"/>
        <w:gridCol w:w="691"/>
        <w:gridCol w:w="146"/>
        <w:gridCol w:w="146"/>
        <w:gridCol w:w="196"/>
        <w:gridCol w:w="691"/>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Raw Materials and Materials-in-Progress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134,457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158,829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86191"/>
                <w:sz w:val="20"/>
              </w:rPr>
            </w:pPr>
            <w:r>
              <w:rPr>
                <w:rFonts w:ascii="Arial Narrow;sans-serif" w:hAnsi="Arial Narrow;sans-serif"/>
                <w:b/>
                <w:color w:val="386191"/>
                <w:sz w:val="20"/>
              </w:rPr>
              <w:t>Finished 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63,293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16,073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271"/>
                <w:sz w:val="20"/>
              </w:rPr>
            </w:pPr>
            <w:r>
              <w:rPr>
                <w:rFonts w:ascii="Arial Narrow;sans-serif" w:hAnsi="Arial Narrow;sans-serif"/>
                <w:b/>
                <w:color w:val="85B271"/>
                <w:sz w:val="20"/>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10,675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Repair Parts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133,038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135,110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Fuel and 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19,602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379,573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408,391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color w:val="004483"/>
          <w:sz w:val="22"/>
        </w:rPr>
        <w:t>(F) ACCRUED EXPENSES</w:t>
      </w:r>
      <w:r>
        <w:rPr>
          <w:rFonts w:ascii="Times New Roman" w:hAnsi="Times New Roman"/>
          <w:color w:val="004483"/>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Accrued Expenses consist of the following.</w:t>
      </w:r>
      <w:r>
        <w:rPr>
          <w:rFonts w:ascii="Times New Roman" w:hAnsi="Times New Roman"/>
          <w:color w:val="000000"/>
          <w:sz w:val="20"/>
        </w:rPr>
        <w:t xml:space="preserve"> </w:t>
      </w:r>
    </w:p>
    <w:tbl>
      <w:tblPr>
        <w:tblW w:w="5666" w:type="dxa"/>
        <w:jc w:val="left"/>
        <w:tblInd w:w="0" w:type="dxa"/>
        <w:tblLayout w:type="fixed"/>
        <w:tblCellMar>
          <w:top w:w="28" w:type="dxa"/>
          <w:left w:w="28" w:type="dxa"/>
          <w:bottom w:w="28" w:type="dxa"/>
          <w:right w:w="28" w:type="dxa"/>
        </w:tblCellMar>
      </w:tblPr>
      <w:tblGrid>
        <w:gridCol w:w="2971"/>
        <w:gridCol w:w="146"/>
        <w:gridCol w:w="196"/>
        <w:gridCol w:w="146"/>
        <w:gridCol w:w="691"/>
        <w:gridCol w:w="146"/>
        <w:gridCol w:w="146"/>
        <w:gridCol w:w="196"/>
        <w:gridCol w:w="146"/>
        <w:gridCol w:w="69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Payroll and Incentive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17,336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7,208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Property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Power and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Freight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Legal and Professional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Sales and Use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108,248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102,127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Arial" w:hAnsi="Arial"/>
          <w:color w:val="004483"/>
          <w:sz w:val="22"/>
        </w:rPr>
      </w:pPr>
      <w:r>
        <w:rPr>
          <w:rFonts w:ascii="Arial" w:hAnsi="Arial"/>
          <w:color w:val="004483"/>
          <w:sz w:val="22"/>
        </w:rPr>
        <w:t>(G) LEASES</w:t>
      </w:r>
    </w:p>
    <w:p>
      <w:pPr>
        <w:pStyle w:val="TextBody"/>
        <w:bidi w:val="0"/>
        <w:spacing w:before="120" w:after="283"/>
        <w:jc w:val="left"/>
        <w:rPr>
          <w:rFonts w:ascii="Times New Roman" w:hAnsi="Times New Roman"/>
          <w:sz w:val="20"/>
        </w:rPr>
      </w:pPr>
      <w:r>
        <w:rPr>
          <w:rFonts w:ascii="Arial" w:hAnsi="Arial"/>
          <w:color w:val="000000"/>
          <w:sz w:val="20"/>
        </w:rPr>
        <w:t>We lease certain real estate, buildings, and equipment, including railcars and barges. Certain of these leases contain escalations of rent over the term of the lease, as well as options for us to extend the term of the lease at the end of the original term. These extensions range from periods of one year</w:t>
      </w:r>
      <w:r>
        <w:rPr>
          <w:rFonts w:ascii="Times New Roman" w:hAnsi="Times New Roman"/>
          <w:color w:val="000000"/>
          <w:sz w:val="20"/>
        </w:rPr>
        <w:t xml:space="preserve"> </w:t>
      </w:r>
      <w:r>
        <w:rPr>
          <w:rFonts w:ascii="Arial" w:hAnsi="Arial"/>
          <w:color w:val="000000"/>
          <w:sz w:val="20"/>
        </w:rPr>
        <w:t>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Lease expense for our operating and short-term leases is as follows.</w:t>
      </w:r>
    </w:p>
    <w:p>
      <w:pPr>
        <w:pStyle w:val="TextBody"/>
        <w:bidi w:val="0"/>
        <w:jc w:val="left"/>
        <w:rPr/>
      </w:pPr>
      <w:r>
        <w:rPr/>
        <w:t> </w:t>
      </w:r>
    </w:p>
    <w:tbl>
      <w:tblPr>
        <w:tblW w:w="4969" w:type="dxa"/>
        <w:jc w:val="left"/>
        <w:tblInd w:w="0" w:type="dxa"/>
        <w:tblLayout w:type="fixed"/>
        <w:tblCellMar>
          <w:top w:w="28" w:type="dxa"/>
          <w:left w:w="28" w:type="dxa"/>
          <w:bottom w:w="28" w:type="dxa"/>
          <w:right w:w="28" w:type="dxa"/>
        </w:tblCellMar>
      </w:tblPr>
      <w:tblGrid>
        <w:gridCol w:w="1936"/>
        <w:gridCol w:w="146"/>
        <w:gridCol w:w="264"/>
        <w:gridCol w:w="197"/>
        <w:gridCol w:w="690"/>
        <w:gridCol w:w="197"/>
        <w:gridCol w:w="197"/>
        <w:gridCol w:w="264"/>
        <w:gridCol w:w="197"/>
        <w:gridCol w:w="690"/>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2,173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2,857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2,822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Right-of-Use Assets and Lease Liabilities are reflected on our Balance Sheet as follows.</w:t>
      </w:r>
    </w:p>
    <w:p>
      <w:pPr>
        <w:pStyle w:val="TextBody"/>
        <w:bidi w:val="0"/>
        <w:jc w:val="left"/>
        <w:rPr/>
      </w:pPr>
      <w:r>
        <w:rPr/>
        <w:t> </w:t>
      </w:r>
    </w:p>
    <w:tbl>
      <w:tblPr>
        <w:tblW w:w="5781" w:type="dxa"/>
        <w:jc w:val="left"/>
        <w:tblInd w:w="0" w:type="dxa"/>
        <w:tblLayout w:type="fixed"/>
        <w:tblCellMar>
          <w:top w:w="28" w:type="dxa"/>
          <w:left w:w="28" w:type="dxa"/>
          <w:bottom w:w="28" w:type="dxa"/>
          <w:right w:w="28" w:type="dxa"/>
        </w:tblCellMar>
      </w:tblPr>
      <w:tblGrid>
        <w:gridCol w:w="3166"/>
        <w:gridCol w:w="146"/>
        <w:gridCol w:w="196"/>
        <w:gridCol w:w="146"/>
        <w:gridCol w:w="601"/>
        <w:gridCol w:w="146"/>
        <w:gridCol w:w="146"/>
        <w:gridCol w:w="196"/>
        <w:gridCol w:w="146"/>
        <w:gridCol w:w="601"/>
        <w:gridCol w:w="2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29,346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6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6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4,144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6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32,559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6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38,396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36,703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Future payments for operating leases are as follows.</w:t>
      </w:r>
    </w:p>
    <w:tbl>
      <w:tblPr>
        <w:tblW w:w="6057" w:type="dxa"/>
        <w:jc w:val="left"/>
        <w:tblInd w:w="0" w:type="dxa"/>
        <w:tblLayout w:type="fixed"/>
        <w:tblCellMar>
          <w:top w:w="28" w:type="dxa"/>
          <w:left w:w="28" w:type="dxa"/>
          <w:bottom w:w="28" w:type="dxa"/>
          <w:right w:w="28" w:type="dxa"/>
        </w:tblCellMar>
      </w:tblPr>
      <w:tblGrid>
        <w:gridCol w:w="4186"/>
        <w:gridCol w:w="146"/>
        <w:gridCol w:w="281"/>
        <w:gridCol w:w="209"/>
        <w:gridCol w:w="949"/>
        <w:gridCol w:w="28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Amount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(dollars in thousands)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2027 (remaining nine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4,479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26,316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49,452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(11,056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38,396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4.47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color w:val="004483"/>
          <w:sz w:val="22"/>
        </w:rPr>
        <w:t>(H) EQUITY AWARDS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On August 3, 2023, our stockholders approved the Eagle Materials Inc. 2023 Equity Incentive Plan (the 2023 Plan), which reserves 1,425,000</w:t>
      </w:r>
      <w:r>
        <w:rPr>
          <w:rFonts w:ascii="Times New Roman" w:hAnsi="Times New Roman"/>
          <w:color w:val="000000"/>
          <w:sz w:val="20"/>
        </w:rPr>
        <w:t xml:space="preserve"> </w:t>
      </w:r>
      <w:r>
        <w:rPr>
          <w:rFonts w:ascii="Arial" w:hAnsi="Arial"/>
          <w:color w:val="000000"/>
          <w:sz w:val="20"/>
        </w:rPr>
        <w:t>shares for future grants of stock awards. Under the terms of the 2023 Plan, we can issue equity awards, including stock options, restricted stock units, restricted stock, and stock appreciation rights to employees of the Company, members of the Board of Directors, and consultants, independent contractors, and agents of the Company. The Compensation Committee of our Board of Directors (Compensation Committee) specifies grant terms for awards under the 2023 Plan.</w:t>
      </w:r>
      <w:r>
        <w:rPr>
          <w:rFonts w:ascii="Times New Roman" w:hAnsi="Times New Roman"/>
          <w:color w:val="000000"/>
          <w:sz w:val="20"/>
        </w:rPr>
        <w:t xml:space="preserve"> </w:t>
      </w:r>
    </w:p>
    <w:p>
      <w:pPr>
        <w:pStyle w:val="TextBody"/>
        <w:bidi w:val="0"/>
        <w:spacing w:before="270" w:after="283"/>
        <w:jc w:val="both"/>
        <w:rPr>
          <w:rFonts w:ascii="Arial" w:hAnsi="Arial"/>
          <w:b/>
          <w:color w:val="004483"/>
          <w:sz w:val="22"/>
          <w:u w:val="single"/>
        </w:rPr>
      </w:pPr>
      <w:r>
        <w:rPr>
          <w:rFonts w:ascii="Arial" w:hAnsi="Arial"/>
          <w:b/>
          <w:color w:val="004483"/>
          <w:sz w:val="22"/>
          <w:u w:val="single"/>
        </w:rPr>
        <w:t>Fiscal 2027 Equity Awards</w:t>
      </w:r>
    </w:p>
    <w:p>
      <w:pPr>
        <w:pStyle w:val="TextBody"/>
        <w:bidi w:val="0"/>
        <w:spacing w:before="120" w:after="283"/>
        <w:jc w:val="left"/>
        <w:rPr>
          <w:rFonts w:ascii="Times New Roman" w:hAnsi="Times New Roman"/>
          <w:sz w:val="20"/>
        </w:rPr>
      </w:pPr>
      <w:r>
        <w:rPr>
          <w:rFonts w:ascii="Arial" w:hAnsi="Arial"/>
          <w:color w:val="000000"/>
          <w:sz w:val="20"/>
        </w:rPr>
        <w:t>In May 2026, the Compensation Committee awarded to certain officers and key employees an aggregate of 25,423</w:t>
      </w:r>
      <w:r>
        <w:rPr>
          <w:rFonts w:ascii="Times New Roman" w:hAnsi="Times New Roman"/>
          <w:color w:val="000000"/>
          <w:sz w:val="20"/>
        </w:rPr>
        <w:t xml:space="preserve"> </w:t>
      </w:r>
      <w:r>
        <w:rPr>
          <w:rFonts w:ascii="Arial" w:hAnsi="Arial"/>
          <w:color w:val="000000"/>
          <w:sz w:val="20"/>
        </w:rPr>
        <w:t>performance stock units and 33,536</w:t>
      </w:r>
      <w:r>
        <w:rPr>
          <w:rFonts w:ascii="Times New Roman" w:hAnsi="Times New Roman"/>
          <w:color w:val="000000"/>
          <w:sz w:val="20"/>
        </w:rPr>
        <w:t xml:space="preserve"> </w:t>
      </w:r>
      <w:r>
        <w:rPr>
          <w:rFonts w:ascii="Arial" w:hAnsi="Arial"/>
          <w:color w:val="000000"/>
          <w:sz w:val="20"/>
        </w:rPr>
        <w:t>performance stock options, which represents achievement of the target level of performance (collectively, the Performance Stock Awards or PSAs). For the Performance Stock Awards to be earned, the Company must achieve performance vesting criteria as modified based on the Company’s average absolute total stockholder return during the performance period. The performance vesting criteria are based upon certain levels of average annual return on equity (as defined in the Performance Stock Award Agreements) ranging from 10.0% to 20.0% measured at the end of fiscal 2029 (three-year performance period) as modified by total stockholder return. Performance outcomes (taking into account both criteria) will result in a threshold-vesting percentage of 50% of target, and maximum performance will result in a vesting percentage of 200% of target. If the threshold-vesting percentage is not achieved, no Performance Stock Awards will be earned.</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Our Performance Stock Awards are evaluated on a quarterly basis with adjustments to compensation expense based on the likelihood of the performance targets being achieved or exceeded. The maximum expense for our outstanding Performance Stock Awards is approximately $11.3</w:t>
      </w:r>
      <w:r>
        <w:rPr>
          <w:rFonts w:ascii="Times New Roman" w:hAnsi="Times New Roman"/>
          <w:color w:val="000000"/>
          <w:sz w:val="20"/>
        </w:rPr>
        <w:t xml:space="preserve"> </w:t>
      </w:r>
      <w:r>
        <w:rPr>
          <w:rFonts w:ascii="Arial" w:hAnsi="Arial"/>
          <w:color w:val="000000"/>
          <w:sz w:val="20"/>
        </w:rPr>
        <w:t>million. Any forfeitures are recognized as a reduction to expense in the period in which they occur.</w:t>
      </w:r>
    </w:p>
    <w:p>
      <w:pPr>
        <w:pStyle w:val="TextBody"/>
        <w:bidi w:val="0"/>
        <w:spacing w:before="120" w:after="120"/>
        <w:jc w:val="left"/>
        <w:rPr>
          <w:rFonts w:ascii="Arial" w:hAnsi="Arial"/>
          <w:color w:val="000000"/>
          <w:sz w:val="20"/>
        </w:rPr>
      </w:pPr>
      <w:r>
        <w:rPr>
          <w:rFonts w:ascii="Arial" w:hAnsi="Arial"/>
          <w:color w:val="000000"/>
          <w:sz w:val="20"/>
        </w:rPr>
        <w:t>The fair value of the above Performance Stock Awards was determined using a Monte Carlo simulation. The following are key inputs in the Monte Carlo analysis for the Fiscal 2027 Employee Performance Stock Awards.</w:t>
      </w:r>
    </w:p>
    <w:tbl>
      <w:tblPr>
        <w:tblW w:w="5893" w:type="dxa"/>
        <w:jc w:val="left"/>
        <w:tblInd w:w="0" w:type="dxa"/>
        <w:tblLayout w:type="fixed"/>
        <w:tblCellMar>
          <w:top w:w="28" w:type="dxa"/>
          <w:left w:w="28" w:type="dxa"/>
          <w:bottom w:w="28" w:type="dxa"/>
          <w:right w:w="28" w:type="dxa"/>
        </w:tblCellMar>
      </w:tblPr>
      <w:tblGrid>
        <w:gridCol w:w="4606"/>
        <w:gridCol w:w="146"/>
        <w:gridCol w:w="210"/>
        <w:gridCol w:w="645"/>
        <w:gridCol w:w="286"/>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Fiscal 2027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Measurement Period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Estimated Fair Value of Market-Based PSAs at 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199.13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Arial" w:hAnsi="Arial"/>
          <w:color w:val="000000"/>
          <w:sz w:val="20"/>
        </w:rPr>
        <w:t>In addition to the Performance Stock Awards discussed above, the Compensation Committee approved the granting to certain officers and key employees an aggregate of 33,536</w:t>
      </w:r>
      <w:r>
        <w:rPr>
          <w:rFonts w:ascii="Times New Roman" w:hAnsi="Times New Roman"/>
          <w:color w:val="000000"/>
          <w:sz w:val="20"/>
        </w:rPr>
        <w:t xml:space="preserve"> </w:t>
      </w:r>
      <w:r>
        <w:rPr>
          <w:rFonts w:ascii="Arial" w:hAnsi="Arial"/>
          <w:color w:val="000000"/>
          <w:sz w:val="20"/>
        </w:rPr>
        <w:t>time-vesting stock options, which vest ratably over three years</w:t>
      </w:r>
      <w:r>
        <w:rPr>
          <w:rFonts w:ascii="Times New Roman" w:hAnsi="Times New Roman"/>
          <w:color w:val="000000"/>
          <w:sz w:val="20"/>
        </w:rPr>
        <w:t xml:space="preserve"> </w:t>
      </w:r>
      <w:r>
        <w:rPr>
          <w:rFonts w:ascii="Arial" w:hAnsi="Arial"/>
          <w:color w:val="000000"/>
          <w:sz w:val="20"/>
        </w:rPr>
        <w:t>(the Fiscal 2027 Employee Time-Vesting Stock Option Grant) and 25,423</w:t>
      </w:r>
      <w:r>
        <w:rPr>
          <w:rFonts w:ascii="Times New Roman" w:hAnsi="Times New Roman"/>
          <w:color w:val="000000"/>
          <w:sz w:val="20"/>
        </w:rPr>
        <w:t xml:space="preserve"> </w:t>
      </w:r>
      <w:r>
        <w:rPr>
          <w:rFonts w:ascii="Arial" w:hAnsi="Arial"/>
          <w:color w:val="000000"/>
          <w:sz w:val="20"/>
        </w:rPr>
        <w:t>shares of time-vesting restricted stock units, which vest ratably over three years</w:t>
      </w:r>
      <w:r>
        <w:rPr>
          <w:rFonts w:ascii="Times New Roman" w:hAnsi="Times New Roman"/>
          <w:color w:val="000000"/>
          <w:sz w:val="20"/>
        </w:rPr>
        <w:t xml:space="preserve"> </w:t>
      </w:r>
      <w:r>
        <w:rPr>
          <w:rFonts w:ascii="Arial" w:hAnsi="Arial"/>
          <w:color w:val="000000"/>
          <w:sz w:val="20"/>
        </w:rPr>
        <w:t>(the Fiscal 2027 Employee Restricted Stock Unit Time-Vesting Award). The Fiscal 2027 Employee Restricted Stock Unit Time-Vesting Award was valued at the closing stock price on the grant date and is being expensed over a three-year period. The Fiscal 2027 Employee Time-Vesting Stock Option Grant was valued at the grant date using the Black-Scholes option pricing model, which used similar inputs as the Monte Carlo analysis shown above.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In addition to the stock awards described above, from time to time we may issue to certain employees additional equity awards, including stock options, restricted stock, and restricted stock units. Any options issued are valued using the Black-Scholes options pricing model on the grant date and expensed over the vesting period, while restricted stock and restricted stock units are valued using the closing price on the grant date and expensed over the vesting period.</w:t>
      </w:r>
      <w:r>
        <w:rPr>
          <w:rFonts w:ascii="Times New Roman" w:hAnsi="Times New Roman"/>
          <w:color w:val="000000"/>
          <w:sz w:val="20"/>
        </w:rPr>
        <w:t xml:space="preserve"> </w:t>
      </w:r>
    </w:p>
    <w:p>
      <w:pPr>
        <w:pStyle w:val="TextBody"/>
        <w:bidi w:val="0"/>
        <w:spacing w:before="120" w:after="283"/>
        <w:jc w:val="left"/>
        <w:rPr>
          <w:rFonts w:ascii="Arial" w:hAnsi="Arial"/>
          <w:b/>
          <w:color w:val="004483"/>
          <w:sz w:val="20"/>
        </w:rPr>
      </w:pPr>
      <w:r>
        <w:rPr>
          <w:rFonts w:ascii="Arial" w:hAnsi="Arial"/>
          <w:b/>
          <w:color w:val="004483"/>
          <w:sz w:val="20"/>
        </w:rPr>
        <w:t>STOCK OPTIONS</w:t>
      </w:r>
    </w:p>
    <w:p>
      <w:pPr>
        <w:pStyle w:val="TextBody"/>
        <w:bidi w:val="0"/>
        <w:spacing w:before="120" w:after="283"/>
        <w:jc w:val="left"/>
        <w:rPr>
          <w:rFonts w:ascii="Times New Roman" w:hAnsi="Times New Roman"/>
          <w:sz w:val="20"/>
        </w:rPr>
      </w:pPr>
      <w:r>
        <w:rPr>
          <w:rFonts w:ascii="Arial" w:hAnsi="Arial"/>
          <w:color w:val="000000"/>
          <w:sz w:val="20"/>
        </w:rPr>
        <w:t>Stock option expense for all outstanding stock option awards totaled approximately $0.8</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for the three months ended June 30, 2026, and 2025, respectively. At June 30, 2026, there was approximately $7.9</w:t>
      </w:r>
      <w:r>
        <w:rPr>
          <w:rFonts w:ascii="Times New Roman" w:hAnsi="Times New Roman"/>
          <w:color w:val="000000"/>
          <w:sz w:val="20"/>
        </w:rPr>
        <w:t xml:space="preserve"> </w:t>
      </w:r>
      <w:r>
        <w:rPr>
          <w:rFonts w:ascii="Arial" w:hAnsi="Arial"/>
          <w:color w:val="000000"/>
          <w:sz w:val="20"/>
        </w:rPr>
        <w:t>million of unrecognized compensation cost related to outstanding stock options, which is expected to be recognized over a weighted-average period of 2.5</w:t>
      </w:r>
      <w:r>
        <w:rPr>
          <w:rFonts w:ascii="Times New Roman" w:hAnsi="Times New Roman"/>
          <w:color w:val="000000"/>
          <w:sz w:val="20"/>
        </w:rPr>
        <w:t xml:space="preserve"> </w:t>
      </w:r>
      <w:r>
        <w:rPr>
          <w:rFonts w:ascii="Arial" w:hAnsi="Arial"/>
          <w:color w:val="000000"/>
          <w:sz w:val="20"/>
        </w:rPr>
        <w:t>years.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following table represents stock option activity for the three months ended June 30, 2026.</w:t>
      </w:r>
      <w:r>
        <w:rPr>
          <w:rFonts w:ascii="Times New Roman" w:hAnsi="Times New Roman"/>
          <w:color w:val="000000"/>
          <w:sz w:val="20"/>
        </w:rPr>
        <w:t xml:space="preserve"> </w:t>
      </w:r>
    </w:p>
    <w:p>
      <w:pPr>
        <w:pStyle w:val="TextBody"/>
        <w:bidi w:val="0"/>
        <w:jc w:val="left"/>
        <w:rPr/>
      </w:pPr>
      <w:r>
        <w:rPr/>
        <w:t> </w:t>
      </w:r>
    </w:p>
    <w:tbl>
      <w:tblPr>
        <w:tblW w:w="5905" w:type="dxa"/>
        <w:jc w:val="left"/>
        <w:tblInd w:w="0" w:type="dxa"/>
        <w:tblLayout w:type="fixed"/>
        <w:tblCellMar>
          <w:top w:w="28" w:type="dxa"/>
          <w:left w:w="28" w:type="dxa"/>
          <w:bottom w:w="28" w:type="dxa"/>
          <w:right w:w="28" w:type="dxa"/>
        </w:tblCellMar>
      </w:tblPr>
      <w:tblGrid>
        <w:gridCol w:w="3181"/>
        <w:gridCol w:w="146"/>
        <w:gridCol w:w="146"/>
        <w:gridCol w:w="691"/>
        <w:gridCol w:w="166"/>
        <w:gridCol w:w="146"/>
        <w:gridCol w:w="146"/>
        <w:gridCol w:w="196"/>
        <w:gridCol w:w="155"/>
        <w:gridCol w:w="641"/>
        <w:gridCol w:w="2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Number</w:t>
              <w:br/>
              <w:t>of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Weighted-</w:t>
              <w:br/>
              <w:t>Average</w:t>
              <w:br/>
              <w:t>Exercise</w:t>
              <w:br/>
              <w:t>Price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Outstanding Options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206,721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113.16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199.13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8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87.53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8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8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Outstanding Options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269,189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135.02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Options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174,588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Weighted-Average Fair Value of</w:t>
              <w:br/>
              <w:t>   Options Granted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80" w:after="283"/>
        <w:jc w:val="left"/>
        <w:rPr>
          <w:rFonts w:ascii="Times New Roman" w:hAnsi="Times New Roman"/>
          <w:sz w:val="20"/>
        </w:rPr>
      </w:pPr>
      <w:r>
        <w:rPr>
          <w:rFonts w:ascii="Arial" w:hAnsi="Arial"/>
          <w:color w:val="000000"/>
          <w:sz w:val="20"/>
        </w:rPr>
        <w:t>The following table summarizes information about stock options outstanding at June 30, 2026.</w:t>
      </w:r>
      <w:r>
        <w:rPr>
          <w:rFonts w:ascii="Times New Roman" w:hAnsi="Times New Roman"/>
          <w:color w:val="000000"/>
          <w:sz w:val="20"/>
        </w:rPr>
        <w:t xml:space="preserve"> </w:t>
      </w:r>
    </w:p>
    <w:p>
      <w:pPr>
        <w:pStyle w:val="TextBody"/>
        <w:bidi w:val="0"/>
        <w:jc w:val="left"/>
        <w:rPr/>
      </w:pPr>
      <w:r>
        <w:rPr/>
        <w:t> </w:t>
      </w:r>
    </w:p>
    <w:tbl>
      <w:tblPr>
        <w:tblW w:w="7902" w:type="dxa"/>
        <w:jc w:val="left"/>
        <w:tblInd w:w="0" w:type="dxa"/>
        <w:tblLayout w:type="fixed"/>
        <w:tblCellMar>
          <w:top w:w="28" w:type="dxa"/>
          <w:left w:w="28" w:type="dxa"/>
          <w:bottom w:w="28" w:type="dxa"/>
          <w:right w:w="28" w:type="dxa"/>
        </w:tblCellMar>
      </w:tblPr>
      <w:tblGrid>
        <w:gridCol w:w="1846"/>
        <w:gridCol w:w="146"/>
        <w:gridCol w:w="167"/>
        <w:gridCol w:w="794"/>
        <w:gridCol w:w="146"/>
        <w:gridCol w:w="146"/>
        <w:gridCol w:w="266"/>
        <w:gridCol w:w="769"/>
        <w:gridCol w:w="146"/>
        <w:gridCol w:w="146"/>
        <w:gridCol w:w="196"/>
        <w:gridCol w:w="601"/>
        <w:gridCol w:w="146"/>
        <w:gridCol w:w="146"/>
        <w:gridCol w:w="167"/>
        <w:gridCol w:w="794"/>
        <w:gridCol w:w="146"/>
        <w:gridCol w:w="146"/>
        <w:gridCol w:w="196"/>
        <w:gridCol w:w="60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Options Exercisable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Range of Exercise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Number of</w:t>
              <w:br/>
              <w:t>Shares</w:t>
              <w:b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Weighted-</w:t>
              <w:br/>
              <w:t>Average</w:t>
              <w:br/>
              <w:t>Remaining</w:t>
              <w:br/>
              <w:t>Contractual</w:t>
              <w:br/>
              <w:t>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Weighted-</w:t>
              <w:br/>
              <w:t>Average</w:t>
              <w:br/>
              <w:t>Exercise</w:t>
              <w:b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Number of</w:t>
              <w:br/>
              <w:t>Shares</w:t>
              <w:b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Weighted-</w:t>
              <w:br/>
              <w:t>Average</w:t>
              <w:br/>
              <w:t>Exercise</w:t>
              <w:br/>
              <w:t>Price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$59.32</w:t>
            </w:r>
            <w:r>
              <w:rPr>
                <w:rFonts w:ascii="Times New Roman" w:hAnsi="Times New Roman"/>
                <w:color w:val="004483"/>
                <w:sz w:val="20"/>
              </w:rPr>
              <w:t> </w:t>
            </w:r>
            <w:r>
              <w:rPr>
                <w:rFonts w:ascii="Arial Narrow;sans-serif" w:hAnsi="Arial Narrow;sans-serif"/>
                <w:b/>
                <w:color w:val="004483"/>
                <w:sz w:val="20"/>
              </w:rPr>
              <w:t>- $81.28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$91.21</w:t>
            </w:r>
            <w:r>
              <w:rPr>
                <w:rFonts w:ascii="Times New Roman" w:hAnsi="Times New Roman"/>
                <w:color w:val="004483"/>
                <w:sz w:val="20"/>
              </w:rPr>
              <w:t> </w:t>
            </w:r>
            <w:r>
              <w:rPr>
                <w:rFonts w:ascii="Arial Narrow;sans-serif" w:hAnsi="Arial Narrow;sans-serif"/>
                <w:b/>
                <w:color w:val="004483"/>
                <w:sz w:val="20"/>
              </w:rPr>
              <w:t>- $100.88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94.94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$118.27</w:t>
            </w:r>
            <w:r>
              <w:rPr>
                <w:rFonts w:ascii="Times New Roman" w:hAnsi="Times New Roman"/>
                <w:color w:val="004483"/>
                <w:sz w:val="20"/>
              </w:rPr>
              <w:t> </w:t>
            </w:r>
            <w:r>
              <w:rPr>
                <w:rFonts w:ascii="Arial Narrow;sans-serif" w:hAnsi="Arial Narrow;sans-serif"/>
                <w:b/>
                <w:color w:val="004483"/>
                <w:sz w:val="20"/>
              </w:rPr>
              <w:t>- $139.25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$143.09</w:t>
            </w:r>
            <w:r>
              <w:rPr>
                <w:rFonts w:ascii="Times New Roman" w:hAnsi="Times New Roman"/>
                <w:color w:val="004483"/>
                <w:sz w:val="20"/>
              </w:rPr>
              <w:t> </w:t>
            </w:r>
            <w:r>
              <w:rPr>
                <w:rFonts w:ascii="Arial Narrow;sans-serif" w:hAnsi="Arial Narrow;sans-serif"/>
                <w:b/>
                <w:color w:val="004483"/>
                <w:sz w:val="20"/>
              </w:rPr>
              <w:t>- $261.76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110,667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192.40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269,189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174,588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97.83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At June 30, 2026, the aggregate intrinsic value of the outstanding and exercisable options was approximately $24.3</w:t>
      </w:r>
      <w:r>
        <w:rPr>
          <w:rFonts w:ascii="Times New Roman" w:hAnsi="Times New Roman"/>
          <w:color w:val="000000"/>
          <w:sz w:val="20"/>
        </w:rPr>
        <w:t xml:space="preserve"> </w:t>
      </w:r>
      <w:r>
        <w:rPr>
          <w:rFonts w:ascii="Arial" w:hAnsi="Arial"/>
          <w:color w:val="000000"/>
          <w:sz w:val="20"/>
        </w:rPr>
        <w:t>million and $22.3</w:t>
      </w:r>
      <w:r>
        <w:rPr>
          <w:rFonts w:ascii="Times New Roman" w:hAnsi="Times New Roman"/>
          <w:color w:val="000000"/>
          <w:sz w:val="20"/>
        </w:rPr>
        <w:t xml:space="preserve"> </w:t>
      </w:r>
      <w:r>
        <w:rPr>
          <w:rFonts w:ascii="Arial" w:hAnsi="Arial"/>
          <w:color w:val="000000"/>
          <w:sz w:val="20"/>
        </w:rPr>
        <w:t>million, respectively. The total intrinsic value of options exercised during the three months ended June 30, 2026, was approximately $0.6</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483"/>
          <w:sz w:val="20"/>
        </w:rPr>
      </w:pPr>
      <w:r>
        <w:rPr>
          <w:rFonts w:ascii="Arial" w:hAnsi="Arial"/>
          <w:b/>
          <w:color w:val="004483"/>
          <w:sz w:val="20"/>
        </w:rPr>
        <w:t>RESTRICTED STOCK UNITS AND RESTRICTED STOCK</w:t>
      </w:r>
    </w:p>
    <w:p>
      <w:pPr>
        <w:pStyle w:val="TextBody"/>
        <w:bidi w:val="0"/>
        <w:spacing w:before="120" w:after="120"/>
        <w:jc w:val="left"/>
        <w:rPr>
          <w:rFonts w:ascii="Arial" w:hAnsi="Arial"/>
          <w:color w:val="000000"/>
          <w:sz w:val="20"/>
        </w:rPr>
      </w:pPr>
      <w:r>
        <w:rPr>
          <w:rFonts w:ascii="Arial" w:hAnsi="Arial"/>
          <w:color w:val="000000"/>
          <w:sz w:val="20"/>
        </w:rPr>
        <w:t>The following table summarizes the activity for restricted stock units and nonvested restricted stock during the three months ended June 30, 2026.</w:t>
      </w:r>
    </w:p>
    <w:tbl>
      <w:tblPr>
        <w:tblW w:w="5804" w:type="dxa"/>
        <w:jc w:val="left"/>
        <w:tblInd w:w="0" w:type="dxa"/>
        <w:tblLayout w:type="fixed"/>
        <w:tblCellMar>
          <w:top w:w="28" w:type="dxa"/>
          <w:left w:w="28" w:type="dxa"/>
          <w:bottom w:w="28" w:type="dxa"/>
          <w:right w:w="28" w:type="dxa"/>
        </w:tblCellMar>
      </w:tblPr>
      <w:tblGrid>
        <w:gridCol w:w="3136"/>
        <w:gridCol w:w="146"/>
        <w:gridCol w:w="146"/>
        <w:gridCol w:w="691"/>
        <w:gridCol w:w="166"/>
        <w:gridCol w:w="146"/>
        <w:gridCol w:w="146"/>
        <w:gridCol w:w="196"/>
        <w:gridCol w:w="163"/>
        <w:gridCol w:w="677"/>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Number</w:t>
              <w:br/>
              <w:t>of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Weighted-</w:t>
              <w:br/>
              <w:t>Average</w:t>
              <w:br/>
              <w:t>Grant Date</w:t>
              <w:br/>
              <w:t>Fair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Restricted Stock Units and Nonvested</w:t>
              <w:br/>
              <w:t>   Restricted Stock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149,406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198.28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199.13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179.82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Restricted Stock Units and Nonvested</w:t>
              <w:br/>
              <w:t>   Restricted Stock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166,154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202.33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Expense related to</w:t>
      </w:r>
      <w:r>
        <w:rPr>
          <w:rFonts w:ascii="Times New Roman" w:hAnsi="Times New Roman"/>
          <w:color w:val="FFFFFF"/>
          <w:sz w:val="20"/>
        </w:rPr>
        <w:t xml:space="preserve"> </w:t>
      </w:r>
      <w:r>
        <w:rPr>
          <w:rFonts w:ascii="Arial" w:hAnsi="Arial"/>
          <w:color w:val="000000"/>
          <w:sz w:val="20"/>
        </w:rPr>
        <w:t>restricted stock units and restricted stock was approximately $3.8</w:t>
      </w:r>
      <w:r>
        <w:rPr>
          <w:rFonts w:ascii="Times New Roman" w:hAnsi="Times New Roman"/>
          <w:color w:val="000000"/>
          <w:sz w:val="20"/>
        </w:rPr>
        <w:t xml:space="preserve"> </w:t>
      </w:r>
      <w:r>
        <w:rPr>
          <w:rFonts w:ascii="Arial" w:hAnsi="Arial"/>
          <w:color w:val="000000"/>
          <w:sz w:val="20"/>
        </w:rPr>
        <w:t>million and $4.5</w:t>
      </w:r>
      <w:r>
        <w:rPr>
          <w:rFonts w:ascii="Times New Roman" w:hAnsi="Times New Roman"/>
          <w:color w:val="000000"/>
          <w:sz w:val="20"/>
        </w:rPr>
        <w:t xml:space="preserve"> </w:t>
      </w:r>
      <w:r>
        <w:rPr>
          <w:rFonts w:ascii="Arial" w:hAnsi="Arial"/>
          <w:color w:val="000000"/>
          <w:sz w:val="20"/>
        </w:rPr>
        <w:t>million for the three months ended June 30, 2026, and 2025, respectively. At June 30, 2026, there was approximately $25.3</w:t>
      </w:r>
      <w:r>
        <w:rPr>
          <w:rFonts w:ascii="Times New Roman" w:hAnsi="Times New Roman"/>
          <w:color w:val="000000"/>
          <w:sz w:val="20"/>
        </w:rPr>
        <w:t xml:space="preserve"> </w:t>
      </w:r>
      <w:r>
        <w:rPr>
          <w:rFonts w:ascii="Arial" w:hAnsi="Arial"/>
          <w:color w:val="000000"/>
          <w:sz w:val="20"/>
        </w:rPr>
        <w:t>million of unearned compensation from restricted stock units and nonvested restricted shares, which will be recognized over a weighted-average period of 1.6</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number of shares available for future grants of stock options, restricted stock units, stock appreciation rights, and restricted stock under the 2023 Plan was 1,096,055</w:t>
      </w:r>
      <w:r>
        <w:rPr>
          <w:rFonts w:ascii="Times New Roman" w:hAnsi="Times New Roman"/>
          <w:color w:val="000000"/>
          <w:sz w:val="20"/>
        </w:rPr>
        <w:t xml:space="preserve"> </w:t>
      </w:r>
      <w:r>
        <w:rPr>
          <w:rFonts w:ascii="Arial" w:hAnsi="Arial"/>
          <w:color w:val="000000"/>
          <w:sz w:val="20"/>
        </w:rPr>
        <w:t>at June 30, 2026.</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color w:val="004483"/>
          <w:sz w:val="22"/>
        </w:rPr>
        <w:t>(I) COMPUTATION OF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calculation of basic and diluted common shares outstanding is as follows.</w:t>
      </w:r>
      <w:r>
        <w:rPr>
          <w:rFonts w:ascii="Times New Roman" w:hAnsi="Times New Roman"/>
          <w:color w:val="000000"/>
          <w:sz w:val="20"/>
        </w:rPr>
        <w:t xml:space="preserve"> </w:t>
      </w:r>
    </w:p>
    <w:tbl>
      <w:tblPr>
        <w:tblW w:w="9145" w:type="dxa"/>
        <w:jc w:val="left"/>
        <w:tblInd w:w="0" w:type="dxa"/>
        <w:tblLayout w:type="fixed"/>
        <w:tblCellMar>
          <w:top w:w="28" w:type="dxa"/>
          <w:left w:w="28" w:type="dxa"/>
          <w:bottom w:w="28" w:type="dxa"/>
          <w:right w:w="28" w:type="dxa"/>
        </w:tblCellMar>
      </w:tblPr>
      <w:tblGrid>
        <w:gridCol w:w="6091"/>
        <w:gridCol w:w="146"/>
        <w:gridCol w:w="152"/>
        <w:gridCol w:w="958"/>
        <w:gridCol w:w="173"/>
        <w:gridCol w:w="152"/>
        <w:gridCol w:w="152"/>
        <w:gridCol w:w="152"/>
        <w:gridCol w:w="958"/>
        <w:gridCol w:w="21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Weighted-Average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30,936,307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32,624,075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Effect of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Assumed Exercise of Outstanding Dilutive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169,519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178,757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 Shares Repurchased from Proceeds of Assumed Exercised</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(74,469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(78,526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60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Restricted Stock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57,117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84,262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Weighted-Average Common Stock and Dilutive Securities</w:t>
              <w:br/>
              <w:t>   Outstanding</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31,088,474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32,808,568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Shares Excluded Due to Anti-Dilution Effects, Including Contingent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71,644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64,216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color w:val="004483"/>
          <w:sz w:val="22"/>
        </w:rPr>
        <w:t>(J) PENSION AND EMPLOYEE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historically sponsored several single-employer defined benefit plans, which we merged into a single plan on March 31, 2025. This defined benefit plan, along with our defined contribution plan, covers substantially all our employees. Benefits paid under the single-employer defined benefit plans covering certain hourly employees were historically based on years of service and the employee’s qualifying compensation over the last few years of employment. These plans have been frozen to new participants and new benefits over the last several years, with the last plan frozen during fiscal 2020. Our defined benefit plan is fully funded, with plan assets exceeding the benefit obligation at March 31, 2026. Due to the frozen status and current funding of the single-employer pension plans, our expected pension expense for fiscal 2027 is less than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Effective March 31, 2026, we began the process of terminating the defined benefit plan. During fiscal 2027, we expect to offer a lump-sum benefit payout option to certain plan participants prior to completing the purchase of group annuity contracts that will transfer the plan assets and pension benefit obligation to an insurance company.</w:t>
      </w:r>
    </w:p>
    <w:p>
      <w:pPr>
        <w:pStyle w:val="TextBody"/>
        <w:bidi w:val="0"/>
        <w:spacing w:before="270" w:after="283"/>
        <w:jc w:val="both"/>
        <w:rPr>
          <w:rFonts w:ascii="Times New Roman" w:hAnsi="Times New Roman"/>
          <w:sz w:val="20"/>
        </w:rPr>
      </w:pPr>
      <w:r>
        <w:rPr>
          <w:rFonts w:ascii="Arial" w:hAnsi="Arial"/>
          <w:color w:val="004483"/>
          <w:sz w:val="22"/>
        </w:rPr>
        <w:t>(K) INCOME TAXES</w:t>
      </w:r>
      <w:r>
        <w:rPr>
          <w:rFonts w:ascii="Times New Roman" w:hAnsi="Times New Roman"/>
          <w:color w:val="004483"/>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Income Taxes for the interim periods presented have been included in the accompanying financial statements based on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three months ended June 30, 2026, was approximately 22%, which is consistent with the tax rate for the three months ended June 30, 2025. The effective tax rate was higher than the U.S. statutory rate of 21% mainly due to state income taxes, partially offset by a benefit recognized related to percentage depletion.</w:t>
      </w:r>
    </w:p>
    <w:p>
      <w:pPr>
        <w:pStyle w:val="TextBody"/>
        <w:bidi w:val="0"/>
        <w:spacing w:before="270" w:after="283"/>
        <w:jc w:val="both"/>
        <w:rPr>
          <w:rFonts w:ascii="Times New Roman" w:hAnsi="Times New Roman"/>
          <w:sz w:val="20"/>
        </w:rPr>
      </w:pPr>
      <w:r>
        <w:rPr>
          <w:rFonts w:ascii="Arial" w:hAnsi="Arial"/>
          <w:color w:val="004483"/>
          <w:sz w:val="22"/>
        </w:rPr>
        <w:t>(L) LONG-TERM DEBT</w:t>
      </w:r>
      <w:r>
        <w:rPr>
          <w:rFonts w:ascii="Times New Roman" w:hAnsi="Times New Roman"/>
          <w:color w:val="004483"/>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Long-term Debt at June 30, 2026 was as follows.</w:t>
      </w:r>
      <w:r>
        <w:rPr>
          <w:rFonts w:ascii="Times New Roman" w:hAnsi="Times New Roman"/>
          <w:color w:val="000000"/>
          <w:sz w:val="20"/>
        </w:rPr>
        <w:t xml:space="preserve"> </w:t>
      </w:r>
    </w:p>
    <w:tbl>
      <w:tblPr>
        <w:tblW w:w="7712" w:type="dxa"/>
        <w:jc w:val="left"/>
        <w:tblInd w:w="0" w:type="dxa"/>
        <w:tblLayout w:type="fixed"/>
        <w:tblCellMar>
          <w:top w:w="28" w:type="dxa"/>
          <w:left w:w="28" w:type="dxa"/>
          <w:bottom w:w="28" w:type="dxa"/>
          <w:right w:w="28" w:type="dxa"/>
        </w:tblCellMar>
      </w:tblPr>
      <w:tblGrid>
        <w:gridCol w:w="4381"/>
        <w:gridCol w:w="146"/>
        <w:gridCol w:w="196"/>
        <w:gridCol w:w="146"/>
        <w:gridCol w:w="826"/>
        <w:gridCol w:w="166"/>
        <w:gridCol w:w="146"/>
        <w:gridCol w:w="146"/>
        <w:gridCol w:w="196"/>
        <w:gridCol w:w="146"/>
        <w:gridCol w:w="826"/>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 xml:space="preserve">June 30, </w:t>
              <w:b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 xml:space="preserve">March 31, </w:t>
              <w:br/>
              <w:t>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4"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2.500% Senior Unsecured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5.000% Senior Unsecured Notes Due 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281,250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1,777,500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1,781,250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3A3A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 Unamortized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(21,169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0000"/>
                <w:sz w:val="20"/>
              </w:rPr>
            </w:pPr>
            <w:r>
              <w:rPr>
                <w:rFonts w:ascii="Arial Narrow;sans-serif" w:hAnsi="Arial Narrow;sans-serif"/>
                <w:b/>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1,742,011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1,745,081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4483"/>
          <w:sz w:val="22"/>
          <w:u w:val="single"/>
        </w:rPr>
      </w:pPr>
      <w:r>
        <w:rPr>
          <w:rFonts w:ascii="Arial" w:hAnsi="Arial"/>
          <w:b/>
          <w:color w:val="004483"/>
          <w:sz w:val="22"/>
          <w:u w:val="single"/>
        </w:rPr>
        <w:t>Revolving Credit Facility</w:t>
      </w:r>
    </w:p>
    <w:p>
      <w:pPr>
        <w:pStyle w:val="TextBody"/>
        <w:bidi w:val="0"/>
        <w:spacing w:before="120" w:after="283"/>
        <w:jc w:val="left"/>
        <w:rPr>
          <w:rFonts w:ascii="Times New Roman" w:hAnsi="Times New Roman"/>
          <w:sz w:val="20"/>
        </w:rPr>
      </w:pPr>
      <w:r>
        <w:rPr>
          <w:rFonts w:ascii="Arial" w:hAnsi="Arial"/>
          <w:color w:val="000000"/>
          <w:sz w:val="20"/>
        </w:rPr>
        <w:t>We have an unsecured $750.0</w:t>
      </w:r>
      <w:r>
        <w:rPr>
          <w:rFonts w:ascii="Times New Roman" w:hAnsi="Times New Roman"/>
          <w:color w:val="000000"/>
          <w:sz w:val="20"/>
        </w:rPr>
        <w:t xml:space="preserve"> </w:t>
      </w:r>
      <w:r>
        <w:rPr>
          <w:rFonts w:ascii="Arial" w:hAnsi="Arial"/>
          <w:color w:val="000000"/>
          <w:sz w:val="20"/>
        </w:rPr>
        <w:t>million revolving credit facility (the Revolving Credit Facility), which includes a separate $300.0</w:t>
      </w:r>
      <w:r>
        <w:rPr>
          <w:rFonts w:ascii="Times New Roman" w:hAnsi="Times New Roman"/>
          <w:color w:val="000000"/>
          <w:sz w:val="20"/>
        </w:rPr>
        <w:t xml:space="preserve"> </w:t>
      </w:r>
      <w:r>
        <w:rPr>
          <w:rFonts w:ascii="Arial" w:hAnsi="Arial"/>
          <w:color w:val="000000"/>
          <w:sz w:val="20"/>
        </w:rPr>
        <w:t>million term loan facility (the Term Loan). The Revolving Credit Facility also provides the Company the option to increase the borrowing capacity by up to $375.0</w:t>
      </w:r>
      <w:r>
        <w:rPr>
          <w:rFonts w:ascii="Times New Roman" w:hAnsi="Times New Roman"/>
          <w:color w:val="000000"/>
          <w:sz w:val="20"/>
        </w:rPr>
        <w:t xml:space="preserve"> </w:t>
      </w:r>
      <w:r>
        <w:rPr>
          <w:rFonts w:ascii="Arial" w:hAnsi="Arial"/>
          <w:color w:val="000000"/>
          <w:sz w:val="20"/>
        </w:rPr>
        <w:t>million (for a total borrowing capacity of $1,125.0</w:t>
      </w:r>
      <w:r>
        <w:rPr>
          <w:rFonts w:ascii="Times New Roman" w:hAnsi="Times New Roman"/>
          <w:color w:val="000000"/>
          <w:sz w:val="20"/>
        </w:rPr>
        <w:t xml:space="preserve"> </w:t>
      </w:r>
      <w:r>
        <w:rPr>
          <w:rFonts w:ascii="Arial" w:hAnsi="Arial"/>
          <w:color w:val="000000"/>
          <w:sz w:val="20"/>
        </w:rPr>
        <w:t>million), provided the existing lenders, or new lenders, agree to such increase. The Revolving Credit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Facility includes a $40.0</w:t>
      </w:r>
      <w:r>
        <w:rPr>
          <w:rFonts w:ascii="Times New Roman" w:hAnsi="Times New Roman"/>
          <w:color w:val="000000"/>
          <w:sz w:val="20"/>
        </w:rPr>
        <w:t xml:space="preserve"> </w:t>
      </w:r>
      <w:r>
        <w:rPr>
          <w:rFonts w:ascii="Arial" w:hAnsi="Arial"/>
          <w:color w:val="000000"/>
          <w:sz w:val="20"/>
        </w:rPr>
        <w:t>million letter of credit facility and a swingline loan sub-facility of $25.0</w:t>
      </w:r>
      <w:r>
        <w:rPr>
          <w:rFonts w:ascii="Times New Roman" w:hAnsi="Times New Roman"/>
          <w:color w:val="000000"/>
          <w:sz w:val="20"/>
        </w:rPr>
        <w:t xml:space="preserve"> </w:t>
      </w:r>
      <w:r>
        <w:rPr>
          <w:rFonts w:ascii="Arial" w:hAnsi="Arial"/>
          <w:color w:val="000000"/>
          <w:sz w:val="20"/>
        </w:rPr>
        <w:t>million, and expires on February 4, 2030.</w:t>
      </w:r>
    </w:p>
    <w:p>
      <w:pPr>
        <w:pStyle w:val="TextBody"/>
        <w:bidi w:val="0"/>
        <w:spacing w:before="120" w:after="283"/>
        <w:jc w:val="left"/>
        <w:rPr>
          <w:rFonts w:ascii="Times New Roman" w:hAnsi="Times New Roman"/>
          <w:sz w:val="20"/>
        </w:rPr>
      </w:pPr>
      <w:r>
        <w:rPr>
          <w:rFonts w:ascii="Arial" w:hAnsi="Arial"/>
          <w:color w:val="000000"/>
          <w:sz w:val="20"/>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w:t>
      </w:r>
      <w:r>
        <w:rPr>
          <w:rFonts w:ascii="Times New Roman" w:hAnsi="Times New Roman"/>
          <w:color w:val="000000"/>
          <w:sz w:val="20"/>
        </w:rPr>
        <w:t xml:space="preserve"> </w:t>
      </w:r>
      <w:r>
        <w:rPr>
          <w:rFonts w:ascii="Arial" w:hAnsi="Arial"/>
          <w:color w:val="000000"/>
          <w:sz w:val="20"/>
        </w:rPr>
        <w:t>to 1.00 (collectively, the Financial Covenants).</w:t>
      </w:r>
    </w:p>
    <w:p>
      <w:pPr>
        <w:pStyle w:val="TextBody"/>
        <w:bidi w:val="0"/>
        <w:spacing w:before="120" w:after="283"/>
        <w:jc w:val="left"/>
        <w:rPr>
          <w:rFonts w:ascii="Times New Roman" w:hAnsi="Times New Roman"/>
          <w:sz w:val="20"/>
        </w:rPr>
      </w:pPr>
      <w:r>
        <w:rPr>
          <w:rFonts w:ascii="Arial" w:hAnsi="Arial"/>
          <w:color w:val="000000"/>
          <w:sz w:val="20"/>
        </w:rPr>
        <w:t>At the Company’s option, outstanding loans under the Revolving Credit Facility bear interest, at a variable rate equal to either (i) the adjusted term SOFR rate (secured overnight financing rate), plus 10 basis points, plus an agreed spread (ranging from 100</w:t>
      </w:r>
      <w:r>
        <w:rPr>
          <w:rFonts w:ascii="Times New Roman" w:hAnsi="Times New Roman"/>
          <w:color w:val="000000"/>
          <w:sz w:val="20"/>
        </w:rPr>
        <w:t xml:space="preserve"> </w:t>
      </w:r>
      <w:r>
        <w:rPr>
          <w:rFonts w:ascii="Arial" w:hAnsi="Arial"/>
          <w:color w:val="000000"/>
          <w:sz w:val="20"/>
        </w:rPr>
        <w:t>to 162.5</w:t>
      </w:r>
      <w:r>
        <w:rPr>
          <w:rFonts w:ascii="Times New Roman" w:hAnsi="Times New Roman"/>
          <w:color w:val="000000"/>
          <w:sz w:val="20"/>
        </w:rPr>
        <w:t xml:space="preserve"> </w:t>
      </w:r>
      <w:r>
        <w:rPr>
          <w:rFonts w:ascii="Arial" w:hAnsi="Arial"/>
          <w:color w:val="000000"/>
          <w:sz w:val="20"/>
        </w:rPr>
        <w:t>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w:t>
      </w:r>
      <w:r>
        <w:rPr>
          <w:rFonts w:ascii="Times New Roman" w:hAnsi="Times New Roman"/>
          <w:color w:val="000000"/>
          <w:sz w:val="20"/>
        </w:rPr>
        <w:t xml:space="preserve"> </w:t>
      </w:r>
      <w:r>
        <w:rPr>
          <w:rFonts w:ascii="Arial" w:hAnsi="Arial"/>
          <w:color w:val="000000"/>
          <w:sz w:val="20"/>
        </w:rPr>
        <w:t>to 162.5</w:t>
      </w:r>
      <w:r>
        <w:rPr>
          <w:rFonts w:ascii="Times New Roman" w:hAnsi="Times New Roman"/>
          <w:color w:val="000000"/>
          <w:sz w:val="20"/>
        </w:rPr>
        <w:t xml:space="preserve"> </w:t>
      </w:r>
      <w:r>
        <w:rPr>
          <w:rFonts w:ascii="Arial" w:hAnsi="Arial"/>
          <w:color w:val="000000"/>
          <w:sz w:val="20"/>
        </w:rPr>
        <w:t>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w:t>
      </w:r>
      <w:r>
        <w:rPr>
          <w:rFonts w:ascii="Times New Roman" w:hAnsi="Times New Roman"/>
          <w:color w:val="000000"/>
          <w:sz w:val="20"/>
        </w:rPr>
        <w:t xml:space="preserve"> </w:t>
      </w:r>
      <w:r>
        <w:rPr>
          <w:rFonts w:ascii="Arial" w:hAnsi="Arial"/>
          <w:color w:val="000000"/>
          <w:sz w:val="20"/>
        </w:rPr>
        <w:t>to 62.5</w:t>
      </w:r>
      <w:r>
        <w:rPr>
          <w:rFonts w:ascii="Times New Roman" w:hAnsi="Times New Roman"/>
          <w:color w:val="000000"/>
          <w:sz w:val="20"/>
        </w:rPr>
        <w:t xml:space="preserve"> </w:t>
      </w:r>
      <w:r>
        <w:rPr>
          <w:rFonts w:ascii="Arial" w:hAnsi="Arial"/>
          <w:color w:val="000000"/>
          <w:sz w:val="20"/>
        </w:rPr>
        <w:t>basis points), which is established quarterly based on the Company's credit rating. The Company is also required to pay a facility fee on unused available borrowings under the Revolving Credit Facility ranging from 9</w:t>
      </w:r>
      <w:r>
        <w:rPr>
          <w:rFonts w:ascii="Times New Roman" w:hAnsi="Times New Roman"/>
          <w:color w:val="000000"/>
          <w:sz w:val="20"/>
        </w:rPr>
        <w:t xml:space="preserve"> </w:t>
      </w:r>
      <w:r>
        <w:rPr>
          <w:rFonts w:ascii="Arial" w:hAnsi="Arial"/>
          <w:color w:val="000000"/>
          <w:sz w:val="20"/>
        </w:rPr>
        <w:t>to 22.5</w:t>
      </w:r>
      <w:r>
        <w:rPr>
          <w:rFonts w:ascii="Times New Roman" w:hAnsi="Times New Roman"/>
          <w:color w:val="000000"/>
          <w:sz w:val="20"/>
        </w:rPr>
        <w:t xml:space="preserve"> </w:t>
      </w:r>
      <w:r>
        <w:rPr>
          <w:rFonts w:ascii="Arial" w:hAnsi="Arial"/>
          <w:color w:val="000000"/>
          <w:sz w:val="20"/>
        </w:rPr>
        <w:t>basis points, which is established based on the Company's then credit rating.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 pays each lender a participation fee with respect to such lender’s participations in letters of credit, which fee accrues at the same Applicable Rate (as defined in the Revolving Credit Facility) used to determine the interest rate applicable to Term Benchmark Revolving Loans (as defined in the Revolving Credit Facility), plus a fronting fee for each letter of credit issued by the issuing bank in an amount equal to 12.5</w:t>
      </w:r>
      <w:r>
        <w:rPr>
          <w:rFonts w:ascii="Times New Roman" w:hAnsi="Times New Roman"/>
          <w:color w:val="000000"/>
          <w:sz w:val="20"/>
        </w:rPr>
        <w:t xml:space="preserve"> </w:t>
      </w:r>
      <w:r>
        <w:rPr>
          <w:rFonts w:ascii="Arial" w:hAnsi="Arial"/>
          <w:color w:val="000000"/>
          <w:sz w:val="20"/>
        </w:rPr>
        <w:t>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pStyle w:val="TextBody"/>
        <w:bidi w:val="0"/>
        <w:spacing w:before="120" w:after="283"/>
        <w:jc w:val="left"/>
        <w:rPr>
          <w:rFonts w:ascii="Times New Roman" w:hAnsi="Times New Roman"/>
          <w:sz w:val="20"/>
        </w:rPr>
      </w:pPr>
      <w:r>
        <w:rPr>
          <w:rFonts w:ascii="Arial" w:hAnsi="Arial"/>
          <w:color w:val="000000"/>
          <w:sz w:val="20"/>
        </w:rPr>
        <w:t>We had no</w:t>
      </w:r>
      <w:r>
        <w:rPr>
          <w:rFonts w:ascii="Times New Roman" w:hAnsi="Times New Roman"/>
          <w:color w:val="000000"/>
          <w:sz w:val="20"/>
        </w:rPr>
        <w:t xml:space="preserve"> </w:t>
      </w:r>
      <w:r>
        <w:rPr>
          <w:rFonts w:ascii="Arial" w:hAnsi="Arial"/>
          <w:color w:val="000000"/>
          <w:sz w:val="20"/>
        </w:rPr>
        <w:t>outstanding borrowings under the Revolving Credit Facility. There was $9.9</w:t>
      </w:r>
      <w:r>
        <w:rPr>
          <w:rFonts w:ascii="Times New Roman" w:hAnsi="Times New Roman"/>
          <w:color w:val="000000"/>
          <w:sz w:val="20"/>
        </w:rPr>
        <w:t xml:space="preserve"> </w:t>
      </w:r>
      <w:r>
        <w:rPr>
          <w:rFonts w:ascii="Arial" w:hAnsi="Arial"/>
          <w:color w:val="000000"/>
          <w:sz w:val="20"/>
        </w:rPr>
        <w:t>million of letters of credit outstanding as of June 30, 2026, leaving us with $740.1</w:t>
      </w:r>
      <w:r>
        <w:rPr>
          <w:rFonts w:ascii="Times New Roman" w:hAnsi="Times New Roman"/>
          <w:color w:val="000000"/>
          <w:sz w:val="20"/>
        </w:rPr>
        <w:t xml:space="preserve"> </w:t>
      </w:r>
      <w:r>
        <w:rPr>
          <w:rFonts w:ascii="Arial" w:hAnsi="Arial"/>
          <w:color w:val="000000"/>
          <w:sz w:val="20"/>
        </w:rPr>
        <w:t>million of available borrowings under the Revolving Credit Facility, net of the letters of credit outstanding. We were in compliance with all Financial Covenants on June 30, 2026; therefore, the entire $740.1</w:t>
      </w:r>
      <w:r>
        <w:rPr>
          <w:rFonts w:ascii="Times New Roman" w:hAnsi="Times New Roman"/>
          <w:color w:val="000000"/>
          <w:sz w:val="20"/>
        </w:rPr>
        <w:t xml:space="preserve"> </w:t>
      </w:r>
      <w:r>
        <w:rPr>
          <w:rFonts w:ascii="Arial" w:hAnsi="Arial"/>
          <w:color w:val="000000"/>
          <w:sz w:val="20"/>
        </w:rPr>
        <w:t>million is available for future borrowings.</w:t>
      </w:r>
    </w:p>
    <w:p>
      <w:pPr>
        <w:pStyle w:val="TextBody"/>
        <w:bidi w:val="0"/>
        <w:spacing w:before="120" w:after="283"/>
        <w:jc w:val="left"/>
        <w:rPr>
          <w:rFonts w:ascii="Arial" w:hAnsi="Arial"/>
          <w:b/>
          <w:color w:val="004483"/>
          <w:sz w:val="22"/>
          <w:u w:val="single"/>
        </w:rPr>
      </w:pPr>
      <w:r>
        <w:rPr>
          <w:rFonts w:ascii="Arial" w:hAnsi="Arial"/>
          <w:b/>
          <w:color w:val="004483"/>
          <w:sz w:val="22"/>
          <w:u w:val="single"/>
        </w:rPr>
        <w:t>Term Loan</w:t>
      </w:r>
    </w:p>
    <w:p>
      <w:pPr>
        <w:pStyle w:val="TextBody"/>
        <w:bidi w:val="0"/>
        <w:spacing w:before="120" w:after="283"/>
        <w:jc w:val="left"/>
        <w:rPr>
          <w:rFonts w:ascii="Times New Roman" w:hAnsi="Times New Roman"/>
          <w:sz w:val="20"/>
        </w:rPr>
      </w:pPr>
      <w:r>
        <w:rPr>
          <w:rFonts w:ascii="Arial" w:hAnsi="Arial"/>
          <w:color w:val="000000"/>
          <w:sz w:val="20"/>
        </w:rPr>
        <w:t>On February 4, 2025, we increased our Term Loan borrowings under the Revolving Credit Facility to $300.0</w:t>
      </w:r>
      <w:r>
        <w:rPr>
          <w:rFonts w:ascii="Times New Roman" w:hAnsi="Times New Roman"/>
          <w:color w:val="000000"/>
          <w:sz w:val="20"/>
        </w:rPr>
        <w:t xml:space="preserve"> </w:t>
      </w:r>
      <w:r>
        <w:rPr>
          <w:rFonts w:ascii="Arial" w:hAnsi="Arial"/>
          <w:color w:val="000000"/>
          <w:sz w:val="20"/>
        </w:rPr>
        <w:t>million, and used these proceeds to, among other things, pay down a portion of the Revolving Credit Facility. The Term Loan requires quarterly principal payments of approximately $3.8</w:t>
      </w:r>
      <w:r>
        <w:rPr>
          <w:rFonts w:ascii="Times New Roman" w:hAnsi="Times New Roman"/>
          <w:color w:val="000000"/>
          <w:sz w:val="20"/>
        </w:rPr>
        <w:t xml:space="preserve"> </w:t>
      </w:r>
      <w:r>
        <w:rPr>
          <w:rFonts w:ascii="Arial" w:hAnsi="Arial"/>
          <w:color w:val="000000"/>
          <w:sz w:val="20"/>
        </w:rPr>
        <w:t>million, with any unpaid amounts due upon maturity on February 4, 2030.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483"/>
          <w:sz w:val="22"/>
          <w:u w:val="single"/>
        </w:rPr>
      </w:pPr>
      <w:r>
        <w:rPr>
          <w:rFonts w:ascii="Arial" w:hAnsi="Arial"/>
          <w:b/>
          <w:color w:val="004483"/>
          <w:sz w:val="22"/>
          <w:u w:val="single"/>
        </w:rPr>
        <w:t>2.500% Senior Unsecured Notes Due 2031</w:t>
      </w:r>
    </w:p>
    <w:p>
      <w:pPr>
        <w:pStyle w:val="TextBody"/>
        <w:bidi w:val="0"/>
        <w:spacing w:before="120" w:after="283"/>
        <w:jc w:val="left"/>
        <w:rPr>
          <w:rFonts w:ascii="Times New Roman" w:hAnsi="Times New Roman"/>
          <w:sz w:val="20"/>
        </w:rPr>
      </w:pPr>
      <w:r>
        <w:rPr>
          <w:rFonts w:ascii="Arial" w:hAnsi="Arial"/>
          <w:color w:val="000000"/>
          <w:sz w:val="20"/>
        </w:rPr>
        <w:t>On July 1, 2021, we issued $750.0</w:t>
      </w:r>
      <w:r>
        <w:rPr>
          <w:rFonts w:ascii="Times New Roman" w:hAnsi="Times New Roman"/>
          <w:color w:val="000000"/>
          <w:sz w:val="20"/>
        </w:rPr>
        <w:t xml:space="preserve"> </w:t>
      </w:r>
      <w:r>
        <w:rPr>
          <w:rFonts w:ascii="Arial" w:hAnsi="Arial"/>
          <w:color w:val="000000"/>
          <w:sz w:val="20"/>
        </w:rPr>
        <w:t>million aggregate principal amount of 2.500% senior notes due July 2031</w:t>
      </w:r>
      <w:r>
        <w:rPr>
          <w:rFonts w:ascii="Times New Roman" w:hAnsi="Times New Roman"/>
          <w:color w:val="000000"/>
          <w:sz w:val="20"/>
        </w:rPr>
        <w:t xml:space="preserve"> </w:t>
      </w:r>
      <w:r>
        <w:rPr>
          <w:rFonts w:ascii="Arial" w:hAnsi="Arial"/>
          <w:color w:val="000000"/>
          <w:sz w:val="20"/>
        </w:rPr>
        <w:t>(the 2.500% Senior Unsecured Notes). The 2.500% Senior Unsecured Notes are senior unsecured obligations of the Company and are not guaranteed by any of our subsidiaries. The 2.500% Senior Unsecured Notes were issued net of original issue discount of $6.3</w:t>
      </w:r>
      <w:r>
        <w:rPr>
          <w:rFonts w:ascii="Times New Roman" w:hAnsi="Times New Roman"/>
          <w:color w:val="000000"/>
          <w:sz w:val="20"/>
        </w:rPr>
        <w:t xml:space="preserve"> </w:t>
      </w:r>
      <w:r>
        <w:rPr>
          <w:rFonts w:ascii="Arial" w:hAnsi="Arial"/>
          <w:color w:val="000000"/>
          <w:sz w:val="20"/>
        </w:rPr>
        <w:t>million and have an effective interest rate of approximately 2.6%. The original issue discount is being amortized by the effective interest method over the 10-year</w:t>
      </w:r>
      <w:r>
        <w:rPr>
          <w:rFonts w:ascii="Times New Roman" w:hAnsi="Times New Roman"/>
          <w:color w:val="000000"/>
          <w:sz w:val="20"/>
        </w:rPr>
        <w:t xml:space="preserve"> </w:t>
      </w:r>
      <w:r>
        <w:rPr>
          <w:rFonts w:ascii="Arial" w:hAnsi="Arial"/>
          <w:color w:val="000000"/>
          <w:sz w:val="20"/>
        </w:rPr>
        <w:t>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w:t>
      </w:r>
      <w:r>
        <w:rPr>
          <w:rFonts w:ascii="Times New Roman" w:hAnsi="Times New Roman"/>
          <w:color w:val="000000"/>
          <w:sz w:val="20"/>
        </w:rPr>
        <w:t xml:space="preserve"> </w:t>
      </w:r>
      <w:r>
        <w:rPr>
          <w:rFonts w:ascii="Arial" w:hAnsi="Arial"/>
          <w:color w:val="000000"/>
          <w:sz w:val="20"/>
        </w:rPr>
        <w:t>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pStyle w:val="TextBody"/>
        <w:bidi w:val="0"/>
        <w:jc w:val="left"/>
        <w:rPr/>
      </w:pPr>
      <w:r>
        <w:rPr/>
        <w:t> </w:t>
      </w:r>
    </w:p>
    <w:p>
      <w:pPr>
        <w:pStyle w:val="TextBody"/>
        <w:bidi w:val="0"/>
        <w:spacing w:before="120" w:after="283"/>
        <w:jc w:val="left"/>
        <w:rPr>
          <w:rFonts w:ascii="Arial" w:hAnsi="Arial"/>
          <w:b/>
          <w:color w:val="004483"/>
          <w:sz w:val="22"/>
          <w:u w:val="single"/>
        </w:rPr>
      </w:pPr>
      <w:r>
        <w:rPr>
          <w:rFonts w:ascii="Arial" w:hAnsi="Arial"/>
          <w:b/>
          <w:color w:val="004483"/>
          <w:sz w:val="22"/>
          <w:u w:val="single"/>
        </w:rPr>
        <w:t>5.000% Senior Unsecured Notes Due 2036</w:t>
      </w:r>
    </w:p>
    <w:p>
      <w:pPr>
        <w:pStyle w:val="TextBody"/>
        <w:bidi w:val="0"/>
        <w:spacing w:before="120" w:after="283"/>
        <w:jc w:val="left"/>
        <w:rPr>
          <w:rFonts w:ascii="Times New Roman" w:hAnsi="Times New Roman"/>
          <w:sz w:val="20"/>
        </w:rPr>
      </w:pPr>
      <w:r>
        <w:rPr>
          <w:rFonts w:ascii="Arial" w:hAnsi="Arial"/>
          <w:color w:val="000000"/>
          <w:sz w:val="20"/>
        </w:rPr>
        <w:t>On November 13, 2025, we issued $750.0</w:t>
      </w:r>
      <w:r>
        <w:rPr>
          <w:rFonts w:ascii="Times New Roman" w:hAnsi="Times New Roman"/>
          <w:color w:val="000000"/>
          <w:sz w:val="20"/>
        </w:rPr>
        <w:t xml:space="preserve"> </w:t>
      </w:r>
      <w:r>
        <w:rPr>
          <w:rFonts w:ascii="Arial" w:hAnsi="Arial"/>
          <w:color w:val="000000"/>
          <w:sz w:val="20"/>
        </w:rPr>
        <w:t>million aggregate principal amount of 5.000% senior notes due March 2036</w:t>
      </w:r>
      <w:r>
        <w:rPr>
          <w:rFonts w:ascii="Times New Roman" w:hAnsi="Times New Roman"/>
          <w:color w:val="000000"/>
          <w:sz w:val="20"/>
        </w:rPr>
        <w:t xml:space="preserve"> </w:t>
      </w:r>
      <w:r>
        <w:rPr>
          <w:rFonts w:ascii="Arial" w:hAnsi="Arial"/>
          <w:color w:val="000000"/>
          <w:sz w:val="20"/>
        </w:rPr>
        <w:t>(the 5.000% Senior Unsecured Notes). The 5.000% Senior Unsecured Notes are senior unsecured obligations of the Company and are not guaranteed by any of our subsidiaries. The 5.000% Senior Unsecured Notes were issued net of original issue discount of $8.2</w:t>
      </w:r>
      <w:r>
        <w:rPr>
          <w:rFonts w:ascii="Times New Roman" w:hAnsi="Times New Roman"/>
          <w:color w:val="000000"/>
          <w:sz w:val="20"/>
        </w:rPr>
        <w:t xml:space="preserve"> </w:t>
      </w:r>
      <w:r>
        <w:rPr>
          <w:rFonts w:ascii="Arial" w:hAnsi="Arial"/>
          <w:color w:val="000000"/>
          <w:sz w:val="20"/>
        </w:rPr>
        <w:t>million and have an effective interest rate of approximately 5.1%. The original issue discount is being amortized by the effective interest method over the term of the notes. The 5.000% Senior Unsecured Notes are redeemable prior to December 15, 2035, at a redemption price equal to the greater of (i) the present value of remaining scheduled payments of principal and interest from the applicable redemption date to December 15, 2035, discounted to the redemption date on a semi-annual basis at the Treasury rate plus 20</w:t>
      </w:r>
      <w:r>
        <w:rPr>
          <w:rFonts w:ascii="Times New Roman" w:hAnsi="Times New Roman"/>
          <w:color w:val="000000"/>
          <w:sz w:val="20"/>
        </w:rPr>
        <w:t xml:space="preserve"> </w:t>
      </w:r>
      <w:r>
        <w:rPr>
          <w:rFonts w:ascii="Arial" w:hAnsi="Arial"/>
          <w:color w:val="000000"/>
          <w:sz w:val="20"/>
        </w:rPr>
        <w:t>basis points, less interest accrued to the applicable redemption date and (ii) 100% of the aggregate principal amount of the 5.000% Senior Unsecured Notes being redeemed, plus, in either case, accrued and unpaid interest to, but excluding, the applicable redemption date. The 5.000% Senior Unsecured Notes are redeemable on or after December 15, 2035, at a redemption price equal to 100% of the aggregate principal amount of the 5.000% Senior Unsecured Notes being redeemed, plus accrued and unpaid interest to, but excluding, the applicable redemption date. If we experience certain change of control triggering events, we would be required to offer to repurchase the 5.000% Senior Unsecured Notes at a purchase price equal to 101% of the aggregate principal amount of the 5.000% Senior Unsecured Notes being repurchased, plus accrued and unpaid interest to, but excluding, the applicable repurchase date. The indenture governing the 5.000%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5.000% Senior Unsecured Notes to become or be declared due and payable.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color w:val="004483"/>
          <w:sz w:val="22"/>
        </w:rPr>
        <w:t>(M) SEGMENT INFORMATION</w:t>
      </w:r>
      <w:r>
        <w:rPr>
          <w:rFonts w:ascii="Times New Roman" w:hAnsi="Times New Roman"/>
          <w:color w:val="004483"/>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Operating segments are defined as components of an enterprise that engage in business activities that earn revenue, incur expenses, and prepare separate financial information that is evaluated regularly by our chief operating decision maker (CODM), who is our President and Chief Executive Officer, to assist in allocating resources and assessing performance. This assessment is primarily based on segment earnings from operations, as management believes this is the best metric for segment operating performance. The CODM uses operating earnings as part of his review of the monthly operating results on a segment basis. The actual monthly results are reviewed against budgeted amounts as well as the current-year reforecast and prior-year actual amounts. Interest and taxes are managed on a centralized basis and are not included in segment operating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Our business is organized into two</w:t>
      </w:r>
      <w:r>
        <w:rPr>
          <w:rFonts w:ascii="Times New Roman" w:hAnsi="Times New Roman"/>
          <w:color w:val="000000"/>
          <w:sz w:val="20"/>
        </w:rPr>
        <w:t xml:space="preserve"> </w:t>
      </w:r>
      <w:r>
        <w:rPr>
          <w:rFonts w:ascii="Arial" w:hAnsi="Arial"/>
          <w:color w:val="000000"/>
          <w:sz w:val="20"/>
        </w:rPr>
        <w:t>sectors, within which there are four</w:t>
      </w:r>
      <w:r>
        <w:rPr>
          <w:rFonts w:ascii="Times New Roman" w:hAnsi="Times New Roman"/>
          <w:color w:val="000000"/>
          <w:sz w:val="20"/>
        </w:rPr>
        <w:t xml:space="preserve"> </w:t>
      </w:r>
      <w:r>
        <w:rPr>
          <w:rFonts w:ascii="Arial" w:hAnsi="Arial"/>
          <w:color w:val="000000"/>
          <w:sz w:val="20"/>
        </w:rPr>
        <w:t>reportable business segments. The Heavy Materials sector includes the Cement and Concrete and Aggregates segments. The Light Materials sector includes the Gypsum Wallboard and Recycled Paperboard segments. The Company's operating segments are the same as the Company's reporting segments.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Our primary products, portland cement and gypsum wallboard, are essential for building, expanding, and repairing roads, highways, and residential, commercial and industrial structures across America. We manufacture and sell our products through a network of more than 70 facilities spanning 21 states. Demand for our products is generally cyclical and seasonal, depending on economic and geographic conditions. Our operations are conducted in the United States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pStyle w:val="TextBody"/>
        <w:bidi w:val="0"/>
        <w:spacing w:before="120" w:after="283"/>
        <w:jc w:val="left"/>
        <w:rPr>
          <w:rFonts w:ascii="Times New Roman" w:hAnsi="Times New Roman"/>
          <w:sz w:val="20"/>
        </w:rPr>
      </w:pPr>
      <w:r>
        <w:rPr>
          <w:rFonts w:ascii="Arial" w:hAnsi="Arial"/>
          <w:color w:val="000000"/>
          <w:sz w:val="20"/>
        </w:rPr>
        <w:t>We operate eight</w:t>
      </w:r>
      <w:r>
        <w:rPr>
          <w:rFonts w:ascii="Times New Roman" w:hAnsi="Times New Roman"/>
          <w:color w:val="000000"/>
          <w:sz w:val="20"/>
        </w:rPr>
        <w:t xml:space="preserve"> </w:t>
      </w:r>
      <w:r>
        <w:rPr>
          <w:rFonts w:ascii="Arial" w:hAnsi="Arial"/>
          <w:color w:val="000000"/>
          <w:sz w:val="20"/>
        </w:rPr>
        <w:t>modern cement plants, two</w:t>
      </w:r>
      <w:r>
        <w:rPr>
          <w:rFonts w:ascii="Times New Roman" w:hAnsi="Times New Roman"/>
          <w:color w:val="000000"/>
          <w:sz w:val="20"/>
        </w:rPr>
        <w:t xml:space="preserve"> </w:t>
      </w:r>
      <w:r>
        <w:rPr>
          <w:rFonts w:ascii="Arial" w:hAnsi="Arial"/>
          <w:color w:val="000000"/>
          <w:sz w:val="20"/>
        </w:rPr>
        <w:t>slag grinding facilities, and over 30</w:t>
      </w:r>
      <w:r>
        <w:rPr>
          <w:rFonts w:ascii="Times New Roman" w:hAnsi="Times New Roman"/>
          <w:color w:val="000000"/>
          <w:sz w:val="20"/>
        </w:rPr>
        <w:t xml:space="preserve"> </w:t>
      </w:r>
      <w:r>
        <w:rPr>
          <w:rFonts w:ascii="Arial" w:hAnsi="Arial"/>
          <w:color w:val="000000"/>
          <w:sz w:val="20"/>
        </w:rPr>
        <w:t>cement distribution terminals. One</w:t>
      </w:r>
      <w:r>
        <w:rPr>
          <w:rFonts w:ascii="Times New Roman" w:hAnsi="Times New Roman"/>
          <w:color w:val="000000"/>
          <w:sz w:val="20"/>
        </w:rPr>
        <w:t xml:space="preserve"> </w:t>
      </w:r>
      <w:r>
        <w:rPr>
          <w:rFonts w:ascii="Arial" w:hAnsi="Arial"/>
          <w:color w:val="000000"/>
          <w:sz w:val="20"/>
        </w:rPr>
        <w:t>cement plant, one</w:t>
      </w:r>
      <w:r>
        <w:rPr>
          <w:rFonts w:ascii="Times New Roman" w:hAnsi="Times New Roman"/>
          <w:color w:val="000000"/>
          <w:sz w:val="20"/>
        </w:rPr>
        <w:t xml:space="preserve"> </w:t>
      </w:r>
      <w:r>
        <w:rPr>
          <w:rFonts w:ascii="Arial" w:hAnsi="Arial"/>
          <w:color w:val="000000"/>
          <w:sz w:val="20"/>
        </w:rPr>
        <w:t>slag plant, and 5 cement terminals are operated through our joint venture located in Buda, Texas (the Joint Venture). Our cement companies focus on the U.S. heartland and operate as an integrated network selling product primarily in California, Colorado, Illinois, Indiana, Iowa, Kansas, Kentucky, Missouri, Nebraska, Nevada, Ohio, Oklahoma, Tennessee, and Texas. We operate over 25</w:t>
      </w:r>
      <w:r>
        <w:rPr>
          <w:rFonts w:ascii="Times New Roman" w:hAnsi="Times New Roman"/>
          <w:color w:val="000000"/>
          <w:sz w:val="20"/>
        </w:rPr>
        <w:t xml:space="preserve"> </w:t>
      </w:r>
      <w:r>
        <w:rPr>
          <w:rFonts w:ascii="Arial" w:hAnsi="Arial"/>
          <w:color w:val="000000"/>
          <w:sz w:val="20"/>
        </w:rPr>
        <w:t>readymix concrete batch plants and seven</w:t>
      </w:r>
      <w:r>
        <w:rPr>
          <w:rFonts w:ascii="Times New Roman" w:hAnsi="Times New Roman"/>
          <w:color w:val="000000"/>
          <w:sz w:val="20"/>
        </w:rPr>
        <w:t xml:space="preserve"> </w:t>
      </w:r>
      <w:r>
        <w:rPr>
          <w:rFonts w:ascii="Arial" w:hAnsi="Arial"/>
          <w:color w:val="000000"/>
          <w:sz w:val="20"/>
        </w:rPr>
        <w:t>aggregates processing plants, with annual production capacity of 9</w:t>
      </w:r>
      <w:r>
        <w:rPr>
          <w:rFonts w:ascii="Times New Roman" w:hAnsi="Times New Roman"/>
          <w:color w:val="000000"/>
          <w:sz w:val="20"/>
        </w:rPr>
        <w:t xml:space="preserve"> </w:t>
      </w:r>
      <w:r>
        <w:rPr>
          <w:rFonts w:ascii="Arial" w:hAnsi="Arial"/>
          <w:color w:val="000000"/>
          <w:sz w:val="20"/>
        </w:rPr>
        <w:t>million tons, in markets that are complementary to our cement network.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operate five</w:t>
      </w:r>
      <w:r>
        <w:rPr>
          <w:rFonts w:ascii="Times New Roman" w:hAnsi="Times New Roman"/>
          <w:color w:val="000000"/>
          <w:sz w:val="20"/>
        </w:rPr>
        <w:t xml:space="preserve"> </w:t>
      </w:r>
      <w:r>
        <w:rPr>
          <w:rFonts w:ascii="Arial" w:hAnsi="Arial"/>
          <w:color w:val="000000"/>
          <w:sz w:val="20"/>
        </w:rPr>
        <w:t>gypsum wallboard plants and a recycled paperboard mill. We distribute gypsum wallboard and recycled paperboard throughout the continental United States, with the exception of the Northeast.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following tables set forth certain financial information relating to our operations by segment. We do not allocate interest or taxes at the segment level, only at the consolidated company level.</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43"/>
        <w:gridCol w:w="146"/>
        <w:gridCol w:w="196"/>
        <w:gridCol w:w="146"/>
        <w:gridCol w:w="691"/>
        <w:gridCol w:w="146"/>
        <w:gridCol w:w="146"/>
        <w:gridCol w:w="146"/>
        <w:gridCol w:w="196"/>
        <w:gridCol w:w="146"/>
        <w:gridCol w:w="601"/>
        <w:gridCol w:w="146"/>
        <w:gridCol w:w="146"/>
        <w:gridCol w:w="146"/>
        <w:gridCol w:w="230"/>
        <w:gridCol w:w="171"/>
        <w:gridCol w:w="813"/>
        <w:gridCol w:w="146"/>
        <w:gridCol w:w="146"/>
        <w:gridCol w:w="146"/>
        <w:gridCol w:w="255"/>
        <w:gridCol w:w="190"/>
        <w:gridCol w:w="782"/>
        <w:gridCol w:w="146"/>
        <w:gridCol w:w="146"/>
        <w:gridCol w:w="146"/>
        <w:gridCol w:w="196"/>
        <w:gridCol w:w="146"/>
        <w:gridCol w:w="691"/>
        <w:gridCol w:w="214"/>
      </w:tblGrid>
      <w:tr>
        <w:trPr/>
        <w:tc>
          <w:tcPr>
            <w:tcW w:w="2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Narrow;sans-serif" w:hAnsi="Arial Narrow;sans-serif"/>
                <w:b/>
                <w:color w:val="000000"/>
                <w:sz w:val="18"/>
              </w:rPr>
              <w:t>Three Months Ended June 30, 2026</w:t>
              <w:br/>
            </w:r>
            <w:r>
              <w:rPr>
                <w:rFonts w:ascii="Arial Narrow;sans-serif" w:hAnsi="Arial Narrow;sans-serif"/>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Concrete</w:t>
              <w:br/>
              <w:t>and</w:t>
              <w:b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336,493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204,747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650,966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36,429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31,410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377,899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204,747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718,805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(36,429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(31,410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650,966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Freight and Delivery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86,483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Parts, Supplies, and Services (Includes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82,079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103,296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47,574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126,005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Labor and Fixed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78,684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 xml:space="preserve">Depreciation, Depletion, and Amortization </w:t>
            </w:r>
            <w:r>
              <w:rPr>
                <w:rFonts w:ascii="Arial Narrow;sans-serif" w:hAnsi="Arial Narrow;sans-serif"/>
                <w:b/>
                <w:color w:val="004483"/>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39,689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Purchased 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17,843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55,143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Segment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164,088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Segment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Corporate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(20,202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Non-Operating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(12,947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131,685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43"/>
        <w:gridCol w:w="146"/>
        <w:gridCol w:w="196"/>
        <w:gridCol w:w="146"/>
        <w:gridCol w:w="691"/>
        <w:gridCol w:w="146"/>
        <w:gridCol w:w="146"/>
        <w:gridCol w:w="146"/>
        <w:gridCol w:w="196"/>
        <w:gridCol w:w="146"/>
        <w:gridCol w:w="601"/>
        <w:gridCol w:w="146"/>
        <w:gridCol w:w="146"/>
        <w:gridCol w:w="146"/>
        <w:gridCol w:w="230"/>
        <w:gridCol w:w="171"/>
        <w:gridCol w:w="813"/>
        <w:gridCol w:w="146"/>
        <w:gridCol w:w="146"/>
        <w:gridCol w:w="146"/>
        <w:gridCol w:w="255"/>
        <w:gridCol w:w="190"/>
        <w:gridCol w:w="782"/>
        <w:gridCol w:w="146"/>
        <w:gridCol w:w="146"/>
        <w:gridCol w:w="146"/>
        <w:gridCol w:w="196"/>
        <w:gridCol w:w="146"/>
        <w:gridCol w:w="691"/>
        <w:gridCol w:w="214"/>
      </w:tblGrid>
      <w:tr>
        <w:trPr/>
        <w:tc>
          <w:tcPr>
            <w:tcW w:w="2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Narrow;sans-serif" w:hAnsi="Arial Narrow;sans-serif"/>
                <w:b/>
                <w:color w:val="000000"/>
                <w:sz w:val="18"/>
              </w:rPr>
              <w:t>Three Months Ended June 30, 2025</w:t>
              <w:br/>
            </w:r>
            <w:r>
              <w:rPr>
                <w:rFonts w:ascii="Arial Narrow;sans-serif" w:hAnsi="Arial Narrow;sans-serif"/>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Concrete</w:t>
              <w:br/>
              <w:t>and</w:t>
              <w:b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310,326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221,516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634,690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35,837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27,283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347,622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221,516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697,810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(35,837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(27,283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634,690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Freight and Delivery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74,339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Parts, Supplies, and Services (Includes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94,803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47,655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118,778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Labor and Fixed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76,514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 xml:space="preserve">Depreciation, Depletion, and Amortization </w:t>
            </w:r>
            <w:r>
              <w:rPr>
                <w:rFonts w:ascii="Arial Narrow;sans-serif" w:hAnsi="Arial Narrow;sans-serif"/>
                <w:b/>
                <w:color w:val="004483"/>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39,820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Purchased 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17,274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39,224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Segment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92,641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189,403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Segment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Corporate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(20,783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Non-Operating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(11,716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6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157,858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Depreciation, Depletion, and Amortization for corporate assets was $1,510</w:t>
      </w:r>
      <w:r>
        <w:rPr>
          <w:rFonts w:ascii="Times New Roman" w:hAnsi="Times New Roman"/>
          <w:color w:val="000000"/>
          <w:sz w:val="20"/>
        </w:rPr>
        <w:t xml:space="preserve"> </w:t>
      </w:r>
      <w:r>
        <w:rPr>
          <w:rFonts w:ascii="Arial" w:hAnsi="Arial"/>
          <w:color w:val="000000"/>
          <w:sz w:val="20"/>
        </w:rPr>
        <w:t>and $824</w:t>
      </w:r>
      <w:r>
        <w:rPr>
          <w:rFonts w:ascii="Times New Roman" w:hAnsi="Times New Roman"/>
          <w:color w:val="000000"/>
          <w:sz w:val="20"/>
        </w:rPr>
        <w:t xml:space="preserve"> </w:t>
      </w:r>
      <w:r>
        <w:rPr>
          <w:rFonts w:ascii="Arial" w:hAnsi="Arial"/>
          <w:color w:val="000000"/>
          <w:sz w:val="20"/>
        </w:rPr>
        <w:t>for the three months ended June 30, 2026, and 2025, respectively.</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756" w:type="dxa"/>
        <w:jc w:val="left"/>
        <w:tblInd w:w="0" w:type="dxa"/>
        <w:tblLayout w:type="fixed"/>
        <w:tblCellMar>
          <w:top w:w="28" w:type="dxa"/>
          <w:left w:w="28" w:type="dxa"/>
          <w:bottom w:w="28" w:type="dxa"/>
          <w:right w:w="28" w:type="dxa"/>
        </w:tblCellMar>
      </w:tblPr>
      <w:tblGrid>
        <w:gridCol w:w="2521"/>
        <w:gridCol w:w="146"/>
        <w:gridCol w:w="201"/>
        <w:gridCol w:w="150"/>
        <w:gridCol w:w="848"/>
        <w:gridCol w:w="150"/>
        <w:gridCol w:w="150"/>
        <w:gridCol w:w="201"/>
        <w:gridCol w:w="150"/>
        <w:gridCol w:w="848"/>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86191"/>
                <w:sz w:val="20"/>
              </w:rPr>
            </w:pPr>
            <w:r>
              <w:rPr>
                <w:rFonts w:ascii="Arial Narrow;sans-serif" w:hAnsi="Arial Narrow;sans-serif"/>
                <w:b/>
                <w:color w:val="386191"/>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277EBF"/>
                <w:sz w:val="20"/>
              </w:rPr>
            </w:pPr>
            <w:r>
              <w:rPr>
                <w:rFonts w:ascii="Arial Narrow;sans-serif" w:hAnsi="Arial Narrow;sans-serif"/>
                <w:b/>
                <w:color w:val="277EBF"/>
                <w:sz w:val="20"/>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66,863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45,995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Concrete and 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5,954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77943C"/>
                <w:sz w:val="20"/>
              </w:rPr>
            </w:pPr>
            <w:r>
              <w:rPr>
                <w:rFonts w:ascii="Arial Narrow;sans-serif" w:hAnsi="Arial Narrow;sans-serif"/>
                <w:b/>
                <w:color w:val="77943C"/>
                <w:sz w:val="20"/>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42,373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21,995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85B372"/>
                <w:sz w:val="20"/>
              </w:rPr>
            </w:pPr>
            <w:r>
              <w:rPr>
                <w:rFonts w:ascii="Arial Narrow;sans-serif" w:hAnsi="Arial Narrow;sans-serif"/>
                <w:b/>
                <w:color w:val="85B372"/>
                <w:sz w:val="20"/>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4,096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1,469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120,755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76,097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June 30, 2026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86191"/>
                <w:sz w:val="20"/>
              </w:rPr>
            </w:pPr>
            <w:r>
              <w:rPr>
                <w:rFonts w:ascii="Arial Narrow;sans-serif" w:hAnsi="Arial Narrow;sans-serif"/>
                <w:b/>
                <w:color w:val="386191"/>
                <w:sz w:val="20"/>
              </w:rPr>
              <w:t>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277EBF"/>
                <w:sz w:val="20"/>
              </w:rPr>
            </w:pPr>
            <w:r>
              <w:rPr>
                <w:rFonts w:ascii="Arial Narrow;sans-serif" w:hAnsi="Arial Narrow;sans-serif"/>
                <w:b/>
                <w:color w:val="277EBF"/>
                <w:sz w:val="20"/>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2,440,966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2,361,230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Concrete and 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417,792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404,766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77943C"/>
                <w:sz w:val="20"/>
              </w:rPr>
            </w:pPr>
            <w:r>
              <w:rPr>
                <w:rFonts w:ascii="Arial Narrow;sans-serif" w:hAnsi="Arial Narrow;sans-serif"/>
                <w:b/>
                <w:color w:val="77943C"/>
                <w:sz w:val="20"/>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558,126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522,861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85B372"/>
                <w:sz w:val="20"/>
              </w:rPr>
            </w:pPr>
            <w:r>
              <w:rPr>
                <w:rFonts w:ascii="Arial Narrow;sans-serif" w:hAnsi="Arial Narrow;sans-serif"/>
                <w:b/>
                <w:color w:val="85B372"/>
                <w:sz w:val="20"/>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167,818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169,630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323,463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383,757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3,908,165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3,842,244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Cement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Wholly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70,762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77,280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2,843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73,605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81,084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Cement Sales Volume (M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Wholly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1,960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2,145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1,993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pStyle w:val="TextBody"/>
        <w:bidi w:val="0"/>
        <w:spacing w:before="120" w:after="283"/>
        <w:jc w:val="left"/>
        <w:rPr>
          <w:rFonts w:ascii="Arial" w:hAnsi="Arial"/>
          <w:color w:val="000000"/>
          <w:sz w:val="20"/>
        </w:rPr>
      </w:pPr>
      <w:r>
        <w:rPr>
          <w:rFonts w:ascii="Arial" w:hAnsi="Arial"/>
          <w:color w:val="000000"/>
          <w:sz w:val="20"/>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pStyle w:val="TextBody"/>
        <w:bidi w:val="0"/>
        <w:spacing w:before="120" w:after="120"/>
        <w:jc w:val="left"/>
        <w:rPr>
          <w:rFonts w:ascii="Times New Roman" w:hAnsi="Times New Roman"/>
          <w:sz w:val="20"/>
        </w:rPr>
      </w:pPr>
      <w:r>
        <w:rPr>
          <w:rFonts w:ascii="Arial" w:hAnsi="Arial"/>
          <w:color w:val="000000"/>
          <w:sz w:val="20"/>
        </w:rPr>
        <w:t>The segment breakdown of Goodwill is as follows.</w:t>
      </w:r>
      <w:r>
        <w:rPr>
          <w:rFonts w:ascii="Times New Roman" w:hAnsi="Times New Roman"/>
          <w:color w:val="000000"/>
          <w:sz w:val="20"/>
        </w:rPr>
        <w:t xml:space="preserve"> </w:t>
      </w:r>
    </w:p>
    <w:tbl>
      <w:tblPr>
        <w:tblW w:w="4905" w:type="dxa"/>
        <w:jc w:val="left"/>
        <w:tblInd w:w="0" w:type="dxa"/>
        <w:tblLayout w:type="fixed"/>
        <w:tblCellMar>
          <w:top w:w="28" w:type="dxa"/>
          <w:left w:w="28" w:type="dxa"/>
          <w:bottom w:w="28" w:type="dxa"/>
          <w:right w:w="28" w:type="dxa"/>
        </w:tblCellMar>
      </w:tblPr>
      <w:tblGrid>
        <w:gridCol w:w="2146"/>
        <w:gridCol w:w="146"/>
        <w:gridCol w:w="225"/>
        <w:gridCol w:w="795"/>
        <w:gridCol w:w="146"/>
        <w:gridCol w:w="146"/>
        <w:gridCol w:w="245"/>
        <w:gridCol w:w="865"/>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 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983C5"/>
                <w:sz w:val="20"/>
              </w:rPr>
            </w:pPr>
            <w:r>
              <w:rPr>
                <w:rFonts w:ascii="Arial Narrow;sans-serif" w:hAnsi="Arial Narrow;sans-serif"/>
                <w:b/>
                <w:color w:val="3983C5"/>
                <w:sz w:val="20"/>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227,639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227,639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Concrete and 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118,878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116,618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116,618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470,673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470,673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Summarized financial information for the Joint Venture that is not consolidated is set out below. This summarized financial information includes the total amount for the Joint Venture and not our 50% interest in those amounts.</w:t>
      </w:r>
      <w:r>
        <w:rPr>
          <w:rFonts w:ascii="Times New Roman" w:hAnsi="Times New Roman"/>
          <w:color w:val="000000"/>
          <w:sz w:val="20"/>
        </w:rPr>
        <w:t xml:space="preserve"> </w:t>
      </w:r>
    </w:p>
    <w:tbl>
      <w:tblPr>
        <w:tblW w:w="5556" w:type="dxa"/>
        <w:jc w:val="left"/>
        <w:tblInd w:w="0" w:type="dxa"/>
        <w:tblLayout w:type="fixed"/>
        <w:tblCellMar>
          <w:top w:w="28" w:type="dxa"/>
          <w:left w:w="28" w:type="dxa"/>
          <w:bottom w:w="28" w:type="dxa"/>
          <w:right w:w="28" w:type="dxa"/>
        </w:tblCellMar>
      </w:tblPr>
      <w:tblGrid>
        <w:gridCol w:w="2521"/>
        <w:gridCol w:w="146"/>
        <w:gridCol w:w="280"/>
        <w:gridCol w:w="860"/>
        <w:gridCol w:w="209"/>
        <w:gridCol w:w="209"/>
        <w:gridCol w:w="280"/>
        <w:gridCol w:w="860"/>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62,820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54,567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8,117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10,942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5,686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590" w:type="dxa"/>
        <w:jc w:val="left"/>
        <w:tblInd w:w="0" w:type="dxa"/>
        <w:tblLayout w:type="fixed"/>
        <w:tblCellMar>
          <w:top w:w="28" w:type="dxa"/>
          <w:left w:w="28" w:type="dxa"/>
          <w:bottom w:w="28" w:type="dxa"/>
          <w:right w:w="28" w:type="dxa"/>
        </w:tblCellMar>
      </w:tblPr>
      <w:tblGrid>
        <w:gridCol w:w="1831"/>
        <w:gridCol w:w="146"/>
        <w:gridCol w:w="225"/>
        <w:gridCol w:w="795"/>
        <w:gridCol w:w="146"/>
        <w:gridCol w:w="146"/>
        <w:gridCol w:w="245"/>
        <w:gridCol w:w="865"/>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 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138,201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137,678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252,313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237,455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47,669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color w:val="004483"/>
          <w:sz w:val="22"/>
        </w:rPr>
        <w:t>(N) INTEREST EXPENSE</w:t>
      </w:r>
      <w:r>
        <w:rPr>
          <w:rFonts w:ascii="Times New Roman" w:hAnsi="Times New Roman"/>
          <w:color w:val="004483"/>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following components are included in Interest Expense, net.</w:t>
      </w:r>
    </w:p>
    <w:p>
      <w:pPr>
        <w:pStyle w:val="TextBody"/>
        <w:bidi w:val="0"/>
        <w:jc w:val="left"/>
        <w:rPr/>
      </w:pPr>
      <w:r>
        <w:rPr/>
        <w:t> </w:t>
      </w:r>
    </w:p>
    <w:tbl>
      <w:tblPr>
        <w:tblW w:w="5035" w:type="dxa"/>
        <w:jc w:val="left"/>
        <w:tblInd w:w="0" w:type="dxa"/>
        <w:tblLayout w:type="fixed"/>
        <w:tblCellMar>
          <w:top w:w="28" w:type="dxa"/>
          <w:left w:w="28" w:type="dxa"/>
          <w:bottom w:w="28" w:type="dxa"/>
          <w:right w:w="28" w:type="dxa"/>
        </w:tblCellMar>
      </w:tblPr>
      <w:tblGrid>
        <w:gridCol w:w="1786"/>
        <w:gridCol w:w="146"/>
        <w:gridCol w:w="196"/>
        <w:gridCol w:w="183"/>
        <w:gridCol w:w="755"/>
        <w:gridCol w:w="208"/>
        <w:gridCol w:w="183"/>
        <w:gridCol w:w="183"/>
        <w:gridCol w:w="246"/>
        <w:gridCol w:w="183"/>
        <w:gridCol w:w="755"/>
        <w:gridCol w:w="21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(dollars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(2,015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17,947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12,739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837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(3,822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12,947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11,716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 Interest Capitalized is related primarily to our long-term projects to expand and modernize our Mountain Cement facility in Wyoming, and the modernization of our gypsum wallboard plant in Oklahoma.</w:t>
      </w:r>
    </w:p>
    <w:p>
      <w:pPr>
        <w:pStyle w:val="TextBody"/>
        <w:bidi w:val="0"/>
        <w:spacing w:before="270" w:after="283"/>
        <w:jc w:val="both"/>
        <w:rPr>
          <w:rFonts w:ascii="Times New Roman" w:hAnsi="Times New Roman"/>
          <w:sz w:val="20"/>
        </w:rPr>
      </w:pPr>
      <w:r>
        <w:rPr>
          <w:rFonts w:ascii="Arial" w:hAnsi="Arial"/>
          <w:color w:val="004483"/>
          <w:sz w:val="22"/>
        </w:rPr>
        <w:t>(O)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have certain deductible limits under our workers’ compensation and liability insurance policies for which reserves are established based on the undiscounted estimated costs of known and anticipated claims. We have entered into standby letters-of-credit agreements relating to workers’ compensation, auto, and general liability self-insurance. At June 30, 2026, we had contingent liabilities under these outstanding letters of credit of approximately $9.9</w:t>
      </w:r>
      <w:r>
        <w:rPr>
          <w:rFonts w:ascii="Times New Roman" w:hAnsi="Times New Roman"/>
          <w:color w:val="000000"/>
          <w:sz w:val="20"/>
        </w:rPr>
        <w:t xml:space="preserve"> </w:t>
      </w:r>
      <w:r>
        <w:rPr>
          <w:rFonts w:ascii="Arial" w:hAnsi="Arial"/>
          <w:color w:val="000000"/>
          <w:sz w:val="20"/>
        </w:rPr>
        <w:t>million.</w:t>
      </w:r>
    </w:p>
    <w:p>
      <w:pPr>
        <w:pStyle w:val="TextBody"/>
        <w:bidi w:val="0"/>
        <w:spacing w:before="120" w:after="283"/>
        <w:jc w:val="left"/>
        <w:rPr>
          <w:rFonts w:ascii="Times New Roman" w:hAnsi="Times New Roman"/>
          <w:sz w:val="20"/>
        </w:rPr>
      </w:pPr>
      <w:r>
        <w:rPr>
          <w:rFonts w:ascii="Arial" w:hAnsi="Arial"/>
          <w:color w:val="000000"/>
          <w:sz w:val="20"/>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w:t>
      </w:r>
      <w:r>
        <w:rPr>
          <w:rFonts w:ascii="Times New Roman" w:hAnsi="Times New Roman"/>
          <w:color w:val="000000"/>
          <w:sz w:val="20"/>
        </w:rPr>
        <w:t xml:space="preserve"> </w:t>
      </w:r>
      <w:r>
        <w:rPr>
          <w:rFonts w:ascii="Arial" w:hAnsi="Arial"/>
          <w:color w:val="000000"/>
          <w:sz w:val="20"/>
        </w:rPr>
        <w:t>outstanding guarantees.</w:t>
      </w:r>
    </w:p>
    <w:p>
      <w:pPr>
        <w:pStyle w:val="TextBody"/>
        <w:bidi w:val="0"/>
        <w:spacing w:before="120" w:after="283"/>
        <w:jc w:val="left"/>
        <w:rPr>
          <w:rFonts w:ascii="Times New Roman" w:hAnsi="Times New Roman"/>
          <w:sz w:val="20"/>
        </w:rPr>
      </w:pPr>
      <w:r>
        <w:rPr>
          <w:rFonts w:ascii="Arial" w:hAnsi="Arial"/>
          <w:color w:val="000000"/>
          <w:sz w:val="20"/>
        </w:rPr>
        <w:t>We are currently contingently liable for performance under $52.2</w:t>
      </w:r>
      <w:r>
        <w:rPr>
          <w:rFonts w:ascii="Times New Roman" w:hAnsi="Times New Roman"/>
          <w:color w:val="000000"/>
          <w:sz w:val="20"/>
        </w:rPr>
        <w:t xml:space="preserve"> </w:t>
      </w:r>
      <w:r>
        <w:rPr>
          <w:rFonts w:ascii="Arial" w:hAnsi="Arial"/>
          <w:color w:val="000000"/>
          <w:sz w:val="20"/>
        </w:rPr>
        <w:t>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color w:val="004483"/>
          <w:sz w:val="22"/>
        </w:rPr>
        <w:t>(P) FAIR VALUE OF FINANCIAL INSTRUMENTS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fair value of our long-term debt has been estimated based on our current incremental borrowing rates for similar types of borrowing arrangements. The fair value of our 2.500% and 5.000% Senior Unsecured Notes at June 30, 2026, was as follows.</w:t>
      </w:r>
    </w:p>
    <w:tbl>
      <w:tblPr>
        <w:tblW w:w="5167" w:type="dxa"/>
        <w:jc w:val="left"/>
        <w:tblInd w:w="0" w:type="dxa"/>
        <w:tblLayout w:type="fixed"/>
        <w:tblCellMar>
          <w:top w:w="28" w:type="dxa"/>
          <w:left w:w="28" w:type="dxa"/>
          <w:bottom w:w="28" w:type="dxa"/>
          <w:right w:w="28" w:type="dxa"/>
        </w:tblCellMar>
      </w:tblPr>
      <w:tblGrid>
        <w:gridCol w:w="3391"/>
        <w:gridCol w:w="146"/>
        <w:gridCol w:w="273"/>
        <w:gridCol w:w="203"/>
        <w:gridCol w:w="963"/>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Fair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2.500% Senior Unsecured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671,000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5.000% Senior Unsecured Notes Due 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728,000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The estimated fair value of our long-term debt was based on quoted prices of similar debt instruments with similar terms that are publicly traded (estimated based on Level 1 input of the fair value hierarchy). The carrying values of Cash and Cash Equivalents, Accounts Receivable, Accounts Payable, and Accrued Liabilities approximate their fair values at June 30, 2026, because these assets and liabilities have short-term maturities. The fair value of our Term Loan also approximates the carrying value at June 30, 2026.</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000000"/>
        </w:pBdr>
        <w:bidi w:val="0"/>
        <w:jc w:val="left"/>
        <w:rPr>
          <w:rFonts w:ascii="Arial" w:hAnsi="Arial"/>
          <w:b/>
          <w:color w:val="000000"/>
          <w:sz w:val="26"/>
        </w:rPr>
      </w:pPr>
      <w:bookmarkStart w:id="8" w:name="managements_discussion_and_analysis"/>
      <w:bookmarkEnd w:id="8"/>
      <w:r>
        <w:rPr>
          <w:rFonts w:ascii="Arial" w:hAnsi="Arial"/>
          <w:b/>
          <w:color w:val="000000"/>
          <w:sz w:val="26"/>
        </w:rPr>
        <w:t>ITEM 2. Management’s Discussion and Analysis of Financial Condition and Results of Operations</w:t>
      </w:r>
    </w:p>
    <w:p>
      <w:pPr>
        <w:pStyle w:val="TextBody"/>
        <w:bidi w:val="0"/>
        <w:spacing w:before="240" w:after="283"/>
        <w:jc w:val="left"/>
        <w:rPr>
          <w:rFonts w:ascii="Arial" w:hAnsi="Arial"/>
          <w:color w:val="004483"/>
          <w:sz w:val="22"/>
        </w:rPr>
      </w:pPr>
      <w:r>
        <w:rPr>
          <w:rFonts w:ascii="Arial" w:hAnsi="Arial"/>
          <w:color w:val="004483"/>
          <w:sz w:val="22"/>
        </w:rPr>
        <w:t>EXECUTIVE SUMMARY</w:t>
      </w:r>
    </w:p>
    <w:p>
      <w:pPr>
        <w:pStyle w:val="TextBody"/>
        <w:bidi w:val="0"/>
        <w:spacing w:before="120" w:after="283"/>
        <w:jc w:val="left"/>
        <w:rPr>
          <w:rFonts w:ascii="Arial" w:hAnsi="Arial"/>
          <w:color w:val="000000"/>
          <w:sz w:val="20"/>
        </w:rPr>
      </w:pPr>
      <w:r>
        <w:rPr>
          <w:rFonts w:ascii="Arial" w:hAnsi="Arial"/>
          <w:color w:val="000000"/>
          <w:sz w:val="20"/>
        </w:rPr>
        <w:t>We are a leading U.S. manufacturer of heavy construction products and light building materials. Our primary products, portland cement and gypsum wallboard, are essential for building, expanding, and repairing roads, highways, and residential, commercial, and industrial structures across America. Headquartered in Dallas, Texas, Eagle manufactures and sells its products through a network of more than 70 facilities spanning 21 states. Demand for our products is generally cyclical and seasonal, depending on economic and geographic conditions. General economic downturns or localized downturns in the regions where we have operations may have a material adverse effect on our business, financial condition, and results of operations.</w:t>
      </w:r>
    </w:p>
    <w:p>
      <w:pPr>
        <w:pStyle w:val="TextBody"/>
        <w:bidi w:val="0"/>
        <w:spacing w:before="120" w:after="283"/>
        <w:jc w:val="left"/>
        <w:rPr>
          <w:rFonts w:ascii="Times New Roman" w:hAnsi="Times New Roman"/>
          <w:sz w:val="20"/>
        </w:rPr>
      </w:pPr>
      <w:r>
        <w:rPr>
          <w:rFonts w:ascii="Arial" w:hAnsi="Arial"/>
          <w:color w:val="000000"/>
          <w:sz w:val="20"/>
        </w:rPr>
        <w:t>Our business is organized into two sectors: Heavy Materials, which includes the Cement and Concrete and Aggregates segments, and Light Materials, which includes the Gypsum Wallboard and Recycled Paperboard segments. Financial results and other information for the three months ended June 30, 2026, and 2025, are presented on a consolidated basis and by business segment.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financial information with respect to the segments within the Company for making operating decisions and assessing performance.</w:t>
      </w:r>
    </w:p>
    <w:p>
      <w:pPr>
        <w:pStyle w:val="TextBody"/>
        <w:bidi w:val="0"/>
        <w:spacing w:before="120" w:after="283"/>
        <w:jc w:val="left"/>
        <w:rPr>
          <w:rFonts w:ascii="Times New Roman" w:hAnsi="Times New Roman"/>
          <w:sz w:val="20"/>
        </w:rPr>
      </w:pPr>
      <w:r>
        <w:rPr>
          <w:rFonts w:ascii="Arial" w:hAnsi="Arial"/>
          <w:color w:val="000000"/>
          <w:sz w:val="20"/>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color w:val="004483"/>
          <w:sz w:val="22"/>
        </w:rPr>
        <w:t>MARKET CONDITIONS AND OUTLOOK</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Arial" w:hAnsi="Arial"/>
          <w:color w:val="000000"/>
          <w:sz w:val="20"/>
        </w:rPr>
        <w:t>Our fiscal 2027 first quarter results were generally strong, with record Revenue of $651.0 million, Net Earnings of $102.1 million, and Diluted Earnings per Share of $3.29 per share. Our end markets remained resilient despite geopolitical, fiscal, and trade-policy disruptions and widespread uncertainty around future U.S. economic conditions. Year-over-year sales volume increased in our Heavy Materials Sector and declined in our Light Materials Sector.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We expect demand for cement to remain steady in the near term supported by bipartisan federal, state, and local support for public infrastructure projects and continued spending on certain elements of private-nonresidential construction, including data centers. A significant amount of federal funding from the trillion-dollar Infrastructure Investment and Jobs Act (IIJA) remains to be spent, and state Department of Transportation (DOT) budgets remain supportive.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The backdrop for residential construction activity remained challenging in the first quarter of fiscal 2027, primarily because of housing affordability concerns driven by persistently elevated mortgage interest rates, as well as other macroeconomic uncertainties. At the same time, the national supply of homes remains constrained by years of underbuilding. Recently, new home construction has slowed as builders have pulled back on production because of mixed demand signals and higher levels of new home inventory in certain markets. This recent pullback affected our wallboard sales volume, which was down approximately 2% in the first quarter of fiscal 2027. The path ahead for mortgage rates, and the corresponding effect on residential construction activity, is unclear, and</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sz w:val="20"/>
        </w:rPr>
      </w:pPr>
      <w:r>
        <w:rPr>
          <w:rFonts w:ascii="Arial" w:hAnsi="Arial"/>
          <w:color w:val="000000"/>
          <w:sz w:val="20"/>
        </w:rPr>
        <w:t>thus the timing of a recovery in new-home construction remains uncertain. Nonetheless, we believe our geographic footprint across the U.S. heartland and fast-growing Sun Belt region positions us to capitalize on these market dynamics in the near and longer term.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4483"/>
          <w:sz w:val="20"/>
        </w:rPr>
        <w:t>Cost Outlook</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Arial" w:hAnsi="Arial"/>
          <w:color w:val="000000"/>
          <w:sz w:val="20"/>
        </w:rPr>
        <w:t>We believe we are well-positioned to manage our cost structure and meet our customers’ needs. Our major costs include raw materials, energy, freight, labor, and maintenance.</w:t>
      </w:r>
      <w:r>
        <w:rPr>
          <w:rFonts w:ascii="Times New Roman" w:hAnsi="Times New Roman"/>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Our substantial raw material reserves for our Cement, Aggregates, and Gypsum Wallboard businesses, and their proximity to our respective manufacturing facilities support our low-cost producer position across all our business segments.</w:t>
      </w:r>
    </w:p>
    <w:p>
      <w:pPr>
        <w:pStyle w:val="TextBody"/>
        <w:bidi w:val="0"/>
        <w:spacing w:before="0" w:after="160"/>
        <w:jc w:val="left"/>
        <w:rPr>
          <w:rFonts w:ascii="Arial" w:hAnsi="Arial"/>
          <w:color w:val="000000"/>
          <w:sz w:val="20"/>
        </w:rPr>
      </w:pPr>
      <w:r>
        <w:rPr>
          <w:rFonts w:ascii="Arial" w:hAnsi="Arial"/>
          <w:color w:val="000000"/>
          <w:sz w:val="20"/>
        </w:rPr>
        <w:t>Recycled fiber and finished paper are significant cost components in our Recycled Paperboard and Gypsum Wallboard businesses, respectively. The primary raw material used to produce paperboard is old corrugated containers (OCC). Recycled fiber prices are subject to change on short notice due to several factors, including supply of OCC and demand for OCC from both domestic and international companies. OCC prices have increased recently. Our current customer contracts for gypsum liner include price adjustments that partially compensate for changes in the cost of raw materials, such as OCC and energy, including natural gas and electricity. However, because these price adjustments are not realized until future quarters, adjustments to material costs in our Gypsum Wallboard segment could be delayed until the effects of these price adjustments are realized.</w:t>
      </w:r>
    </w:p>
    <w:p>
      <w:pPr>
        <w:pStyle w:val="TextBody"/>
        <w:bidi w:val="0"/>
        <w:spacing w:before="0" w:after="160"/>
        <w:jc w:val="left"/>
        <w:rPr>
          <w:rFonts w:ascii="Arial" w:hAnsi="Arial"/>
          <w:color w:val="000000"/>
          <w:sz w:val="20"/>
        </w:rPr>
      </w:pPr>
      <w:r>
        <w:rPr>
          <w:rFonts w:ascii="Arial" w:hAnsi="Arial"/>
          <w:color w:val="000000"/>
          <w:sz w:val="20"/>
        </w:rPr>
        <w:t>Our energy costs were nearly flat during the first quarter of fiscal 2027 compared with the first quarter of fiscal 2026 and are expected to remain relatively stable over the near future. Freight costs for our Gypsum Wallboard segment, which delivers mostly by trucks, increased in the first quarter of fiscal 2027, and with current fuel prices increasing, they could continue to increase in fiscal 2027. Freight costs for our Cement segment, which relies mostly on rail delivery, also increased in the first quarter of fiscal 2027, and are expected to increase in fiscal 2027. Additionally, labor shortages, primarily of truck drivers, can adversely affect our Concrete business. Any worsening of labor constraints could cause delays and inefficiencies in this business.</w:t>
      </w:r>
    </w:p>
    <w:p>
      <w:pPr>
        <w:pStyle w:val="TextBody"/>
        <w:bidi w:val="0"/>
        <w:spacing w:before="0" w:after="160"/>
        <w:jc w:val="left"/>
        <w:rPr>
          <w:rFonts w:ascii="Arial" w:hAnsi="Arial"/>
          <w:color w:val="000000"/>
          <w:sz w:val="20"/>
        </w:rPr>
      </w:pPr>
      <w:r>
        <w:rPr>
          <w:rFonts w:ascii="Arial" w:hAnsi="Arial"/>
          <w:color w:val="000000"/>
          <w:sz w:val="20"/>
        </w:rPr>
        <w:t>While cement maintenance costs were up 10% in the first quarter of fiscal 2027, this was largely driven by specific projects at some of our Cement plants. Other than these discreet projects, we expect low single digit inflation for maintenance costs as equipment and contractor costs are expected to increase.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color w:val="004483"/>
          <w:sz w:val="22"/>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aps/>
          <w:color w:val="000000"/>
          <w:sz w:val="20"/>
        </w:rPr>
        <w:t>THREE MONTHS ENDED June 30, 2026, Compared WITH THREE MONTHS ENDED June 30, 2025</w:t>
      </w:r>
      <w:r>
        <w:rPr>
          <w:rFonts w:ascii="Times New Roman" w:hAnsi="Times New Roman"/>
          <w:caps/>
          <w:color w:val="000000"/>
          <w:sz w:val="20"/>
        </w:rPr>
        <w:t xml:space="preserve"> </w:t>
      </w:r>
    </w:p>
    <w:p>
      <w:pPr>
        <w:pStyle w:val="TextBody"/>
        <w:bidi w:val="0"/>
        <w:jc w:val="both"/>
        <w:rPr/>
      </w:pPr>
      <w:r>
        <w:rPr/>
        <w:t> </w:t>
      </w:r>
    </w:p>
    <w:tbl>
      <w:tblPr>
        <w:tblW w:w="8666" w:type="dxa"/>
        <w:jc w:val="left"/>
        <w:tblInd w:w="0" w:type="dxa"/>
        <w:tblLayout w:type="fixed"/>
        <w:tblCellMar>
          <w:top w:w="28" w:type="dxa"/>
          <w:left w:w="28" w:type="dxa"/>
          <w:bottom w:w="28" w:type="dxa"/>
          <w:right w:w="28" w:type="dxa"/>
        </w:tblCellMar>
      </w:tblPr>
      <w:tblGrid>
        <w:gridCol w:w="4201"/>
        <w:gridCol w:w="146"/>
        <w:gridCol w:w="196"/>
        <w:gridCol w:w="146"/>
        <w:gridCol w:w="751"/>
        <w:gridCol w:w="166"/>
        <w:gridCol w:w="146"/>
        <w:gridCol w:w="146"/>
        <w:gridCol w:w="196"/>
        <w:gridCol w:w="146"/>
        <w:gridCol w:w="751"/>
        <w:gridCol w:w="166"/>
        <w:gridCol w:w="146"/>
        <w:gridCol w:w="146"/>
        <w:gridCol w:w="258"/>
        <w:gridCol w:w="613"/>
        <w:gridCol w:w="34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650,966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634,690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(489,721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(449,091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161,245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185,599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Equity in Earnings of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Corporate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Non-Operating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131,685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157,858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102,127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123,362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rFonts w:ascii="Arial" w:hAnsi="Arial"/>
          <w:b/>
          <w:color w:val="004483"/>
          <w:sz w:val="22"/>
          <w:u w:val="single"/>
        </w:rPr>
      </w:pPr>
      <w:r>
        <w:rPr>
          <w:rFonts w:ascii="Arial" w:hAnsi="Arial"/>
          <w:b/>
          <w:color w:val="004483"/>
          <w:sz w:val="22"/>
          <w:u w:val="single"/>
        </w:rPr>
        <w:t>REVENUE</w:t>
      </w:r>
    </w:p>
    <w:p>
      <w:pPr>
        <w:pStyle w:val="TextBody"/>
        <w:bidi w:val="0"/>
        <w:spacing w:before="120" w:after="283"/>
        <w:jc w:val="left"/>
        <w:rPr>
          <w:rFonts w:ascii="Times New Roman" w:hAnsi="Times New Roman"/>
          <w:sz w:val="20"/>
        </w:rPr>
      </w:pPr>
      <w:r>
        <w:rPr>
          <w:rFonts w:ascii="Arial" w:hAnsi="Arial"/>
          <w:color w:val="000000"/>
          <w:sz w:val="20"/>
        </w:rPr>
        <w:t>Revenue increased by $16.3 million, or 3%, to $651.0 million for the three months ended June 30, 2026. Higher Sales Volume positively affected Revenue by $19.8 million, and was partially offset by lower gross sales prices, which adversely affected Revenue by approximately $3.5 million.</w:t>
      </w:r>
      <w:r>
        <w:rPr>
          <w:rFonts w:ascii="Times New Roman" w:hAnsi="Times New Roman"/>
          <w:color w:val="000000"/>
          <w:sz w:val="20"/>
        </w:rPr>
        <w:t xml:space="preserve"> </w:t>
      </w:r>
    </w:p>
    <w:p>
      <w:pPr>
        <w:pStyle w:val="TextBody"/>
        <w:bidi w:val="0"/>
        <w:spacing w:before="270" w:after="283"/>
        <w:jc w:val="left"/>
        <w:rPr>
          <w:rFonts w:ascii="Arial" w:hAnsi="Arial"/>
          <w:b/>
          <w:color w:val="004483"/>
          <w:sz w:val="22"/>
          <w:u w:val="single"/>
        </w:rPr>
      </w:pPr>
      <w:r>
        <w:rPr>
          <w:rFonts w:ascii="Arial" w:hAnsi="Arial"/>
          <w:b/>
          <w:color w:val="004483"/>
          <w:sz w:val="22"/>
          <w:u w:val="single"/>
        </w:rPr>
        <w:t>COST OF GOODS SOLD</w:t>
      </w:r>
    </w:p>
    <w:p>
      <w:pPr>
        <w:pStyle w:val="TextBody"/>
        <w:bidi w:val="0"/>
        <w:spacing w:before="120" w:after="283"/>
        <w:jc w:val="left"/>
        <w:rPr>
          <w:rFonts w:ascii="Times New Roman" w:hAnsi="Times New Roman"/>
          <w:sz w:val="20"/>
        </w:rPr>
      </w:pPr>
      <w:r>
        <w:rPr>
          <w:rFonts w:ascii="Arial" w:hAnsi="Arial"/>
          <w:color w:val="000000"/>
          <w:sz w:val="20"/>
        </w:rPr>
        <w:t>Cost of Goods Sold increased by $40.6 million, or 9%, to $489.7 million for the three months ended June 30, 2026. The increase was due to higher operating costs and Sales Volume of $25.7 million and $14.9 million, respectively. The $25.7 million of higher operating costs were primarily attributable to $16.8 million of higher costs in our Cement segment, $4.5 million of higher costs in Gypsum Wallboard, and $5.5 million of higher Concrete and Aggregates costs, all of which were partially offset by $1.1 million of lower operating costs in our Paperboard business.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$17.6 million of higher Sales Volume was primarily related to $15.9 million of higher Sales Volume in our Cement business and $1.9 million higher Paperboard Sales Volume. These costs were partially offset by lower Sales Volume of $2.0 million in our Gypsum Wallboard business and $0.9 million in our Concrete and Aggregates business. These costs are discussed further in the segment analysis.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4483"/>
          <w:sz w:val="22"/>
          <w:u w:val="single"/>
        </w:rPr>
      </w:pPr>
      <w:r>
        <w:rPr>
          <w:rFonts w:ascii="Arial" w:hAnsi="Arial"/>
          <w:b/>
          <w:color w:val="004483"/>
          <w:sz w:val="22"/>
          <w:u w:val="single"/>
        </w:rPr>
        <w:t>GROSS PROFIT</w:t>
      </w:r>
    </w:p>
    <w:p>
      <w:pPr>
        <w:pStyle w:val="TextBody"/>
        <w:bidi w:val="0"/>
        <w:spacing w:before="120" w:after="283"/>
        <w:jc w:val="left"/>
        <w:rPr>
          <w:rFonts w:ascii="Times New Roman" w:hAnsi="Times New Roman"/>
          <w:sz w:val="20"/>
        </w:rPr>
      </w:pPr>
      <w:r>
        <w:rPr>
          <w:rFonts w:ascii="Arial" w:hAnsi="Arial"/>
          <w:color w:val="000000"/>
          <w:sz w:val="20"/>
        </w:rPr>
        <w:t>Gross Profit decreased 13% to $161.2 million during the three months ended June 30, 2026. The decrease was primarily related to higher operating costs of $25.7 million and lower gross sales prices of $3.5 million, partially offset by higher Sales Volume of $4.8 million. The gross margin declined to 25%, with higher operating costs being partially offset by higher Sales Volume.</w:t>
      </w:r>
      <w:r>
        <w:rPr>
          <w:rFonts w:ascii="Times New Roman" w:hAnsi="Times New Roman"/>
          <w:color w:val="000000"/>
          <w:sz w:val="20"/>
        </w:rPr>
        <w:t xml:space="preserve"> </w:t>
      </w:r>
    </w:p>
    <w:p>
      <w:pPr>
        <w:pStyle w:val="TextBody"/>
        <w:bidi w:val="0"/>
        <w:spacing w:before="270" w:after="283"/>
        <w:jc w:val="left"/>
        <w:rPr>
          <w:rFonts w:ascii="Arial" w:hAnsi="Arial"/>
          <w:b/>
          <w:color w:val="004483"/>
          <w:sz w:val="22"/>
          <w:u w:val="single"/>
        </w:rPr>
      </w:pPr>
      <w:r>
        <w:rPr>
          <w:rFonts w:ascii="Arial" w:hAnsi="Arial"/>
          <w:b/>
          <w:color w:val="004483"/>
          <w:sz w:val="22"/>
          <w:u w:val="single"/>
        </w:rPr>
        <w:t>EQUITY IN EARNINGS OF UNCONSOLIDATED JOINT VENTURE</w:t>
      </w:r>
    </w:p>
    <w:p>
      <w:pPr>
        <w:pStyle w:val="TextBody"/>
        <w:bidi w:val="0"/>
        <w:spacing w:before="120" w:after="283"/>
        <w:jc w:val="left"/>
        <w:rPr>
          <w:rFonts w:ascii="Times New Roman" w:hAnsi="Times New Roman"/>
          <w:sz w:val="20"/>
        </w:rPr>
      </w:pPr>
      <w:r>
        <w:rPr>
          <w:rFonts w:ascii="Arial" w:hAnsi="Arial"/>
          <w:color w:val="000000"/>
          <w:sz w:val="20"/>
        </w:rPr>
        <w:t>Equity in Earnings of our Unconsolidated Joint Venture decreased by $1.0 million, or 25%, for the three months ended June 30, 2026. The decrease was due to lower average gross sales prices of $0.5 million and increased operating costs of $1.1 million, partially offset by higher Sales Volume of $0.7 million. Increased operating costs were primarily related to higher maintenance and freight costs of $1.6 million and $0.8 million, respectively, which was partially offset by lower purchased cement costs of $1.4 million.</w:t>
      </w:r>
      <w:r>
        <w:rPr>
          <w:rFonts w:ascii="Times New Roman" w:hAnsi="Times New Roman"/>
          <w:color w:val="000000"/>
          <w:sz w:val="20"/>
        </w:rPr>
        <w:t xml:space="preserve"> </w:t>
      </w:r>
    </w:p>
    <w:p>
      <w:pPr>
        <w:pStyle w:val="TextBody"/>
        <w:bidi w:val="0"/>
        <w:spacing w:before="270" w:after="283"/>
        <w:jc w:val="left"/>
        <w:rPr>
          <w:rFonts w:ascii="Arial" w:hAnsi="Arial"/>
          <w:b/>
          <w:color w:val="004483"/>
          <w:sz w:val="22"/>
          <w:u w:val="single"/>
        </w:rPr>
      </w:pPr>
      <w:r>
        <w:rPr>
          <w:rFonts w:ascii="Arial" w:hAnsi="Arial"/>
          <w:b/>
          <w:color w:val="004483"/>
          <w:sz w:val="22"/>
          <w:u w:val="single"/>
        </w:rPr>
        <w:t>CORPORATE GENERAL AND ADMINISTRATIVE</w:t>
      </w:r>
    </w:p>
    <w:p>
      <w:pPr>
        <w:pStyle w:val="TextBody"/>
        <w:bidi w:val="0"/>
        <w:spacing w:before="120" w:after="283"/>
        <w:jc w:val="left"/>
        <w:rPr>
          <w:rFonts w:ascii="Times New Roman" w:hAnsi="Times New Roman"/>
          <w:sz w:val="20"/>
        </w:rPr>
      </w:pPr>
      <w:r>
        <w:rPr>
          <w:rFonts w:ascii="Arial" w:hAnsi="Arial"/>
          <w:color w:val="000000"/>
          <w:sz w:val="20"/>
        </w:rPr>
        <w:t>Corporate General and Administrative expenses decreased by approximately $0.6 million, or 3%, for the three months ended June 30, 2026. The decrease was due primarily to lower salary and incentive compensation of $2.8 million, which was partially offset by higher information technology costs and insurance costs of $1.8 million and $0.5 million, respectively.</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4483"/>
          <w:sz w:val="22"/>
          <w:u w:val="single"/>
        </w:rPr>
        <w:t>OTHER NON-OPERATING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Other Non-Operating Income consists of a variety of items that are unrelated to segment operations and include non-inventoried Aggregates income, asset sales, and other miscellaneous income and cost items.</w:t>
      </w:r>
      <w:r>
        <w:rPr>
          <w:rFonts w:ascii="Times New Roman" w:hAnsi="Times New Roman"/>
          <w:color w:val="000000"/>
          <w:sz w:val="20"/>
        </w:rPr>
        <w:t xml:space="preserve"> </w:t>
      </w:r>
    </w:p>
    <w:p>
      <w:pPr>
        <w:pStyle w:val="TextBody"/>
        <w:bidi w:val="0"/>
        <w:spacing w:before="270" w:after="283"/>
        <w:jc w:val="left"/>
        <w:rPr>
          <w:rFonts w:ascii="Arial" w:hAnsi="Arial"/>
          <w:b/>
          <w:color w:val="004483"/>
          <w:sz w:val="22"/>
          <w:u w:val="single"/>
        </w:rPr>
      </w:pPr>
      <w:r>
        <w:rPr>
          <w:rFonts w:ascii="Arial" w:hAnsi="Arial"/>
          <w:b/>
          <w:color w:val="004483"/>
          <w:sz w:val="22"/>
          <w:u w:val="single"/>
        </w:rPr>
        <w:t>INTEREST EXPENSE, NET</w:t>
      </w:r>
    </w:p>
    <w:p>
      <w:pPr>
        <w:pStyle w:val="TextBody"/>
        <w:bidi w:val="0"/>
        <w:spacing w:before="120" w:after="283"/>
        <w:jc w:val="left"/>
        <w:rPr>
          <w:rFonts w:ascii="Times New Roman" w:hAnsi="Times New Roman"/>
          <w:sz w:val="20"/>
        </w:rPr>
      </w:pPr>
      <w:r>
        <w:rPr>
          <w:rFonts w:ascii="Arial" w:hAnsi="Arial"/>
          <w:color w:val="000000"/>
          <w:sz w:val="20"/>
        </w:rPr>
        <w:t>Interest Expense, net increased by approximately $1.2 million, or 11%, during the three months ended June 30, 2026. This increase was due to increased interest expense of approximately $5.2 million and increased other expenses of $0.4 million, which was partially offset by higher Interest Capitalized of approximately $2.5 million and higher interest income of $1.9 million. The increase in interest expense was primarily a result of our 5.000% Senior Unsecured Notes due March 2036, which were issued on November 13, 2025. The increase in Interest Capitalized was due primarily to capital spending for the expansion and modernization of our cement plant in Laramie, Wyoming and our gypsum wallboard plant in Duke, Oklahoma.</w:t>
      </w:r>
      <w:r>
        <w:rPr>
          <w:rFonts w:ascii="Times New Roman" w:hAnsi="Times New Roman"/>
          <w:color w:val="000000"/>
          <w:sz w:val="20"/>
        </w:rPr>
        <w:t xml:space="preserve"> </w:t>
      </w:r>
    </w:p>
    <w:p>
      <w:pPr>
        <w:pStyle w:val="TextBody"/>
        <w:bidi w:val="0"/>
        <w:spacing w:before="270" w:after="283"/>
        <w:jc w:val="left"/>
        <w:rPr>
          <w:rFonts w:ascii="Arial" w:hAnsi="Arial"/>
          <w:b/>
          <w:color w:val="004483"/>
          <w:sz w:val="22"/>
          <w:u w:val="single"/>
        </w:rPr>
      </w:pPr>
      <w:r>
        <w:rPr>
          <w:rFonts w:ascii="Arial" w:hAnsi="Arial"/>
          <w:b/>
          <w:color w:val="004483"/>
          <w:sz w:val="22"/>
          <w:u w:val="single"/>
        </w:rPr>
        <w:t>EARNINGS BEFORE INCOME TAXES</w:t>
      </w:r>
    </w:p>
    <w:p>
      <w:pPr>
        <w:pStyle w:val="TextBody"/>
        <w:bidi w:val="0"/>
        <w:spacing w:before="120" w:after="283"/>
        <w:jc w:val="left"/>
        <w:rPr>
          <w:rFonts w:ascii="Times New Roman" w:hAnsi="Times New Roman"/>
          <w:sz w:val="20"/>
        </w:rPr>
      </w:pPr>
      <w:r>
        <w:rPr>
          <w:rFonts w:ascii="Arial" w:hAnsi="Arial"/>
          <w:color w:val="000000"/>
          <w:sz w:val="20"/>
        </w:rPr>
        <w:t>Earnings Before Income Taxes decreased to $131.7 million during the three months ended June 30, 2026, primarily as a result of lower Gross Profit and Equity in Earnings of Unconsolidated Joint Venture, and higher Interest Expense, net.</w:t>
      </w:r>
      <w:r>
        <w:rPr>
          <w:rFonts w:ascii="Times New Roman" w:hAnsi="Times New Roman"/>
          <w:color w:val="000000"/>
          <w:sz w:val="20"/>
        </w:rPr>
        <w:t xml:space="preserve"> </w:t>
      </w:r>
    </w:p>
    <w:p>
      <w:pPr>
        <w:pStyle w:val="TextBody"/>
        <w:bidi w:val="0"/>
        <w:spacing w:before="270" w:after="283"/>
        <w:jc w:val="left"/>
        <w:rPr>
          <w:rFonts w:ascii="Arial" w:hAnsi="Arial"/>
          <w:b/>
          <w:color w:val="004483"/>
          <w:sz w:val="22"/>
          <w:u w:val="single"/>
        </w:rPr>
      </w:pPr>
      <w:r>
        <w:rPr>
          <w:rFonts w:ascii="Arial" w:hAnsi="Arial"/>
          <w:b/>
          <w:color w:val="004483"/>
          <w:sz w:val="22"/>
          <w:u w:val="single"/>
        </w:rPr>
        <w:t>INCOME TAX EXPENSE</w:t>
      </w:r>
    </w:p>
    <w:p>
      <w:pPr>
        <w:pStyle w:val="TextBody"/>
        <w:bidi w:val="0"/>
        <w:spacing w:before="120" w:after="283"/>
        <w:jc w:val="left"/>
        <w:rPr>
          <w:rFonts w:ascii="Times New Roman" w:hAnsi="Times New Roman"/>
          <w:sz w:val="20"/>
        </w:rPr>
      </w:pPr>
      <w:r>
        <w:rPr>
          <w:rFonts w:ascii="Arial" w:hAnsi="Arial"/>
          <w:color w:val="000000"/>
          <w:sz w:val="20"/>
        </w:rPr>
        <w:t>Income Tax Expense was $29.6 million for the three months ended June 30, 2026, compared with $34.5 million for the three months ended June 30, 2025. The effective tax rate remained consistent at 22% with the prior-year period.</w:t>
      </w:r>
      <w:r>
        <w:rPr>
          <w:rFonts w:ascii="Times New Roman" w:hAnsi="Times New Roman"/>
          <w:color w:val="000000"/>
          <w:sz w:val="20"/>
        </w:rPr>
        <w:t xml:space="preserve"> </w:t>
      </w:r>
    </w:p>
    <w:p>
      <w:pPr>
        <w:pStyle w:val="TextBody"/>
        <w:bidi w:val="0"/>
        <w:spacing w:before="270" w:after="283"/>
        <w:jc w:val="left"/>
        <w:rPr>
          <w:rFonts w:ascii="Arial" w:hAnsi="Arial"/>
          <w:b/>
          <w:color w:val="004483"/>
          <w:sz w:val="22"/>
          <w:u w:val="single"/>
        </w:rPr>
      </w:pPr>
      <w:r>
        <w:rPr>
          <w:rFonts w:ascii="Arial" w:hAnsi="Arial"/>
          <w:b/>
          <w:color w:val="004483"/>
          <w:sz w:val="22"/>
          <w:u w:val="single"/>
        </w:rPr>
        <w:t>NET EARNINGS</w:t>
      </w:r>
    </w:p>
    <w:p>
      <w:pPr>
        <w:pStyle w:val="TextBody"/>
        <w:bidi w:val="0"/>
        <w:spacing w:before="120" w:after="283"/>
        <w:jc w:val="left"/>
        <w:rPr>
          <w:rFonts w:ascii="Arial" w:hAnsi="Arial"/>
          <w:color w:val="000000"/>
          <w:sz w:val="20"/>
        </w:rPr>
      </w:pPr>
      <w:r>
        <w:rPr>
          <w:rFonts w:ascii="Arial" w:hAnsi="Arial"/>
          <w:color w:val="000000"/>
          <w:sz w:val="20"/>
        </w:rPr>
        <w:t>Net Earnings decreased 17% to $102.1 million for the three months ended June 30, 2026.</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aps/>
          <w:color w:val="000000"/>
          <w:sz w:val="20"/>
        </w:rPr>
      </w:pPr>
      <w:r>
        <w:rPr>
          <w:rFonts w:ascii="Arial" w:hAnsi="Arial"/>
          <w:b/>
          <w:caps/>
          <w:color w:val="000000"/>
          <w:sz w:val="20"/>
        </w:rPr>
        <w:t>Three MONTHS ENDED June 30, 2026, COMPARED WITH three MONTHS ENDED June 30, 2025, BY SEGMENT</w:t>
      </w:r>
    </w:p>
    <w:p>
      <w:pPr>
        <w:pStyle w:val="TextBody"/>
        <w:bidi w:val="0"/>
        <w:spacing w:before="120" w:after="283"/>
        <w:jc w:val="left"/>
        <w:rPr>
          <w:rFonts w:ascii="Arial" w:hAnsi="Arial"/>
          <w:color w:val="000000"/>
          <w:sz w:val="20"/>
        </w:rPr>
      </w:pPr>
      <w:r>
        <w:rPr>
          <w:rFonts w:ascii="Arial" w:hAnsi="Arial"/>
          <w:color w:val="000000"/>
          <w:sz w:val="20"/>
        </w:rPr>
        <w:t>The following presents results within our two business sectors for the three months ended June 30, 2026, and 2025. Revenue and operating results are organized by sector and discussed by individual business segments.</w:t>
      </w:r>
    </w:p>
    <w:p>
      <w:pPr>
        <w:pStyle w:val="TextBody"/>
        <w:bidi w:val="0"/>
        <w:jc w:val="left"/>
        <w:rPr/>
      </w:pPr>
      <w:r>
        <w:rPr/>
        <w:t> </w:t>
      </w:r>
    </w:p>
    <w:p>
      <w:pPr>
        <w:pStyle w:val="TextBody"/>
        <w:bidi w:val="0"/>
        <w:jc w:val="left"/>
        <w:rPr>
          <w:rFonts w:ascii="Arial" w:hAnsi="Arial"/>
          <w:b/>
          <w:color w:val="386191"/>
          <w:sz w:val="22"/>
          <w:u w:val="single"/>
        </w:rPr>
      </w:pPr>
      <w:r>
        <w:rPr>
          <w:rFonts w:ascii="Arial" w:hAnsi="Arial"/>
          <w:b/>
          <w:color w:val="386191"/>
          <w:sz w:val="22"/>
          <w:u w:val="single"/>
        </w:rPr>
        <w:t>Heavy Materials</w:t>
      </w:r>
    </w:p>
    <w:p>
      <w:pPr>
        <w:pStyle w:val="TextBody"/>
        <w:bidi w:val="0"/>
        <w:spacing w:before="270" w:after="283"/>
        <w:jc w:val="left"/>
        <w:rPr>
          <w:rFonts w:ascii="Times New Roman" w:hAnsi="Times New Roman"/>
          <w:sz w:val="20"/>
        </w:rPr>
      </w:pPr>
      <w:r>
        <w:rPr>
          <w:rFonts w:ascii="Arial" w:hAnsi="Arial"/>
          <w:b/>
          <w:color w:val="277EBF"/>
          <w:sz w:val="20"/>
        </w:rPr>
        <w:t xml:space="preserve">CEMENT </w:t>
      </w:r>
      <w:r>
        <w:rPr>
          <w:rFonts w:ascii="Arial" w:hAnsi="Arial"/>
          <w:b/>
          <w:color w:val="277EBF"/>
          <w:sz w:val="13"/>
        </w:rPr>
        <w:t>(1)</w:t>
      </w:r>
    </w:p>
    <w:tbl>
      <w:tblPr>
        <w:tblW w:w="8531" w:type="dxa"/>
        <w:jc w:val="left"/>
        <w:tblInd w:w="0" w:type="dxa"/>
        <w:tblLayout w:type="fixed"/>
        <w:tblCellMar>
          <w:top w:w="28" w:type="dxa"/>
          <w:left w:w="28" w:type="dxa"/>
          <w:bottom w:w="28" w:type="dxa"/>
          <w:right w:w="28" w:type="dxa"/>
        </w:tblCellMar>
      </w:tblPr>
      <w:tblGrid>
        <w:gridCol w:w="4186"/>
        <w:gridCol w:w="146"/>
        <w:gridCol w:w="196"/>
        <w:gridCol w:w="146"/>
        <w:gridCol w:w="691"/>
        <w:gridCol w:w="166"/>
        <w:gridCol w:w="146"/>
        <w:gridCol w:w="146"/>
        <w:gridCol w:w="196"/>
        <w:gridCol w:w="146"/>
        <w:gridCol w:w="691"/>
        <w:gridCol w:w="166"/>
        <w:gridCol w:w="146"/>
        <w:gridCol w:w="146"/>
        <w:gridCol w:w="258"/>
        <w:gridCol w:w="613"/>
        <w:gridCol w:w="34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ton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983C5"/>
                <w:sz w:val="20"/>
              </w:rPr>
            </w:pPr>
            <w:r>
              <w:rPr>
                <w:rFonts w:ascii="Arial Narrow;sans-serif" w:hAnsi="Arial Narrow;sans-serif"/>
                <w:b/>
                <w:color w:val="3983C5"/>
                <w:sz w:val="20"/>
              </w:rPr>
              <w:t>Revenue, including Intersegment and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377,899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347,622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983C5"/>
                <w:sz w:val="20"/>
              </w:rPr>
            </w:pPr>
            <w:r>
              <w:rPr>
                <w:rFonts w:ascii="Arial Narrow;sans-serif" w:hAnsi="Arial Narrow;sans-serif"/>
                <w:b/>
                <w:color w:val="3983C5"/>
                <w:sz w:val="20"/>
              </w:rPr>
              <w:t>Less 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983C5"/>
                <w:sz w:val="20"/>
              </w:rPr>
            </w:pPr>
            <w:r>
              <w:rPr>
                <w:rFonts w:ascii="Arial Narrow;sans-serif" w:hAnsi="Arial Narrow;sans-serif"/>
                <w:b/>
                <w:color w:val="3983C5"/>
                <w:sz w:val="20"/>
              </w:rPr>
              <w:t>Less Joint Venture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983C5"/>
                <w:sz w:val="20"/>
              </w:rPr>
            </w:pPr>
            <w:r>
              <w:rPr>
                <w:rFonts w:ascii="Arial Narrow;sans-serif" w:hAnsi="Arial Narrow;sans-serif"/>
                <w:b/>
                <w:color w:val="3983C5"/>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336,493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310,326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983C5"/>
                <w:sz w:val="20"/>
              </w:rPr>
            </w:pPr>
            <w:r>
              <w:rPr>
                <w:rFonts w:ascii="Arial Narrow;sans-serif" w:hAnsi="Arial Narrow;sans-serif"/>
                <w:b/>
                <w:color w:val="3983C5"/>
                <w:sz w:val="20"/>
              </w:rPr>
              <w:t>Sales Volume (M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983C5"/>
                <w:sz w:val="20"/>
              </w:rPr>
            </w:pPr>
            <w:r>
              <w:rPr>
                <w:rFonts w:ascii="Arial Narrow;sans-serif" w:hAnsi="Arial Narrow;sans-serif"/>
                <w:b/>
                <w:color w:val="3983C5"/>
                <w:sz w:val="20"/>
              </w:rPr>
              <w:t>Freight and Delivery Costs Billed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3983C5"/>
                <w:sz w:val="20"/>
              </w:rPr>
              <w:t>Average Net Sales Price, per ton</w:t>
            </w:r>
            <w:r>
              <w:rPr>
                <w:rFonts w:ascii="Times New Roman" w:hAnsi="Times New Roman"/>
                <w:color w:val="3983C5"/>
                <w:sz w:val="20"/>
              </w:rPr>
              <w:t> </w:t>
            </w:r>
            <w:r>
              <w:rPr>
                <w:rFonts w:ascii="Arial Narrow;sans-serif" w:hAnsi="Arial Narrow;sans-serif"/>
                <w:b/>
                <w:color w:val="3983C5"/>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983C5"/>
                <w:sz w:val="20"/>
              </w:rPr>
            </w:pPr>
            <w:r>
              <w:rPr>
                <w:rFonts w:ascii="Arial Narrow;sans-serif" w:hAnsi="Arial Narrow;sans-serif"/>
                <w:b/>
                <w:color w:val="3983C5"/>
                <w:sz w:val="20"/>
              </w:rPr>
              <w:t>Operating Margin,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983C5"/>
                <w:sz w:val="20"/>
              </w:rPr>
            </w:pPr>
            <w:r>
              <w:rPr>
                <w:rFonts w:ascii="Arial Narrow;sans-serif" w:hAnsi="Arial Narrow;sans-serif"/>
                <w:b/>
                <w:color w:val="3983C5"/>
                <w:sz w:val="20"/>
              </w:rPr>
              <w:t>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3"/>
        </w:rPr>
      </w:pPr>
      <w:r>
        <w:rPr>
          <w:rFonts w:ascii="Arial" w:hAnsi="Arial"/>
          <w:color w:val="000000"/>
          <w:sz w:val="13"/>
        </w:rPr>
        <w:t>(1) Total of wholly owned subsidiaries and proportionately consolidated 50% interest in the Joint Venture’s results.</w:t>
      </w:r>
    </w:p>
    <w:p>
      <w:pPr>
        <w:pStyle w:val="TextBody"/>
        <w:bidi w:val="0"/>
        <w:jc w:val="left"/>
        <w:rPr>
          <w:rFonts w:ascii="Arial" w:hAnsi="Arial"/>
          <w:color w:val="000000"/>
          <w:sz w:val="13"/>
        </w:rPr>
      </w:pPr>
      <w:r>
        <w:rPr>
          <w:rFonts w:ascii="Arial" w:hAnsi="Arial"/>
          <w:color w:val="000000"/>
          <w:sz w:val="13"/>
        </w:rPr>
        <w:t>(2) Net of freight per ton, including Joint Venture.</w:t>
      </w:r>
    </w:p>
    <w:p>
      <w:pPr>
        <w:pStyle w:val="TextBody"/>
        <w:bidi w:val="0"/>
        <w:spacing w:before="120" w:after="283"/>
        <w:jc w:val="left"/>
        <w:rPr>
          <w:rFonts w:ascii="Times New Roman" w:hAnsi="Times New Roman"/>
          <w:sz w:val="20"/>
        </w:rPr>
      </w:pPr>
      <w:r>
        <w:rPr>
          <w:rFonts w:ascii="Arial" w:hAnsi="Arial"/>
          <w:color w:val="000000"/>
          <w:sz w:val="20"/>
        </w:rPr>
        <w:t>Cement Revenue was $377.9 million, a 9% increase, for the three months ended June 30, 2026. This increase was due to higher Sales Volume and gross sales prices, which increased Cement Revenue by $25.8 million and $4.5 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Cement Operating Earnings decreased by $7.5 million to $73.6 million for the three months ended June 30, 2026.</w:t>
      </w:r>
      <w:r>
        <w:rPr>
          <w:rFonts w:ascii="Times New Roman" w:hAnsi="Times New Roman"/>
          <w:color w:val="FF0000"/>
          <w:sz w:val="20"/>
        </w:rPr>
        <w:t xml:space="preserve"> </w:t>
      </w:r>
      <w:r>
        <w:rPr>
          <w:rFonts w:ascii="Arial" w:hAnsi="Arial"/>
          <w:color w:val="000000"/>
          <w:sz w:val="20"/>
        </w:rPr>
        <w:t>The decrease was due to higher operating costs of $17.9 million, which were partially offset by higher Sales Volume and higher gross sales prices of $5.9 million and $4.5 million, respectively. The increase in operating costs was due to higher maintenance, purchased raw materials, and inefficiencies associated with unexpected downtime at our Mountain Cement facility of approximately $7.4 million, $4.2 million, and $6.0 million, respectively. The Operating Margin decreased to 19% from 23% because of higher operating costs, partially offset by the increase in Sales Volume.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AAC6"/>
          <w:sz w:val="20"/>
        </w:rPr>
      </w:pPr>
      <w:r>
        <w:rPr>
          <w:rFonts w:ascii="Arial" w:hAnsi="Arial"/>
          <w:b/>
          <w:color w:val="00AAC6"/>
          <w:sz w:val="20"/>
        </w:rPr>
        <w:t>CONCRETE AND AGGREGATES</w:t>
      </w:r>
    </w:p>
    <w:p>
      <w:pPr>
        <w:pStyle w:val="TextBody"/>
        <w:bidi w:val="0"/>
        <w:jc w:val="left"/>
        <w:rPr/>
      </w:pPr>
      <w:r>
        <w:rPr/>
        <w:t> </w:t>
      </w:r>
    </w:p>
    <w:tbl>
      <w:tblPr>
        <w:tblW w:w="7016" w:type="dxa"/>
        <w:jc w:val="left"/>
        <w:tblInd w:w="0" w:type="dxa"/>
        <w:tblLayout w:type="fixed"/>
        <w:tblCellMar>
          <w:top w:w="28" w:type="dxa"/>
          <w:left w:w="28" w:type="dxa"/>
          <w:bottom w:w="28" w:type="dxa"/>
          <w:right w:w="28" w:type="dxa"/>
        </w:tblCellMar>
      </w:tblPr>
      <w:tblGrid>
        <w:gridCol w:w="2731"/>
        <w:gridCol w:w="146"/>
        <w:gridCol w:w="199"/>
        <w:gridCol w:w="148"/>
        <w:gridCol w:w="611"/>
        <w:gridCol w:w="168"/>
        <w:gridCol w:w="148"/>
        <w:gridCol w:w="148"/>
        <w:gridCol w:w="199"/>
        <w:gridCol w:w="148"/>
        <w:gridCol w:w="611"/>
        <w:gridCol w:w="168"/>
        <w:gridCol w:w="148"/>
        <w:gridCol w:w="146"/>
        <w:gridCol w:w="258"/>
        <w:gridCol w:w="613"/>
        <w:gridCol w:w="4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net sales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Revenue, including Intersegment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80,748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77,568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7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Less 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(3,852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7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76,232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73,716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7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Sales 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M Cubic Yards of Concrete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27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M Tons of Aggregate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1,741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27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Average Net Sales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Concrete, per cubic yard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150.43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27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Aggregates,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27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7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Concrete and Aggregates Revenue increased 4% to $80.7 million for the three months ended June 30, 2026. The increase was due to higher gross sales prices of $3.3 million and higher Aggregates Sales Volume of $0.1 million, which was partially offset by lower Concrete Sales Volume, which reduced Revenue by $0.9 million.</w:t>
      </w:r>
    </w:p>
    <w:p>
      <w:pPr>
        <w:pStyle w:val="TextBody"/>
        <w:bidi w:val="0"/>
        <w:spacing w:before="120" w:after="283"/>
        <w:jc w:val="left"/>
        <w:rPr>
          <w:rFonts w:ascii="Times New Roman" w:hAnsi="Times New Roman"/>
          <w:sz w:val="20"/>
        </w:rPr>
      </w:pPr>
      <w:r>
        <w:rPr>
          <w:rFonts w:ascii="Arial" w:hAnsi="Arial"/>
          <w:color w:val="000000"/>
          <w:sz w:val="20"/>
        </w:rPr>
        <w:t>Operating Earnings were approximately $4.0 million, a 35% decrease. The decrease was due to higher operating costs of $5.5 million and were partially offset by higher gross sales prices of $3.3 million and higher net Sales Volume of $0.1 million. The increase in operating costs was primarily due to higher freight, maintenance, energy, and labor and other fixed costs of approximately $1.4 million, $1.6 million, $0.9 million, and $ 0.9 million, respectively.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51632C"/>
          <w:sz w:val="22"/>
          <w:u w:val="single"/>
        </w:rPr>
      </w:pPr>
      <w:r>
        <w:rPr>
          <w:rFonts w:ascii="Arial" w:hAnsi="Arial"/>
          <w:b/>
          <w:color w:val="51632C"/>
          <w:sz w:val="22"/>
          <w:u w:val="single"/>
        </w:rPr>
        <w:t>Light Materials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77943C"/>
          <w:sz w:val="20"/>
        </w:rPr>
        <w:t>GYPSUM WALLBOARD</w:t>
      </w:r>
      <w:r>
        <w:rPr>
          <w:rFonts w:ascii="Times New Roman" w:hAnsi="Times New Roman"/>
          <w:color w:val="000000"/>
          <w:sz w:val="20"/>
        </w:rPr>
        <w:t xml:space="preserve"> </w:t>
      </w:r>
    </w:p>
    <w:tbl>
      <w:tblPr>
        <w:tblW w:w="8272" w:type="dxa"/>
        <w:jc w:val="left"/>
        <w:tblInd w:w="0" w:type="dxa"/>
        <w:tblLayout w:type="fixed"/>
        <w:tblCellMar>
          <w:top w:w="28" w:type="dxa"/>
          <w:left w:w="28" w:type="dxa"/>
          <w:bottom w:w="28" w:type="dxa"/>
          <w:right w:w="28" w:type="dxa"/>
        </w:tblCellMar>
      </w:tblPr>
      <w:tblGrid>
        <w:gridCol w:w="3826"/>
        <w:gridCol w:w="146"/>
        <w:gridCol w:w="203"/>
        <w:gridCol w:w="151"/>
        <w:gridCol w:w="716"/>
        <w:gridCol w:w="172"/>
        <w:gridCol w:w="151"/>
        <w:gridCol w:w="151"/>
        <w:gridCol w:w="203"/>
        <w:gridCol w:w="151"/>
        <w:gridCol w:w="716"/>
        <w:gridCol w:w="172"/>
        <w:gridCol w:w="151"/>
        <w:gridCol w:w="146"/>
        <w:gridCol w:w="258"/>
        <w:gridCol w:w="613"/>
        <w:gridCol w:w="34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MMSF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204,747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221,516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Sales Volume (MMSF)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Freight and Delivery Costs Billed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(42,823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(39,372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77943C"/>
                <w:sz w:val="20"/>
              </w:rPr>
              <w:t xml:space="preserve">Average Net Sales Price, per MSF </w:t>
            </w:r>
            <w:r>
              <w:rPr>
                <w:rFonts w:ascii="Arial Narrow;sans-serif" w:hAnsi="Arial Narrow;sans-serif"/>
                <w:b/>
                <w:color w:val="77943C"/>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209.65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232.40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Freight, per MSF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Operating Margin, per MSF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95.02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73,353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92,641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color w:val="000000"/>
          <w:sz w:val="13"/>
        </w:rPr>
      </w:pPr>
      <w:r>
        <w:rPr>
          <w:rFonts w:ascii="Arial" w:hAnsi="Arial"/>
          <w:color w:val="000000"/>
          <w:sz w:val="13"/>
        </w:rPr>
        <w:t>(1) Net of freight per MSF.</w:t>
      </w:r>
    </w:p>
    <w:p>
      <w:pPr>
        <w:pStyle w:val="TextBody"/>
        <w:bidi w:val="0"/>
        <w:spacing w:before="120" w:after="283"/>
        <w:jc w:val="left"/>
        <w:rPr>
          <w:rFonts w:ascii="Arial" w:hAnsi="Arial"/>
          <w:color w:val="000000"/>
          <w:sz w:val="20"/>
        </w:rPr>
      </w:pPr>
      <w:r>
        <w:rPr>
          <w:rFonts w:ascii="Arial" w:hAnsi="Arial"/>
          <w:color w:val="000000"/>
          <w:sz w:val="20"/>
        </w:rPr>
        <w:t>Gypsum Wallboard Revenue was $204.7 million, an 8% decrease for the three months ended June 30, 2026. Lower gross sales prices and lower Sales Volume decreased Revenue by approximately $13.4 million and $3.4 million, respectively. Our market share remained relatively consistent during the three months ended June 30, 2026, based on the Gypsum Association's data.</w:t>
      </w:r>
    </w:p>
    <w:p>
      <w:pPr>
        <w:pStyle w:val="TextBody"/>
        <w:bidi w:val="0"/>
        <w:spacing w:before="120" w:after="283"/>
        <w:jc w:val="left"/>
        <w:rPr>
          <w:rFonts w:ascii="Times New Roman" w:hAnsi="Times New Roman"/>
          <w:sz w:val="20"/>
        </w:rPr>
      </w:pPr>
      <w:r>
        <w:rPr>
          <w:rFonts w:ascii="Arial" w:hAnsi="Arial"/>
          <w:color w:val="000000"/>
          <w:sz w:val="20"/>
        </w:rPr>
        <w:t>Operating Earnings decreased 21% to $73.4 million, primarily because of lower gross sales prices of $13.4 million, lower Sales Volume of $1.4 million, and higher operating costs of $4.5 million. The higher operating costs were primarily related to higher freight costs of $4.1 million. Operating Margin decreased to 36% for the three months ended June 30, 2026, primarily because of lower gross sales prices and higher operating costs. Fixed costs are not a significant portion of the overall cost of wallboard; therefore, changes in utilization have a relatively minor impact on our operating cost per unit.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85B271"/>
          <w:sz w:val="20"/>
        </w:rPr>
      </w:pPr>
      <w:r>
        <w:rPr>
          <w:rFonts w:ascii="Arial" w:hAnsi="Arial"/>
          <w:b/>
          <w:color w:val="85B271"/>
          <w:sz w:val="20"/>
        </w:rPr>
        <w:t>RECYCLED PAPERBOARD</w:t>
      </w:r>
    </w:p>
    <w:tbl>
      <w:tblPr>
        <w:tblW w:w="7031" w:type="dxa"/>
        <w:jc w:val="left"/>
        <w:tblInd w:w="0" w:type="dxa"/>
        <w:tblLayout w:type="fixed"/>
        <w:tblCellMar>
          <w:top w:w="28" w:type="dxa"/>
          <w:left w:w="28" w:type="dxa"/>
          <w:bottom w:w="28" w:type="dxa"/>
          <w:right w:w="28" w:type="dxa"/>
        </w:tblCellMar>
      </w:tblPr>
      <w:tblGrid>
        <w:gridCol w:w="2806"/>
        <w:gridCol w:w="146"/>
        <w:gridCol w:w="196"/>
        <w:gridCol w:w="146"/>
        <w:gridCol w:w="661"/>
        <w:gridCol w:w="166"/>
        <w:gridCol w:w="146"/>
        <w:gridCol w:w="146"/>
        <w:gridCol w:w="196"/>
        <w:gridCol w:w="146"/>
        <w:gridCol w:w="661"/>
        <w:gridCol w:w="166"/>
        <w:gridCol w:w="146"/>
        <w:gridCol w:w="146"/>
        <w:gridCol w:w="258"/>
        <w:gridCol w:w="613"/>
        <w:gridCol w:w="28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ton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Revenue, including Intersegment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8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Less 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8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Sales Volume (M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8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85B372"/>
                <w:sz w:val="20"/>
              </w:rPr>
              <w:t xml:space="preserve">Average Net Sales Price, per ton </w:t>
            </w:r>
            <w:r>
              <w:rPr>
                <w:rFonts w:ascii="Arial Narrow;sans-serif" w:hAnsi="Arial Narrow;sans-serif"/>
                <w:b/>
                <w:color w:val="85B372"/>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8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Operating Margin,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8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8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color w:val="000000"/>
          <w:sz w:val="13"/>
        </w:rPr>
      </w:pPr>
      <w:r>
        <w:rPr>
          <w:rFonts w:ascii="Arial" w:hAnsi="Arial"/>
          <w:color w:val="000000"/>
          <w:sz w:val="13"/>
        </w:rPr>
        <w:t>(1) Net of freight per ton.</w:t>
      </w:r>
    </w:p>
    <w:p>
      <w:pPr>
        <w:pStyle w:val="TextBody"/>
        <w:bidi w:val="0"/>
        <w:spacing w:before="120" w:after="283"/>
        <w:jc w:val="left"/>
        <w:rPr>
          <w:rFonts w:ascii="Times New Roman" w:hAnsi="Times New Roman"/>
          <w:sz w:val="20"/>
        </w:rPr>
      </w:pPr>
      <w:r>
        <w:rPr>
          <w:rFonts w:ascii="Arial" w:hAnsi="Arial"/>
          <w:color w:val="000000"/>
          <w:sz w:val="20"/>
        </w:rPr>
        <w:t>Recycled Paperboard Revenue increased 8% to $55.4 million during the three months ended June 30, 2026. Higher gross sales prices and Sales Volume increased Revenue by $3.1 million and $1.2 million, respectively. Higher gross sales prices were related to the pricing provisions in our long-term sales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Operating Earnings increased 38% to $13.1 million, primarily due to higher gross sales prices, increased Sales Volume, and lower operating costs, which increased Operating Earnings by $3.1 million, $0.2 million and $0.3 million, respectively. As a result, Operating Margin increased to 24% from 19% in the quarter ended June 30, 2025. Although the Company has certain pricing provisions in its long-term sales agreements, prices are adjusted only at certain times throughout the year, so price adjustments are not always reflected in the same period as the change in costs.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color w:val="004483"/>
          <w:sz w:val="22"/>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alternative policies or estimation techniques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Information regarding our Critical Accounting Policies can be found in our Annual Report on Form 10-K for the fiscal year ended March 31, 2026 (the Annual Report). The two Critical Accounting Policies that we believe are material to our financial statements, and either require the most judgment, or the selection or application of alternative accounting policies, are those related to goodwill and business combinations. Management has discussed the development and selection of these Critical Accounting Policies and estimates with the Audit Committee of our Board of Directors and with our independent registered public accounting firm. In addition, Note (A) in the Notes to Consolidated Financial Statements in our Annual Report contains a summary of our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4483"/>
          <w:sz w:val="22"/>
          <w:u w:val="single"/>
        </w:rPr>
      </w:pPr>
      <w:r>
        <w:rPr>
          <w:rFonts w:ascii="Arial" w:hAnsi="Arial"/>
          <w:b/>
          <w:color w:val="004483"/>
          <w:sz w:val="22"/>
          <w:u w:val="single"/>
        </w:rPr>
        <w:t>Recent Accounting Pronouncements</w:t>
      </w:r>
    </w:p>
    <w:p>
      <w:pPr>
        <w:pStyle w:val="TextBody"/>
        <w:bidi w:val="0"/>
        <w:spacing w:before="120" w:after="283"/>
        <w:jc w:val="left"/>
        <w:rPr>
          <w:rFonts w:ascii="Times New Roman" w:hAnsi="Times New Roman"/>
          <w:sz w:val="20"/>
        </w:rPr>
      </w:pPr>
      <w:r>
        <w:rPr>
          <w:rFonts w:ascii="Arial" w:hAnsi="Arial"/>
          <w:color w:val="000000"/>
          <w:sz w:val="20"/>
        </w:rPr>
        <w:t>Refer to Note (A) in the Notes to Unaudited Consolidated Financial Statements of this Quarterly Report on Form 10-Q for information regarding recently issued accounting pronouncements that may affect our financial statements.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color w:val="004483"/>
          <w:sz w:val="22"/>
        </w:rPr>
        <w:t>LIQUIDITY AND CAPITAL RESOURCES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believe we have access at the present time to sufficient financial resources from our liquidity sources to fund our business and operations, including contractual obligations, capital expenditures, and debt service obligations, for at least the next 12 months. In the long term, we intend to rely on our existing financial resources, together with borrowings under existing and future credit facilities and potential offerings of our securities in private or public markets.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12-month period.</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4483"/>
          <w:sz w:val="22"/>
          <w:u w:val="single"/>
        </w:rPr>
        <w:t>Cash Flow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following table provides a summary of our cash flows:</w:t>
      </w:r>
      <w:r>
        <w:rPr>
          <w:rFonts w:ascii="Times New Roman" w:hAnsi="Times New Roman"/>
          <w:color w:val="000000"/>
          <w:sz w:val="20"/>
        </w:rPr>
        <w:t xml:space="preserve"> </w:t>
      </w:r>
    </w:p>
    <w:tbl>
      <w:tblPr>
        <w:tblW w:w="8939" w:type="dxa"/>
        <w:jc w:val="left"/>
        <w:tblInd w:w="0" w:type="dxa"/>
        <w:tblLayout w:type="fixed"/>
        <w:tblCellMar>
          <w:top w:w="28" w:type="dxa"/>
          <w:left w:w="28" w:type="dxa"/>
          <w:bottom w:w="28" w:type="dxa"/>
          <w:right w:w="28" w:type="dxa"/>
        </w:tblCellMar>
      </w:tblPr>
      <w:tblGrid>
        <w:gridCol w:w="5706"/>
        <w:gridCol w:w="146"/>
        <w:gridCol w:w="204"/>
        <w:gridCol w:w="152"/>
        <w:gridCol w:w="785"/>
        <w:gridCol w:w="173"/>
        <w:gridCol w:w="152"/>
        <w:gridCol w:w="152"/>
        <w:gridCol w:w="204"/>
        <w:gridCol w:w="152"/>
        <w:gridCol w:w="722"/>
        <w:gridCol w:w="391"/>
      </w:tblGrid>
      <w:tr>
        <w:trPr/>
        <w:tc>
          <w:tcPr>
            <w:tcW w:w="5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154,378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136,634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(120,755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(76,097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(120,755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(76,097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Repayment of 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Repayment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(3,750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Dividends Paid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(7,964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(8,254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(83,833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(78,616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Shares Redeemed to Settle Employee Taxes on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(2,524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(98,004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(21,199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5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(64,381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39,338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Net Cash Provided by Operating Activities increased by $17.7 million to $154.4 million during the three months ended June 30, 2026. This increase was primarily attributable to higher cash flows from changes in Working Capital and noncash activity of $13.3 million and $25.6 million, respectively, partially offset by lower Operating Earnings of $21.2 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Working Capital decreased by $49.0 million to $641.8 million at June 30, 2026, compared with March 31, 2026. The decrease was primarily due to lower Cash, Inventories, and Income Tax Receivable of $64.4 million, $28.8 million, and $1.2 million, respectively, and higher Accounts Payable, Accrued Liabilities, and Income Taxes Payable of $18.0 million, $6.1 million, and $2.8 million, respectively. This was partially offset by higher Accounts Receivable, net of $65.2 million and higher Prepaid and Other Assets of $7.7 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increase in Accounts Receivable at June 30, 2026, was primarily related to higher Revenue during the three months ended June 30, 2026, particularly in the month of June, compared with the three months ended March 31, 2026. As a percentage of quarterly sales generated for the respective quarters, Accounts Receivable was approximately 45% and 48% at June 30, 2026, and March 31, 2026, respectively.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June 30, 2026.</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Our Inventory balance at June 30, 2026, decreased by approximately $28.8 million from our balance at March 31, 2026. Within Inventory, Raw Materials and Materials-in-Progress, Finished Cement, Aggregates, Recycled Paperboard, Repair Parts and Supplies, and Fuel and Coal declined $24.4 million, $0.8 million, $0.3 million, $2.1 million, $2.1 million, and $1.0 million, respectively. This was partially offset by an increase in Gypsum Wallboard inventory of $1.9 million. The decline in Raw Materials and Materials-in-Progress is consistent with our business cycle; we generally build up clinker inventory over the winter months to meet the demand for cement in the spring and summer. The decrease in Repair Parts inventory was primarily due to the completion of most of our scheduled outages during the quarter. The largest individual balance in our Inventory is Repair Parts. These parts are necessary given the size and complexity of our manufacturing plants, and the age of certain plants, which creates the need to stock a high level of Repair Parts inventory. We believe all these repair parts are necessary, and we perform semi-annual analyses to identify obsolete parts. We have less than one year’s sales of all product inventories, and our inventories have a low risk of obsolescence because our products are basic construction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Net Cash Used in Investing Activities during the three months ended June 30, 2026, was approximately $120.8 million, compared with $76.1 million during the same period in 2025. The $44.7 million increase was primarily related to the modernization and expansion of our Mountain Cement facility.</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Net Cash Used in Financing Activities was $98.0 million during the three months ended June 30, 2026 compared with $21.2 million during the same period in 2025. The $76.8 million increase was mainly related to lower borrowings, net of repayments of $75.0 million and higher Purchase and Retirement of Common Stock of $5.2 million. This was partially offset by lower Shares Redeemed to Settle Employee Taxes on Stock Compensation of $3.1 million.</w:t>
      </w:r>
    </w:p>
    <w:p>
      <w:pPr>
        <w:pStyle w:val="TextBody"/>
        <w:bidi w:val="0"/>
        <w:spacing w:before="120" w:after="283"/>
        <w:jc w:val="left"/>
        <w:rPr>
          <w:rFonts w:ascii="Times New Roman" w:hAnsi="Times New Roman"/>
          <w:sz w:val="20"/>
        </w:rPr>
      </w:pPr>
      <w:r>
        <w:rPr>
          <w:rFonts w:ascii="Arial" w:hAnsi="Arial"/>
          <w:color w:val="000000"/>
          <w:sz w:val="20"/>
        </w:rPr>
        <w:t>Our debt-to-capitalization ratio and net-debt-to-capitalization ratio were 54.5% and 50.9%, respectively, at June 30, 2026, compared with 54.7% and 50.1%, respectively, at March 31,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4483"/>
          <w:sz w:val="22"/>
          <w:u w:val="single"/>
        </w:rPr>
        <w:t>Debt Financing Activities</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Below is a summary of the Company’s outstanding debt facilities at June 30, 2026.</w:t>
      </w:r>
    </w:p>
    <w:tbl>
      <w:tblPr>
        <w:tblW w:w="3988" w:type="dxa"/>
        <w:jc w:val="left"/>
        <w:tblInd w:w="0" w:type="dxa"/>
        <w:tblLayout w:type="fixed"/>
        <w:tblCellMar>
          <w:top w:w="28" w:type="dxa"/>
          <w:left w:w="28" w:type="dxa"/>
          <w:bottom w:w="28" w:type="dxa"/>
          <w:right w:w="28" w:type="dxa"/>
        </w:tblCellMar>
      </w:tblPr>
      <w:tblGrid>
        <w:gridCol w:w="2626"/>
        <w:gridCol w:w="146"/>
        <w:gridCol w:w="12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Maturity</w:t>
            </w:r>
          </w:p>
        </w:tc>
      </w:tr>
      <w:tr>
        <w:trPr/>
        <w:tc>
          <w:tcPr>
            <w:tcW w:w="26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February 2030</w:t>
            </w:r>
          </w:p>
        </w:tc>
      </w:tr>
      <w:tr>
        <w:trPr/>
        <w:tc>
          <w:tcPr>
            <w:tcW w:w="26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February 2030</w:t>
            </w:r>
          </w:p>
        </w:tc>
      </w:tr>
      <w:tr>
        <w:trPr/>
        <w:tc>
          <w:tcPr>
            <w:tcW w:w="26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2.500% Senior Unsecured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July 2031</w:t>
            </w:r>
          </w:p>
        </w:tc>
      </w:tr>
      <w:tr>
        <w:trPr/>
        <w:tc>
          <w:tcPr>
            <w:tcW w:w="26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5.000% Senior Unsecured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March 2036</w:t>
            </w:r>
          </w:p>
        </w:tc>
      </w:tr>
      <w:tr>
        <w:trPr/>
        <w:tc>
          <w:tcPr>
            <w:tcW w:w="26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Arial" w:hAnsi="Arial"/>
          <w:color w:val="000000"/>
          <w:sz w:val="20"/>
        </w:rPr>
        <w:t>See Note (L) in the Notes to Unaudited Consolidated Financial Statements for further details on the Company’s debt facilities, including interest rate, and financial and other covenants and restrictions.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revolving borrowing capacity of our Revolving Credit Facility is $750.0 million (any revolving loans borrowed under the Revolving Credit Facility, as applicable, the Revolving Loans). The Revolving Credit Facility also includes a swingline loan sublimit of $25.0 million, and a $40.0 million letter of credit facility. At June 30, 2026, we had no outstanding Revolving Loans under the Revolving Credit Facility and $9.9 million of outstanding letters of credit, leaving us with $740.1 million of available borrowings under the Revolving Credit Facility, net of outstanding letters of credit. We are contingently liable for performance under $52.2 million in performance bonds relating primarily to our mining operations. We do not have any off-balance sheet debt or any outstanding debt guarantees as of June 30, 2026.</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believe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several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the Market Conditions and Outlook section above for further discussion of the possible effects on our business.</w:t>
      </w:r>
    </w:p>
    <w:p>
      <w:pPr>
        <w:pStyle w:val="TextBody"/>
        <w:bidi w:val="0"/>
        <w:spacing w:before="120" w:after="283"/>
        <w:jc w:val="left"/>
        <w:rPr>
          <w:rFonts w:ascii="Times New Roman" w:hAnsi="Times New Roman"/>
          <w:sz w:val="20"/>
        </w:rPr>
      </w:pPr>
      <w:r>
        <w:rPr>
          <w:rFonts w:ascii="Arial" w:hAnsi="Arial"/>
          <w:color w:val="000000"/>
          <w:sz w:val="20"/>
        </w:rPr>
        <w:t>As market conditions warrant, the Company may from time to time seek to purchase or repay its outstanding debt securities or loans, including the 2.500% Senior Unsecured Notes, 5.000% Senior Unsecured Notes, the Term Loan, and any Revolving Credit Loans, in each case, in privately negotiated or open market transactions, by tender offer or otherwise. Subject to any applicable limitations contained in the agreements governing our indebtedness, any purchases we make may be funded by using cash on our balance sheet or issuing new debt. The amounts involved in any such purchase transactions, individually or in aggregate, may be material.</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had approximately $38.4 million of lease liabilities at June 30, 2026, with an average remaining life of approximately 11.1 years.</w:t>
      </w:r>
    </w:p>
    <w:p>
      <w:pPr>
        <w:pStyle w:val="TextBody"/>
        <w:bidi w:val="0"/>
        <w:spacing w:before="120" w:after="283"/>
        <w:jc w:val="left"/>
        <w:rPr>
          <w:rFonts w:ascii="Arial" w:hAnsi="Arial"/>
          <w:b/>
          <w:color w:val="004483"/>
          <w:sz w:val="22"/>
          <w:u w:val="single"/>
        </w:rPr>
      </w:pPr>
      <w:r>
        <w:rPr>
          <w:rFonts w:ascii="Arial" w:hAnsi="Arial"/>
          <w:b/>
          <w:color w:val="004483"/>
          <w:sz w:val="22"/>
          <w:u w:val="single"/>
        </w:rPr>
        <w:t>Dividends</w:t>
      </w:r>
    </w:p>
    <w:p>
      <w:pPr>
        <w:pStyle w:val="TextBody"/>
        <w:bidi w:val="0"/>
        <w:spacing w:before="120" w:after="283"/>
        <w:jc w:val="left"/>
        <w:rPr>
          <w:rFonts w:ascii="Arial" w:hAnsi="Arial"/>
          <w:color w:val="000000"/>
          <w:sz w:val="20"/>
        </w:rPr>
      </w:pPr>
      <w:r>
        <w:rPr>
          <w:rFonts w:ascii="Arial" w:hAnsi="Arial"/>
          <w:color w:val="000000"/>
          <w:sz w:val="20"/>
        </w:rPr>
        <w:t>Dividends paid were $8.0 million and $8.3 million for the three months ended June 30, 2026, and 2025, respectively. Each quarterly dividend payment is subject to review and approval by our Board of Directors, who will continue to evaluate our dividend payment amount on a quarterly basis.</w:t>
      </w:r>
    </w:p>
    <w:p>
      <w:pPr>
        <w:pStyle w:val="TextBody"/>
        <w:bidi w:val="0"/>
        <w:spacing w:before="120" w:after="283"/>
        <w:jc w:val="left"/>
        <w:rPr>
          <w:rFonts w:ascii="Arial" w:hAnsi="Arial"/>
          <w:b/>
          <w:color w:val="004483"/>
          <w:sz w:val="22"/>
          <w:u w:val="single"/>
        </w:rPr>
      </w:pPr>
      <w:r>
        <w:rPr>
          <w:rFonts w:ascii="Arial" w:hAnsi="Arial"/>
          <w:b/>
          <w:color w:val="004483"/>
          <w:sz w:val="22"/>
          <w:u w:val="single"/>
        </w:rPr>
        <w:t>Share Repurchases</w:t>
      </w:r>
    </w:p>
    <w:p>
      <w:pPr>
        <w:pStyle w:val="TextBody"/>
        <w:bidi w:val="0"/>
        <w:spacing w:before="120" w:after="120"/>
        <w:jc w:val="both"/>
        <w:rPr>
          <w:rFonts w:ascii="Arial" w:hAnsi="Arial"/>
          <w:color w:val="000000"/>
          <w:sz w:val="20"/>
        </w:rPr>
      </w:pPr>
      <w:r>
        <w:rPr>
          <w:rFonts w:ascii="Arial" w:hAnsi="Arial"/>
          <w:color w:val="000000"/>
          <w:sz w:val="20"/>
        </w:rPr>
        <w:t>During the three months ended June 30, 2026, our share repurchases were as follows.</w:t>
      </w:r>
    </w:p>
    <w:tbl>
      <w:tblPr>
        <w:tblW w:w="9409" w:type="dxa"/>
        <w:jc w:val="left"/>
        <w:tblInd w:w="0" w:type="dxa"/>
        <w:tblLayout w:type="fixed"/>
        <w:tblCellMar>
          <w:top w:w="28" w:type="dxa"/>
          <w:left w:w="28" w:type="dxa"/>
          <w:bottom w:w="28" w:type="dxa"/>
          <w:right w:w="28" w:type="dxa"/>
        </w:tblCellMar>
      </w:tblPr>
      <w:tblGrid>
        <w:gridCol w:w="2446"/>
        <w:gridCol w:w="146"/>
        <w:gridCol w:w="237"/>
        <w:gridCol w:w="1128"/>
        <w:gridCol w:w="146"/>
        <w:gridCol w:w="146"/>
        <w:gridCol w:w="350"/>
        <w:gridCol w:w="1075"/>
        <w:gridCol w:w="146"/>
        <w:gridCol w:w="146"/>
        <w:gridCol w:w="409"/>
        <w:gridCol w:w="971"/>
        <w:gridCol w:w="146"/>
        <w:gridCol w:w="146"/>
        <w:gridCol w:w="207"/>
        <w:gridCol w:w="1173"/>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 Number of</w:t>
              <w:br/>
              <w:t>Shares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Average Price Paid</w:t>
              <w:b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 Number of</w:t>
              <w:br/>
              <w:t>Shares Purchased</w:t>
              <w:br/>
              <w:t>as Part of Publicly</w:t>
              <w:br/>
              <w:t>Announced Plans</w:t>
              <w:br/>
              <w:t>or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Maximum Number</w:t>
              <w:br/>
              <w:t>of Shares that May</w:t>
              <w:br/>
              <w:t>Yet Be Purchased</w:t>
              <w:br/>
              <w:t>Under the Plans</w:t>
              <w:br/>
              <w:t>or Programs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April 1 through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May 1 through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June 1 through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0000"/>
                <w:sz w:val="20"/>
              </w:rPr>
            </w:pPr>
            <w:r>
              <w:rPr>
                <w:rFonts w:ascii="Arial Narrow;sans-serif" w:hAnsi="Arial Narrow;sans-serif"/>
                <w:b/>
                <w:color w:val="000000"/>
                <w:sz w:val="20"/>
              </w:rPr>
              <w:t>Quarter 1 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406,500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206.23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2,523,372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On May 17, 2022, the Board of Directors authorized us to repurchase an additional 7.5 million shares. This authorization brought the cumulative total of common stock our Board has approved for repurchase in the open market to 55.9 million shares since we became a publicly held company in April 1994. Through June 30, 2026, we have repurchased approximately 53.0 million shares.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pStyle w:val="TextBody"/>
        <w:bidi w:val="0"/>
        <w:spacing w:before="120" w:after="283"/>
        <w:jc w:val="left"/>
        <w:rPr>
          <w:rFonts w:ascii="Times New Roman" w:hAnsi="Times New Roman"/>
          <w:sz w:val="20"/>
        </w:rPr>
      </w:pPr>
      <w:r>
        <w:rPr>
          <w:rFonts w:ascii="Arial" w:hAnsi="Arial"/>
          <w:color w:val="000000"/>
          <w:sz w:val="20"/>
        </w:rPr>
        <w:t>During the three months ended June 30, 2026, the Company withheld from employees 29,228 shares of stock upon the vesting of Restricted Shares that were granted under the 2023 Plan. We withheld these shares to satisfy the employees’ statutory tax withholding requirements, which is necessary once the Restricted Shares or Restricted Share Units are vested.</w:t>
      </w:r>
      <w:r>
        <w:rPr>
          <w:rFonts w:ascii="Times New Roman" w:hAnsi="Times New Roman"/>
          <w:color w:val="000000"/>
          <w:sz w:val="20"/>
        </w:rPr>
        <w:t xml:space="preserve"> </w:t>
      </w:r>
    </w:p>
    <w:p>
      <w:pPr>
        <w:pStyle w:val="TextBody"/>
        <w:bidi w:val="0"/>
        <w:spacing w:before="120" w:after="283"/>
        <w:jc w:val="left"/>
        <w:rPr>
          <w:rFonts w:ascii="Arial" w:hAnsi="Arial"/>
          <w:b/>
          <w:color w:val="004483"/>
          <w:sz w:val="22"/>
          <w:u w:val="single"/>
        </w:rPr>
      </w:pPr>
      <w:r>
        <w:rPr>
          <w:rFonts w:ascii="Arial" w:hAnsi="Arial"/>
          <w:b/>
          <w:color w:val="004483"/>
          <w:sz w:val="22"/>
          <w:u w:val="single"/>
        </w:rPr>
        <w:t>Capital Expenditures</w:t>
      </w:r>
    </w:p>
    <w:p>
      <w:pPr>
        <w:pStyle w:val="TextBody"/>
        <w:bidi w:val="0"/>
        <w:spacing w:before="120" w:after="283"/>
        <w:jc w:val="left"/>
        <w:rPr>
          <w:rFonts w:ascii="Times New Roman" w:hAnsi="Times New Roman"/>
          <w:sz w:val="20"/>
        </w:rPr>
      </w:pPr>
      <w:r>
        <w:rPr>
          <w:rFonts w:ascii="Arial" w:hAnsi="Arial"/>
          <w:color w:val="000000"/>
          <w:sz w:val="20"/>
        </w:rPr>
        <w:t>The following table details capital expenditures by category.</w:t>
      </w:r>
      <w:r>
        <w:rPr>
          <w:rFonts w:ascii="Times New Roman" w:hAnsi="Times New Roman"/>
          <w:color w:val="000000"/>
          <w:sz w:val="20"/>
        </w:rPr>
        <w:t xml:space="preserve"> </w:t>
      </w:r>
    </w:p>
    <w:tbl>
      <w:tblPr>
        <w:tblW w:w="6165" w:type="dxa"/>
        <w:jc w:val="left"/>
        <w:tblInd w:w="0" w:type="dxa"/>
        <w:tblLayout w:type="fixed"/>
        <w:tblCellMar>
          <w:top w:w="28" w:type="dxa"/>
          <w:left w:w="28" w:type="dxa"/>
          <w:bottom w:w="28" w:type="dxa"/>
          <w:right w:w="28" w:type="dxa"/>
        </w:tblCellMar>
      </w:tblPr>
      <w:tblGrid>
        <w:gridCol w:w="3031"/>
        <w:gridCol w:w="146"/>
        <w:gridCol w:w="267"/>
        <w:gridCol w:w="944"/>
        <w:gridCol w:w="199"/>
        <w:gridCol w:w="199"/>
        <w:gridCol w:w="267"/>
        <w:gridCol w:w="821"/>
        <w:gridCol w:w="2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Land and Quarries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Plants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77,174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56,023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Buildings, 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43,241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18,619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0000"/>
                <w:sz w:val="20"/>
              </w:rPr>
            </w:pPr>
            <w:r>
              <w:rPr>
                <w:rFonts w:ascii="Arial Narrow;sans-serif" w:hAnsi="Arial Narrow;sans-serif"/>
                <w:b/>
                <w:color w:val="000000"/>
                <w:sz w:val="20"/>
              </w:rPr>
              <w:t>Total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120,755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76,097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Arial" w:hAnsi="Arial"/>
          <w:color w:val="000000"/>
          <w:sz w:val="20"/>
        </w:rPr>
      </w:pPr>
      <w:r>
        <w:rPr>
          <w:rFonts w:ascii="Arial" w:hAnsi="Arial"/>
          <w:color w:val="000000"/>
          <w:sz w:val="20"/>
        </w:rPr>
        <w:t>Capital expenditures for fiscal 2027 are expected to range from $490.0 million to $525.0 million and will be allocated across both Heavy Materials and Light Materials sectors. These estimated capital expenditures will be for the expansions and modernizations of our Mountain Cement facility in Wyoming and our gypsum wallboard plant in Duke, Oklahoma, as well as for ongoing maintenance and improvements, and other safety and regulatory projects.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4483"/>
          <w:sz w:val="22"/>
        </w:rPr>
      </w:pPr>
      <w:r>
        <w:rPr>
          <w:rFonts w:ascii="Arial" w:hAnsi="Arial"/>
          <w:color w:val="004483"/>
          <w:sz w:val="22"/>
        </w:rPr>
        <w:t>FORWARD-LOOKING STATEMENTS</w:t>
      </w:r>
    </w:p>
    <w:p>
      <w:pPr>
        <w:pStyle w:val="TextBody"/>
        <w:bidi w:val="0"/>
        <w:spacing w:before="120" w:after="283"/>
        <w:jc w:val="left"/>
        <w:rPr>
          <w:rFonts w:ascii="Arial" w:hAnsi="Arial"/>
          <w:color w:val="000000"/>
          <w:sz w:val="20"/>
        </w:rPr>
      </w:pPr>
      <w:r>
        <w:rPr>
          <w:rFonts w:ascii="Arial" w:hAnsi="Arial"/>
          <w:color w:val="000000"/>
          <w:sz w:val="20"/>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as to future events.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fluctuations in public infrastructure expenditures; the effects of adverse weather conditions on infrastructure and other construction projects as well as our facilities and operations; the fact that our products are commodities and that prices for our products are subject to material fluctuation due to market conditions and other factors beyond our control; the availability of and fluctuations in the cost of raw materials; changes in the costs of energy, including, without limitation, natural gas, coal and oil (including diesel), and the nature of our obligations to counterparties under energy supply contracts, such as those related to market conditions (for example,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our customers; interruptions in our supply chain; inability to timely execute or realize capacity expansions or efficiency gains from capital improvement projects; difficulties and delays in the development of new business lines; governmental regulation and changes in governmental and public policy (including, without limitation, climate change and other environmental regulation); changes in trade policy, including tariffs and the effects of any increases in tariffs on our business, including increases in inputs used in our facility expansion and modernization projects; possible losses or other adverse outcomes from pending or future litigation or arbitration proceedings; changes in economic conditions or the nature or level of activity in any one or more of the markets or industries in which the Company or its customers are engaged; competition; cyber-attacks or data security breaches, together with the costs of protecting our systems against such incidents and the possible effects thereof on our operations;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including inflation and recessionary conditions; and changes in interest rates and the resulting effects on the Company and demand for our products. For example, increases in interest rates, decreases in demand for construction materials or increases in the cost of energy (including, without limitation, natural gas, coal and oil) or the cost of our raw materials can be expected to adversely affect the revenue and operating earnings of our operations. In addition, changes in national or regional economic conditions and levels of infrastructure and construction spending could also adversely affect the Company’s results of operations. Finally, any forward-looking statements made by the Company are subject to the risks and impacts associated with natural disasters, the outbreak, escalation or resurgence of health emergencies, pandemics or other unforeseen events, as well as their impact on our operations and on economic conditions, capital and financial markets. These and other factors are described in the Company’s Annual Report on Form 10-K for the fiscal year ended March 31, 2026, on file with the Securities and Exchange Commission.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000000"/>
        </w:pBdr>
        <w:bidi w:val="0"/>
        <w:spacing w:before="540" w:after="283"/>
        <w:jc w:val="both"/>
        <w:rPr>
          <w:rFonts w:ascii="Times New Roman" w:hAnsi="Times New Roman"/>
          <w:sz w:val="20"/>
        </w:rPr>
      </w:pPr>
      <w:bookmarkStart w:id="9" w:name="quantitative_and_qualitative_disclosures"/>
      <w:bookmarkEnd w:id="9"/>
      <w:r>
        <w:rPr>
          <w:rFonts w:ascii="Arial" w:hAnsi="Arial"/>
          <w:b/>
          <w:color w:val="000000"/>
          <w:sz w:val="26"/>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are exposed to market risks related to fluctuations in interest rates on our Revolving Credit Facility and Term Loan. We have occasionally used derivative instruments, including interest rate swaps, in conjunction with our overall strategy to manage the debt outstanding that is subject to interest rate changes. We had a $750.0 million Revolving Credit Facility at June 30, 2026, under which borrowings bear interest at a variable rate. A hypothetical 100 basis point increase in interest rates on the $277.5 million of borrowings under the Term Loan at June 30, 2026, would increase interest expense by approximately $2.8 million on an annual basis. At present, we do not use derivative financial instruments.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are subject to commodity risk with respect to price changes principally in coal, coke, natural gas, and power. We attempt to limit our exposure to changes in commodity prices by entering into contracts or increasing our use of alternative fuels.</w:t>
      </w:r>
    </w:p>
    <w:p>
      <w:pPr>
        <w:pStyle w:val="TextBody"/>
        <w:pBdr>
          <w:bottom w:val="single" w:sz="8" w:space="1" w:color="000000"/>
        </w:pBdr>
        <w:bidi w:val="0"/>
        <w:spacing w:before="540" w:after="283"/>
        <w:jc w:val="both"/>
        <w:rPr>
          <w:rFonts w:ascii="Times New Roman" w:hAnsi="Times New Roman"/>
          <w:sz w:val="20"/>
        </w:rPr>
      </w:pPr>
      <w:bookmarkStart w:id="10" w:name="controls_and_procedures"/>
      <w:bookmarkEnd w:id="10"/>
      <w:r>
        <w:rPr>
          <w:rFonts w:ascii="Arial" w:hAnsi="Arial"/>
          <w:b/>
          <w:color w:val="000000"/>
          <w:sz w:val="26"/>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have established a system of disclosure controls and procedures designed to ensure that information relating to the Company that we are required to disclose in the reports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are currently undertaking a multi-year Enterprise Resource Planning (ERP) implementation to upgrade our information technology platforms and business processes. The ERP implementation is occurring in phases over several years, which began in fiscal 2025 with the implementation at Corporate. During the three months ended September 30, 2025, we implemented the ERP at our Gypsum Wallboard and Recycled Paperboard segments.</w:t>
      </w:r>
    </w:p>
    <w:p>
      <w:pPr>
        <w:pStyle w:val="TextBody"/>
        <w:bidi w:val="0"/>
        <w:spacing w:before="120" w:after="283"/>
        <w:jc w:val="left"/>
        <w:rPr>
          <w:rFonts w:ascii="Arial" w:hAnsi="Arial"/>
          <w:color w:val="000000"/>
          <w:sz w:val="20"/>
        </w:rPr>
      </w:pPr>
      <w:r>
        <w:rPr>
          <w:rFonts w:ascii="Arial" w:hAnsi="Arial"/>
          <w:color w:val="000000"/>
          <w:sz w:val="20"/>
        </w:rPr>
        <w:t>As a result of this multi-year implementation, we expect certain changes to our processes and procedures, which, in turn, will result in changes to our internal control over financial reporting. While we expect this implementation to strengthen our internal control over financial reporting by automating certain manual processes and standardizing business processes and reporting across our organization, we will continue to evaluate and monitor our internal control over financial reporting as processes and procedures in the affected areas evolve.</w:t>
      </w:r>
    </w:p>
    <w:p>
      <w:pPr>
        <w:pStyle w:val="TextBody"/>
        <w:bidi w:val="0"/>
        <w:spacing w:before="120" w:after="283"/>
        <w:jc w:val="left"/>
        <w:rPr>
          <w:rFonts w:ascii="Arial" w:hAnsi="Arial"/>
          <w:color w:val="000000"/>
          <w:sz w:val="20"/>
        </w:rPr>
      </w:pPr>
      <w:r>
        <w:rPr>
          <w:rFonts w:ascii="Arial" w:hAnsi="Arial"/>
          <w:color w:val="000000"/>
          <w:sz w:val="20"/>
        </w:rPr>
        <w:t>There have been no changes in our internal control over financial reporting (as defined in Rules 13a-15(f) and 15d-15(f) under the Exchange Act) that occurred during the three months ended June 30, 2026, that have materially affected, or are reasonably likely to materially affect, our internal control over financial reporting.</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1" w:name="part_ii"/>
      <w:bookmarkEnd w:id="11"/>
      <w:r>
        <w:rPr>
          <w:rFonts w:ascii="Arial" w:hAnsi="Arial"/>
          <w:b/>
          <w:color w:val="000000"/>
          <w:sz w:val="26"/>
        </w:rPr>
        <w:t>PART II. OTHER INFORMATION</w:t>
      </w:r>
      <w:r>
        <w:rPr>
          <w:rFonts w:ascii="Times New Roman" w:hAnsi="Times New Roman"/>
          <w:color w:val="000000"/>
          <w:sz w:val="20"/>
        </w:rPr>
        <w:t xml:space="preserve"> </w:t>
      </w:r>
    </w:p>
    <w:p>
      <w:pPr>
        <w:pStyle w:val="TextBody"/>
        <w:bidi w:val="0"/>
        <w:jc w:val="left"/>
        <w:rPr/>
      </w:pPr>
      <w:r>
        <w:rPr/>
        <w:t> </w:t>
      </w:r>
    </w:p>
    <w:p>
      <w:pPr>
        <w:pStyle w:val="TextBody"/>
        <w:pBdr>
          <w:bottom w:val="single" w:sz="8" w:space="1" w:color="000000"/>
        </w:pBdr>
        <w:bidi w:val="0"/>
        <w:spacing w:before="540" w:after="283"/>
        <w:jc w:val="both"/>
        <w:rPr>
          <w:rFonts w:ascii="Times New Roman" w:hAnsi="Times New Roman"/>
          <w:sz w:val="20"/>
        </w:rPr>
      </w:pPr>
      <w:bookmarkStart w:id="12" w:name="legal_proceedings"/>
      <w:bookmarkEnd w:id="12"/>
      <w:r>
        <w:rPr>
          <w:rFonts w:ascii="Arial" w:hAnsi="Arial"/>
          <w:b/>
          <w:color w:val="000000"/>
          <w:sz w:val="26"/>
        </w:rPr>
        <w:t>ITEM 1. Legal Proceedings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In addition to the legal matters described in Part 1, Item 3 Legal Proceedings of our Form 10-K for the fiscal year ended March 31, 2026, from time to time, we have been and may in the future become involved in litigation or other legal proceedings in the ordinary course of our business activities or in connection with transactions or activities we undertake, including claims related to worker safety, worker health, environmental matters, commercial contracts, product liability, personal injury,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pStyle w:val="TextBody"/>
        <w:bidi w:val="0"/>
        <w:spacing w:before="120" w:after="283"/>
        <w:jc w:val="left"/>
        <w:rPr>
          <w:rFonts w:ascii="Arial" w:hAnsi="Arial"/>
          <w:color w:val="000000"/>
          <w:sz w:val="20"/>
        </w:rPr>
      </w:pPr>
      <w:r>
        <w:rPr>
          <w:rFonts w:ascii="Arial" w:hAnsi="Arial"/>
          <w:color w:val="000000"/>
          <w:sz w:val="20"/>
        </w:rPr>
        <w:t>For additional information regarding claims and other contingent liabilities to which we may be subject, see Note (O) to the Unaudited Consolidated Financial Statements.</w:t>
      </w:r>
    </w:p>
    <w:p>
      <w:pPr>
        <w:pStyle w:val="TextBody"/>
        <w:pBdr>
          <w:bottom w:val="single" w:sz="8" w:space="1" w:color="000000"/>
        </w:pBdr>
        <w:bidi w:val="0"/>
        <w:spacing w:before="540" w:after="283"/>
        <w:jc w:val="both"/>
        <w:rPr>
          <w:rFonts w:ascii="Arial" w:hAnsi="Arial"/>
          <w:b/>
          <w:color w:val="000000"/>
          <w:sz w:val="26"/>
        </w:rPr>
      </w:pPr>
      <w:bookmarkStart w:id="13" w:name="risk_factors"/>
      <w:bookmarkEnd w:id="13"/>
      <w:r>
        <w:rPr>
          <w:rFonts w:ascii="Arial" w:hAnsi="Arial"/>
          <w:b/>
          <w:color w:val="000000"/>
          <w:sz w:val="26"/>
        </w:rPr>
        <w:t>ITEM 1A. Risk Factors</w:t>
      </w:r>
    </w:p>
    <w:p>
      <w:pPr>
        <w:pStyle w:val="TextBody"/>
        <w:bidi w:val="0"/>
        <w:spacing w:before="120" w:after="283"/>
        <w:jc w:val="left"/>
        <w:rPr>
          <w:rFonts w:ascii="Arial" w:hAnsi="Arial"/>
          <w:color w:val="000000"/>
          <w:sz w:val="20"/>
        </w:rPr>
      </w:pPr>
      <w:r>
        <w:rPr>
          <w:rFonts w:ascii="Arial" w:hAnsi="Arial"/>
          <w:color w:val="000000"/>
          <w:sz w:val="20"/>
        </w:rPr>
        <w:t>There have been no material changes to the risk factors as disclosed in Part 1. Item 1A. Risk Factors in our Form 10-K for the fiscal year ended March 31, 2026, filed with the Securities and Exchange Commission on May 19, 2026.</w:t>
      </w:r>
    </w:p>
    <w:p>
      <w:pPr>
        <w:pStyle w:val="TextBody"/>
        <w:pBdr>
          <w:bottom w:val="single" w:sz="8" w:space="1" w:color="000000"/>
        </w:pBdr>
        <w:bidi w:val="0"/>
        <w:spacing w:before="540" w:after="283"/>
        <w:jc w:val="left"/>
        <w:rPr>
          <w:rFonts w:ascii="Times New Roman" w:hAnsi="Times New Roman"/>
          <w:sz w:val="20"/>
        </w:rPr>
      </w:pPr>
      <w:bookmarkStart w:id="14" w:name="unregistered_sales"/>
      <w:bookmarkEnd w:id="14"/>
      <w:r>
        <w:rPr>
          <w:rFonts w:ascii="Arial" w:hAnsi="Arial"/>
          <w:b/>
          <w:color w:val="000000"/>
          <w:sz w:val="26"/>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disclosure required under this Item is included in Management’s Discussion and Analysis of Results of Operations and Financial Condition of this Quarterly Report on Form 10-Q under the heading Share Repurchases and is incorporated herein by reference.</w:t>
      </w:r>
      <w:r>
        <w:rPr>
          <w:rFonts w:ascii="Times New Roman" w:hAnsi="Times New Roman"/>
          <w:color w:val="000000"/>
          <w:sz w:val="20"/>
        </w:rPr>
        <w:t xml:space="preserve"> </w:t>
      </w:r>
    </w:p>
    <w:p>
      <w:pPr>
        <w:pStyle w:val="TextBody"/>
        <w:pBdr>
          <w:bottom w:val="single" w:sz="8" w:space="1" w:color="000000"/>
        </w:pBdr>
        <w:bidi w:val="0"/>
        <w:spacing w:before="540" w:after="283"/>
        <w:jc w:val="left"/>
        <w:rPr>
          <w:rFonts w:ascii="Times New Roman" w:hAnsi="Times New Roman"/>
          <w:sz w:val="20"/>
        </w:rPr>
      </w:pPr>
      <w:bookmarkStart w:id="15" w:name="mine_safety_disclosures"/>
      <w:bookmarkEnd w:id="15"/>
      <w:r>
        <w:rPr>
          <w:rFonts w:ascii="Arial" w:hAnsi="Arial"/>
          <w:b/>
          <w:color w:val="000000"/>
          <w:sz w:val="26"/>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information concerning mine safety violations or other regulatory matters required by Section 1503 (a) of the Dodd-Frank Wall Street Reform and Consumer Protection Act and Item 104 of Regulation S-K is included in Exhibit 95 to this Quarterly Report Form 10-Q.</w:t>
      </w:r>
      <w:r>
        <w:rPr>
          <w:rFonts w:ascii="Times New Roman" w:hAnsi="Times New Roman"/>
          <w:color w:val="000000"/>
          <w:sz w:val="20"/>
        </w:rPr>
        <w:t xml:space="preserve"> </w:t>
      </w:r>
    </w:p>
    <w:p>
      <w:pPr>
        <w:pStyle w:val="TextBody"/>
        <w:pBdr>
          <w:bottom w:val="single" w:sz="8" w:space="1" w:color="000000"/>
        </w:pBdr>
        <w:bidi w:val="0"/>
        <w:spacing w:before="540" w:after="283"/>
        <w:jc w:val="left"/>
        <w:rPr>
          <w:rFonts w:ascii="Arial" w:hAnsi="Arial"/>
          <w:b/>
          <w:color w:val="000000"/>
          <w:sz w:val="26"/>
        </w:rPr>
      </w:pPr>
      <w:bookmarkStart w:id="16" w:name="other_information"/>
      <w:bookmarkEnd w:id="16"/>
      <w:r>
        <w:rPr>
          <w:rFonts w:ascii="Arial" w:hAnsi="Arial"/>
          <w:b/>
          <w:color w:val="000000"/>
          <w:sz w:val="26"/>
        </w:rPr>
        <w:t>ITEM 5. Other Information</w:t>
      </w:r>
    </w:p>
    <w:p>
      <w:pPr>
        <w:pStyle w:val="TextBody"/>
        <w:bidi w:val="0"/>
        <w:spacing w:before="120" w:after="283"/>
        <w:jc w:val="left"/>
        <w:rPr>
          <w:rFonts w:ascii="Times New Roman" w:hAnsi="Times New Roman"/>
          <w:sz w:val="20"/>
        </w:rPr>
      </w:pPr>
      <w:r>
        <w:rPr>
          <w:rFonts w:ascii="Arial" w:hAnsi="Arial"/>
          <w:color w:val="000000"/>
          <w:sz w:val="20"/>
        </w:rPr>
        <w:t>None of the Company's directors or officers adopted, modified, or terminated</w:t>
      </w:r>
      <w:r>
        <w:rPr>
          <w:rFonts w:ascii="Times New Roman" w:hAnsi="Times New Roman"/>
          <w:color w:val="000000"/>
          <w:sz w:val="20"/>
        </w:rPr>
        <w:t xml:space="preserve"> </w:t>
      </w:r>
      <w:r>
        <w:rPr>
          <w:rFonts w:ascii="Arial" w:hAnsi="Arial"/>
          <w:color w:val="000000"/>
          <w:sz w:val="20"/>
        </w:rPr>
        <w:t>a Rule 10b5-1 trading arrangement, or a non-Rule 10b5-1 trading arrangement during the Company's fiscal quarter ended June 30, 2026.</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000000"/>
        </w:pBdr>
        <w:bidi w:val="0"/>
        <w:spacing w:before="540" w:after="283"/>
        <w:jc w:val="left"/>
        <w:rPr>
          <w:rFonts w:ascii="Times New Roman" w:hAnsi="Times New Roman"/>
          <w:sz w:val="20"/>
        </w:rPr>
      </w:pPr>
      <w:bookmarkStart w:id="17" w:name="exhibits"/>
      <w:bookmarkEnd w:id="17"/>
      <w:r>
        <w:rPr>
          <w:rFonts w:ascii="Arial" w:hAnsi="Arial"/>
          <w:b/>
          <w:color w:val="000000"/>
          <w:sz w:val="26"/>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
        <w:gridCol w:w="146"/>
        <w:gridCol w:w="9309"/>
      </w:tblGrid>
      <w:tr>
        <w:trPr/>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9" w:type="dxa"/>
            <w:tcBorders/>
            <w:vAlign w:val="center"/>
          </w:tcPr>
          <w:p>
            <w:pPr>
              <w:pStyle w:val="TableContents"/>
              <w:bidi w:val="0"/>
              <w:spacing w:before="0" w:after="283"/>
              <w:jc w:val="left"/>
              <w:rPr>
                <w:sz w:val="4"/>
                <w:szCs w:val="4"/>
              </w:rPr>
            </w:pPr>
            <w:r>
              <w:rPr>
                <w:sz w:val="4"/>
                <w:szCs w:val="4"/>
              </w:rPr>
            </w:r>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r:id="rId3">
              <w:r>
                <w:rPr>
                  <w:rStyle w:val="InternetLink"/>
                  <w:rFonts w:ascii="Arial" w:hAnsi="Arial"/>
                  <w:color w:val="000000"/>
                  <w:sz w:val="20"/>
                </w:rPr>
                <w:t>Restated Certificate of Incorporation (filed as Exhibit 3.1 to the Company’s Current Report on Form 8-K filed with the Commission on April 11, 2006, and incorporated herein by reference).</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r:id="rId4">
              <w:r>
                <w:rPr>
                  <w:rStyle w:val="InternetLink"/>
                  <w:rFonts w:ascii="Arial" w:hAnsi="Arial"/>
                  <w:color w:val="000000"/>
                  <w:sz w:val="20"/>
                </w:rPr>
                <w:t>Certificate of Amendment of Restated Certificate of Incorporation of Eagle Materials Inc. (filed as Exhibit 3.1 to the Company’s Current Report on Form 8-K filed with the Commission on August 7, 2024, and incorporated herein by reference).</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r:id="rId5">
              <w:r>
                <w:rPr>
                  <w:rStyle w:val="InternetLink"/>
                  <w:rFonts w:ascii="Arial" w:hAnsi="Arial"/>
                  <w:color w:val="000000"/>
                  <w:sz w:val="20"/>
                </w:rPr>
                <w:t>Restated Certificate of Designation, Preferences and Rights of Series A Preferred Stock (filed as Exhibit 3.2 to the Company’s Current Report on Form 8-K filed with the Commission on April 11, 2006, and incorporated herein by reference).</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r:id="rId6">
              <w:r>
                <w:rPr>
                  <w:rStyle w:val="InternetLink"/>
                  <w:rFonts w:ascii="Arial" w:hAnsi="Arial"/>
                  <w:color w:val="000000"/>
                  <w:sz w:val="20"/>
                </w:rPr>
                <w:t>Second Amended and Restated Bylaws (filed as Exhibit 3.1 to the Company’s Current Report on Form 8-K filed with the Commission on November 7, 2022, and incorporated herein by reference).</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w:anchor="exp-ex10_1.htm">
              <w:r>
                <w:rPr>
                  <w:rStyle w:val="InternetLink"/>
                  <w:rFonts w:ascii="Arial" w:hAnsi="Arial"/>
                  <w:color w:val="000000"/>
                  <w:sz w:val="20"/>
                </w:rPr>
                <w:t xml:space="preserve">Form of Management Restricted Stock Unit Agreement (Time). </w:t>
              </w:r>
            </w:hyperlink>
            <w:hyperlink w:anchor="exp-ex10_1.htm">
              <w:r>
                <w:rPr>
                  <w:rStyle w:val="InternetLink"/>
                  <w:rFonts w:ascii="Arial" w:hAnsi="Arial"/>
                  <w:color w:val="000000"/>
                  <w:sz w:val="13"/>
                </w:rPr>
                <w:t>(1)</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w:anchor="exp-ex10_2.htm">
              <w:r>
                <w:rPr>
                  <w:rStyle w:val="InternetLink"/>
                  <w:rFonts w:ascii="Arial" w:hAnsi="Arial"/>
                  <w:color w:val="000000"/>
                  <w:sz w:val="20"/>
                </w:rPr>
                <w:t xml:space="preserve">Form of Management Restricted Stock Unit Agreement (Performance). </w:t>
              </w:r>
            </w:hyperlink>
            <w:hyperlink w:anchor="exp-ex10_2.htm">
              <w:r>
                <w:rPr>
                  <w:rStyle w:val="InternetLink"/>
                  <w:rFonts w:ascii="Arial" w:hAnsi="Arial"/>
                  <w:color w:val="000000"/>
                  <w:sz w:val="13"/>
                </w:rPr>
                <w:t>(1)</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w:anchor="exp-ex10_3.htm">
              <w:r>
                <w:rPr>
                  <w:rStyle w:val="InternetLink"/>
                  <w:rFonts w:ascii="Arial" w:hAnsi="Arial"/>
                  <w:color w:val="000000"/>
                  <w:sz w:val="20"/>
                </w:rPr>
                <w:t xml:space="preserve">Form of Non-Qualified Stock Option Agreement (Time) for Senior Executives. </w:t>
              </w:r>
            </w:hyperlink>
            <w:hyperlink w:anchor="exp-ex10_3.htm">
              <w:r>
                <w:rPr>
                  <w:rStyle w:val="InternetLink"/>
                  <w:rFonts w:ascii="Arial" w:hAnsi="Arial"/>
                  <w:color w:val="000000"/>
                  <w:sz w:val="13"/>
                </w:rPr>
                <w:t>(1)</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w:anchor="exp-ex10_4.htm">
              <w:r>
                <w:rPr>
                  <w:rStyle w:val="InternetLink"/>
                  <w:rFonts w:ascii="Arial" w:hAnsi="Arial"/>
                  <w:color w:val="000000"/>
                  <w:sz w:val="20"/>
                </w:rPr>
                <w:t xml:space="preserve">Form of Non-Qualified Stock Option Agreement (Performance) for Senior Executives. </w:t>
              </w:r>
            </w:hyperlink>
            <w:hyperlink w:anchor="exp-ex10_4.htm">
              <w:r>
                <w:rPr>
                  <w:rStyle w:val="InternetLink"/>
                  <w:rFonts w:ascii="Arial" w:hAnsi="Arial"/>
                  <w:color w:val="000000"/>
                  <w:sz w:val="13"/>
                </w:rPr>
                <w:t>(1)</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10.5</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r:id="rId7">
              <w:r>
                <w:rPr>
                  <w:rStyle w:val="InternetLink"/>
                  <w:rFonts w:ascii="Arial" w:hAnsi="Arial"/>
                  <w:color w:val="000000"/>
                  <w:sz w:val="20"/>
                </w:rPr>
                <w:t>Eagle Materials Inc. Salaried Incentive Compensation Program (filed as Exhibit 10.1 to the Current Report on Form 8-K filed with the Commission on May 21, 2026, and incorporated herein by reference).</w:t>
              </w:r>
            </w:hyperlink>
            <w:hyperlink r:id="rId8">
              <w:r>
                <w:rPr>
                  <w:rStyle w:val="InternetLink"/>
                  <w:rFonts w:ascii="Times New Roman" w:hAnsi="Times New Roman"/>
                  <w:color w:val="000000"/>
                  <w:sz w:val="20"/>
                </w:rPr>
                <w:t xml:space="preserve"> </w:t>
              </w:r>
            </w:hyperlink>
            <w:r>
              <w:rPr>
                <w:rFonts w:ascii="Arial" w:hAnsi="Arial"/>
                <w:color w:val="000000"/>
                <w:sz w:val="13"/>
              </w:rPr>
              <w:t>(1)</w:t>
            </w:r>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10.6</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r:id="rId9">
              <w:r>
                <w:rPr>
                  <w:rStyle w:val="InternetLink"/>
                  <w:rFonts w:ascii="Arial" w:hAnsi="Arial"/>
                  <w:color w:val="000000"/>
                  <w:sz w:val="20"/>
                </w:rPr>
                <w:t>Eagle Materials Inc. Business Unit Salaried Incentive Compensation Program (filed as Exhibit 10.2 to the Current Report on Form 8-K filed with the Commission on May 21, 2026, and incorporated herein by reference).</w:t>
              </w:r>
            </w:hyperlink>
            <w:r>
              <w:rPr>
                <w:rFonts w:ascii="Times New Roman" w:hAnsi="Times New Roman"/>
                <w:color w:val="000000"/>
                <w:sz w:val="20"/>
              </w:rPr>
              <w:t xml:space="preserve"> </w:t>
            </w:r>
            <w:r>
              <w:rPr>
                <w:rFonts w:ascii="Arial" w:hAnsi="Arial"/>
                <w:color w:val="000000"/>
                <w:sz w:val="13"/>
              </w:rPr>
              <w:t>(1)</w:t>
            </w:r>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10.7</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r:id="rId10">
              <w:r>
                <w:rPr>
                  <w:rStyle w:val="InternetLink"/>
                  <w:rFonts w:ascii="Arial" w:hAnsi="Arial"/>
                  <w:color w:val="000000"/>
                  <w:sz w:val="20"/>
                </w:rPr>
                <w:t xml:space="preserve">Eagle Materials Inc. Special Situation Program (filed as Exhibit 10.3 to the Current Report on Form 8-K filed with the Commission on May 21, 2026, and incorporated by reference). </w:t>
              </w:r>
            </w:hyperlink>
            <w:hyperlink r:id="rId11">
              <w:r>
                <w:rPr>
                  <w:rStyle w:val="InternetLink"/>
                  <w:rFonts w:ascii="Arial" w:hAnsi="Arial"/>
                  <w:color w:val="000000"/>
                  <w:sz w:val="13"/>
                </w:rPr>
                <w:t>(1)</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w:anchor="exp-ex31_1.htm">
              <w:r>
                <w:rPr>
                  <w:rStyle w:val="InternetLink"/>
                  <w:rFonts w:ascii="Arial" w:hAnsi="Arial"/>
                  <w:color w:val="000000"/>
                  <w:sz w:val="20"/>
                </w:rPr>
                <w:t>Certification of the Chief Executive Officer of Eagle Materials Inc. pursuant to Rules 13a-14 and 15d-14 promulgated under the Securities Exchange Act of 1934, as amended.</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w:anchor="exp-ex31_2.htm">
              <w:r>
                <w:rPr>
                  <w:rStyle w:val="InternetLink"/>
                  <w:rFonts w:ascii="Arial" w:hAnsi="Arial"/>
                  <w:color w:val="000000"/>
                  <w:sz w:val="20"/>
                </w:rPr>
                <w:t>Certification of the Chief Financial Officer of Eagle Materials Inc. pursuant to Rules 13a-14 and 15d-14 promulgated under the Securities Exchange Act of 1934, as amended.</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w:anchor="exp-ex32_1.htm">
              <w:r>
                <w:rPr>
                  <w:rStyle w:val="InternetLink"/>
                  <w:rFonts w:ascii="Arial" w:hAnsi="Arial"/>
                  <w:color w:val="000000"/>
                  <w:sz w:val="20"/>
                </w:rPr>
                <w:t>Certification of the Chief Executive Officer of Eagle Materials Inc. pursuant to 18 U.S.C. Section 1350, as adopted pursuant to Section 906 of the Sarbanes-Oxley Act of 2002.</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w:anchor="exp-ex32_2.htm">
              <w:r>
                <w:rPr>
                  <w:rStyle w:val="InternetLink"/>
                  <w:rFonts w:ascii="Arial" w:hAnsi="Arial"/>
                  <w:color w:val="000000"/>
                  <w:sz w:val="20"/>
                </w:rPr>
                <w:t>Certification of the Chief Financial Officer of Eagle Materials Inc. pursuant to 18 U.S.C. Section 1350, as adopted pursuant to Section 906 of the Sarbanes-Oxley Act of 2002.</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tcMar>
              <w:top w:w="0" w:type="dxa"/>
              <w:left w:w="0" w:type="dxa"/>
              <w:bottom w:w="0" w:type="dxa"/>
              <w:right w:w="0" w:type="dxa"/>
            </w:tcMar>
            <w:vAlign w:val="center"/>
          </w:tcPr>
          <w:p>
            <w:pPr>
              <w:pStyle w:val="TableContents"/>
              <w:bidi w:val="0"/>
              <w:spacing w:before="120" w:after="283"/>
              <w:jc w:val="left"/>
              <w:rPr/>
            </w:pPr>
            <w:hyperlink w:anchor="exp-ex95.htm">
              <w:r>
                <w:rPr>
                  <w:rStyle w:val="InternetLink"/>
                  <w:rFonts w:ascii="Arial" w:hAnsi="Arial"/>
                  <w:color w:val="000000"/>
                  <w:sz w:val="20"/>
                </w:rPr>
                <w:t>Mine Safety Disclosure.</w:t>
              </w:r>
            </w:hyperlink>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its XBRL tags are embedded within the Inline XBRL document.</w:t>
            </w:r>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Inline XBRL Taxonomy Extension Schema Document with Embedded Linkbase Documents.</w:t>
            </w:r>
          </w:p>
        </w:tc>
      </w:tr>
      <w:tr>
        <w:trPr/>
        <w:tc>
          <w:tcPr>
            <w:tcW w:w="75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104.1*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0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Cover Page Interactive Data File – (formatted as Inline XBRL and Contained in Exhibit 101).</w:t>
            </w:r>
          </w:p>
        </w:tc>
      </w:tr>
    </w:tbl>
    <w:p>
      <w:pPr>
        <w:pStyle w:val="TextBody"/>
        <w:bidi w:val="0"/>
        <w:spacing w:before="40" w:after="283"/>
        <w:jc w:val="left"/>
        <w:rPr>
          <w:rFonts w:ascii="Times New Roman" w:hAnsi="Times New Roman"/>
          <w:sz w:val="20"/>
        </w:rPr>
      </w:pPr>
      <w:r>
        <w:rPr>
          <w:rFonts w:ascii="Arial" w:hAnsi="Arial"/>
          <w:color w:val="000000"/>
          <w:sz w:val="20"/>
        </w:rPr>
        <w:t>* Filed herewith.</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Management contract, compensatory plan, or arrangement.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signatures"/>
      <w:bookmarkEnd w:id="18"/>
      <w:r>
        <w:rPr>
          <w:rFonts w:ascii="Arial" w:hAnsi="Arial"/>
          <w:b/>
          <w:color w:val="000000"/>
          <w:sz w:val="22"/>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tbl>
      <w:tblPr>
        <w:tblW w:w="5203" w:type="dxa"/>
        <w:jc w:val="left"/>
        <w:tblInd w:w="0" w:type="dxa"/>
        <w:tblLayout w:type="fixed"/>
        <w:tblCellMar>
          <w:top w:w="28" w:type="dxa"/>
          <w:left w:w="28" w:type="dxa"/>
          <w:bottom w:w="28" w:type="dxa"/>
          <w:right w:w="28" w:type="dxa"/>
        </w:tblCellMar>
      </w:tblPr>
      <w:tblGrid>
        <w:gridCol w:w="1291"/>
        <w:gridCol w:w="146"/>
        <w:gridCol w:w="376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EAGLE MATERIALS INC.</w:t>
            </w:r>
          </w:p>
        </w:tc>
      </w:tr>
      <w:tr>
        <w:trPr/>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Registrant</w:t>
            </w:r>
          </w:p>
        </w:tc>
      </w:tr>
      <w:tr>
        <w:trPr/>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29,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R. HAACK</w:t>
            </w:r>
          </w:p>
        </w:tc>
      </w:tr>
      <w:tr>
        <w:trPr/>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Michael R. Haack</w:t>
            </w:r>
          </w:p>
          <w:p>
            <w:pPr>
              <w:pStyle w:val="TableContents"/>
              <w:bidi w:val="0"/>
              <w:jc w:val="center"/>
              <w:rPr>
                <w:rFonts w:ascii="Arial" w:hAnsi="Arial"/>
                <w:color w:val="000000"/>
                <w:sz w:val="20"/>
              </w:rPr>
            </w:pPr>
            <w:r>
              <w:rPr>
                <w:rFonts w:ascii="Arial" w:hAnsi="Arial"/>
                <w:color w:val="000000"/>
                <w:sz w:val="20"/>
              </w:rPr>
              <w:t>President and Chief Executive Officer</w:t>
            </w:r>
          </w:p>
          <w:p>
            <w:pPr>
              <w:pStyle w:val="TableContents"/>
              <w:bidi w:val="0"/>
              <w:spacing w:before="0" w:after="20"/>
              <w:jc w:val="center"/>
              <w:rPr>
                <w:rFonts w:ascii="Arial" w:hAnsi="Arial"/>
                <w:color w:val="000000"/>
                <w:sz w:val="20"/>
              </w:rPr>
            </w:pPr>
            <w:r>
              <w:rPr>
                <w:rFonts w:ascii="Arial" w:hAnsi="Arial"/>
                <w:color w:val="000000"/>
                <w:sz w:val="20"/>
              </w:rPr>
              <w:t>(principal executive officer)</w:t>
            </w:r>
          </w:p>
        </w:tc>
      </w:tr>
      <w:tr>
        <w:trPr/>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29,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D. CRAIG KESLER</w:t>
            </w:r>
          </w:p>
        </w:tc>
      </w:tr>
      <w:tr>
        <w:trPr/>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D. Craig Kesler</w:t>
            </w:r>
          </w:p>
          <w:p>
            <w:pPr>
              <w:pStyle w:val="TableContents"/>
              <w:bidi w:val="0"/>
              <w:jc w:val="center"/>
              <w:rPr>
                <w:rFonts w:ascii="Arial" w:hAnsi="Arial"/>
                <w:color w:val="000000"/>
                <w:sz w:val="20"/>
              </w:rPr>
            </w:pPr>
            <w:r>
              <w:rPr>
                <w:rFonts w:ascii="Arial" w:hAnsi="Arial"/>
                <w:color w:val="000000"/>
                <w:sz w:val="20"/>
              </w:rPr>
              <w:t>Executive Vice President – Finance and</w:t>
            </w:r>
          </w:p>
          <w:p>
            <w:pPr>
              <w:pStyle w:val="TableContents"/>
              <w:bidi w:val="0"/>
              <w:jc w:val="center"/>
              <w:rPr>
                <w:rFonts w:ascii="Arial" w:hAnsi="Arial"/>
                <w:color w:val="000000"/>
                <w:sz w:val="20"/>
              </w:rPr>
            </w:pPr>
            <w:r>
              <w:rPr>
                <w:rFonts w:ascii="Arial" w:hAnsi="Arial"/>
                <w:color w:val="000000"/>
                <w:sz w:val="20"/>
              </w:rPr>
              <w:t>Administration and Chief Financial Officer</w:t>
            </w:r>
          </w:p>
          <w:p>
            <w:pPr>
              <w:pStyle w:val="TableContents"/>
              <w:bidi w:val="0"/>
              <w:spacing w:before="0" w:after="20"/>
              <w:jc w:val="center"/>
              <w:rPr>
                <w:rFonts w:ascii="Arial" w:hAnsi="Arial"/>
                <w:color w:val="000000"/>
                <w:sz w:val="20"/>
              </w:rPr>
            </w:pPr>
            <w:r>
              <w:rPr>
                <w:rFonts w:ascii="Arial" w:hAnsi="Arial"/>
                <w:color w:val="000000"/>
                <w:sz w:val="20"/>
              </w:rPr>
              <w:t>(principal financial officer)</w:t>
            </w:r>
          </w:p>
        </w:tc>
      </w:tr>
    </w:tbl>
    <w:tbl>
      <w:tblPr>
        <w:tblW w:w="7056" w:type="dxa"/>
        <w:jc w:val="left"/>
        <w:tblInd w:w="0" w:type="dxa"/>
        <w:tblLayout w:type="fixed"/>
        <w:tblCellMar>
          <w:top w:w="28" w:type="dxa"/>
          <w:left w:w="28" w:type="dxa"/>
          <w:bottom w:w="28" w:type="dxa"/>
          <w:right w:w="28" w:type="dxa"/>
        </w:tblCellMar>
      </w:tblPr>
      <w:tblGrid>
        <w:gridCol w:w="1291"/>
        <w:gridCol w:w="109"/>
        <w:gridCol w:w="5656"/>
      </w:tblGrid>
      <w:tr>
        <w:trPr/>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29,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SAMUEL M. GUZMAN JR.</w:t>
            </w:r>
          </w:p>
        </w:tc>
      </w:tr>
      <w:tr>
        <w:trPr/>
        <w:tc>
          <w:tcPr>
            <w:tcW w:w="1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Samuel M. Guzman Jr.</w:t>
            </w:r>
          </w:p>
          <w:p>
            <w:pPr>
              <w:pStyle w:val="TableContents"/>
              <w:bidi w:val="0"/>
              <w:jc w:val="center"/>
              <w:rPr>
                <w:rFonts w:ascii="Arial" w:hAnsi="Arial"/>
                <w:color w:val="000000"/>
                <w:sz w:val="20"/>
              </w:rPr>
            </w:pPr>
            <w:r>
              <w:rPr>
                <w:rFonts w:ascii="Arial" w:hAnsi="Arial"/>
                <w:color w:val="000000"/>
                <w:sz w:val="20"/>
              </w:rPr>
              <w:t>Senior Vice President – Chief Accounting Officer and Controller</w:t>
            </w:r>
          </w:p>
          <w:p>
            <w:pPr>
              <w:pStyle w:val="TableContents"/>
              <w:bidi w:val="0"/>
              <w:spacing w:before="0" w:after="20"/>
              <w:jc w:val="center"/>
              <w:rPr>
                <w:rFonts w:ascii="Arial" w:hAnsi="Arial"/>
                <w:color w:val="000000"/>
                <w:sz w:val="20"/>
              </w:rPr>
            </w:pPr>
            <w:r>
              <w:rPr>
                <w:rFonts w:ascii="Arial" w:hAnsi="Arial"/>
                <w:color w:val="000000"/>
                <w:sz w:val="20"/>
              </w:rPr>
              <w:t>(principal accounting officer)</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u w:val="single"/>
        </w:rPr>
      </w:pPr>
      <w:bookmarkStart w:id="19" w:name="exp-ex10_1.htm"/>
      <w:bookmarkStart w:id="20" w:name="ksexpex10_1"/>
      <w:bookmarkEnd w:id="19"/>
      <w:bookmarkEnd w:id="20"/>
      <w:r>
        <w:rPr>
          <w:rFonts w:ascii="Times New Roman" w:hAnsi="Times New Roman"/>
          <w:b/>
          <w:color w:val="000000"/>
          <w:sz w:val="24"/>
          <w:u w:val="single"/>
        </w:rPr>
        <w:t>EXHIBIT 10.1</w:t>
      </w:r>
      <w:r>
        <w:br w:type="page"/>
      </w:r>
    </w:p>
    <w:p>
      <w:pPr>
        <w:pStyle w:val="TextBody"/>
        <w:bidi w:val="0"/>
        <w:jc w:val="center"/>
        <w:rPr>
          <w:rFonts w:ascii="Times New Roman" w:hAnsi="Times New Roman"/>
          <w:sz w:val="20"/>
        </w:rPr>
      </w:pPr>
      <w:r>
        <w:rPr>
          <w:rFonts w:ascii="Times New Roman" w:hAnsi="Times New Roman"/>
          <w:b/>
          <w:color w:val="000000"/>
          <w:sz w:val="24"/>
          <w:u w:val="single"/>
        </w:rPr>
        <w:t>EAGLE MATERIALS INC</w:t>
      </w:r>
      <w:r>
        <w:rPr>
          <w:rFonts w:ascii="Times New Roman" w:hAnsi="Times New Roman"/>
          <w:b/>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2023 EQUITY INCENTIVE PLAN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RESTRICTED STOCK UNIT AWARD AGREEMENT</w:t>
      </w:r>
    </w:p>
    <w:p>
      <w:pPr>
        <w:pStyle w:val="TextBody"/>
        <w:bidi w:val="0"/>
        <w:jc w:val="center"/>
        <w:rPr>
          <w:rFonts w:ascii="Times New Roman" w:hAnsi="Times New Roman"/>
          <w:b/>
          <w:color w:val="000000"/>
          <w:sz w:val="24"/>
        </w:rPr>
      </w:pPr>
      <w:r>
        <w:rPr>
          <w:rFonts w:ascii="Times New Roman" w:hAnsi="Times New Roman"/>
          <w:b/>
          <w:color w:val="000000"/>
          <w:sz w:val="24"/>
        </w:rPr>
        <w:t>(Time Vesting)</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Eagle Materials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(the “</w:t>
      </w:r>
      <w:r>
        <w:rPr>
          <w:rFonts w:ascii="Times New Roman" w:hAnsi="Times New Roman"/>
          <w:color w:val="000000"/>
          <w:sz w:val="24"/>
          <w:u w:val="single"/>
        </w:rPr>
        <w:t>Grantee</w:t>
      </w:r>
      <w:r>
        <w:rPr>
          <w:rFonts w:ascii="Times New Roman" w:hAnsi="Times New Roman"/>
          <w:color w:val="000000"/>
          <w:sz w:val="20"/>
        </w:rPr>
        <w:t>”</w:t>
      </w:r>
      <w:r>
        <w:rPr>
          <w:rFonts w:ascii="Times New Roman" w:hAnsi="Times New Roman"/>
          <w:color w:val="000000"/>
          <w:sz w:val="24"/>
        </w:rPr>
        <w:t>) hereby enter into this Restricted Stock Unit Award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in order to set forth the terms and conditions of the Company’s award to the Grantee on May 21, 2026 (the “</w:t>
      </w:r>
      <w:r>
        <w:rPr>
          <w:rFonts w:ascii="Times New Roman" w:hAnsi="Times New Roman"/>
          <w:color w:val="000000"/>
          <w:sz w:val="24"/>
          <w:u w:val="single"/>
        </w:rPr>
        <w:t>Award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Award</w:t>
      </w:r>
      <w:r>
        <w:rPr>
          <w:rFonts w:ascii="Times New Roman" w:hAnsi="Times New Roman"/>
          <w:color w:val="000000"/>
          <w:sz w:val="24"/>
        </w:rPr>
        <w:t>. The Company hereby awards to the Grantee Restricted Stock Units (this “</w:t>
      </w:r>
      <w:r>
        <w:rPr>
          <w:rFonts w:ascii="Times New Roman" w:hAnsi="Times New Roman"/>
          <w:color w:val="000000"/>
          <w:sz w:val="24"/>
          <w:u w:val="single"/>
        </w:rPr>
        <w:t>Award</w:t>
      </w:r>
      <w:r>
        <w:rPr>
          <w:color w:val="000000"/>
        </w:rPr>
        <w:t>”</w:t>
      </w:r>
      <w:r>
        <w:rPr>
          <w:rFonts w:ascii="Times New Roman" w:hAnsi="Times New Roman"/>
          <w:color w:val="000000"/>
          <w:sz w:val="24"/>
        </w:rPr>
        <w:t>) on the terms and subject to the conditions contained in this Agreement. The term “</w:t>
      </w:r>
      <w:r>
        <w:rPr>
          <w:rFonts w:ascii="Times New Roman" w:hAnsi="Times New Roman"/>
          <w:color w:val="000000"/>
          <w:sz w:val="24"/>
          <w:u w:val="single"/>
        </w:rPr>
        <w:t>RSUs</w:t>
      </w:r>
      <w:r>
        <w:rPr>
          <w:color w:val="000000"/>
        </w:rPr>
        <w:t xml:space="preserve">” </w:t>
      </w:r>
      <w:r>
        <w:rPr>
          <w:rFonts w:ascii="Times New Roman" w:hAnsi="Times New Roman"/>
          <w:color w:val="000000"/>
          <w:sz w:val="24"/>
        </w:rPr>
        <w:t>as used in this Agreement refers only to the Restricted Stock Units awarded to the Grantee under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Relationship to the Plan</w:t>
      </w:r>
      <w:r>
        <w:rPr>
          <w:rFonts w:ascii="Times New Roman" w:hAnsi="Times New Roman"/>
          <w:color w:val="000000"/>
          <w:sz w:val="24"/>
        </w:rPr>
        <w:t>. This Award shall be subject to the terms and conditions of the Eagle Materials Inc. 2023 Equity Incentive Plan (as may be amended from time to time, the “</w:t>
      </w:r>
      <w:r>
        <w:rPr>
          <w:rFonts w:ascii="Times New Roman" w:hAnsi="Times New Roman"/>
          <w:color w:val="000000"/>
          <w:sz w:val="24"/>
          <w:u w:val="single"/>
        </w:rPr>
        <w:t>Plan</w:t>
      </w:r>
      <w:r>
        <w:rPr>
          <w:color w:val="000000"/>
        </w:rPr>
        <w:t>”</w:t>
      </w:r>
      <w:r>
        <w:rPr>
          <w:rFonts w:ascii="Times New Roman" w:hAnsi="Times New Roman"/>
          <w:color w:val="000000"/>
          <w:sz w:val="24"/>
        </w:rPr>
        <w:t>), this Agreement and such administrative interpretations of the Plan, if any, as may be in effect on the date of this Agreement or thereafter. Except as defined herein, capitalized terms shall have the meanings ascribed to them under the Plan. For purposes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shall mean a disability of the Grantee as determined by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color w:val="000000"/>
        </w:rPr>
        <w:t>“</w:t>
      </w:r>
      <w:r>
        <w:rPr>
          <w:rFonts w:ascii="Times New Roman" w:hAnsi="Times New Roman"/>
          <w:color w:val="000000"/>
          <w:sz w:val="24"/>
          <w:u w:val="single"/>
        </w:rPr>
        <w:t>Retirement</w:t>
      </w:r>
      <w:r>
        <w:rPr>
          <w:color w:val="000000"/>
        </w:rPr>
        <w:t xml:space="preserve">” </w:t>
      </w:r>
      <w:r>
        <w:rPr>
          <w:rFonts w:ascii="Times New Roman" w:hAnsi="Times New Roman"/>
          <w:color w:val="000000"/>
          <w:sz w:val="24"/>
        </w:rPr>
        <w:t>shall mean the retirement of the Grantee as approved by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color w:val="000000"/>
        </w:rPr>
        <w:t>“</w:t>
      </w:r>
      <w:r>
        <w:rPr>
          <w:rFonts w:ascii="Times New Roman" w:hAnsi="Times New Roman"/>
          <w:color w:val="000000"/>
          <w:sz w:val="24"/>
          <w:u w:val="single"/>
        </w:rPr>
        <w:t>Vesting Period</w:t>
      </w:r>
      <w:r>
        <w:rPr>
          <w:color w:val="000000"/>
        </w:rPr>
        <w:t xml:space="preserve">” </w:t>
      </w:r>
      <w:r>
        <w:rPr>
          <w:rFonts w:ascii="Times New Roman" w:hAnsi="Times New Roman"/>
          <w:color w:val="000000"/>
          <w:sz w:val="24"/>
        </w:rPr>
        <w:t>shall mean the period commencing on the Award Date and ending on March 31, 2029.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Vesting</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Vesting Criteria</w:t>
      </w:r>
      <w:r>
        <w:rPr>
          <w:rFonts w:ascii="Times New Roman" w:hAnsi="Times New Roman"/>
          <w:color w:val="000000"/>
          <w:sz w:val="24"/>
        </w:rPr>
        <w:t>. The Grantee’s interest in the RSUs shall vest on the dates designated (each, a “</w:t>
      </w:r>
      <w:r>
        <w:rPr>
          <w:rFonts w:ascii="Times New Roman" w:hAnsi="Times New Roman"/>
          <w:color w:val="000000"/>
          <w:sz w:val="24"/>
          <w:u w:val="single"/>
        </w:rPr>
        <w:t>Vesting Date</w:t>
      </w:r>
      <w:r>
        <w:rPr>
          <w:color w:val="000000"/>
        </w:rPr>
        <w:t>”</w:t>
      </w:r>
      <w:r>
        <w:rPr>
          <w:rFonts w:ascii="Times New Roman" w:hAnsi="Times New Roman"/>
          <w:color w:val="000000"/>
          <w:sz w:val="24"/>
        </w:rPr>
        <w:t>) in accordance with the following vesting schedule:</w:t>
      </w:r>
    </w:p>
    <w:tbl>
      <w:tblPr>
        <w:tblW w:w="2518" w:type="dxa"/>
        <w:jc w:val="left"/>
        <w:tblInd w:w="0" w:type="dxa"/>
        <w:tblLayout w:type="fixed"/>
        <w:tblCellMar>
          <w:top w:w="28" w:type="dxa"/>
          <w:left w:w="28" w:type="dxa"/>
          <w:bottom w:w="28" w:type="dxa"/>
          <w:right w:w="28" w:type="dxa"/>
        </w:tblCellMar>
      </w:tblPr>
      <w:tblGrid>
        <w:gridCol w:w="1636"/>
        <w:gridCol w:w="146"/>
        <w:gridCol w:w="73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4"/>
                <w:u w:val="single"/>
              </w:rPr>
            </w:pPr>
            <w:r>
              <w:rPr>
                <w:rFonts w:ascii="Times New Roman" w:hAnsi="Times New Roman"/>
                <w:b/>
                <w:color w:val="000000"/>
                <w:sz w:val="24"/>
                <w:u w:val="single"/>
              </w:rPr>
              <w:t>Vesting Date</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4"/>
                <w:u w:val="single"/>
              </w:rPr>
            </w:pPr>
            <w:r>
              <w:rPr>
                <w:rFonts w:ascii="Times New Roman" w:hAnsi="Times New Roman"/>
                <w:b/>
                <w:color w:val="000000"/>
                <w:sz w:val="24"/>
                <w:u w:val="single"/>
              </w:rPr>
              <w:t>RSUs</w:t>
            </w:r>
          </w:p>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May 21, 2027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March 31, 2028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March 31, 2029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Total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eading2"/>
        <w:bidi w:val="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Shares Payable</w:t>
      </w:r>
      <w:r>
        <w:rPr>
          <w:rFonts w:ascii="Times New Roman" w:hAnsi="Times New Roman"/>
          <w:color w:val="000000"/>
          <w:sz w:val="24"/>
        </w:rPr>
        <w:t xml:space="preserve">. On a Vesting Date, the number of RSUs indicated in the table above will vest and be converted into shares of Common Stock on a one-for-one basis. The resulting shares of Common Stock will be issued to the Grantee promptly, and in any event within 60 days, following the Vesting Date. Notwithstanding the foregoing, the Committee may, in its sole discretion, settle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Award or portion thereof in the form of a cash payment equal in the value of the shares of Common Stock that would otherwise be payable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Forfeiture</w:t>
      </w:r>
      <w:r>
        <w:rPr>
          <w:rFonts w:ascii="Times New Roman" w:hAnsi="Times New Roman"/>
          <w:color w:val="000000"/>
          <w:sz w:val="24"/>
        </w:rPr>
        <w:t xml:space="preserve">. Subject to </w:t>
      </w:r>
      <w:r>
        <w:rPr>
          <w:rFonts w:ascii="Times New Roman" w:hAnsi="Times New Roman"/>
          <w:color w:val="000000"/>
          <w:sz w:val="24"/>
          <w:u w:val="single"/>
        </w:rPr>
        <w:t>Section 4</w:t>
      </w:r>
      <w:r>
        <w:rPr>
          <w:rFonts w:ascii="Times New Roman" w:hAnsi="Times New Roman"/>
          <w:color w:val="000000"/>
          <w:sz w:val="24"/>
        </w:rPr>
        <w:t xml:space="preserve">, the Grantee must be in continuous service as an Employee or, if applicable, as a Non-Employee Director for purposes of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of the Plan (“</w:t>
      </w:r>
      <w:r>
        <w:rPr>
          <w:rFonts w:ascii="Times New Roman" w:hAnsi="Times New Roman"/>
          <w:color w:val="000000"/>
          <w:sz w:val="24"/>
          <w:u w:val="single"/>
        </w:rPr>
        <w:t>Continuous Service</w:t>
      </w:r>
      <w:r>
        <w:rPr>
          <w:color w:val="000000"/>
        </w:rPr>
        <w:t>”</w:t>
      </w:r>
      <w:r>
        <w:rPr>
          <w:rFonts w:ascii="Times New Roman" w:hAnsi="Times New Roman"/>
          <w:color w:val="000000"/>
          <w:sz w:val="24"/>
        </w:rPr>
        <w:t xml:space="preserve">) from the Award Date through the applicable Vesting Date for the applicable unvested RSUs to become vested. Subject to </w:t>
      </w:r>
      <w:r>
        <w:rPr>
          <w:rFonts w:ascii="Times New Roman" w:hAnsi="Times New Roman"/>
          <w:color w:val="000000"/>
          <w:sz w:val="24"/>
          <w:u w:val="single"/>
        </w:rPr>
        <w:t>Section 4</w:t>
      </w:r>
      <w:r>
        <w:rPr>
          <w:rFonts w:ascii="Times New Roman" w:hAnsi="Times New Roman"/>
          <w:color w:val="000000"/>
          <w:sz w:val="24"/>
        </w:rPr>
        <w:t>, the termination of such Continuous Service prior to a Vesting Date shall cause all unvested RSUs to be automatically forfeited as of the date of such termination of Continuous Service.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Change in Control; Death, Disability or Retirement</w:t>
      </w:r>
      <w:r>
        <w:rPr>
          <w:rFonts w:ascii="Times New Roman" w:hAnsi="Times New Roman"/>
          <w:color w:val="000000"/>
          <w:sz w:val="24"/>
        </w:rPr>
        <w:t xml:space="preserve">. </w:t>
      </w:r>
    </w:p>
    <w:p>
      <w:pPr>
        <w:pStyle w:val="Heading1"/>
        <w:bidi w:val="0"/>
        <w:spacing w:before="0" w:after="240"/>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Change in Control</w:t>
      </w:r>
      <w:r>
        <w:rPr>
          <w:rFonts w:ascii="Times New Roman" w:hAnsi="Times New Roman"/>
          <w:b w:val="false"/>
          <w:color w:val="000000"/>
          <w:sz w:val="24"/>
        </w:rPr>
        <w:t xml:space="preserve">. Notwithstanding </w:t>
      </w:r>
      <w:r>
        <w:rPr>
          <w:rFonts w:ascii="Times New Roman" w:hAnsi="Times New Roman"/>
          <w:b w:val="false"/>
          <w:color w:val="000000"/>
          <w:sz w:val="24"/>
          <w:u w:val="single"/>
        </w:rPr>
        <w:t>Section 3</w:t>
      </w:r>
      <w:r>
        <w:rPr>
          <w:rFonts w:ascii="Times New Roman" w:hAnsi="Times New Roman"/>
          <w:b w:val="false"/>
          <w:color w:val="000000"/>
          <w:sz w:val="24"/>
        </w:rPr>
        <w:t xml:space="preserve">, if the Grantee has been in Continuous Service from the Award Date through the occurrence of a Change in Control, then, in the event of the occurrence of such a Change in Control, any vesting of the RSUs will remain subject to the applicable provisions of the Plan, including, but not limited to, </w:t>
      </w:r>
      <w:r>
        <w:rPr>
          <w:rFonts w:ascii="Times New Roman" w:hAnsi="Times New Roman"/>
          <w:b w:val="false"/>
          <w:color w:val="000000"/>
          <w:sz w:val="24"/>
          <w:u w:val="single"/>
        </w:rPr>
        <w:t>Sections 1.3</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5.8</w:t>
      </w:r>
      <w:r>
        <w:rPr>
          <w:rFonts w:ascii="Times New Roman" w:hAnsi="Times New Roman"/>
          <w:color w:val="000000"/>
          <w:sz w:val="20"/>
        </w:rPr>
        <w:t xml:space="preserve"> </w:t>
      </w:r>
      <w:r>
        <w:rPr>
          <w:rFonts w:ascii="Times New Roman" w:hAnsi="Times New Roman"/>
          <w:b w:val="false"/>
          <w:color w:val="000000"/>
          <w:sz w:val="24"/>
        </w:rPr>
        <w:t>thereof.</w:t>
      </w:r>
    </w:p>
    <w:p>
      <w:pPr>
        <w:pStyle w:val="Heading1"/>
        <w:bidi w:val="0"/>
        <w:spacing w:before="0" w:after="240"/>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Death, Disability or Retirement</w:t>
      </w:r>
      <w:r>
        <w:rPr>
          <w:rFonts w:ascii="Times New Roman" w:hAnsi="Times New Roman"/>
          <w:b w:val="false"/>
          <w:color w:val="000000"/>
          <w:sz w:val="24"/>
        </w:rPr>
        <w:t xml:space="preserve">. Notwithstanding </w:t>
      </w:r>
      <w:r>
        <w:rPr>
          <w:rFonts w:ascii="Times New Roman" w:hAnsi="Times New Roman"/>
          <w:b w:val="false"/>
          <w:color w:val="000000"/>
          <w:sz w:val="24"/>
          <w:u w:val="single"/>
        </w:rPr>
        <w:t>Section 3(c)</w:t>
      </w:r>
      <w:r>
        <w:rPr>
          <w:rFonts w:ascii="Times New Roman" w:hAnsi="Times New Roman"/>
          <w:b w:val="false"/>
          <w:color w:val="000000"/>
          <w:sz w:val="24"/>
        </w:rPr>
        <w:t xml:space="preserve">, in the event the Grantee’s Continuous Service terminates by reason of death, Disability or Retirement, then subject to the restrictive covenants in </w:t>
      </w:r>
      <w:r>
        <w:rPr>
          <w:rFonts w:ascii="Times New Roman" w:hAnsi="Times New Roman"/>
          <w:b w:val="false"/>
          <w:color w:val="000000"/>
          <w:sz w:val="24"/>
          <w:u w:val="single"/>
        </w:rPr>
        <w:t>Section 11</w:t>
      </w:r>
      <w:r>
        <w:rPr>
          <w:rFonts w:ascii="Times New Roman" w:hAnsi="Times New Roman"/>
          <w:b w:val="false"/>
          <w:color w:val="000000"/>
          <w:sz w:val="24"/>
        </w:rPr>
        <w:t xml:space="preserve">, as applicable, any then-unvested RSUs (and any related dividend equivalents described in </w:t>
      </w:r>
      <w:r>
        <w:rPr>
          <w:rFonts w:ascii="Times New Roman" w:hAnsi="Times New Roman"/>
          <w:b w:val="false"/>
          <w:color w:val="000000"/>
          <w:sz w:val="24"/>
          <w:u w:val="single"/>
        </w:rPr>
        <w:t>Section 5</w:t>
      </w:r>
      <w:r>
        <w:rPr>
          <w:rFonts w:ascii="Times New Roman" w:hAnsi="Times New Roman"/>
          <w:b w:val="false"/>
          <w:color w:val="000000"/>
          <w:sz w:val="24"/>
        </w:rPr>
        <w:t xml:space="preserve">) not previously forfeited shall remain eligible to vest pursuant to </w:t>
      </w:r>
      <w:r>
        <w:rPr>
          <w:rFonts w:ascii="Times New Roman" w:hAnsi="Times New Roman"/>
          <w:b w:val="false"/>
          <w:color w:val="000000"/>
          <w:sz w:val="24"/>
          <w:u w:val="single"/>
        </w:rPr>
        <w:t>Section 3</w:t>
      </w:r>
      <w:r>
        <w:rPr>
          <w:rFonts w:ascii="Times New Roman" w:hAnsi="Times New Roman"/>
          <w:color w:val="000000"/>
          <w:sz w:val="20"/>
        </w:rPr>
        <w:t xml:space="preserve"> </w:t>
      </w:r>
      <w:r>
        <w:rPr>
          <w:rFonts w:ascii="Times New Roman" w:hAnsi="Times New Roman"/>
          <w:b w:val="false"/>
          <w:color w:val="000000"/>
          <w:sz w:val="24"/>
        </w:rPr>
        <w:t>on the applicable Vesting Date as if the Grantee had remained in such Continuous Service following such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Dividend Equivalents</w:t>
      </w:r>
      <w:r>
        <w:rPr>
          <w:rFonts w:ascii="Times New Roman" w:hAnsi="Times New Roman"/>
          <w:color w:val="000000"/>
          <w:sz w:val="24"/>
        </w:rPr>
        <w:t>. Subject to the vesting of the Restricted Stock Units in accordance with this Agreement, the Grantee shall be entitled to earn dividend equivalent Restricted Stock Units as follows and pursuant to this Section 5. As and when a dividend payment is made with respect to a share of Common Stock, such dividend payment shall be multiplied by, as applicable, the number of the (a) then-outstanding Restricted Sock Units awarded under this Agreement, or (b) Deemed RSUs (as defined below) that are then in effect under this Section 5 (i.e., immediately prior to such dividend payment); provided that the record date for such dividend payment occurs on or after the Award Date. Immediately thereafter, (i) the resulting amount that is determined pursuant to the preceding sentence shall be credited to a book entry account on behalf of the Grantee, and (ii) the amount of such book entry account shall be deemed to be reinvested in shares of Common Stock based on the then-Fair Market Value of such Common Stock (“Reinvested Shares”). At such time, (x) the number of such Reinvested Shares shall be deemed to be held by the Grantee in the form of additional Restricted Stock Units under this Agreement (i.e., as dividend equivalent Restricted Stock Units), and (y) the then-outstanding number of Restricted Stock Units under this Agreement shall be deemed to be increased by the number of such additional Restricted Stock Units (as increased, the “Deemed RSUs”). For purposes of the preceding sentence, the number of such additional Restricted Stock Units shall be equal to the number of Reinvested Shares on a one-for-one basis. For the avoidance of doubt, any such dividend equivalent Restricted Stock Units shall be subject to the same vesting and forfeiture conditions that apply to then-outstanding Restricted Stock Units originally awarded under this Agreement. The number of dividend equivalent Restricted Stock Units that become vested in accordance with this Agreement shall be converted into shares of Common Stock on a one-for-one basis and issued to the Grantee at the time shares of Common Stock are issued to the Grantee in accordance with, and subject to, Section 3(b).</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Corporate Events</w:t>
      </w:r>
      <w:r>
        <w:rPr>
          <w:rFonts w:ascii="Times New Roman" w:hAnsi="Times New Roman"/>
          <w:color w:val="000000"/>
          <w:sz w:val="24"/>
        </w:rPr>
        <w:t xml:space="preserve">. If, from time to time prior to the issuance of shares of Common Stock under </w:t>
      </w:r>
      <w:r>
        <w:rPr>
          <w:rFonts w:ascii="Times New Roman" w:hAnsi="Times New Roman"/>
          <w:color w:val="000000"/>
          <w:sz w:val="24"/>
          <w:u w:val="single"/>
        </w:rPr>
        <w:t>Section 3(b)</w:t>
      </w:r>
      <w:r>
        <w:rPr>
          <w:rFonts w:ascii="Times New Roman" w:hAnsi="Times New Roman"/>
          <w:color w:val="000000"/>
          <w:sz w:val="24"/>
        </w:rPr>
        <w:t xml:space="preserve">, there is any equity restructuring affecting the outstanding Common Stock that causes the per share value of Common Stock to change, the RSUs and other applicable terms of this Award shall be adjusted in accordance with the provisions of </w:t>
      </w:r>
      <w:r>
        <w:rPr>
          <w:rFonts w:ascii="Times New Roman" w:hAnsi="Times New Roman"/>
          <w:color w:val="000000"/>
          <w:sz w:val="24"/>
          <w:u w:val="single"/>
        </w:rPr>
        <w:t>Section 5.7</w:t>
      </w:r>
      <w:r>
        <w:rPr>
          <w:color w:val="000000"/>
        </w:rPr>
        <w:t xml:space="preserve"> </w:t>
      </w:r>
      <w:r>
        <w:rPr>
          <w:rFonts w:ascii="Times New Roman" w:hAnsi="Times New Roman"/>
          <w:color w:val="000000"/>
          <w:sz w:val="24"/>
        </w:rPr>
        <w:t>of the Plan. Any and all new, substituted or additional securities to which the Grantee may be entitled by reason of this Award because of an equity restructuring shall be immediately subject to the restrictions set forth herein (as may be modified pursuant to this Agreement) and included thereafter as RSUs for purposes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Issuance of Shares</w:t>
      </w:r>
      <w:r>
        <w:rPr>
          <w:rFonts w:ascii="Times New Roman" w:hAnsi="Times New Roman"/>
          <w:color w:val="000000"/>
          <w:sz w:val="24"/>
        </w:rPr>
        <w:t>. The Company shall not be obligated to issue any shares of Common Stock if counsel to the Company determines that such issuance would violate any applicable law or any rule or regulations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regulations or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Shareholder Rights</w:t>
      </w:r>
      <w:r>
        <w:rPr>
          <w:rFonts w:ascii="Times New Roman" w:hAnsi="Times New Roman"/>
          <w:color w:val="000000"/>
          <w:sz w:val="24"/>
        </w:rPr>
        <w:t xml:space="preserve">. The Grantee shall have no rights of a shareholder with respect to shares of Common Stock subject to this Award unless and until such time as this Award has been paid pursuant to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and shares of Common Stock have been issued to the Grantee.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Stock Certificates</w:t>
      </w:r>
      <w:r>
        <w:rPr>
          <w:rFonts w:ascii="Times New Roman" w:hAnsi="Times New Roman"/>
          <w:color w:val="000000"/>
          <w:sz w:val="24"/>
        </w:rPr>
        <w:t xml:space="preserve">. Certificates or other evidences of or representing the Common Stock issued pursuant to this Award will bear all legends required by law and necessary or advisable to effectuate the provisions of the Plan and this Award. The Company may place a “stop transfer” order against shares of the Common Stock issued or issuable pursuant to this Award until all restrictions and conditions set forth in the Plan or this Agreement and in the legends referred to in this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have been complied 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Tax Consequences; Withholding of Taxes</w:t>
      </w:r>
      <w:r>
        <w:rPr>
          <w:rFonts w:ascii="Times New Roman" w:hAnsi="Times New Roman"/>
          <w:color w:val="000000"/>
          <w:sz w:val="24"/>
        </w:rPr>
        <w:t xml:space="preserve">. The Grantee acknowledges that the Grantee has reviewed, or has had the opportunity to review,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No shares of Common Stock that may be acquired hereunder shall be issued in respect of the Grantee unless the withholding obligation under applicable tax laws or regulations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Award;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Grantee, in his or her sole discretion, may elect to surrender, or direct the Company to withhold from the vested RSUs and dividend equivalent Restricted Stock Units, shares of Common Stock in such number as necessary to satisfy the tax withholding obligation. In addition, the Grantee may pay all or any portion of the taxes required to be withheld by the Company or paid by the Grantee in connection with the settlement of the RSUs hereunder by delivering cash, check or cash equivalents. The Grantee must make the foregoing election on or before the date that the amount of tax to be withheld is determined.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Restrictive Covenants</w:t>
      </w:r>
      <w:r>
        <w:rPr>
          <w:rFonts w:ascii="Times New Roman" w:hAnsi="Times New Roman"/>
          <w:color w:val="000000"/>
          <w:sz w:val="24"/>
        </w:rPr>
        <w:t xml:space="preserve">. The Grantee acknowledges and agrees that the restrictions in this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are necessary to protect the goodwill of the Company and the Confidential Information (as defined below) provided by the Company to the Grantee pursuant to this Agreement or otherwise.</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Confidential Information</w:t>
      </w:r>
      <w:r>
        <w:rPr>
          <w:rFonts w:ascii="Times New Roman" w:hAnsi="Times New Roman"/>
          <w:color w:val="000000"/>
          <w:sz w:val="24"/>
        </w:rPr>
        <w:t>. The Grantee acknowledges that, by virtue of his or her service to the Company and any of its affiliates either as an Employee or if applicable, as a Non-Employee Director, the Company has provided and promises to provide the Grantee with Confidential Information (as defined below). The Grantee shall hold in a fiduciary capacity for the benefit of the Company all secret or confidential information, knowledge or data relating to the Company or any of its affiliates, and their respective businesses, which shall have been obtained by the Grantee during the Grantee’s service to the Company or any of its affiliates either as an Employee or if applicable, as a Non-Employee Director, and which shall not be or become public knowledge (other than by acts by the Grantee or representatives of the Grantee in violation of this Agreement) (“</w:t>
      </w:r>
      <w:r>
        <w:rPr>
          <w:rFonts w:ascii="Times New Roman" w:hAnsi="Times New Roman"/>
          <w:color w:val="000000"/>
          <w:sz w:val="24"/>
          <w:u w:val="single"/>
        </w:rPr>
        <w:t>Confidential Information</w:t>
      </w:r>
      <w:r>
        <w:rPr>
          <w:rFonts w:ascii="Times New Roman" w:hAnsi="Times New Roman"/>
          <w:color w:val="000000"/>
          <w:sz w:val="20"/>
        </w:rPr>
        <w:t>”</w:t>
      </w:r>
      <w:r>
        <w:rPr>
          <w:rFonts w:ascii="Times New Roman" w:hAnsi="Times New Roman"/>
          <w:color w:val="000000"/>
          <w:sz w:val="24"/>
        </w:rPr>
        <w:t>). After termination of the Grantee’s employment with the Company, the Grantee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Grantee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Grantee’s ability to communicate with any government agency or otherwise participate in any investigation or proceeding that may be conducted by any government agency, including providing documents or other information. Nothing in this Agreement shall be construed to prohibit Employee from engaging in protected concerted activity under the National Labor Relations Act for the purpose of collective bargaining or other mutual aid or protection, including, without limitation, (A) making disclosures concerning this Agreement in aid of such concerted activities; (B) filing unfair labor practice charges; (C) assisting others who are filing such charges; and (D) cooperating with the investigative process of the National Labor Relations Board or other government agencies.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Non-Competition</w:t>
      </w:r>
      <w:r>
        <w:rPr>
          <w:rFonts w:ascii="Times New Roman" w:hAnsi="Times New Roman"/>
          <w:color w:val="000000"/>
          <w:sz w:val="24"/>
        </w:rPr>
        <w:t>. During the Vesting Period, in order to protect all Confidential Information, the Grantee agrees that to the fullest extent permitted by law, the Grantee shall not engage or be engaged in any aspect whatsoever of any of the following lines of business: (i) the production (including any associated mining), distribution, marketing or sale of cement (including Portland cement, oil well 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Times New Roman" w:hAnsi="Times New Roman"/>
          <w:color w:val="000000"/>
          <w:sz w:val="24"/>
          <w:u w:val="single"/>
        </w:rPr>
        <w:t>Line of Business</w:t>
      </w:r>
      <w:r>
        <w:rPr>
          <w:rFonts w:ascii="Times New Roman" w:hAnsi="Times New Roman"/>
          <w:color w:val="000000"/>
          <w:sz w:val="20"/>
        </w:rPr>
        <w:t>”</w:t>
      </w:r>
      <w:r>
        <w:rPr>
          <w:rFonts w:ascii="Times New Roman" w:hAnsi="Times New Roman"/>
          <w:color w:val="000000"/>
          <w:sz w:val="24"/>
        </w:rPr>
        <w:t>), either directly or indirectly as an individual, or as an employee, associate, partner, stockholder, consultant, owner, manager, agent or otherwise or by means of any corporate or other device, either on his or her own behalf 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 xml:space="preserve">Restricted Areas (as defined below) or on behalf of others who are engaged in any Line of Business (either directly or through an affiliate (including by virtue of having an affiliate in the Restricted Areas)) in the Restricted Areas; </w:t>
      </w:r>
      <w:r>
        <w:rPr>
          <w:rFonts w:ascii="Times New Roman" w:hAnsi="Times New Roman"/>
          <w:color w:val="000000"/>
          <w:sz w:val="24"/>
          <w:u w:val="single"/>
        </w:rPr>
        <w:t>provided</w:t>
      </w:r>
      <w:r>
        <w:rPr>
          <w:rFonts w:ascii="Times New Roman" w:hAnsi="Times New Roman"/>
          <w:color w:val="000000"/>
          <w:sz w:val="24"/>
        </w:rPr>
        <w:t>, that, notwithstanding the foregoing, the Grantee may invest in securities of any entity, solely for investment purposes and without participating in the business thereof, if (A) such securities are traded on any national securities exchange or the National Association of Securities Dealers, Inc. Automated Quotation System, (B) the Grantee is not a controlling person of, or a member of a group which controls, such entity, and (C) the Grantee does not, directly or indirectly, own 1% or more of any class of securities of such entity. The “</w:t>
      </w:r>
      <w:r>
        <w:rPr>
          <w:rFonts w:ascii="Times New Roman" w:hAnsi="Times New Roman"/>
          <w:color w:val="000000"/>
          <w:sz w:val="24"/>
          <w:u w:val="single"/>
        </w:rPr>
        <w:t>Restricted Areas</w:t>
      </w:r>
      <w:r>
        <w:rPr>
          <w:rFonts w:ascii="Times New Roman" w:hAnsi="Times New Roman"/>
          <w:color w:val="000000"/>
          <w:sz w:val="20"/>
        </w:rPr>
        <w:t xml:space="preserve">” </w:t>
      </w:r>
      <w:r>
        <w:rPr>
          <w:rFonts w:ascii="Times New Roman" w:hAnsi="Times New Roman"/>
          <w:color w:val="000000"/>
          <w:sz w:val="24"/>
        </w:rPr>
        <w:t>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Grantee or in respect of which the Grantee has performed any services.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Non-Solicitation</w:t>
      </w:r>
      <w:r>
        <w:rPr>
          <w:rFonts w:ascii="Times New Roman" w:hAnsi="Times New Roman"/>
          <w:color w:val="000000"/>
          <w:sz w:val="24"/>
        </w:rPr>
        <w:t>. During the Vesting Period, the Grantee will not, directly or indirectly, in any manner (i) (x) solicit or attempt to solicit any individual that is an employee of the Company or its affiliates (“</w:t>
      </w:r>
      <w:r>
        <w:rPr>
          <w:rFonts w:ascii="Times New Roman" w:hAnsi="Times New Roman"/>
          <w:color w:val="000000"/>
          <w:sz w:val="24"/>
          <w:u w:val="single"/>
        </w:rPr>
        <w:t>Employee</w:t>
      </w:r>
      <w:r>
        <w:rPr>
          <w:rFonts w:ascii="Times New Roman" w:hAnsi="Times New Roman"/>
          <w:color w:val="000000"/>
          <w:sz w:val="20"/>
        </w:rPr>
        <w:t>”</w:t>
      </w:r>
      <w:r>
        <w:rPr>
          <w:rFonts w:ascii="Times New Roman" w:hAnsi="Times New Roman"/>
          <w:color w:val="000000"/>
          <w:sz w:val="24"/>
        </w:rPr>
        <w:t xml:space="preserve">), (y) encourage any person (other than the Company) to solicit any Employee, or (z) otherwise encourage any Employee to discontinue his or her employment with the Company or one of its affiliates; </w:t>
      </w:r>
      <w:r>
        <w:rPr>
          <w:rFonts w:ascii="Times New Roman" w:hAnsi="Times New Roman"/>
          <w:color w:val="000000"/>
          <w:sz w:val="24"/>
          <w:u w:val="single"/>
        </w:rPr>
        <w:t>provided</w:t>
      </w:r>
      <w:r>
        <w:rPr>
          <w:rFonts w:ascii="Times New Roman" w:hAnsi="Times New Roman"/>
          <w:color w:val="000000"/>
          <w:sz w:val="24"/>
        </w:rPr>
        <w:t>, that this Agreement shall not prohibit any advertisement or general solicitation (or hiring as a result thereof) that is not specifically targeted at such persons; (ii) solicit any customer who currently is a customer of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Remedies</w:t>
      </w:r>
      <w:r>
        <w:rPr>
          <w:rFonts w:ascii="Times New Roman" w:hAnsi="Times New Roman"/>
          <w:color w:val="000000"/>
          <w:sz w:val="24"/>
        </w:rPr>
        <w:t xml:space="preserve">. In the event of the Grantee’s breach or threatened breach of this </w:t>
      </w:r>
      <w:r>
        <w:rPr>
          <w:rFonts w:ascii="Times New Roman" w:hAnsi="Times New Roman"/>
          <w:color w:val="000000"/>
          <w:sz w:val="24"/>
          <w:u w:val="single"/>
        </w:rPr>
        <w:t>Section 11</w:t>
      </w:r>
      <w:r>
        <w:rPr>
          <w:rFonts w:ascii="Times New Roman" w:hAnsi="Times New Roman"/>
          <w:color w:val="000000"/>
          <w:sz w:val="24"/>
        </w:rPr>
        <w:t xml:space="preserve">, in addition to any other remedies, the Company shall be entitled to specific performance and/or a temporary or permanent injunction prohibiting and enjoining the Grantee from violating the covenants set forth in this </w:t>
      </w:r>
      <w:r>
        <w:rPr>
          <w:rFonts w:ascii="Times New Roman" w:hAnsi="Times New Roman"/>
          <w:color w:val="000000"/>
          <w:sz w:val="24"/>
          <w:u w:val="single"/>
        </w:rPr>
        <w:t>Section 11</w:t>
      </w:r>
      <w:r>
        <w:rPr>
          <w:rFonts w:ascii="Times New Roman" w:hAnsi="Times New Roman"/>
          <w:color w:val="000000"/>
          <w:sz w:val="24"/>
        </w:rPr>
        <w:t xml:space="preserve">. For purposes of obtaining equitable relief, such as specific performance, a temporary restraining order, or an injunction (but not any relief to the extent it would involve the payment by the Grantee of monetary damages or the loss of a benefit under this Agreement), the Company need not prove, and the Grantee acknowledges and agrees that irreparable harm or injury will have occurred as a result of any breach of the covenants set forth in this </w:t>
      </w:r>
      <w:r>
        <w:rPr>
          <w:rFonts w:ascii="Times New Roman" w:hAnsi="Times New Roman"/>
          <w:color w:val="000000"/>
          <w:sz w:val="24"/>
          <w:u w:val="single"/>
        </w:rPr>
        <w:t>Section 11</w:t>
      </w:r>
      <w:r>
        <w:rPr>
          <w:rFonts w:ascii="Times New Roman" w:hAnsi="Times New Roman"/>
          <w:color w:val="000000"/>
          <w:sz w:val="24"/>
        </w:rPr>
        <w:t xml:space="preserve">, and the Company need not provide notice or pay bond to the maximum extent permitted by law. In the event of the Grantee’s breach or threatened breach of the restrictive covenants contained in this </w:t>
      </w:r>
      <w:r>
        <w:rPr>
          <w:rFonts w:ascii="Times New Roman" w:hAnsi="Times New Roman"/>
          <w:color w:val="000000"/>
          <w:sz w:val="24"/>
          <w:u w:val="single"/>
        </w:rPr>
        <w:t>Section 11</w:t>
      </w:r>
      <w:r>
        <w:rPr>
          <w:rFonts w:ascii="Times New Roman" w:hAnsi="Times New Roman"/>
          <w:color w:val="000000"/>
          <w:sz w:val="24"/>
        </w:rPr>
        <w:t>, in addition to any other remedies available hereunder, at law or in equity, the Company shall also be entitled to recover the value of all remaining unvested RSUs, which shall be immediately forfeited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 xml:space="preserve">the Grantee. The Vesting Period solely for purposes of this </w:t>
      </w:r>
      <w:r>
        <w:rPr>
          <w:rFonts w:ascii="Times New Roman" w:hAnsi="Times New Roman"/>
          <w:color w:val="000000"/>
          <w:sz w:val="24"/>
          <w:u w:val="single"/>
        </w:rPr>
        <w:t>Section 11</w:t>
      </w:r>
      <w:r>
        <w:rPr>
          <w:rFonts w:ascii="Times New Roman" w:hAnsi="Times New Roman"/>
          <w:color w:val="000000"/>
          <w:sz w:val="20"/>
        </w:rPr>
        <w:t xml:space="preserve"> </w:t>
      </w:r>
      <w:r>
        <w:rPr>
          <w:rFonts w:ascii="Times New Roman" w:hAnsi="Times New Roman"/>
          <w:color w:val="000000"/>
          <w:sz w:val="24"/>
        </w:rPr>
        <w:t xml:space="preserve">shall be tolled for any period of time during which the Grantee is in violation of the restrictions in </w:t>
      </w:r>
      <w:r>
        <w:rPr>
          <w:rFonts w:ascii="Times New Roman" w:hAnsi="Times New Roman"/>
          <w:color w:val="000000"/>
          <w:sz w:val="24"/>
          <w:u w:val="single"/>
        </w:rPr>
        <w:t>Sections 11(b)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11(c)</w:t>
      </w:r>
      <w:r>
        <w:rPr>
          <w:rFonts w:ascii="Times New Roman" w:hAnsi="Times New Roman"/>
          <w:color w:val="000000"/>
          <w:sz w:val="20"/>
        </w:rPr>
        <w:t xml:space="preserve"> </w:t>
      </w:r>
      <w:r>
        <w:rPr>
          <w:rFonts w:ascii="Times New Roman" w:hAnsi="Times New Roman"/>
          <w:color w:val="000000"/>
          <w:sz w:val="24"/>
        </w:rPr>
        <w:t xml:space="preserve">(e.g., in no event shall this sentence otherwise cause the Vesting Date to be delayed or the Vesting Period to be extended for purposes of </w:t>
      </w:r>
      <w:r>
        <w:rPr>
          <w:rFonts w:ascii="Times New Roman" w:hAnsi="Times New Roman"/>
          <w:color w:val="000000"/>
          <w:sz w:val="24"/>
          <w:u w:val="single"/>
        </w:rPr>
        <w:t>Section 3</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Reformation</w:t>
      </w:r>
      <w:r>
        <w:rPr>
          <w:rFonts w:ascii="Times New Roman" w:hAnsi="Times New Roman"/>
          <w:color w:val="000000"/>
          <w:sz w:val="24"/>
        </w:rPr>
        <w:t xml:space="preserve">. In the event that any covenant contained in this </w:t>
      </w:r>
      <w:r>
        <w:rPr>
          <w:rFonts w:ascii="Times New Roman" w:hAnsi="Times New Roman"/>
          <w:color w:val="000000"/>
          <w:sz w:val="24"/>
          <w:u w:val="single"/>
        </w:rPr>
        <w:t>Section 11</w:t>
      </w:r>
      <w:r>
        <w:rPr>
          <w:rFonts w:ascii="Times New Roman" w:hAnsi="Times New Roman"/>
          <w:color w:val="000000"/>
          <w:sz w:val="20"/>
        </w:rPr>
        <w:t xml:space="preserve"> </w:t>
      </w:r>
      <w:r>
        <w:rPr>
          <w:rFonts w:ascii="Times New Roman" w:hAnsi="Times New Roman"/>
          <w:color w:val="000000"/>
          <w:sz w:val="24"/>
        </w:rPr>
        <w:t xml:space="preserve">should ever be adjudicated to exceed the time, geographic or other limitations permitted by applicable law, then such covenant shall be reformed to the maximum time, geographic or other limitations to the maximum extent permitted by law. The covenants contained in this </w:t>
      </w:r>
      <w:r>
        <w:rPr>
          <w:rFonts w:ascii="Times New Roman" w:hAnsi="Times New Roman"/>
          <w:color w:val="000000"/>
          <w:sz w:val="24"/>
          <w:u w:val="single"/>
        </w:rPr>
        <w:t>Section 11</w:t>
      </w:r>
      <w:r>
        <w:rPr>
          <w:rFonts w:ascii="Times New Roman" w:hAnsi="Times New Roman"/>
          <w:color w:val="000000"/>
          <w:sz w:val="20"/>
        </w:rPr>
        <w:t xml:space="preserve"> </w:t>
      </w:r>
      <w:r>
        <w:rPr>
          <w:rFonts w:ascii="Times New Roman" w:hAnsi="Times New Roman"/>
          <w:color w:val="000000"/>
          <w:sz w:val="24"/>
        </w:rPr>
        <w:t>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State-Specific Requirements</w:t>
      </w:r>
      <w:r>
        <w:rPr>
          <w:rFonts w:ascii="Times New Roman" w:hAnsi="Times New Roman"/>
          <w:color w:val="000000"/>
          <w:sz w:val="24"/>
        </w:rPr>
        <w:t xml:space="preserve">. The effectiveness of Sections </w:t>
      </w:r>
      <w:r>
        <w:rPr>
          <w:rFonts w:ascii="Times New Roman" w:hAnsi="Times New Roman"/>
          <w:color w:val="000000"/>
          <w:sz w:val="24"/>
          <w:u w:val="single"/>
        </w:rPr>
        <w:t>11(b)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11(c)</w:t>
      </w:r>
      <w:r>
        <w:rPr>
          <w:rFonts w:ascii="Times New Roman" w:hAnsi="Times New Roman"/>
          <w:color w:val="000000"/>
          <w:sz w:val="20"/>
        </w:rPr>
        <w:t xml:space="preserve"> </w:t>
      </w:r>
      <w:r>
        <w:rPr>
          <w:rFonts w:ascii="Times New Roman" w:hAnsi="Times New Roman"/>
          <w:color w:val="000000"/>
          <w:sz w:val="24"/>
        </w:rPr>
        <w:t xml:space="preserve">shall be subject to applicable state law, such that, Sections </w:t>
      </w:r>
      <w:r>
        <w:rPr>
          <w:rFonts w:ascii="Times New Roman" w:hAnsi="Times New Roman"/>
          <w:color w:val="000000"/>
          <w:sz w:val="24"/>
          <w:u w:val="single"/>
        </w:rPr>
        <w:t>11(b)</w:t>
      </w:r>
      <w:r>
        <w:rPr>
          <w:rFonts w:ascii="Times New Roman" w:hAnsi="Times New Roman"/>
          <w:color w:val="000000"/>
          <w:sz w:val="20"/>
        </w:rPr>
        <w:t xml:space="preserve"> </w:t>
      </w:r>
      <w:r>
        <w:rPr>
          <w:rFonts w:ascii="Times New Roman" w:hAnsi="Times New Roman"/>
          <w:color w:val="000000"/>
          <w:sz w:val="24"/>
        </w:rPr>
        <w:t xml:space="preserve">and/or and </w:t>
      </w:r>
      <w:r>
        <w:rPr>
          <w:rFonts w:ascii="Times New Roman" w:hAnsi="Times New Roman"/>
          <w:color w:val="000000"/>
          <w:sz w:val="24"/>
          <w:u w:val="single"/>
        </w:rPr>
        <w:t>11(c)</w:t>
      </w:r>
      <w:r>
        <w:rPr>
          <w:rFonts w:ascii="Times New Roman" w:hAnsi="Times New Roman"/>
          <w:color w:val="000000"/>
          <w:sz w:val="20"/>
        </w:rPr>
        <w:t xml:space="preserve"> </w:t>
      </w:r>
      <w:r>
        <w:rPr>
          <w:rFonts w:ascii="Times New Roman" w:hAnsi="Times New Roman"/>
          <w:color w:val="000000"/>
          <w:sz w:val="24"/>
        </w:rPr>
        <w:t>shall only apply to the extent permitted under applicable federal or state law (e.g., the state law, if applicable, that may apply on a mandatory basis based on where the Grantee resides).</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Entire Agreement; Governing Law; Venue</w:t>
      </w:r>
      <w:r>
        <w:rPr>
          <w:rFonts w:ascii="Times New Roman" w:hAnsi="Times New Roman"/>
          <w:color w:val="000000"/>
          <w:sz w:val="24"/>
        </w:rPr>
        <w:t>. The Plan and this Agreement constitute the entire agreement of the Company and the Grantee (collectively, the “</w:t>
      </w:r>
      <w:r>
        <w:rPr>
          <w:rFonts w:ascii="Times New Roman" w:hAnsi="Times New Roman"/>
          <w:color w:val="000000"/>
          <w:sz w:val="24"/>
          <w:u w:val="single"/>
        </w:rPr>
        <w:t>Parties</w:t>
      </w:r>
      <w:r>
        <w:rPr>
          <w:color w:val="000000"/>
        </w:rPr>
        <w:t>”</w:t>
      </w:r>
      <w:r>
        <w:rPr>
          <w:rFonts w:ascii="Times New Roman" w:hAnsi="Times New Roman"/>
          <w:color w:val="000000"/>
          <w:sz w:val="24"/>
        </w:rPr>
        <w:t>) with respect to the subject matter hereof and supersede in their entirety all prior undertakings and agreements of the Parties with respect to the subject matter hereof, and may not be modified in a manner that adversely affects the Grantee’s interest hereunder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The Parties hereby submit to the exclusive jurisdiction of the state and federal courts in Dallas County, Texas. Each Party irrevocably waives, to the fullest extent permitted by law, any objection which either party may now or hereafter have to the laying of the venue of any such proceeding brought in such a court and any claim that any such proceeding brought in such a court has been brought in an inconvenient forum. Should any provision of the Plan or this Agreement be determined by a court of law to be illegal or unenforceable, such provision shall be enforced to the fullest extent allowed by law and the other provisions shall nevertheless remain effective and shall remain enforceable.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Jury Trial Waiver. THE GRANTEE HEREBY WAIVES THE RIGHT TO TRIAL BY JURY WITH RESPECT TO ANY CLAIM AGAINST THE COMPANY FOR BREACH OR ENFORCEMENT OF THE PLAN OR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Interpretive Matters</w:t>
      </w:r>
      <w:r>
        <w:rPr>
          <w:rFonts w:ascii="Times New Roman" w:hAnsi="Times New Roman"/>
          <w:color w:val="000000"/>
          <w:sz w:val="24"/>
        </w:rPr>
        <w:t xml:space="preserve">. Whenever required by the context, pronouns and any variation thereof shall be deemed to refer to the masculine, feminine, or neuter, and the singular shall include the plural, and vice versa. The term “include” or “including” does not denote or imply any limitation. The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term “business day” means any Monday through Friday other than such a day on which banks are authorized to be closed in the State of Texas. The captions and headings used in this Agreement are inserted for convenience and shall not be deemed a part of this Award or this Agreement for construction or interpretation.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Notice</w:t>
      </w:r>
      <w:r>
        <w:rPr>
          <w:rFonts w:ascii="Times New Roman" w:hAnsi="Times New Roman"/>
          <w:color w:val="000000"/>
          <w:sz w:val="24"/>
        </w:rPr>
        <w:t>. Any notice or other communication required or permitted hereunder shall be given in writing or by such electronic means, as permitted by the Committee, and shall be deemed effectively delivered or given upon receipt or, in the case of notices delivered by mail by the Company to the Grantee, on the third business day after deposit in the United States mail, postage prepaid, addressed to the Grantee at the address specified at the end of this Agreement or at such other address as the Grantee hereafter designates by written notice to the Company. By accepting this Award, the Grantee consents to receive such documents by electronic delivery and to participate in the Plan through an on-line or electronic system established and maintained by the Company or another third party designated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Recoupment</w:t>
      </w:r>
      <w:r>
        <w:rPr>
          <w:rFonts w:ascii="Times New Roman" w:hAnsi="Times New Roman"/>
          <w:color w:val="000000"/>
          <w:sz w:val="24"/>
        </w:rPr>
        <w:t xml:space="preserve">. This Award (and amounts paid in respect thereof) shall be subject to the terms of any recoupment (clawback) policy adopted by the Company as in effect from time to time, as well as any recoupment/forfeiture provisions required by law and applicable to the Company or its subsidiaries, including pursuant to Section 954 of the Dodd-Frank Wall Street Reform and Consumer Protection Act;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unless prohibited by applicable law, any Company recoupment (clawback) policy shall have no application to this Award (or amounts paid in respect thereof) following a Change in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rFonts w:ascii="Times New Roman" w:hAnsi="Times New Roman"/>
          <w:color w:val="000000"/>
          <w:sz w:val="24"/>
          <w:u w:val="single"/>
        </w:rPr>
        <w:t>Successors and Assigns</w:t>
      </w:r>
      <w:r>
        <w:rPr>
          <w:rFonts w:ascii="Times New Roman" w:hAnsi="Times New Roman"/>
          <w:color w:val="000000"/>
          <w:sz w:val="24"/>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 or pursuant to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rFonts w:ascii="Times New Roman" w:hAnsi="Times New Roman"/>
          <w:color w:val="000000"/>
          <w:sz w:val="24"/>
          <w:u w:val="single"/>
        </w:rPr>
        <w:t>No Employment Guaranteed</w:t>
      </w:r>
      <w:r>
        <w:rPr>
          <w:rFonts w:ascii="Times New Roman" w:hAnsi="Times New Roman"/>
          <w:color w:val="000000"/>
          <w:sz w:val="24"/>
        </w:rPr>
        <w:t>. No provision of this Agreement shall confer any right upon the Grantee to continued employment or service with the Company or any subsidiary.</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4"/>
        </w:rPr>
        <w:t>EAGLE MATERIALS INC</w:t>
      </w:r>
      <w:r>
        <w:rPr>
          <w:rFonts w:ascii="Times New Roman" w:hAnsi="Times New Roman"/>
          <w:color w:val="000000"/>
          <w:sz w:val="24"/>
        </w:rPr>
        <w:t>.</w:t>
      </w:r>
    </w:p>
    <w:p>
      <w:pPr>
        <w:pStyle w:val="TextBody"/>
        <w:bidi w:val="0"/>
        <w:jc w:val="both"/>
        <w:rPr/>
      </w:pPr>
      <w:r>
        <w:rPr/>
        <w:t> </w:t>
      </w:r>
    </w:p>
    <w:tbl>
      <w:tblPr>
        <w:tblW w:w="1444" w:type="dxa"/>
        <w:jc w:val="left"/>
        <w:tblInd w:w="0" w:type="dxa"/>
        <w:tblLayout w:type="fixed"/>
        <w:tblCellMar>
          <w:top w:w="28" w:type="dxa"/>
          <w:left w:w="28" w:type="dxa"/>
          <w:bottom w:w="28" w:type="dxa"/>
          <w:right w:w="28" w:type="dxa"/>
        </w:tblCellMar>
      </w:tblPr>
      <w:tblGrid>
        <w:gridCol w:w="161"/>
        <w:gridCol w:w="146"/>
        <w:gridCol w:w="9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Its:</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191" w:type="dxa"/>
            <w:tcBorders/>
            <w:tcMar>
              <w:top w:w="0" w:type="dxa"/>
              <w:left w:w="0" w:type="dxa"/>
              <w:bottom w:w="0" w:type="dxa"/>
              <w:right w:w="0" w:type="dxa"/>
            </w:tcMar>
            <w:vAlign w:val="center"/>
          </w:tcPr>
          <w:p>
            <w:pPr>
              <w:pStyle w:val="TableContents"/>
              <w:bidi w:val="0"/>
              <w:spacing w:before="0" w:after="240"/>
              <w:jc w:val="both"/>
              <w:rPr/>
            </w:pPr>
            <w:r>
              <w:rPr/>
              <w:t> </w:t>
            </w:r>
          </w:p>
        </w:tc>
      </w:tr>
    </w:tbl>
    <w:p>
      <w:pPr>
        <w:pStyle w:val="TextBody"/>
        <w:bidi w:val="0"/>
        <w:jc w:val="left"/>
        <w:rPr>
          <w:rFonts w:ascii="Times New Roman" w:hAnsi="Times New Roman"/>
          <w:color w:val="000000"/>
          <w:sz w:val="24"/>
        </w:rPr>
      </w:pPr>
      <w:r>
        <w:rPr>
          <w:rFonts w:ascii="Times New Roman" w:hAnsi="Times New Roman"/>
          <w:color w:val="000000"/>
          <w:sz w:val="24"/>
        </w:rPr>
        <w:t>The Grantee acknowledges receipt of a copy of the Plan, represents that he or she is familiar with the terms and provisions thereof, and hereby accepts this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GRANTEE:</w:t>
      </w:r>
    </w:p>
    <w:p>
      <w:pPr>
        <w:pStyle w:val="TextBody"/>
        <w:bidi w:val="0"/>
        <w:jc w:val="both"/>
        <w:rPr/>
      </w:pPr>
      <w:r>
        <w:rPr/>
        <w:t> </w:t>
      </w:r>
    </w:p>
    <w:p>
      <w:pPr>
        <w:pStyle w:val="TextBody"/>
        <w:bidi w:val="0"/>
        <w:jc w:val="both"/>
        <w:rPr/>
      </w:pPr>
      <w:r>
        <w:rPr/>
        <w:t> </w:t>
      </w:r>
    </w:p>
    <w:tbl>
      <w:tblPr>
        <w:tblW w:w="6804" w:type="dxa"/>
        <w:jc w:val="left"/>
        <w:tblInd w:w="0" w:type="dxa"/>
        <w:tblLayout w:type="fixed"/>
        <w:tblCellMar>
          <w:top w:w="28" w:type="dxa"/>
          <w:left w:w="28" w:type="dxa"/>
          <w:bottom w:w="28" w:type="dxa"/>
          <w:right w:w="28" w:type="dxa"/>
        </w:tblCellMar>
      </w:tblPr>
      <w:tblGrid>
        <w:gridCol w:w="161"/>
        <w:gridCol w:w="146"/>
        <w:gridCol w:w="1906"/>
        <w:gridCol w:w="45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Signed:</w:t>
            </w:r>
          </w:p>
        </w:tc>
        <w:tc>
          <w:tcPr>
            <w:tcW w:w="45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_____________________________________</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06" w:type="dxa"/>
            <w:tcBorders/>
            <w:tcMar>
              <w:top w:w="0" w:type="dxa"/>
              <w:left w:w="0" w:type="dxa"/>
              <w:bottom w:w="0" w:type="dxa"/>
              <w:right w:w="0" w:type="dxa"/>
            </w:tcMar>
            <w:vAlign w:val="center"/>
          </w:tcPr>
          <w:p>
            <w:pPr>
              <w:pStyle w:val="TableContents"/>
              <w:bidi w:val="0"/>
              <w:spacing w:before="0" w:after="283"/>
              <w:jc w:val="both"/>
              <w:rPr/>
            </w:pPr>
            <w:r>
              <w:rPr/>
              <w:t> </w:t>
            </w:r>
          </w:p>
        </w:tc>
        <w:tc>
          <w:tcPr>
            <w:tcW w:w="45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06"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Name:</w:t>
            </w:r>
          </w:p>
        </w:tc>
        <w:tc>
          <w:tcPr>
            <w:tcW w:w="4591" w:type="dxa"/>
            <w:tcBorders/>
            <w:tcMar>
              <w:top w:w="0" w:type="dxa"/>
              <w:left w:w="0" w:type="dxa"/>
              <w:bottom w:w="0" w:type="dxa"/>
              <w:right w:w="0" w:type="dxa"/>
            </w:tcMar>
            <w:vAlign w:val="center"/>
          </w:tcPr>
          <w:p>
            <w:pPr>
              <w:pStyle w:val="TableContents"/>
              <w:bidi w:val="0"/>
              <w:spacing w:before="0" w:after="12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06" w:type="dxa"/>
            <w:tcBorders/>
            <w:tcMar>
              <w:top w:w="0" w:type="dxa"/>
              <w:left w:w="0" w:type="dxa"/>
              <w:bottom w:w="0" w:type="dxa"/>
              <w:right w:w="0" w:type="dxa"/>
            </w:tcMar>
            <w:vAlign w:val="center"/>
          </w:tcPr>
          <w:p>
            <w:pPr>
              <w:pStyle w:val="TableContents"/>
              <w:bidi w:val="0"/>
              <w:spacing w:before="0" w:after="120"/>
              <w:jc w:val="both"/>
              <w:rPr/>
            </w:pPr>
            <w:r>
              <w:rPr/>
              <w:t> </w:t>
            </w:r>
          </w:p>
        </w:tc>
        <w:tc>
          <w:tcPr>
            <w:tcW w:w="4591" w:type="dxa"/>
            <w:tcBorders/>
            <w:tcMar>
              <w:top w:w="0" w:type="dxa"/>
              <w:left w:w="0" w:type="dxa"/>
              <w:bottom w:w="0" w:type="dxa"/>
              <w:right w:w="0" w:type="dxa"/>
            </w:tcMar>
            <w:vAlign w:val="center"/>
          </w:tcPr>
          <w:p>
            <w:pPr>
              <w:pStyle w:val="TableContents"/>
              <w:bidi w:val="0"/>
              <w:spacing w:before="0" w:after="12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06"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Mailing Address:</w:t>
            </w:r>
          </w:p>
        </w:tc>
        <w:tc>
          <w:tcPr>
            <w:tcW w:w="4591" w:type="dxa"/>
            <w:tcBorders/>
            <w:tcMar>
              <w:top w:w="0" w:type="dxa"/>
              <w:left w:w="0" w:type="dxa"/>
              <w:bottom w:w="0" w:type="dxa"/>
              <w:right w:w="0" w:type="dxa"/>
            </w:tcMar>
            <w:vAlign w:val="center"/>
          </w:tcPr>
          <w:p>
            <w:pPr>
              <w:pStyle w:val="TableContents"/>
              <w:bidi w:val="0"/>
              <w:spacing w:before="0" w:after="12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06"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Email Address(es):</w:t>
            </w:r>
          </w:p>
        </w:tc>
        <w:tc>
          <w:tcPr>
            <w:tcW w:w="4591" w:type="dxa"/>
            <w:tcBorders/>
            <w:tcMar>
              <w:top w:w="0" w:type="dxa"/>
              <w:left w:w="0" w:type="dxa"/>
              <w:bottom w:w="0" w:type="dxa"/>
              <w:right w:w="0" w:type="dxa"/>
            </w:tcMar>
            <w:vAlign w:val="center"/>
          </w:tcPr>
          <w:p>
            <w:pPr>
              <w:pStyle w:val="TableContents"/>
              <w:bidi w:val="0"/>
              <w:spacing w:before="0" w:after="120"/>
              <w:jc w:val="both"/>
              <w:rPr/>
            </w:pPr>
            <w:r>
              <w:rPr/>
              <w:t> </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u w:val="single"/>
        </w:rPr>
      </w:pPr>
      <w:bookmarkStart w:id="21" w:name="exp-ex10_2.htm"/>
      <w:bookmarkStart w:id="22" w:name="ksexpex10_2"/>
      <w:bookmarkEnd w:id="21"/>
      <w:bookmarkEnd w:id="22"/>
      <w:r>
        <w:rPr>
          <w:rFonts w:ascii="Times New Roman" w:hAnsi="Times New Roman"/>
          <w:b/>
          <w:color w:val="000000"/>
          <w:sz w:val="24"/>
          <w:u w:val="single"/>
        </w:rPr>
        <w:t>EXHIBIT 10.2</w:t>
      </w:r>
      <w:r>
        <w:br w:type="page"/>
      </w:r>
    </w:p>
    <w:p>
      <w:pPr>
        <w:pStyle w:val="TextBody"/>
        <w:bidi w:val="0"/>
        <w:jc w:val="center"/>
        <w:rPr>
          <w:rFonts w:ascii="Times New Roman" w:hAnsi="Times New Roman"/>
          <w:sz w:val="20"/>
        </w:rPr>
      </w:pPr>
      <w:r>
        <w:rPr>
          <w:rFonts w:ascii="Times New Roman" w:hAnsi="Times New Roman"/>
          <w:b/>
          <w:color w:val="000000"/>
          <w:sz w:val="24"/>
          <w:u w:val="single"/>
        </w:rPr>
        <w:t>EAGLE MATERIALS INC</w:t>
      </w:r>
      <w:r>
        <w:rPr>
          <w:rFonts w:ascii="Times New Roman" w:hAnsi="Times New Roman"/>
          <w:b/>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2023 EQUITY INCENTIVE PLAN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RESTRICTED STOCK UNIT AWARD AGREEMENT</w:t>
      </w:r>
    </w:p>
    <w:p>
      <w:pPr>
        <w:pStyle w:val="TextBody"/>
        <w:bidi w:val="0"/>
        <w:jc w:val="center"/>
        <w:rPr>
          <w:rFonts w:ascii="Times New Roman" w:hAnsi="Times New Roman"/>
          <w:b/>
          <w:color w:val="000000"/>
          <w:sz w:val="24"/>
        </w:rPr>
      </w:pPr>
      <w:r>
        <w:rPr>
          <w:rFonts w:ascii="Times New Roman" w:hAnsi="Times New Roman"/>
          <w:b/>
          <w:color w:val="000000"/>
          <w:sz w:val="24"/>
        </w:rPr>
        <w:t>(Performance Vesting)</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Eagle Materials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(the “</w:t>
      </w:r>
      <w:r>
        <w:rPr>
          <w:rFonts w:ascii="Times New Roman" w:hAnsi="Times New Roman"/>
          <w:color w:val="000000"/>
          <w:sz w:val="24"/>
          <w:u w:val="single"/>
        </w:rPr>
        <w:t>Grantee</w:t>
      </w:r>
      <w:r>
        <w:rPr>
          <w:rFonts w:ascii="Times New Roman" w:hAnsi="Times New Roman"/>
          <w:color w:val="000000"/>
          <w:sz w:val="20"/>
        </w:rPr>
        <w:t>”</w:t>
      </w:r>
      <w:r>
        <w:rPr>
          <w:rFonts w:ascii="Times New Roman" w:hAnsi="Times New Roman"/>
          <w:color w:val="000000"/>
          <w:sz w:val="24"/>
        </w:rPr>
        <w:t>) hereby enter into this Restricted Stock Unit Award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in order to set forth the terms and conditions of the Company’s award to the Grantee on May 21, 2026 (the “</w:t>
      </w:r>
      <w:r>
        <w:rPr>
          <w:rFonts w:ascii="Times New Roman" w:hAnsi="Times New Roman"/>
          <w:color w:val="000000"/>
          <w:sz w:val="24"/>
          <w:u w:val="single"/>
        </w:rPr>
        <w:t>Award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Award</w:t>
      </w:r>
      <w:r>
        <w:rPr>
          <w:rFonts w:ascii="Times New Roman" w:hAnsi="Times New Roman"/>
          <w:color w:val="000000"/>
          <w:sz w:val="24"/>
        </w:rPr>
        <w:t>. The Company hereby awards to the Grantee Restricted Stock Units (this “</w:t>
      </w:r>
      <w:r>
        <w:rPr>
          <w:rFonts w:ascii="Times New Roman" w:hAnsi="Times New Roman"/>
          <w:color w:val="000000"/>
          <w:sz w:val="24"/>
          <w:u w:val="single"/>
        </w:rPr>
        <w:t>Award</w:t>
      </w:r>
      <w:r>
        <w:rPr>
          <w:color w:val="000000"/>
        </w:rPr>
        <w:t>”</w:t>
      </w:r>
      <w:r>
        <w:rPr>
          <w:rFonts w:ascii="Times New Roman" w:hAnsi="Times New Roman"/>
          <w:color w:val="000000"/>
          <w:sz w:val="24"/>
        </w:rPr>
        <w:t xml:space="preserve">) as the target amount of a performance-based Restricted Stock Unit award on the terms and subject to the conditions contained in this Agreement. Depending on the Company’s performance as set forth in </w:t>
      </w:r>
      <w:r>
        <w:rPr>
          <w:rFonts w:ascii="Times New Roman" w:hAnsi="Times New Roman"/>
          <w:color w:val="000000"/>
          <w:sz w:val="24"/>
          <w:u w:val="single"/>
        </w:rPr>
        <w:t>Section 3</w:t>
      </w:r>
      <w:r>
        <w:rPr>
          <w:rFonts w:ascii="Times New Roman" w:hAnsi="Times New Roman"/>
          <w:color w:val="000000"/>
          <w:sz w:val="24"/>
        </w:rPr>
        <w:t>, the Grantee may earn 0% to 200% of the target number of Performance Share Units awarded. The term “</w:t>
      </w:r>
      <w:r>
        <w:rPr>
          <w:rFonts w:ascii="Times New Roman" w:hAnsi="Times New Roman"/>
          <w:color w:val="000000"/>
          <w:sz w:val="24"/>
          <w:u w:val="single"/>
        </w:rPr>
        <w:t>Performance Share Units</w:t>
      </w:r>
      <w:r>
        <w:rPr>
          <w:color w:val="000000"/>
        </w:rPr>
        <w:t xml:space="preserve">” </w:t>
      </w:r>
      <w:r>
        <w:rPr>
          <w:rFonts w:ascii="Times New Roman" w:hAnsi="Times New Roman"/>
          <w:color w:val="000000"/>
          <w:sz w:val="24"/>
        </w:rPr>
        <w:t>or “</w:t>
      </w:r>
      <w:r>
        <w:rPr>
          <w:rFonts w:ascii="Times New Roman" w:hAnsi="Times New Roman"/>
          <w:color w:val="000000"/>
          <w:sz w:val="24"/>
          <w:u w:val="single"/>
        </w:rPr>
        <w:t>PSUs</w:t>
      </w:r>
      <w:r>
        <w:rPr>
          <w:color w:val="000000"/>
        </w:rPr>
        <w:t xml:space="preserve">” </w:t>
      </w:r>
      <w:r>
        <w:rPr>
          <w:rFonts w:ascii="Times New Roman" w:hAnsi="Times New Roman"/>
          <w:color w:val="000000"/>
          <w:sz w:val="24"/>
        </w:rPr>
        <w:t>as used in this Agreement refers only to the performance-based Restricted Stock Units awarded to the Grantee under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Relationship to the Plan</w:t>
      </w:r>
      <w:r>
        <w:rPr>
          <w:rFonts w:ascii="Times New Roman" w:hAnsi="Times New Roman"/>
          <w:color w:val="000000"/>
          <w:sz w:val="24"/>
        </w:rPr>
        <w:t>. This Award shall be subject to the terms and conditions of the Eagle Materials Inc. 2023 Equity Incentive Plan (as may be amended from time to time, the “</w:t>
      </w:r>
      <w:r>
        <w:rPr>
          <w:rFonts w:ascii="Times New Roman" w:hAnsi="Times New Roman"/>
          <w:color w:val="000000"/>
          <w:sz w:val="24"/>
          <w:u w:val="single"/>
        </w:rPr>
        <w:t>Plan</w:t>
      </w:r>
      <w:r>
        <w:rPr>
          <w:color w:val="000000"/>
        </w:rPr>
        <w:t>”</w:t>
      </w:r>
      <w:r>
        <w:rPr>
          <w:rFonts w:ascii="Times New Roman" w:hAnsi="Times New Roman"/>
          <w:color w:val="000000"/>
          <w:sz w:val="24"/>
        </w:rPr>
        <w:t>), this Agreement and such administrative interpretations of the Plan, if any, as may be in effect on the date of this Agreement or thereafter. Except as defined herein, capitalized terms shall have the meanings ascribed to them under the Plan. For purposes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color w:val="000000"/>
        </w:rPr>
        <w:t>“</w:t>
      </w:r>
      <w:r>
        <w:rPr>
          <w:rFonts w:ascii="Times New Roman" w:hAnsi="Times New Roman"/>
          <w:color w:val="000000"/>
          <w:sz w:val="24"/>
          <w:u w:val="single"/>
        </w:rPr>
        <w:t>Average Absolute TSR</w:t>
      </w:r>
      <w:r>
        <w:rPr>
          <w:color w:val="000000"/>
        </w:rPr>
        <w:t xml:space="preserve">” </w:t>
      </w:r>
      <w:r>
        <w:rPr>
          <w:rFonts w:ascii="Times New Roman" w:hAnsi="Times New Roman"/>
          <w:color w:val="000000"/>
          <w:sz w:val="24"/>
        </w:rPr>
        <w:t>shall be calculated based on the following formula:</w:t>
      </w:r>
    </w:p>
    <w:p>
      <w:pPr>
        <w:pStyle w:val="Heading2"/>
        <w:bidi w:val="0"/>
        <w:spacing w:before="0" w:after="240"/>
        <w:jc w:val="left"/>
        <w:rPr>
          <w:rFonts w:ascii="Times New Roman" w:hAnsi="Times New Roman"/>
          <w:sz w:val="20"/>
        </w:rPr>
      </w:pPr>
      <w:r>
        <w:rPr>
          <w:rFonts w:ascii="Times New Roman" w:hAnsi="Times New Roman"/>
          <w:color w:val="000000"/>
          <w:sz w:val="20"/>
        </w:rPr>
        <w:t>Avg. A-TSR = [((Ending Price + Reinvested Dividends)/Beginning Price)</w:t>
      </w:r>
      <w:r>
        <w:rPr>
          <w:rFonts w:ascii="Times New Roman" w:hAnsi="Times New Roman"/>
          <w:color w:val="000000"/>
          <w:sz w:val="13"/>
        </w:rPr>
        <w:t>^(1/3)</w:t>
      </w:r>
      <w:r>
        <w:rPr>
          <w:rFonts w:ascii="Times New Roman" w:hAnsi="Times New Roman"/>
          <w:color w:val="000000"/>
          <w:sz w:val="20"/>
        </w:rPr>
        <w:t>] – 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color w:val="000000"/>
        </w:rPr>
        <w:t>“</w:t>
      </w:r>
      <w:r>
        <w:rPr>
          <w:rFonts w:ascii="Times New Roman" w:hAnsi="Times New Roman"/>
          <w:color w:val="000000"/>
          <w:sz w:val="24"/>
          <w:u w:val="single"/>
        </w:rPr>
        <w:t>Average Return on Equity</w:t>
      </w:r>
      <w:r>
        <w:rPr>
          <w:color w:val="000000"/>
        </w:rPr>
        <w:t xml:space="preserve">” </w:t>
      </w:r>
      <w:r>
        <w:rPr>
          <w:rFonts w:ascii="Times New Roman" w:hAnsi="Times New Roman"/>
          <w:color w:val="000000"/>
          <w:sz w:val="24"/>
        </w:rPr>
        <w:t xml:space="preserve">shall mean: (i) the sum of the Return on Equity for each of the 3 fiscal years contained within the Performance Period; divided by (ii) 3.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color w:val="000000"/>
        </w:rPr>
        <w:t>“</w:t>
      </w:r>
      <w:r>
        <w:rPr>
          <w:rFonts w:ascii="Times New Roman" w:hAnsi="Times New Roman"/>
          <w:color w:val="000000"/>
          <w:sz w:val="24"/>
          <w:u w:val="single"/>
        </w:rPr>
        <w:t>Average Stockholders’ Equity</w:t>
      </w:r>
      <w:r>
        <w:rPr>
          <w:color w:val="000000"/>
        </w:rPr>
        <w:t xml:space="preserve">” </w:t>
      </w:r>
      <w:r>
        <w:rPr>
          <w:rFonts w:ascii="Times New Roman" w:hAnsi="Times New Roman"/>
          <w:color w:val="000000"/>
          <w:sz w:val="24"/>
        </w:rPr>
        <w:t>for a fiscal year shall mean: (i) the Company’s total stockholders’ equity as of the beginning of such fiscal year plus the Company’s total stockholders’ equity at the end of such fiscal year; divided by (ii) 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color w:val="000000"/>
        </w:rPr>
        <w:t>“</w:t>
      </w:r>
      <w:r>
        <w:rPr>
          <w:rFonts w:ascii="Times New Roman" w:hAnsi="Times New Roman"/>
          <w:color w:val="000000"/>
          <w:sz w:val="24"/>
          <w:u w:val="single"/>
        </w:rPr>
        <w:t>Beginning Price</w:t>
      </w:r>
      <w:r>
        <w:rPr>
          <w:color w:val="000000"/>
        </w:rPr>
        <w:t xml:space="preserve">” </w:t>
      </w:r>
      <w:r>
        <w:rPr>
          <w:rFonts w:ascii="Times New Roman" w:hAnsi="Times New Roman"/>
          <w:color w:val="000000"/>
          <w:sz w:val="24"/>
        </w:rPr>
        <w:t xml:space="preserve">shall mean the average per share closing price of a share or share equivalent of Common Stock on the applicable stock exchange for the period of 20 trading days immediately preceding the first day of the Performance Period.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shall mean a disability of the Grantee as determined by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color w:val="000000"/>
        </w:rPr>
        <w:t>“</w:t>
      </w:r>
      <w:r>
        <w:rPr>
          <w:rFonts w:ascii="Times New Roman" w:hAnsi="Times New Roman"/>
          <w:color w:val="000000"/>
          <w:sz w:val="24"/>
          <w:u w:val="single"/>
        </w:rPr>
        <w:t>Ending Price</w:t>
      </w:r>
      <w:r>
        <w:rPr>
          <w:color w:val="000000"/>
        </w:rPr>
        <w:t xml:space="preserve">” </w:t>
      </w:r>
      <w:r>
        <w:rPr>
          <w:rFonts w:ascii="Times New Roman" w:hAnsi="Times New Roman"/>
          <w:color w:val="000000"/>
          <w:sz w:val="24"/>
        </w:rPr>
        <w:t xml:space="preserve">shall mean the average per share closing price of a share or share equivalent of Common Stock on the applicable stock exchange for the period of 20 trading days immediately preceding and including the last day of the Performance Period.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color w:val="000000"/>
        </w:rPr>
        <w:t>“</w:t>
      </w:r>
      <w:r>
        <w:rPr>
          <w:rFonts w:ascii="Times New Roman" w:hAnsi="Times New Roman"/>
          <w:color w:val="000000"/>
          <w:sz w:val="24"/>
          <w:u w:val="single"/>
        </w:rPr>
        <w:t>Performance Period</w:t>
      </w:r>
      <w:r>
        <w:rPr>
          <w:color w:val="000000"/>
        </w:rPr>
        <w:t xml:space="preserve">” </w:t>
      </w:r>
      <w:r>
        <w:rPr>
          <w:rFonts w:ascii="Times New Roman" w:hAnsi="Times New Roman"/>
          <w:color w:val="000000"/>
          <w:sz w:val="24"/>
        </w:rPr>
        <w:t xml:space="preserve">shall mean the period commencing on April 1, 2026 and ending on March 31, 2029.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left"/>
        <w:rPr/>
      </w:pPr>
      <w:r>
        <w:rPr>
          <w:color w:val="000000"/>
        </w:rPr>
        <w:t>“</w:t>
      </w:r>
      <w:r>
        <w:rPr>
          <w:rFonts w:ascii="Times New Roman" w:hAnsi="Times New Roman"/>
          <w:color w:val="000000"/>
          <w:sz w:val="24"/>
          <w:u w:val="single"/>
        </w:rPr>
        <w:t>Reinvested Dividends</w:t>
      </w:r>
      <w:r>
        <w:rPr>
          <w:color w:val="000000"/>
        </w:rPr>
        <w:t xml:space="preserve">” </w:t>
      </w:r>
      <w:r>
        <w:rPr>
          <w:rFonts w:ascii="Times New Roman" w:hAnsi="Times New Roman"/>
          <w:color w:val="000000"/>
          <w:sz w:val="24"/>
        </w:rPr>
        <w:t>shall be calculated by multiplying (i) the aggregate number of shares (including fractional shares) that could have been purchased during the Performance Period had each cash dividend paid on a single share of Common Stock during that period been immediately reinvested in additional shares (or fractional shares) of Common Stock at the closing selling price per share on the applicable ex-dividend date, using the closing price on such date, by (ii) the Ending Price. Each of the foregoing amounts will be equitably adjusted for stock splits, stock dividends, recapitalizations and other similar events affecting the shares.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color w:val="000000"/>
        </w:rPr>
        <w:t>“</w:t>
      </w:r>
      <w:r>
        <w:rPr>
          <w:rFonts w:ascii="Times New Roman" w:hAnsi="Times New Roman"/>
          <w:color w:val="000000"/>
          <w:sz w:val="24"/>
          <w:u w:val="single"/>
        </w:rPr>
        <w:t>Retirement</w:t>
      </w:r>
      <w:r>
        <w:rPr>
          <w:color w:val="000000"/>
        </w:rPr>
        <w:t xml:space="preserve">” </w:t>
      </w:r>
      <w:r>
        <w:rPr>
          <w:rFonts w:ascii="Times New Roman" w:hAnsi="Times New Roman"/>
          <w:color w:val="000000"/>
          <w:sz w:val="24"/>
        </w:rPr>
        <w:t>shall mean the retirement of the Grantee as approved by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left"/>
        <w:rPr/>
      </w:pPr>
      <w:r>
        <w:rPr>
          <w:color w:val="000000"/>
        </w:rPr>
        <w:t>“</w:t>
      </w:r>
      <w:r>
        <w:rPr>
          <w:rFonts w:ascii="Times New Roman" w:hAnsi="Times New Roman"/>
          <w:color w:val="000000"/>
          <w:sz w:val="24"/>
          <w:u w:val="single"/>
        </w:rPr>
        <w:t>Return on Equity</w:t>
      </w:r>
      <w:r>
        <w:rPr>
          <w:color w:val="000000"/>
        </w:rPr>
        <w:t xml:space="preserve">” </w:t>
      </w:r>
      <w:r>
        <w:rPr>
          <w:rFonts w:ascii="Times New Roman" w:hAnsi="Times New Roman"/>
          <w:color w:val="000000"/>
          <w:sz w:val="24"/>
        </w:rPr>
        <w:t xml:space="preserve">for a fiscal year shall mean the following calculation (as determined by the Committee): (i) the net earnings of the Company for such fiscal year; divided by (ii) the Company’s Average Stockholders’ Equity for such fiscal year.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left"/>
        <w:rPr/>
      </w:pPr>
      <w:r>
        <w:rPr>
          <w:color w:val="000000"/>
        </w:rPr>
        <w:t>“</w:t>
      </w:r>
      <w:r>
        <w:rPr>
          <w:rFonts w:ascii="Times New Roman" w:hAnsi="Times New Roman"/>
          <w:color w:val="000000"/>
          <w:sz w:val="24"/>
          <w:u w:val="single"/>
        </w:rPr>
        <w:t>Vesting Date</w:t>
      </w:r>
      <w:r>
        <w:rPr>
          <w:color w:val="000000"/>
        </w:rPr>
        <w:t xml:space="preserve">” </w:t>
      </w:r>
      <w:r>
        <w:rPr>
          <w:rFonts w:ascii="Times New Roman" w:hAnsi="Times New Roman"/>
          <w:color w:val="000000"/>
          <w:sz w:val="24"/>
        </w:rPr>
        <w:t>shall mean, with respect to the Performance Period, the fifth business day following the Certification Date (as defined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left"/>
        <w:rPr/>
      </w:pPr>
      <w:r>
        <w:rPr>
          <w:color w:val="000000"/>
        </w:rPr>
        <w:t>“</w:t>
      </w:r>
      <w:r>
        <w:rPr>
          <w:rFonts w:ascii="Times New Roman" w:hAnsi="Times New Roman"/>
          <w:color w:val="000000"/>
          <w:sz w:val="24"/>
          <w:u w:val="single"/>
        </w:rPr>
        <w:t>Vesting Period</w:t>
      </w:r>
      <w:r>
        <w:rPr>
          <w:color w:val="000000"/>
        </w:rPr>
        <w:t xml:space="preserve">” </w:t>
      </w:r>
      <w:r>
        <w:rPr>
          <w:rFonts w:ascii="Times New Roman" w:hAnsi="Times New Roman"/>
          <w:color w:val="000000"/>
          <w:sz w:val="24"/>
        </w:rPr>
        <w:t>shall mean the period commencing on the Award Date and ending on the Vesting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Vesting</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Performance Criteria</w:t>
      </w:r>
      <w:r>
        <w:rPr>
          <w:rFonts w:ascii="Times New Roman" w:hAnsi="Times New Roman"/>
          <w:color w:val="000000"/>
          <w:sz w:val="24"/>
        </w:rPr>
        <w:t>. The number of PSUs that may be earned hereunder shall be based on the achievement of the performance criteria set forth below, and the percentage of such PSUs that may vest (the “</w:t>
      </w:r>
      <w:r>
        <w:rPr>
          <w:rFonts w:ascii="Times New Roman" w:hAnsi="Times New Roman"/>
          <w:color w:val="000000"/>
          <w:sz w:val="24"/>
          <w:u w:val="single"/>
        </w:rPr>
        <w:t>Vesting Percentage</w:t>
      </w:r>
      <w:r>
        <w:rPr>
          <w:color w:val="000000"/>
        </w:rPr>
        <w:t>”</w:t>
      </w:r>
      <w:r>
        <w:rPr>
          <w:rFonts w:ascii="Times New Roman" w:hAnsi="Times New Roman"/>
          <w:color w:val="000000"/>
          <w:sz w:val="24"/>
        </w:rPr>
        <w:t>) will be equal to the percentage of target PSUs earned, as modified by the TSR modifier and further qualified below.</w:t>
      </w:r>
    </w:p>
    <w:tbl>
      <w:tblPr>
        <w:tblW w:w="10205" w:type="dxa"/>
        <w:jc w:val="left"/>
        <w:tblInd w:w="0" w:type="dxa"/>
        <w:tblLayout w:type="fixed"/>
        <w:tblCellMar>
          <w:top w:w="28" w:type="dxa"/>
          <w:left w:w="28" w:type="dxa"/>
          <w:bottom w:w="28" w:type="dxa"/>
          <w:right w:w="28" w:type="dxa"/>
        </w:tblCellMar>
      </w:tblPr>
      <w:tblGrid>
        <w:gridCol w:w="1314"/>
        <w:gridCol w:w="1421"/>
        <w:gridCol w:w="1820"/>
        <w:gridCol w:w="1320"/>
        <w:gridCol w:w="2454"/>
        <w:gridCol w:w="1876"/>
      </w:tblGrid>
      <w:tr>
        <w:trPr/>
        <w:tc>
          <w:tcPr>
            <w:tcW w:w="131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13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 Level</w:t>
            </w:r>
          </w:p>
        </w:tc>
        <w:tc>
          <w:tcPr>
            <w:tcW w:w="1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Return on Equity</w:t>
            </w:r>
          </w:p>
        </w:tc>
        <w:tc>
          <w:tcPr>
            <w:tcW w:w="1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 of Target PSUs Earned</w:t>
            </w:r>
          </w:p>
        </w:tc>
        <w:tc>
          <w:tcPr>
            <w:tcW w:w="13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Absolute TSR</w:t>
            </w:r>
          </w:p>
        </w:tc>
        <w:tc>
          <w:tcPr>
            <w:tcW w:w="24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TSR Modifier to Percentage of Target PSUs Earned</w:t>
            </w:r>
          </w:p>
        </w:tc>
        <w:tc>
          <w:tcPr>
            <w:tcW w:w="18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Vesting Percentage of Target PSUs</w:t>
            </w:r>
          </w:p>
        </w:tc>
      </w:tr>
      <w:tr>
        <w:trPr/>
        <w:tc>
          <w:tcPr>
            <w:tcW w:w="1314"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Maximum</w:t>
            </w:r>
          </w:p>
        </w:tc>
        <w:tc>
          <w:tcPr>
            <w:tcW w:w="1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u w:val="single"/>
              </w:rPr>
              <w:t>&gt;</w:t>
            </w:r>
            <w:r>
              <w:rPr>
                <w:rFonts w:ascii="Times New Roman" w:hAnsi="Times New Roman"/>
                <w:color w:val="000000"/>
                <w:sz w:val="18"/>
              </w:rPr>
              <w:t> 20.0%</w:t>
            </w:r>
          </w:p>
        </w:tc>
        <w:tc>
          <w:tcPr>
            <w:tcW w:w="1820"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3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u w:val="single"/>
              </w:rPr>
              <w:t>&gt;</w:t>
            </w:r>
            <w:r>
              <w:rPr>
                <w:rFonts w:ascii="Times New Roman" w:hAnsi="Times New Roman"/>
                <w:color w:val="000000"/>
                <w:sz w:val="18"/>
              </w:rPr>
              <w:t> 12.0%</w:t>
            </w:r>
          </w:p>
        </w:tc>
        <w:tc>
          <w:tcPr>
            <w:tcW w:w="2454"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1.33x</w:t>
            </w:r>
          </w:p>
        </w:tc>
        <w:tc>
          <w:tcPr>
            <w:tcW w:w="18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r>
      <w:tr>
        <w:trPr/>
        <w:tc>
          <w:tcPr>
            <w:tcW w:w="1314"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Target</w:t>
            </w:r>
          </w:p>
        </w:tc>
        <w:tc>
          <w:tcPr>
            <w:tcW w:w="142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8"/>
              </w:rPr>
              <w:t xml:space="preserve">15.0% </w:t>
            </w:r>
          </w:p>
        </w:tc>
        <w:tc>
          <w:tcPr>
            <w:tcW w:w="1820"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32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8.0%</w:t>
            </w:r>
          </w:p>
        </w:tc>
        <w:tc>
          <w:tcPr>
            <w:tcW w:w="2454"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1.00x</w:t>
            </w:r>
          </w:p>
        </w:tc>
        <w:tc>
          <w:tcPr>
            <w:tcW w:w="18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r>
      <w:tr>
        <w:trPr/>
        <w:tc>
          <w:tcPr>
            <w:tcW w:w="1314"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Threshold</w:t>
            </w:r>
          </w:p>
        </w:tc>
        <w:tc>
          <w:tcPr>
            <w:tcW w:w="14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10.0%</w:t>
            </w:r>
          </w:p>
        </w:tc>
        <w:tc>
          <w:tcPr>
            <w:tcW w:w="1820"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32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0.0%</w:t>
            </w:r>
          </w:p>
        </w:tc>
        <w:tc>
          <w:tcPr>
            <w:tcW w:w="2454"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1.00x</w:t>
            </w:r>
          </w:p>
        </w:tc>
        <w:tc>
          <w:tcPr>
            <w:tcW w:w="18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r>
    </w:tbl>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b w:val="false"/>
          <w:color w:val="000000"/>
          <w:sz w:val="24"/>
        </w:rPr>
        <w:t xml:space="preserve">; </w:t>
      </w:r>
      <w:r>
        <w:rPr>
          <w:rFonts w:ascii="Times New Roman" w:hAnsi="Times New Roman"/>
          <w:b w:val="false"/>
          <w:color w:val="000000"/>
          <w:sz w:val="24"/>
          <w:u w:val="single"/>
        </w:rPr>
        <w:t>provided</w:t>
      </w:r>
      <w:r>
        <w:rPr>
          <w:rFonts w:ascii="Times New Roman" w:hAnsi="Times New Roman"/>
          <w:b w:val="false"/>
          <w:color w:val="000000"/>
          <w:sz w:val="24"/>
        </w:rPr>
        <w:t>, that (i) the percentage of the target PSUs earned and the TSR Modifier, respectively, shall be calculated based on straight-line interpolation between the points shown above with fractional points rounded up to the nearest hundredth of a percent; (ii) if Average Absolute TSR is less than threshold, then the Vesting Percentage is capped at 100.0%, even if Average Return on Equity is greater than target; and (iii) if Average Absolute TSR is greater than 20.0%, then the Vesting Percentage shall be no less than 100.0%, even if Average Return on Equity is less than target or threshold.</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Heading2"/>
        <w:bidi w:val="0"/>
        <w:spacing w:before="0" w:after="240"/>
        <w:jc w:val="left"/>
        <w:rPr>
          <w:rFonts w:ascii="Times New Roman" w:hAnsi="Times New Roman"/>
          <w:sz w:val="20"/>
        </w:rPr>
      </w:pPr>
      <w:r>
        <w:rPr>
          <w:rFonts w:ascii="Times New Roman" w:hAnsi="Times New Roman"/>
          <w:b w:val="false"/>
          <w:color w:val="000000"/>
          <w:sz w:val="24"/>
        </w:rPr>
        <w:t>After the end of the Performance Period, the Committee shall certify the Vesting Percentage (“</w:t>
      </w:r>
      <w:r>
        <w:rPr>
          <w:rFonts w:ascii="Times New Roman" w:hAnsi="Times New Roman"/>
          <w:b w:val="false"/>
          <w:color w:val="000000"/>
          <w:sz w:val="24"/>
          <w:u w:val="single"/>
        </w:rPr>
        <w:t>Certification Date</w:t>
      </w:r>
      <w:r>
        <w:rPr>
          <w:rFonts w:ascii="Times New Roman" w:hAnsi="Times New Roman"/>
          <w:color w:val="000000"/>
          <w:sz w:val="20"/>
        </w:rPr>
        <w:t>”</w:t>
      </w:r>
      <w:r>
        <w:rPr>
          <w:rFonts w:ascii="Times New Roman" w:hAnsi="Times New Roman"/>
          <w:b w:val="false"/>
          <w:color w:val="000000"/>
          <w:sz w:val="24"/>
        </w:rPr>
        <w:t xml:space="preserve">), with such Certification Date occurring no later than 90 days from the end of the Performance Period, and the PSUs, if earned, shall vest and be payable in Common Stock as set forth in </w:t>
      </w:r>
      <w:r>
        <w:rPr>
          <w:rFonts w:ascii="Times New Roman" w:hAnsi="Times New Roman"/>
          <w:b w:val="false"/>
          <w:color w:val="000000"/>
          <w:sz w:val="24"/>
          <w:u w:val="single"/>
        </w:rPr>
        <w:t>Section 3(b</w:t>
      </w:r>
      <w:r>
        <w:rPr>
          <w:rFonts w:ascii="Times New Roman" w:hAnsi="Times New Roman"/>
          <w:b w:val="false"/>
          <w:color w:val="000000"/>
          <w:sz w:val="24"/>
        </w:rPr>
        <w:t>) below. Upon the Certification Date, any portion of the PSUs that are not earned in accordance with the provisions above shall be immediately and automatically forfeited.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Shares Payable</w:t>
      </w:r>
      <w:r>
        <w:rPr>
          <w:rFonts w:ascii="Times New Roman" w:hAnsi="Times New Roman"/>
          <w:color w:val="000000"/>
          <w:sz w:val="24"/>
        </w:rPr>
        <w:t>. On the Vesting Date, a number of PSUs equal to the target number of PSUs awarded in this Agreement multiplied by the Vesting Percentage will vest and be converted into shares of Common Stock on a one-for-one basis, rounding up to the next whole share. The resulting shares of Common Stock will be issued to the Grantee promptly, and in any event within 60 days, following the Vesting Date. Notwithstanding the foregoing, the Committee may, in its sole discretion, settle this Award or portion thereof in the form of a cash payment equal in the value of the shares of Common Stock that would otherwise be payable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Forfeiture</w:t>
      </w:r>
      <w:r>
        <w:rPr>
          <w:rFonts w:ascii="Times New Roman" w:hAnsi="Times New Roman"/>
          <w:color w:val="000000"/>
          <w:sz w:val="24"/>
        </w:rPr>
        <w:t xml:space="preserve">. Subject to </w:t>
      </w:r>
      <w:r>
        <w:rPr>
          <w:rFonts w:ascii="Times New Roman" w:hAnsi="Times New Roman"/>
          <w:color w:val="000000"/>
          <w:sz w:val="24"/>
          <w:u w:val="single"/>
        </w:rPr>
        <w:t>Section 4</w:t>
      </w:r>
      <w:r>
        <w:rPr>
          <w:rFonts w:ascii="Times New Roman" w:hAnsi="Times New Roman"/>
          <w:color w:val="000000"/>
          <w:sz w:val="24"/>
        </w:rPr>
        <w:t xml:space="preserve">, the Grantee must be in continuous service as an Employee or, if applicable, as a Non-Employee Director for purposes of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of the Plan (“</w:t>
      </w:r>
      <w:r>
        <w:rPr>
          <w:rFonts w:ascii="Times New Roman" w:hAnsi="Times New Roman"/>
          <w:color w:val="000000"/>
          <w:sz w:val="24"/>
          <w:u w:val="single"/>
        </w:rPr>
        <w:t>Continuous Service</w:t>
      </w:r>
      <w:r>
        <w:rPr>
          <w:color w:val="000000"/>
        </w:rPr>
        <w:t>”</w:t>
      </w:r>
      <w:r>
        <w:rPr>
          <w:rFonts w:ascii="Times New Roman" w:hAnsi="Times New Roman"/>
          <w:color w:val="000000"/>
          <w:sz w:val="24"/>
        </w:rPr>
        <w:t xml:space="preserve">) from the Award Date through the Vesting Date for any unvested PSUs, if earned, to become vested. Subject to </w:t>
      </w:r>
      <w:r>
        <w:rPr>
          <w:rFonts w:ascii="Times New Roman" w:hAnsi="Times New Roman"/>
          <w:color w:val="000000"/>
          <w:sz w:val="24"/>
          <w:u w:val="single"/>
        </w:rPr>
        <w:t>Section 4</w:t>
      </w:r>
      <w:r>
        <w:rPr>
          <w:rFonts w:ascii="Times New Roman" w:hAnsi="Times New Roman"/>
          <w:color w:val="000000"/>
          <w:sz w:val="24"/>
        </w:rPr>
        <w:t>, the termination of such Continuous Service prior to the Vesting Date shall cause all unvested PSUs to be automatically forfeited as of the date of such termination of Continuous Service.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Calculations and Adjustments</w:t>
      </w:r>
      <w:r>
        <w:rPr>
          <w:rFonts w:ascii="Times New Roman" w:hAnsi="Times New Roman"/>
          <w:color w:val="000000"/>
          <w:sz w:val="24"/>
        </w:rPr>
        <w:t xml:space="preserve">. The Committee shall have the authority to approve the calculations involving Average Return on Equity and Average Absolute TSR for purposes of vesting, and its approval of such calculations shall be final, conclusive and binding on all parties; </w:t>
      </w:r>
      <w:r>
        <w:rPr>
          <w:rFonts w:ascii="Times New Roman" w:hAnsi="Times New Roman"/>
          <w:color w:val="000000"/>
          <w:sz w:val="24"/>
          <w:u w:val="single"/>
        </w:rPr>
        <w:t>provided</w:t>
      </w:r>
      <w:r>
        <w:rPr>
          <w:rFonts w:ascii="Times New Roman" w:hAnsi="Times New Roman"/>
          <w:color w:val="000000"/>
          <w:sz w:val="24"/>
        </w:rPr>
        <w:t>, that Average Return on Equity and Average Absolute TSR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matters (including legal fees, settlements and adjustments) in the event that the amount exceeds $5 million in the aggregate; and (iii) the impact of extraordinary items not related to the Company’s current or ongoing business operations, including impairments, write-downs or other significant non-operational charges. Without limiting the generality of the foregoing, in the event the Company determines to effect a spin-off that will occur prior to the end of the Performance Period, the Committee shall have the discretion to determine the extent to which Average Return on Equity and Average Absolute TSR shall be deemed to have been satisfied through the effective date of such spin-off or earlier, as determined by the Committee and such determination date shall constitute the Certification Date hereunder.</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Change in Control; Death, Disability or Retirement</w:t>
      </w:r>
      <w:r>
        <w:rPr>
          <w:rFonts w:ascii="Times New Roman" w:hAnsi="Times New Roman"/>
          <w:color w:val="000000"/>
          <w:sz w:val="24"/>
        </w:rPr>
        <w:t xml:space="preserve">. </w:t>
      </w:r>
    </w:p>
    <w:p>
      <w:pPr>
        <w:pStyle w:val="Heading1"/>
        <w:bidi w:val="0"/>
        <w:spacing w:before="0" w:after="240"/>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Change in Control</w:t>
      </w:r>
      <w:r>
        <w:rPr>
          <w:rFonts w:ascii="Times New Roman" w:hAnsi="Times New Roman"/>
          <w:b w:val="false"/>
          <w:color w:val="000000"/>
          <w:sz w:val="24"/>
        </w:rPr>
        <w:t xml:space="preserve">. Notwithstanding </w:t>
      </w:r>
      <w:r>
        <w:rPr>
          <w:rFonts w:ascii="Times New Roman" w:hAnsi="Times New Roman"/>
          <w:b w:val="false"/>
          <w:color w:val="000000"/>
          <w:sz w:val="24"/>
          <w:u w:val="single"/>
        </w:rPr>
        <w:t>Section 3</w:t>
      </w:r>
      <w:r>
        <w:rPr>
          <w:rFonts w:ascii="Times New Roman" w:hAnsi="Times New Roman"/>
          <w:b w:val="false"/>
          <w:color w:val="000000"/>
          <w:sz w:val="24"/>
        </w:rPr>
        <w:t xml:space="preserve">, if the Grantee has been in Continuous Service from the Award Date through the occurrence of a Change in Control, then, in the event of the occurrence of such a Change in Control, any vesting of the PSUs will remain subject to the applicable provisions of the Plan, including, but not limited to, </w:t>
      </w:r>
      <w:r>
        <w:rPr>
          <w:rFonts w:ascii="Times New Roman" w:hAnsi="Times New Roman"/>
          <w:b w:val="false"/>
          <w:color w:val="000000"/>
          <w:sz w:val="24"/>
          <w:u w:val="single"/>
        </w:rPr>
        <w:t>Sections 1.3</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5.8</w:t>
      </w:r>
      <w:r>
        <w:rPr>
          <w:rFonts w:ascii="Times New Roman" w:hAnsi="Times New Roman"/>
          <w:color w:val="000000"/>
          <w:sz w:val="20"/>
        </w:rPr>
        <w:t xml:space="preserve"> </w:t>
      </w:r>
      <w:r>
        <w:rPr>
          <w:rFonts w:ascii="Times New Roman" w:hAnsi="Times New Roman"/>
          <w:b w:val="false"/>
          <w:color w:val="000000"/>
          <w:sz w:val="24"/>
        </w:rPr>
        <w:t>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Death, Disability or Retirement</w:t>
      </w:r>
      <w:r>
        <w:rPr>
          <w:rFonts w:ascii="Times New Roman" w:hAnsi="Times New Roman"/>
          <w:color w:val="000000"/>
          <w:sz w:val="24"/>
        </w:rPr>
        <w:t xml:space="preserve">. Notwithstanding </w:t>
      </w:r>
      <w:r>
        <w:rPr>
          <w:rFonts w:ascii="Times New Roman" w:hAnsi="Times New Roman"/>
          <w:color w:val="000000"/>
          <w:sz w:val="24"/>
          <w:u w:val="single"/>
        </w:rPr>
        <w:t>Section 3(c)</w:t>
      </w:r>
      <w:r>
        <w:rPr>
          <w:rFonts w:ascii="Times New Roman" w:hAnsi="Times New Roman"/>
          <w:color w:val="000000"/>
          <w:sz w:val="24"/>
        </w:rPr>
        <w:t xml:space="preserve">, in the event the Grantee’s Continuous Service terminates by reason of death, Disability or Retirement, and in each case, such termination occurs on or after the first anniversary of the commencement of the Performance Period and prior to the Vesting Date, then subject to the restrictive covenants in </w:t>
      </w:r>
      <w:r>
        <w:rPr>
          <w:rFonts w:ascii="Times New Roman" w:hAnsi="Times New Roman"/>
          <w:color w:val="000000"/>
          <w:sz w:val="24"/>
          <w:u w:val="single"/>
        </w:rPr>
        <w:t>Section 11</w:t>
      </w:r>
      <w:r>
        <w:rPr>
          <w:rFonts w:ascii="Times New Roman" w:hAnsi="Times New Roman"/>
          <w:color w:val="000000"/>
          <w:sz w:val="24"/>
        </w:rPr>
        <w:t xml:space="preserve">, as applicable, any then-unvested PSUs (and any related dividend equivalents described in </w:t>
      </w:r>
      <w:r>
        <w:rPr>
          <w:rFonts w:ascii="Times New Roman" w:hAnsi="Times New Roman"/>
          <w:color w:val="000000"/>
          <w:sz w:val="24"/>
          <w:u w:val="single"/>
        </w:rPr>
        <w:t>Section 5</w:t>
      </w:r>
      <w:r>
        <w:rPr>
          <w:rFonts w:ascii="Times New Roman" w:hAnsi="Times New Roman"/>
          <w:color w:val="000000"/>
          <w:sz w:val="24"/>
        </w:rPr>
        <w:t xml:space="preserve">) not previously forfeited shall remain eligible to vest pursuant to </w:t>
      </w:r>
      <w:r>
        <w:rPr>
          <w:rFonts w:ascii="Times New Roman" w:hAnsi="Times New Roman"/>
          <w:color w:val="000000"/>
          <w:sz w:val="24"/>
          <w:u w:val="single"/>
        </w:rPr>
        <w:t>Section 3</w:t>
      </w:r>
      <w:r>
        <w:rPr>
          <w:rFonts w:ascii="Times New Roman" w:hAnsi="Times New Roman"/>
          <w:color w:val="000000"/>
          <w:sz w:val="20"/>
        </w:rPr>
        <w:t xml:space="preserve"> </w:t>
      </w:r>
      <w:r>
        <w:rPr>
          <w:rFonts w:ascii="Times New Roman" w:hAnsi="Times New Roman"/>
          <w:color w:val="000000"/>
          <w:sz w:val="24"/>
        </w:rPr>
        <w:t xml:space="preserve">on the Vesting Date as if the Grantee had remained in such Continuous Service following such termination, it being understood that any PSUs (and any related dividend equivalents described in </w:t>
      </w:r>
      <w:r>
        <w:rPr>
          <w:rFonts w:ascii="Times New Roman" w:hAnsi="Times New Roman"/>
          <w:color w:val="000000"/>
          <w:sz w:val="24"/>
          <w:u w:val="single"/>
        </w:rPr>
        <w:t>Section 5</w:t>
      </w:r>
      <w:r>
        <w:rPr>
          <w:rFonts w:ascii="Times New Roman" w:hAnsi="Times New Roman"/>
          <w:color w:val="000000"/>
          <w:sz w:val="24"/>
        </w:rPr>
        <w:t>) that are not earned with respect to the Performance Period shall be forfeited.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Other Termination</w:t>
      </w:r>
      <w:r>
        <w:rPr>
          <w:rFonts w:ascii="Times New Roman" w:hAnsi="Times New Roman"/>
          <w:color w:val="000000"/>
          <w:sz w:val="24"/>
        </w:rPr>
        <w:t xml:space="preserve">. Notwithstanding </w:t>
      </w:r>
      <w:r>
        <w:rPr>
          <w:rFonts w:ascii="Times New Roman" w:hAnsi="Times New Roman"/>
          <w:color w:val="000000"/>
          <w:sz w:val="24"/>
          <w:u w:val="single"/>
        </w:rPr>
        <w:t>Section 3(c)</w:t>
      </w:r>
      <w:r>
        <w:rPr>
          <w:rFonts w:ascii="Times New Roman" w:hAnsi="Times New Roman"/>
          <w:color w:val="000000"/>
          <w:sz w:val="20"/>
        </w:rPr>
        <w:t xml:space="preserve"> </w:t>
      </w:r>
      <w:r>
        <w:rPr>
          <w:rFonts w:ascii="Times New Roman" w:hAnsi="Times New Roman"/>
          <w:color w:val="000000"/>
          <w:sz w:val="24"/>
        </w:rPr>
        <w:t xml:space="preserve">above, in the event the Grantee’s Continuous Service terminates (other than a termination by reason of death, Disability or Retirement pursuant to </w:t>
      </w:r>
      <w:r>
        <w:rPr>
          <w:rFonts w:ascii="Times New Roman" w:hAnsi="Times New Roman"/>
          <w:color w:val="000000"/>
          <w:sz w:val="24"/>
          <w:u w:val="single"/>
        </w:rPr>
        <w:t>Section 4(b)</w:t>
      </w:r>
      <w:r>
        <w:rPr>
          <w:rFonts w:ascii="Times New Roman" w:hAnsi="Times New Roman"/>
          <w:color w:val="000000"/>
          <w:sz w:val="20"/>
        </w:rPr>
        <w:t xml:space="preserve"> </w:t>
      </w:r>
      <w:r>
        <w:rPr>
          <w:rFonts w:ascii="Times New Roman" w:hAnsi="Times New Roman"/>
          <w:color w:val="000000"/>
          <w:sz w:val="24"/>
        </w:rPr>
        <w:t xml:space="preserve">or termination for “cause”) after the end of the Performance Period but before the Vesting Date, then subject to the restrictive covenants below in </w:t>
      </w:r>
      <w:r>
        <w:rPr>
          <w:rFonts w:ascii="Times New Roman" w:hAnsi="Times New Roman"/>
          <w:color w:val="000000"/>
          <w:sz w:val="24"/>
          <w:u w:val="single"/>
        </w:rPr>
        <w:t>Section 11</w:t>
      </w:r>
      <w:r>
        <w:rPr>
          <w:rFonts w:ascii="Times New Roman" w:hAnsi="Times New Roman"/>
          <w:color w:val="000000"/>
          <w:sz w:val="24"/>
        </w:rPr>
        <w:t xml:space="preserve">, as applicable, the then-unvested PSUs (and any related dividend equivalents described in </w:t>
      </w:r>
      <w:r>
        <w:rPr>
          <w:rFonts w:ascii="Times New Roman" w:hAnsi="Times New Roman"/>
          <w:color w:val="000000"/>
          <w:sz w:val="24"/>
          <w:u w:val="single"/>
        </w:rPr>
        <w:t>Section 5</w:t>
      </w:r>
      <w:r>
        <w:rPr>
          <w:rFonts w:ascii="Times New Roman" w:hAnsi="Times New Roman"/>
          <w:color w:val="000000"/>
          <w:sz w:val="20"/>
        </w:rPr>
        <w:t xml:space="preserve"> </w:t>
      </w:r>
      <w:r>
        <w:rPr>
          <w:rFonts w:ascii="Times New Roman" w:hAnsi="Times New Roman"/>
          <w:color w:val="000000"/>
          <w:sz w:val="24"/>
        </w:rPr>
        <w:t xml:space="preserve">below) not previously forfeited shall remain eligible to vest pursuant to </w:t>
      </w:r>
      <w:r>
        <w:rPr>
          <w:rFonts w:ascii="Times New Roman" w:hAnsi="Times New Roman"/>
          <w:color w:val="000000"/>
          <w:sz w:val="24"/>
          <w:u w:val="single"/>
        </w:rPr>
        <w:t>Section 3</w:t>
      </w:r>
      <w:r>
        <w:rPr>
          <w:rFonts w:ascii="Times New Roman" w:hAnsi="Times New Roman"/>
          <w:color w:val="000000"/>
          <w:sz w:val="20"/>
        </w:rPr>
        <w:t xml:space="preserve"> </w:t>
      </w:r>
      <w:r>
        <w:rPr>
          <w:rFonts w:ascii="Times New Roman" w:hAnsi="Times New Roman"/>
          <w:color w:val="000000"/>
          <w:sz w:val="24"/>
        </w:rPr>
        <w:t xml:space="preserve">above on the Vesting Date as if the Grantee had remained in such Continuous Service following such termination until such Vesting Date, it being understood that (i) in the event such termination occurs before the end of the Performance Period the PSUs (and any related dividend equivalents described in </w:t>
      </w:r>
      <w:r>
        <w:rPr>
          <w:rFonts w:ascii="Times New Roman" w:hAnsi="Times New Roman"/>
          <w:color w:val="000000"/>
          <w:sz w:val="24"/>
          <w:u w:val="single"/>
        </w:rPr>
        <w:t>Section 5</w:t>
      </w:r>
      <w:r>
        <w:rPr>
          <w:rFonts w:ascii="Times New Roman" w:hAnsi="Times New Roman"/>
          <w:color w:val="000000"/>
          <w:sz w:val="20"/>
        </w:rPr>
        <w:t xml:space="preserve"> </w:t>
      </w:r>
      <w:r>
        <w:rPr>
          <w:rFonts w:ascii="Times New Roman" w:hAnsi="Times New Roman"/>
          <w:color w:val="000000"/>
          <w:sz w:val="24"/>
        </w:rPr>
        <w:t xml:space="preserve">below) shall be automatically forfeited, and (ii) any PSUs (and any related dividend equivalents described in </w:t>
      </w:r>
      <w:r>
        <w:rPr>
          <w:rFonts w:ascii="Times New Roman" w:hAnsi="Times New Roman"/>
          <w:color w:val="000000"/>
          <w:sz w:val="24"/>
          <w:u w:val="single"/>
        </w:rPr>
        <w:t>Section 5</w:t>
      </w:r>
      <w:r>
        <w:rPr>
          <w:rFonts w:ascii="Times New Roman" w:hAnsi="Times New Roman"/>
          <w:color w:val="000000"/>
          <w:sz w:val="24"/>
        </w:rPr>
        <w:t>) that are not earned with respect to the Performance Period shall be forfeited.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Dividend Equivalents</w:t>
      </w:r>
      <w:r>
        <w:rPr>
          <w:rFonts w:ascii="Times New Roman" w:hAnsi="Times New Roman"/>
          <w:color w:val="000000"/>
          <w:sz w:val="24"/>
        </w:rPr>
        <w:t xml:space="preserve">. Subject to the vesting of the PSUs in accordance with this Agreement, the Grantee shall be entitled to earn dividend equivalent Restricted Stock Units as follows and pursuant to this </w:t>
      </w:r>
      <w:r>
        <w:rPr>
          <w:rFonts w:ascii="Times New Roman" w:hAnsi="Times New Roman"/>
          <w:color w:val="000000"/>
          <w:sz w:val="24"/>
          <w:u w:val="single"/>
        </w:rPr>
        <w:t>Section 5</w:t>
      </w:r>
      <w:r>
        <w:rPr>
          <w:rFonts w:ascii="Times New Roman" w:hAnsi="Times New Roman"/>
          <w:color w:val="000000"/>
          <w:sz w:val="24"/>
        </w:rPr>
        <w:t xml:space="preserve">. As and when a dividend payment is made with respect to a share of Common Stock, such dividend payment shall be multiplied by, as applicable, (a) the original target amount of PSUs awarded under this Agreement, or (b) the number of the Deemed Target PSUs (as defined below) that are then in effect under this </w:t>
      </w:r>
      <w:r>
        <w:rPr>
          <w:rFonts w:ascii="Times New Roman" w:hAnsi="Times New Roman"/>
          <w:color w:val="000000"/>
          <w:sz w:val="24"/>
          <w:u w:val="single"/>
        </w:rPr>
        <w:t>Section 5</w:t>
      </w:r>
      <w:r>
        <w:rPr>
          <w:color w:val="000000"/>
        </w:rPr>
        <w:t xml:space="preserve"> </w:t>
      </w:r>
      <w:r>
        <w:rPr>
          <w:rFonts w:ascii="Times New Roman" w:hAnsi="Times New Roman"/>
          <w:color w:val="000000"/>
          <w:sz w:val="24"/>
        </w:rPr>
        <w:t xml:space="preserve">(i.e., immediately prior to such dividend payment);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record date for such dividend payment occurs on or after the Award Date. Immediately thereafter, (i) the resulting amount that is determined pursuant to the preceding sentence shall be credited to a book entry account on behalf of the Grantee, and (ii) the amount of such book entry account shall be deemed to be reinvested in shares of Common Stock based on the then-Fair Market Value of such Common Stock (“</w:t>
      </w:r>
      <w:r>
        <w:rPr>
          <w:rFonts w:ascii="Times New Roman" w:hAnsi="Times New Roman"/>
          <w:color w:val="000000"/>
          <w:sz w:val="24"/>
          <w:u w:val="single"/>
        </w:rPr>
        <w:t>Reinvested Shares</w:t>
      </w:r>
      <w:r>
        <w:rPr>
          <w:color w:val="000000"/>
        </w:rPr>
        <w:t>”</w:t>
      </w:r>
      <w:r>
        <w:rPr>
          <w:rFonts w:ascii="Times New Roman" w:hAnsi="Times New Roman"/>
          <w:color w:val="000000"/>
          <w:sz w:val="24"/>
        </w:rPr>
        <w:t xml:space="preserve">). At such time, (x) the number of such Reinvested Shares shall be deemed to be held by the Grantee in the form of additional Restricted Stock Units under this Agreement (i.e., as dividend equivalent </w:t>
      </w:r>
      <w:r>
        <w:rPr>
          <w:rFonts w:ascii="Times New Roman" w:hAnsi="Times New Roman"/>
          <w:color w:val="000000"/>
          <w:sz w:val="24"/>
          <w:u w:val="single"/>
        </w:rPr>
        <w:t>Restricted Stock Units</w:t>
      </w:r>
      <w:r>
        <w:rPr>
          <w:rFonts w:ascii="Times New Roman" w:hAnsi="Times New Roman"/>
          <w:color w:val="000000"/>
          <w:sz w:val="24"/>
        </w:rPr>
        <w:t xml:space="preserve">), and (y) the target amount of PSUs under this Agreement shall be deemed to be increased by the number of such additional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rFonts w:ascii="Times New Roman" w:hAnsi="Times New Roman"/>
          <w:color w:val="000000"/>
          <w:sz w:val="24"/>
        </w:rPr>
        <w:t xml:space="preserve">Restricted Stock Units (as increased, the “Deemed Target PSUs”). For purposes of the preceding sentence, the number of such additional Restricted Stock Units shall be equal to the number of Reinvested Shares on a one-for-one basis. For the avoidance of doubt, any such dividend equivalent Restricted Stock Units shall be subject to the same vesting and forfeiture conditions that apply to the PSUs originally awarded under this Agreement. The number of dividend equivalent Restricted Stock Units that become vested in accordance with this Agreement shall be converted into shares of Common Stock on a one-for-one basis and issued to the Grantee at the time shares of Common Stock are issued to the Grantee in accordance with, and subject to, </w:t>
      </w:r>
      <w:r>
        <w:rPr>
          <w:rFonts w:ascii="Times New Roman" w:hAnsi="Times New Roman"/>
          <w:color w:val="000000"/>
          <w:sz w:val="24"/>
          <w:u w:val="single"/>
        </w:rPr>
        <w:t>Section 3(b)</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Corporate Events</w:t>
      </w:r>
      <w:r>
        <w:rPr>
          <w:rFonts w:ascii="Times New Roman" w:hAnsi="Times New Roman"/>
          <w:color w:val="000000"/>
          <w:sz w:val="24"/>
        </w:rPr>
        <w:t xml:space="preserve">. If, from time to time prior to the issuance of shares of Common Stock under </w:t>
      </w:r>
      <w:r>
        <w:rPr>
          <w:rFonts w:ascii="Times New Roman" w:hAnsi="Times New Roman"/>
          <w:color w:val="000000"/>
          <w:sz w:val="24"/>
          <w:u w:val="single"/>
        </w:rPr>
        <w:t>Section 3(b)</w:t>
      </w:r>
      <w:r>
        <w:rPr>
          <w:rFonts w:ascii="Times New Roman" w:hAnsi="Times New Roman"/>
          <w:color w:val="000000"/>
          <w:sz w:val="24"/>
        </w:rPr>
        <w:t xml:space="preserve">, there is any equity restructuring affecting the outstanding Common Stock that causes the per share value of Common Stock to change, the PSUs and other applicable terms of this Award shall be adjusted in accordance with the provisions of </w:t>
      </w:r>
      <w:r>
        <w:rPr>
          <w:rFonts w:ascii="Times New Roman" w:hAnsi="Times New Roman"/>
          <w:color w:val="000000"/>
          <w:sz w:val="24"/>
          <w:u w:val="single"/>
        </w:rPr>
        <w:t>Section 5.7</w:t>
      </w:r>
      <w:r>
        <w:rPr>
          <w:color w:val="000000"/>
        </w:rPr>
        <w:t xml:space="preserve"> </w:t>
      </w:r>
      <w:r>
        <w:rPr>
          <w:rFonts w:ascii="Times New Roman" w:hAnsi="Times New Roman"/>
          <w:color w:val="000000"/>
          <w:sz w:val="24"/>
        </w:rPr>
        <w:t xml:space="preserve">of the Plan. Any and all new, substituted or additional securities to which the Grantee may be entitled by reason of this Award because of an equity restructuring shall be immediately subject to the restrictions set forth herein (as may be modified pursuant to this Agreement) and included thereafter as PSUs for purposes of this Agreement.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Issuance of Shares</w:t>
      </w:r>
      <w:r>
        <w:rPr>
          <w:rFonts w:ascii="Times New Roman" w:hAnsi="Times New Roman"/>
          <w:color w:val="000000"/>
          <w:sz w:val="24"/>
        </w:rPr>
        <w:t>. The Company shall not be obligated to issue any shares of Common Stock if counsel to the Company determines that such issuance would violate any applicable law or any rule or regulations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regulations or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Shareholder Rights</w:t>
      </w:r>
      <w:r>
        <w:rPr>
          <w:rFonts w:ascii="Times New Roman" w:hAnsi="Times New Roman"/>
          <w:color w:val="000000"/>
          <w:sz w:val="24"/>
        </w:rPr>
        <w:t xml:space="preserve">. The Grantee shall have no rights of a shareholder with respect to shares of Common Stock subject to this Award unless and until such time as this Award has been paid pursuant to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and shares of Common Stock have been issued to the Grantee.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Stock Certificates</w:t>
      </w:r>
      <w:r>
        <w:rPr>
          <w:rFonts w:ascii="Times New Roman" w:hAnsi="Times New Roman"/>
          <w:color w:val="000000"/>
          <w:sz w:val="24"/>
        </w:rPr>
        <w:t xml:space="preserve">. Certificates or other evidences of or representing the Common Stock issued pursuant to this Award will bear all legends required by law and necessary or advisable to effectuate the provisions of the Plan and this Award. The Company may place a “stop transfer” order against shares of the Common Stock issued or issuable pursuant to this Award until all restrictions and conditions set forth in the Plan or this Agreement and in the legends referred to in this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have been complied 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Tax Consequences; Withholding of Taxes</w:t>
      </w:r>
      <w:r>
        <w:rPr>
          <w:rFonts w:ascii="Times New Roman" w:hAnsi="Times New Roman"/>
          <w:color w:val="000000"/>
          <w:sz w:val="24"/>
        </w:rPr>
        <w:t xml:space="preserve">. The Grantee acknowledges that the Grantee has reviewed, or has had the opportunity to review,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No shares of Common Stock that may be acquired hereunder shall be issued in respect of the Grantee unless the withholding obligation under applicable tax laws or regulations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Award;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Grantee, in his or her sole discretion, may elect to surrender, or direct the Company to withhold from the vested PSUs and dividend equivalent Restricted Stock Units, shares of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Common Stock in such number as necessary to satisfy the tax withholding obligation. In addition, the Grantee may pay all or any portion of the taxes required to be withheld by the Company or paid by the Grantee in connection with the settlement of the PSUs hereunder by delivering cash, check or cash equivalents. The Grantee must make the foregoing election on or before the date that the amount of tax to be withheld is determined.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Restrictive Covenants</w:t>
      </w:r>
      <w:r>
        <w:rPr>
          <w:rFonts w:ascii="Times New Roman" w:hAnsi="Times New Roman"/>
          <w:color w:val="000000"/>
          <w:sz w:val="24"/>
        </w:rPr>
        <w:t xml:space="preserve">. The Grantee acknowledges and agrees that the restrictions in this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are necessary to protect the goodwill of the Company and the Confidential Information (as defined below) provided by the Company to the Grantee pursuant to this Agreement or otherwise.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Confidential Information</w:t>
      </w:r>
      <w:r>
        <w:rPr>
          <w:rFonts w:ascii="Times New Roman" w:hAnsi="Times New Roman"/>
          <w:color w:val="000000"/>
          <w:sz w:val="24"/>
        </w:rPr>
        <w:t>. The Grantee acknowledges that, by virtue of his or her service to the Company and any of its affiliates either as an Employee or if applicable, as a Non-Employee Director, the Company has provided and promises to provide the Grantee with Confidential Information (as defined below). The Grantee shall hold in a fiduciary capacity for the benefit of the Company all secret or confidential information, knowledge or data relating to the Company or any of its affiliates, and their respective businesses, which shall have been obtained by the Grantee during the Grantee’s service to the Company or any of its affiliates either as an Employee or if applicable, as a Non-Employee Director, and which shall not be or become public knowledge (other than by acts by the Grantee or representatives of the Grantee in violation of this Agreement) (“</w:t>
      </w:r>
      <w:r>
        <w:rPr>
          <w:rFonts w:ascii="Times New Roman" w:hAnsi="Times New Roman"/>
          <w:color w:val="000000"/>
          <w:sz w:val="24"/>
          <w:u w:val="single"/>
        </w:rPr>
        <w:t>Confidential Information</w:t>
      </w:r>
      <w:r>
        <w:rPr>
          <w:rFonts w:ascii="Times New Roman" w:hAnsi="Times New Roman"/>
          <w:color w:val="000000"/>
          <w:sz w:val="20"/>
        </w:rPr>
        <w:t>”</w:t>
      </w:r>
      <w:r>
        <w:rPr>
          <w:rFonts w:ascii="Times New Roman" w:hAnsi="Times New Roman"/>
          <w:color w:val="000000"/>
          <w:sz w:val="24"/>
        </w:rPr>
        <w:t>). After termination of the Grantee’s employment with the Company, the Grantee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Grantee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Grantee’s ability to communicate with any government agency or otherwise participate in any investigation or proceeding that may be conducted by any government agency, including providing documents or other information. Nothing in this Agreement shall be construed to prohibit Employee from engaging in protected concerted activity under the National Labor Relations Act for the purpose of collective bargaining or other mutual aid or protection, including, without limitation, (A) making disclosures concerning this Agreement in aid of such concerted activities; (B) filing unfair labor practice charges; (C) assisting others who are filing such charges; and (D) cooperating with the investigative process of the National Labor Relations Board or other government agencies.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Non-Competition</w:t>
      </w:r>
      <w:r>
        <w:rPr>
          <w:rFonts w:ascii="Times New Roman" w:hAnsi="Times New Roman"/>
          <w:color w:val="000000"/>
          <w:sz w:val="24"/>
        </w:rPr>
        <w:t>. During the Vesting Period, in order to protect all Confidential Information, the Grantee agrees that to the fullest extent permitted by law, the Grantee shall not engage or be engaged in any aspect whatsoever of any of the following lines of business: (i) the production (including any associated mining), distribution, marketing or sale of cement (including Portland cement, oil well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4"/>
        </w:rPr>
        <w:t>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Times New Roman" w:hAnsi="Times New Roman"/>
          <w:color w:val="000000"/>
          <w:sz w:val="24"/>
          <w:u w:val="single"/>
        </w:rPr>
        <w:t>Line of Business</w:t>
      </w:r>
      <w:r>
        <w:rPr>
          <w:rFonts w:ascii="Times New Roman" w:hAnsi="Times New Roman"/>
          <w:color w:val="000000"/>
          <w:sz w:val="20"/>
        </w:rPr>
        <w:t>”</w:t>
      </w:r>
      <w:r>
        <w:rPr>
          <w:rFonts w:ascii="Times New Roman" w:hAnsi="Times New Roman"/>
          <w:color w:val="000000"/>
          <w:sz w:val="24"/>
        </w:rPr>
        <w:t xml:space="preserve">), either directly or indirectly as an individual, or as an employee, associate, partner, stockholder, consultant, owner, manager, agent or otherwise or by means of any corporate or other device, either on his or her own behalf in the Restricted Areas (as defined below) or on behalf of others who are engaged in any Line of Business (either directly or through an affiliate (including by virtue of having an affiliate in the Restricted Areas)) in the Restricted Areas; </w:t>
      </w:r>
      <w:r>
        <w:rPr>
          <w:rFonts w:ascii="Times New Roman" w:hAnsi="Times New Roman"/>
          <w:color w:val="000000"/>
          <w:sz w:val="24"/>
          <w:u w:val="single"/>
        </w:rPr>
        <w:t>provided</w:t>
      </w:r>
      <w:r>
        <w:rPr>
          <w:rFonts w:ascii="Times New Roman" w:hAnsi="Times New Roman"/>
          <w:color w:val="000000"/>
          <w:sz w:val="24"/>
        </w:rPr>
        <w:t>, that, notwithstanding the foregoing, the Grantee may invest in securities of any entity, solely for investment purposes and without participating in the business thereof, if (A) such securities are traded on any national securities exchange or the National Association of Securities Dealers, Inc. Automated Quotation System, (B) the Grantee is not a controlling person of, or a member of a group which controls, such entity, and (C) the Grantee does not, directly or indirectly, own 1% or more of any class of securities of such entity. The “</w:t>
      </w:r>
      <w:r>
        <w:rPr>
          <w:rFonts w:ascii="Times New Roman" w:hAnsi="Times New Roman"/>
          <w:color w:val="000000"/>
          <w:sz w:val="24"/>
          <w:u w:val="single"/>
        </w:rPr>
        <w:t>Restricted Areas</w:t>
      </w:r>
      <w:r>
        <w:rPr>
          <w:rFonts w:ascii="Times New Roman" w:hAnsi="Times New Roman"/>
          <w:color w:val="000000"/>
          <w:sz w:val="20"/>
        </w:rPr>
        <w:t xml:space="preserve">” </w:t>
      </w:r>
      <w:r>
        <w:rPr>
          <w:rFonts w:ascii="Times New Roman" w:hAnsi="Times New Roman"/>
          <w:color w:val="000000"/>
          <w:sz w:val="24"/>
        </w:rPr>
        <w:t>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Grantee or in respect of which the Grantee has performed any services.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Non-Solicitation</w:t>
      </w:r>
      <w:r>
        <w:rPr>
          <w:rFonts w:ascii="Times New Roman" w:hAnsi="Times New Roman"/>
          <w:color w:val="000000"/>
          <w:sz w:val="24"/>
        </w:rPr>
        <w:t>. During the Vesting Period, the Grantee will not, directly or indirectly, in any manner (i) (x) solicit or attempt to solicit any individual that is an employee of the Company or its affiliates (“</w:t>
      </w:r>
      <w:r>
        <w:rPr>
          <w:rFonts w:ascii="Times New Roman" w:hAnsi="Times New Roman"/>
          <w:color w:val="000000"/>
          <w:sz w:val="24"/>
          <w:u w:val="single"/>
        </w:rPr>
        <w:t>Employee</w:t>
      </w:r>
      <w:r>
        <w:rPr>
          <w:rFonts w:ascii="Times New Roman" w:hAnsi="Times New Roman"/>
          <w:color w:val="000000"/>
          <w:sz w:val="20"/>
        </w:rPr>
        <w:t>”</w:t>
      </w:r>
      <w:r>
        <w:rPr>
          <w:rFonts w:ascii="Times New Roman" w:hAnsi="Times New Roman"/>
          <w:color w:val="000000"/>
          <w:sz w:val="24"/>
        </w:rPr>
        <w:t xml:space="preserve">), (y) encourage any person (other than the Company) to solicit any Employee, or (z) otherwise encourage any Employee to discontinue his or her employment with the Company or one of its affiliates; </w:t>
      </w:r>
      <w:r>
        <w:rPr>
          <w:rFonts w:ascii="Times New Roman" w:hAnsi="Times New Roman"/>
          <w:color w:val="000000"/>
          <w:sz w:val="24"/>
          <w:u w:val="single"/>
        </w:rPr>
        <w:t>provided</w:t>
      </w:r>
      <w:r>
        <w:rPr>
          <w:rFonts w:ascii="Times New Roman" w:hAnsi="Times New Roman"/>
          <w:color w:val="000000"/>
          <w:sz w:val="24"/>
        </w:rPr>
        <w:t>, that this Agreement shall not prohibit any advertisement or general solicitation (or hiring as a result thereof) that is not specifically targeted at such persons; (ii) solicit any customer who currently is a customer of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Remedies</w:t>
      </w:r>
      <w:r>
        <w:rPr>
          <w:rFonts w:ascii="Times New Roman" w:hAnsi="Times New Roman"/>
          <w:color w:val="000000"/>
          <w:sz w:val="24"/>
        </w:rPr>
        <w:t xml:space="preserve">. In the event of the Grantee’s breach or threatened breach of this </w:t>
      </w:r>
      <w:r>
        <w:rPr>
          <w:rFonts w:ascii="Times New Roman" w:hAnsi="Times New Roman"/>
          <w:color w:val="000000"/>
          <w:sz w:val="24"/>
          <w:u w:val="single"/>
        </w:rPr>
        <w:t>Section 11</w:t>
      </w:r>
      <w:r>
        <w:rPr>
          <w:rFonts w:ascii="Times New Roman" w:hAnsi="Times New Roman"/>
          <w:color w:val="000000"/>
          <w:sz w:val="24"/>
        </w:rPr>
        <w:t xml:space="preserve">, in addition to any other remedies, the Company shall be entitled to specific performance and/or a temporary or permanent injunction prohibiting and enjoining the Grantee from violating the covenants set forth in this </w:t>
      </w:r>
      <w:r>
        <w:rPr>
          <w:rFonts w:ascii="Times New Roman" w:hAnsi="Times New Roman"/>
          <w:color w:val="000000"/>
          <w:sz w:val="24"/>
          <w:u w:val="single"/>
        </w:rPr>
        <w:t>Section 11</w:t>
      </w:r>
      <w:r>
        <w:rPr>
          <w:rFonts w:ascii="Times New Roman" w:hAnsi="Times New Roman"/>
          <w:color w:val="000000"/>
          <w:sz w:val="24"/>
        </w:rPr>
        <w:t>. For purposes of obtaining equitable relief, such as specific performance,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temporary restraining order, or an injunction (but not any relief to the extent it would involve the payment by the Grantee of monetary damages or the loss of a benefit under this Agreement), the Company need not prove, and the Grantee acknowledges and agrees that irreparable harm or injury will have occurred as a result of any breach of the covenants set forth in this </w:t>
      </w:r>
      <w:r>
        <w:rPr>
          <w:rFonts w:ascii="Times New Roman" w:hAnsi="Times New Roman"/>
          <w:color w:val="000000"/>
          <w:sz w:val="24"/>
          <w:u w:val="single"/>
        </w:rPr>
        <w:t>Section 11</w:t>
      </w:r>
      <w:r>
        <w:rPr>
          <w:rFonts w:ascii="Times New Roman" w:hAnsi="Times New Roman"/>
          <w:color w:val="000000"/>
          <w:sz w:val="24"/>
        </w:rPr>
        <w:t xml:space="preserve">, and the Company need not provide notice or pay bond to the maximum extent permitted by law. In the event of the Grantee’s breach or threatened breach of the restrictive covenants contained in this </w:t>
      </w:r>
      <w:r>
        <w:rPr>
          <w:rFonts w:ascii="Times New Roman" w:hAnsi="Times New Roman"/>
          <w:color w:val="000000"/>
          <w:sz w:val="24"/>
          <w:u w:val="single"/>
        </w:rPr>
        <w:t>Section 11</w:t>
      </w:r>
      <w:r>
        <w:rPr>
          <w:rFonts w:ascii="Times New Roman" w:hAnsi="Times New Roman"/>
          <w:color w:val="000000"/>
          <w:sz w:val="24"/>
        </w:rPr>
        <w:t xml:space="preserve">, in addition to any other remedies available hereunder, at law or in equity, the Company shall also be entitled to recover the value of all remaining unvested PSUs, which shall be immediately forfeited by the Grantee. The Vesting Period solely for purposes of this </w:t>
      </w:r>
      <w:r>
        <w:rPr>
          <w:rFonts w:ascii="Times New Roman" w:hAnsi="Times New Roman"/>
          <w:color w:val="000000"/>
          <w:sz w:val="24"/>
          <w:u w:val="single"/>
        </w:rPr>
        <w:t>Section 11</w:t>
      </w:r>
      <w:r>
        <w:rPr>
          <w:rFonts w:ascii="Times New Roman" w:hAnsi="Times New Roman"/>
          <w:color w:val="000000"/>
          <w:sz w:val="20"/>
        </w:rPr>
        <w:t xml:space="preserve"> </w:t>
      </w:r>
      <w:r>
        <w:rPr>
          <w:rFonts w:ascii="Times New Roman" w:hAnsi="Times New Roman"/>
          <w:color w:val="000000"/>
          <w:sz w:val="24"/>
        </w:rPr>
        <w:t xml:space="preserve">shall be tolled for any period of time during which the Grantee is in violation of the restrictions in </w:t>
      </w:r>
      <w:r>
        <w:rPr>
          <w:rFonts w:ascii="Times New Roman" w:hAnsi="Times New Roman"/>
          <w:color w:val="000000"/>
          <w:sz w:val="24"/>
          <w:u w:val="single"/>
        </w:rPr>
        <w:t>Sections 11(b)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11(c)</w:t>
      </w:r>
      <w:r>
        <w:rPr>
          <w:rFonts w:ascii="Times New Roman" w:hAnsi="Times New Roman"/>
          <w:color w:val="000000"/>
          <w:sz w:val="20"/>
        </w:rPr>
        <w:t xml:space="preserve"> </w:t>
      </w:r>
      <w:r>
        <w:rPr>
          <w:rFonts w:ascii="Times New Roman" w:hAnsi="Times New Roman"/>
          <w:color w:val="000000"/>
          <w:sz w:val="24"/>
        </w:rPr>
        <w:t xml:space="preserve">(e.g., in no event shall this sentence otherwise cause the Vesting Date to be delayed or the Vesting Period to be extended for purposes of </w:t>
      </w:r>
      <w:r>
        <w:rPr>
          <w:rFonts w:ascii="Times New Roman" w:hAnsi="Times New Roman"/>
          <w:color w:val="000000"/>
          <w:sz w:val="24"/>
          <w:u w:val="single"/>
        </w:rPr>
        <w:t>Section 3</w:t>
      </w:r>
      <w:r>
        <w:rPr>
          <w:rFonts w:ascii="Times New Roman" w:hAnsi="Times New Roman"/>
          <w:color w:val="000000"/>
          <w:sz w:val="24"/>
        </w:rPr>
        <w:t>).</w:t>
      </w:r>
      <w:r>
        <w:rPr>
          <w:rFonts w:ascii="Times New Roman" w:hAnsi="Times New Roman"/>
          <w:color w:val="000000"/>
          <w:sz w:val="20"/>
        </w:rPr>
        <w:t xml:space="preserve"> </w:t>
      </w:r>
    </w:p>
    <w:p>
      <w:pPr>
        <w:pStyle w:val="Heading1"/>
        <w:bidi w:val="0"/>
        <w:spacing w:before="0" w:after="240"/>
        <w:jc w:val="left"/>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color w:val="000000"/>
          <w:sz w:val="24"/>
          <w:u w:val="single"/>
        </w:rPr>
        <w:t>Reformation</w:t>
      </w:r>
      <w:r>
        <w:rPr>
          <w:rFonts w:ascii="Times New Roman" w:hAnsi="Times New Roman"/>
          <w:b w:val="false"/>
          <w:color w:val="000000"/>
          <w:sz w:val="24"/>
        </w:rPr>
        <w:t xml:space="preserve">. In the event that any covenant contained in this </w:t>
      </w:r>
      <w:r>
        <w:rPr>
          <w:rFonts w:ascii="Times New Roman" w:hAnsi="Times New Roman"/>
          <w:b w:val="false"/>
          <w:color w:val="000000"/>
          <w:sz w:val="24"/>
          <w:u w:val="single"/>
        </w:rPr>
        <w:t>Section 11</w:t>
      </w:r>
      <w:r>
        <w:rPr>
          <w:rFonts w:ascii="Times New Roman" w:hAnsi="Times New Roman"/>
          <w:color w:val="000000"/>
          <w:sz w:val="20"/>
        </w:rPr>
        <w:t xml:space="preserve"> </w:t>
      </w:r>
      <w:r>
        <w:rPr>
          <w:rFonts w:ascii="Times New Roman" w:hAnsi="Times New Roman"/>
          <w:b w:val="false"/>
          <w:color w:val="000000"/>
          <w:sz w:val="24"/>
        </w:rPr>
        <w:t xml:space="preserve">should ever be adjudicated to exceed the time, geographic or other limitations permitted by applicable law, then such covenant shall be reformed to the maximum time, geographic or other limitations to the maximum extent permitted by law. The covenants contained in this </w:t>
      </w:r>
      <w:r>
        <w:rPr>
          <w:rFonts w:ascii="Times New Roman" w:hAnsi="Times New Roman"/>
          <w:b w:val="false"/>
          <w:color w:val="000000"/>
          <w:sz w:val="24"/>
          <w:u w:val="single"/>
        </w:rPr>
        <w:t>Section 11</w:t>
      </w:r>
      <w:r>
        <w:rPr>
          <w:rFonts w:ascii="Times New Roman" w:hAnsi="Times New Roman"/>
          <w:color w:val="000000"/>
          <w:sz w:val="20"/>
        </w:rPr>
        <w:t xml:space="preserve"> </w:t>
      </w:r>
      <w:r>
        <w:rPr>
          <w:rFonts w:ascii="Times New Roman" w:hAnsi="Times New Roman"/>
          <w:b w:val="false"/>
          <w:color w:val="000000"/>
          <w:sz w:val="24"/>
        </w:rPr>
        <w:t>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pStyle w:val="TextBody"/>
        <w:bidi w:val="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State-Specific Requirements</w:t>
      </w:r>
      <w:r>
        <w:rPr>
          <w:rFonts w:ascii="Times New Roman" w:hAnsi="Times New Roman"/>
          <w:color w:val="000000"/>
          <w:sz w:val="24"/>
        </w:rPr>
        <w:t xml:space="preserve">. The effectiveness of Sections </w:t>
      </w:r>
      <w:r>
        <w:rPr>
          <w:rFonts w:ascii="Times New Roman" w:hAnsi="Times New Roman"/>
          <w:color w:val="000000"/>
          <w:sz w:val="24"/>
          <w:u w:val="single"/>
        </w:rPr>
        <w:t>11(b)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11(c)</w:t>
      </w:r>
      <w:r>
        <w:rPr>
          <w:rFonts w:ascii="Times New Roman" w:hAnsi="Times New Roman"/>
          <w:color w:val="000000"/>
          <w:sz w:val="20"/>
        </w:rPr>
        <w:t xml:space="preserve"> </w:t>
      </w:r>
      <w:r>
        <w:rPr>
          <w:rFonts w:ascii="Times New Roman" w:hAnsi="Times New Roman"/>
          <w:color w:val="000000"/>
          <w:sz w:val="24"/>
        </w:rPr>
        <w:t xml:space="preserve">shall be subject to applicable state law, such that, Sections </w:t>
      </w:r>
      <w:r>
        <w:rPr>
          <w:rFonts w:ascii="Times New Roman" w:hAnsi="Times New Roman"/>
          <w:color w:val="000000"/>
          <w:sz w:val="24"/>
          <w:u w:val="single"/>
        </w:rPr>
        <w:t>11(b)</w:t>
      </w:r>
      <w:r>
        <w:rPr>
          <w:rFonts w:ascii="Times New Roman" w:hAnsi="Times New Roman"/>
          <w:color w:val="000000"/>
          <w:sz w:val="20"/>
        </w:rPr>
        <w:t xml:space="preserve"> </w:t>
      </w:r>
      <w:r>
        <w:rPr>
          <w:rFonts w:ascii="Times New Roman" w:hAnsi="Times New Roman"/>
          <w:color w:val="000000"/>
          <w:sz w:val="24"/>
        </w:rPr>
        <w:t xml:space="preserve">and/or and </w:t>
      </w:r>
      <w:r>
        <w:rPr>
          <w:rFonts w:ascii="Times New Roman" w:hAnsi="Times New Roman"/>
          <w:color w:val="000000"/>
          <w:sz w:val="24"/>
          <w:u w:val="single"/>
        </w:rPr>
        <w:t>11(c)</w:t>
      </w:r>
      <w:r>
        <w:rPr>
          <w:rFonts w:ascii="Times New Roman" w:hAnsi="Times New Roman"/>
          <w:color w:val="000000"/>
          <w:sz w:val="20"/>
        </w:rPr>
        <w:t xml:space="preserve"> </w:t>
      </w:r>
      <w:r>
        <w:rPr>
          <w:rFonts w:ascii="Times New Roman" w:hAnsi="Times New Roman"/>
          <w:color w:val="000000"/>
          <w:sz w:val="24"/>
        </w:rPr>
        <w:t>shall only apply to the extent permitted under applicable federal or state law (e.g., the state law, if applicable, that may apply on a mandatory basis based on where the Grantee resides).</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Entire Agreement; Governing Law; Venue</w:t>
      </w:r>
      <w:r>
        <w:rPr>
          <w:rFonts w:ascii="Times New Roman" w:hAnsi="Times New Roman"/>
          <w:color w:val="000000"/>
          <w:sz w:val="24"/>
        </w:rPr>
        <w:t>. The Plan and this Agreement constitute the entire agreement of the Company and the Grantee (collectively, the “</w:t>
      </w:r>
      <w:r>
        <w:rPr>
          <w:rFonts w:ascii="Times New Roman" w:hAnsi="Times New Roman"/>
          <w:color w:val="000000"/>
          <w:sz w:val="24"/>
          <w:u w:val="single"/>
        </w:rPr>
        <w:t>Parties</w:t>
      </w:r>
      <w:r>
        <w:rPr>
          <w:color w:val="000000"/>
        </w:rPr>
        <w:t>”</w:t>
      </w:r>
      <w:r>
        <w:rPr>
          <w:rFonts w:ascii="Times New Roman" w:hAnsi="Times New Roman"/>
          <w:color w:val="000000"/>
          <w:sz w:val="24"/>
        </w:rPr>
        <w:t xml:space="preserve">) with respect to the subject matter hereof and supersede in their entirety all prior undertakings and agreements of the Parties with respect to the subject matter hereof, and may not be modified in a manner that adversely affects the Grantee’s interest hereunder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The Parties hereby submit to the exclusive jurisdiction of the state and federal courts in Dallas County, Texas. Each Party irrevocably waives, to the fullest extent permitted by law, any objection which either party may now or hereafter have to the laying of the venue of any such proceeding brought in such a court and any claim that any such proceeding brought in such a court has been brought in an inconvenient forum. Should any provision of the Plan or this Agreement be determined by a court of law to be illegal or unenforceable, such provision shall be enforced to the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fullest extent allowed by law and the other provisions shall nevertheless remain effective and shall remain enforceable.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Jury Trial Waiver</w:t>
      </w:r>
      <w:r>
        <w:rPr>
          <w:rFonts w:ascii="Times New Roman" w:hAnsi="Times New Roman"/>
          <w:color w:val="000000"/>
          <w:sz w:val="24"/>
        </w:rPr>
        <w:t xml:space="preserve">. </w:t>
      </w:r>
      <w:r>
        <w:rPr>
          <w:rFonts w:ascii="Times New Roman" w:hAnsi="Times New Roman"/>
          <w:b/>
          <w:color w:val="000000"/>
          <w:sz w:val="24"/>
          <w:u w:val="single"/>
        </w:rPr>
        <w:t>THE GRANTEE HEREBY WAIVES THE RIGHT TO TRIAL BY JURY WITH RESPECT TO ANY CLAIM AGAINST THE COMPANY FOR BREACH OR ENFORCEMENT OF THE PLAN OR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Interpretive Matters</w:t>
      </w:r>
      <w:r>
        <w:rPr>
          <w:rFonts w:ascii="Times New Roman" w:hAnsi="Times New Roman"/>
          <w:color w:val="000000"/>
          <w:sz w:val="24"/>
        </w:rPr>
        <w:t xml:space="preserve">.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this Award or this Agreement for construction or interpretation.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Notice</w:t>
      </w:r>
      <w:r>
        <w:rPr>
          <w:rFonts w:ascii="Times New Roman" w:hAnsi="Times New Roman"/>
          <w:color w:val="000000"/>
          <w:sz w:val="24"/>
        </w:rPr>
        <w:t>. Any notice or other communication required or permitted hereunder shall be given in writing or by such electronic means, as permitted by the Committee, and shall be deemed effectively delivered or given upon receipt or, in the case of notices delivered by mail by the Company to the Grantee, on the third business day after deposit in the United States mail, postage prepaid, addressed to the Grantee at the address specified at the end of this Agreement or at such other address as the Grantee hereafter designates by written notice to the Company. By accepting this Award, the Grantee consents to receive such documents by electronic delivery and to participate in the Plan through an on-line or electronic system established and maintained by the Company or another third party designated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Recoupment</w:t>
      </w:r>
      <w:r>
        <w:rPr>
          <w:rFonts w:ascii="Times New Roman" w:hAnsi="Times New Roman"/>
          <w:color w:val="000000"/>
          <w:sz w:val="24"/>
        </w:rPr>
        <w:t xml:space="preserve">. This Award (and amounts paid in respect thereof) shall be subject to the terms of any recoupment (clawback) policy adopted by the Company as in effect from time to time, as well as any recoupment/forfeiture provisions required by law and applicable to the Company or its subsidiaries, including pursuant to Section 954 of the Dodd-Frank Wall Street Reform and Consumer Protection Act;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unless prohibited by applicable law, any Company recoupment (clawback) policy shall have no application to this Award (or amounts paid in respect thereof) following a Change in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rFonts w:ascii="Times New Roman" w:hAnsi="Times New Roman"/>
          <w:color w:val="000000"/>
          <w:sz w:val="24"/>
          <w:u w:val="single"/>
        </w:rPr>
        <w:t>Successors and Assigns</w:t>
      </w:r>
      <w:r>
        <w:rPr>
          <w:rFonts w:ascii="Times New Roman" w:hAnsi="Times New Roman"/>
          <w:color w:val="000000"/>
          <w:sz w:val="24"/>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 or pursuant to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rFonts w:ascii="Times New Roman" w:hAnsi="Times New Roman"/>
          <w:color w:val="000000"/>
          <w:sz w:val="24"/>
          <w:u w:val="single"/>
        </w:rPr>
        <w:t>No Employment Guaranteed</w:t>
      </w:r>
      <w:r>
        <w:rPr>
          <w:rFonts w:ascii="Times New Roman" w:hAnsi="Times New Roman"/>
          <w:color w:val="000000"/>
          <w:sz w:val="24"/>
        </w:rPr>
        <w:t>. No provision of this Agreement shall confer any right upon the Grantee to continued employment or service with the Company or any subsidiary.</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4"/>
        </w:rPr>
        <w:t>EAGLE MATERIALS INC</w:t>
      </w:r>
      <w:r>
        <w:rPr>
          <w:rFonts w:ascii="Times New Roman" w:hAnsi="Times New Roman"/>
          <w:color w:val="000000"/>
          <w:sz w:val="24"/>
        </w:rPr>
        <w:t>.</w:t>
      </w:r>
    </w:p>
    <w:p>
      <w:pPr>
        <w:pStyle w:val="TextBody"/>
        <w:bidi w:val="0"/>
        <w:jc w:val="both"/>
        <w:rPr/>
      </w:pPr>
      <w:r>
        <w:rPr/>
        <w:t> </w:t>
      </w:r>
    </w:p>
    <w:p>
      <w:pPr>
        <w:pStyle w:val="TextBody"/>
        <w:bidi w:val="0"/>
        <w:jc w:val="both"/>
        <w:rPr/>
      </w:pPr>
      <w:r>
        <w:rPr/>
        <w:t> </w:t>
      </w:r>
    </w:p>
    <w:tbl>
      <w:tblPr>
        <w:tblW w:w="1444" w:type="dxa"/>
        <w:jc w:val="left"/>
        <w:tblInd w:w="0" w:type="dxa"/>
        <w:tblLayout w:type="fixed"/>
        <w:tblCellMar>
          <w:top w:w="28" w:type="dxa"/>
          <w:left w:w="28" w:type="dxa"/>
          <w:bottom w:w="28" w:type="dxa"/>
          <w:right w:w="28" w:type="dxa"/>
        </w:tblCellMar>
      </w:tblPr>
      <w:tblGrid>
        <w:gridCol w:w="161"/>
        <w:gridCol w:w="146"/>
        <w:gridCol w:w="9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Its:</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191" w:type="dxa"/>
            <w:tcBorders/>
            <w:tcMar>
              <w:top w:w="0" w:type="dxa"/>
              <w:left w:w="0" w:type="dxa"/>
              <w:bottom w:w="0" w:type="dxa"/>
              <w:right w:w="0" w:type="dxa"/>
            </w:tcMar>
            <w:vAlign w:val="center"/>
          </w:tcPr>
          <w:p>
            <w:pPr>
              <w:pStyle w:val="TableContents"/>
              <w:bidi w:val="0"/>
              <w:spacing w:before="0" w:after="240"/>
              <w:jc w:val="both"/>
              <w:rPr/>
            </w:pPr>
            <w:r>
              <w:rPr/>
              <w:t> </w:t>
            </w:r>
          </w:p>
        </w:tc>
      </w:tr>
    </w:tbl>
    <w:p>
      <w:pPr>
        <w:pStyle w:val="TextBody"/>
        <w:bidi w:val="0"/>
        <w:jc w:val="left"/>
        <w:rPr>
          <w:rFonts w:ascii="Times New Roman" w:hAnsi="Times New Roman"/>
          <w:color w:val="000000"/>
          <w:sz w:val="24"/>
        </w:rPr>
      </w:pPr>
      <w:r>
        <w:rPr>
          <w:rFonts w:ascii="Times New Roman" w:hAnsi="Times New Roman"/>
          <w:color w:val="000000"/>
          <w:sz w:val="24"/>
        </w:rPr>
        <w:t>The Grantee acknowledges receipt of a copy of the Plan, represents that he or she is familiar with the terms and provisions thereof, and hereby accepts this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GRANTEE:</w:t>
      </w:r>
    </w:p>
    <w:p>
      <w:pPr>
        <w:pStyle w:val="TextBody"/>
        <w:bidi w:val="0"/>
        <w:jc w:val="both"/>
        <w:rPr/>
      </w:pPr>
      <w:r>
        <w:rPr/>
        <w:t> </w:t>
      </w:r>
    </w:p>
    <w:tbl>
      <w:tblPr>
        <w:tblW w:w="6684" w:type="dxa"/>
        <w:jc w:val="left"/>
        <w:tblInd w:w="0" w:type="dxa"/>
        <w:tblLayout w:type="fixed"/>
        <w:tblCellMar>
          <w:top w:w="28" w:type="dxa"/>
          <w:left w:w="28" w:type="dxa"/>
          <w:bottom w:w="28" w:type="dxa"/>
          <w:right w:w="28" w:type="dxa"/>
        </w:tblCellMar>
      </w:tblPr>
      <w:tblGrid>
        <w:gridCol w:w="161"/>
        <w:gridCol w:w="146"/>
        <w:gridCol w:w="1906"/>
        <w:gridCol w:w="44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Signed:</w:t>
            </w:r>
          </w:p>
        </w:tc>
        <w:tc>
          <w:tcPr>
            <w:tcW w:w="44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____________________________________</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06" w:type="dxa"/>
            <w:tcBorders/>
            <w:tcMar>
              <w:top w:w="0" w:type="dxa"/>
              <w:left w:w="0" w:type="dxa"/>
              <w:bottom w:w="0" w:type="dxa"/>
              <w:right w:w="0" w:type="dxa"/>
            </w:tcMar>
            <w:vAlign w:val="center"/>
          </w:tcPr>
          <w:p>
            <w:pPr>
              <w:pStyle w:val="TableContents"/>
              <w:bidi w:val="0"/>
              <w:spacing w:before="0" w:after="283"/>
              <w:jc w:val="both"/>
              <w:rPr/>
            </w:pPr>
            <w:r>
              <w:rPr/>
              <w:t> </w:t>
            </w:r>
          </w:p>
        </w:tc>
        <w:tc>
          <w:tcPr>
            <w:tcW w:w="44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06"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Name:</w:t>
            </w:r>
          </w:p>
        </w:tc>
        <w:tc>
          <w:tcPr>
            <w:tcW w:w="4471" w:type="dxa"/>
            <w:tcBorders/>
            <w:tcMar>
              <w:top w:w="0" w:type="dxa"/>
              <w:left w:w="0" w:type="dxa"/>
              <w:bottom w:w="0" w:type="dxa"/>
              <w:right w:w="0" w:type="dxa"/>
            </w:tcMar>
            <w:vAlign w:val="center"/>
          </w:tcPr>
          <w:p>
            <w:pPr>
              <w:pStyle w:val="TableContents"/>
              <w:bidi w:val="0"/>
              <w:spacing w:before="0" w:after="12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06" w:type="dxa"/>
            <w:tcBorders/>
            <w:tcMar>
              <w:top w:w="0" w:type="dxa"/>
              <w:left w:w="0" w:type="dxa"/>
              <w:bottom w:w="0" w:type="dxa"/>
              <w:right w:w="0" w:type="dxa"/>
            </w:tcMar>
            <w:vAlign w:val="center"/>
          </w:tcPr>
          <w:p>
            <w:pPr>
              <w:pStyle w:val="TableContents"/>
              <w:bidi w:val="0"/>
              <w:spacing w:before="0" w:after="120"/>
              <w:jc w:val="both"/>
              <w:rPr/>
            </w:pPr>
            <w:r>
              <w:rPr/>
              <w:t> </w:t>
            </w:r>
          </w:p>
        </w:tc>
        <w:tc>
          <w:tcPr>
            <w:tcW w:w="4471" w:type="dxa"/>
            <w:tcBorders/>
            <w:tcMar>
              <w:top w:w="0" w:type="dxa"/>
              <w:left w:w="0" w:type="dxa"/>
              <w:bottom w:w="0" w:type="dxa"/>
              <w:right w:w="0" w:type="dxa"/>
            </w:tcMar>
            <w:vAlign w:val="center"/>
          </w:tcPr>
          <w:p>
            <w:pPr>
              <w:pStyle w:val="TableContents"/>
              <w:bidi w:val="0"/>
              <w:spacing w:before="0" w:after="12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Mailing Address:</w:t>
            </w:r>
          </w:p>
        </w:tc>
        <w:tc>
          <w:tcPr>
            <w:tcW w:w="4471" w:type="dxa"/>
            <w:tcBorders/>
            <w:tcMar>
              <w:top w:w="0" w:type="dxa"/>
              <w:left w:w="0" w:type="dxa"/>
              <w:bottom w:w="0" w:type="dxa"/>
              <w:right w:w="0" w:type="dxa"/>
            </w:tcMar>
            <w:vAlign w:val="center"/>
          </w:tcPr>
          <w:p>
            <w:pPr>
              <w:pStyle w:val="TableContents"/>
              <w:bidi w:val="0"/>
              <w:spacing w:before="0" w:after="120"/>
              <w:jc w:val="left"/>
              <w:rPr/>
            </w:pPr>
            <w:r>
              <w:rPr/>
              <w:t> </w:t>
            </w:r>
          </w:p>
          <w:p>
            <w:pPr>
              <w:pStyle w:val="TableContents"/>
              <w:bidi w:val="0"/>
              <w:spacing w:before="0" w:after="12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Email Address(es):</w:t>
            </w:r>
          </w:p>
        </w:tc>
        <w:tc>
          <w:tcPr>
            <w:tcW w:w="4471" w:type="dxa"/>
            <w:tcBorders/>
            <w:tcMar>
              <w:top w:w="0" w:type="dxa"/>
              <w:left w:w="0" w:type="dxa"/>
              <w:bottom w:w="0" w:type="dxa"/>
              <w:right w:w="0" w:type="dxa"/>
            </w:tcMar>
            <w:vAlign w:val="center"/>
          </w:tcPr>
          <w:p>
            <w:pPr>
              <w:pStyle w:val="TableContents"/>
              <w:bidi w:val="0"/>
              <w:spacing w:before="0" w:after="120"/>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3" w:name="exp-ex10_3.htm"/>
      <w:bookmarkStart w:id="24" w:name="ksexpex10_3"/>
      <w:bookmarkEnd w:id="23"/>
      <w:bookmarkEnd w:id="24"/>
      <w:r>
        <w:rPr/>
        <w:t> </w:t>
      </w:r>
      <w:r>
        <w:br w:type="page"/>
      </w:r>
    </w:p>
    <w:p>
      <w:pPr>
        <w:pStyle w:val="TextBody"/>
        <w:bidi w:val="0"/>
        <w:spacing w:before="0" w:after="240"/>
        <w:jc w:val="right"/>
        <w:rPr>
          <w:rFonts w:ascii="Times New Roman" w:hAnsi="Times New Roman"/>
          <w:b/>
          <w:color w:val="000000"/>
          <w:sz w:val="24"/>
          <w:u w:val="single"/>
        </w:rPr>
      </w:pPr>
      <w:r>
        <w:rPr>
          <w:rFonts w:ascii="Times New Roman" w:hAnsi="Times New Roman"/>
          <w:b/>
          <w:color w:val="000000"/>
          <w:sz w:val="24"/>
          <w:u w:val="single"/>
        </w:rPr>
        <w:t>EXHIBIT 10.3</w:t>
      </w:r>
    </w:p>
    <w:p>
      <w:pPr>
        <w:pStyle w:val="TextBody"/>
        <w:bidi w:val="0"/>
        <w:jc w:val="center"/>
        <w:rPr>
          <w:rFonts w:ascii="Times New Roman" w:hAnsi="Times New Roman"/>
          <w:sz w:val="20"/>
        </w:rPr>
      </w:pPr>
      <w:r>
        <w:rPr>
          <w:rFonts w:ascii="Times New Roman" w:hAnsi="Times New Roman"/>
          <w:b/>
          <w:color w:val="000000"/>
          <w:sz w:val="24"/>
          <w:u w:val="single"/>
        </w:rPr>
        <w:t>EAGLE MATERIALS INC</w:t>
      </w:r>
      <w:r>
        <w:rPr>
          <w:rFonts w:ascii="Times New Roman" w:hAnsi="Times New Roman"/>
          <w:b/>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2023 EQUITY INCENTIVE PLAN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NONQUALIFIED STOCK OPTION AWARD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(Time Vesting)</w:t>
      </w:r>
    </w:p>
    <w:p>
      <w:pPr>
        <w:pStyle w:val="TextBody"/>
        <w:bidi w:val="0"/>
        <w:spacing w:before="0" w:after="240"/>
        <w:jc w:val="left"/>
        <w:rPr>
          <w:rFonts w:ascii="Times New Roman" w:hAnsi="Times New Roman"/>
          <w:sz w:val="20"/>
        </w:rPr>
      </w:pPr>
      <w:r>
        <w:rPr>
          <w:rFonts w:ascii="Times New Roman" w:hAnsi="Times New Roman"/>
          <w:color w:val="000000"/>
          <w:sz w:val="24"/>
        </w:rPr>
        <w:t>Eagle Materials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(the “</w:t>
      </w:r>
      <w:r>
        <w:rPr>
          <w:rFonts w:ascii="Times New Roman" w:hAnsi="Times New Roman"/>
          <w:color w:val="000000"/>
          <w:sz w:val="24"/>
          <w:u w:val="single"/>
        </w:rPr>
        <w:t>Optionee</w:t>
      </w:r>
      <w:r>
        <w:rPr>
          <w:rFonts w:ascii="Times New Roman" w:hAnsi="Times New Roman"/>
          <w:color w:val="000000"/>
          <w:sz w:val="20"/>
        </w:rPr>
        <w:t>”</w:t>
      </w:r>
      <w:r>
        <w:rPr>
          <w:rFonts w:ascii="Times New Roman" w:hAnsi="Times New Roman"/>
          <w:color w:val="000000"/>
          <w:sz w:val="24"/>
        </w:rPr>
        <w:t>) hereby enter into this Nonqualified Stock Option Award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in order to set forth the terms and conditions of the Company’s award to the Optionee on May 21, 2026 (the “</w:t>
      </w:r>
      <w:r>
        <w:rPr>
          <w:rFonts w:ascii="Times New Roman" w:hAnsi="Times New Roman"/>
          <w:color w:val="000000"/>
          <w:sz w:val="24"/>
          <w:u w:val="single"/>
        </w:rPr>
        <w:t>Award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1.</w:t>
      </w:r>
    </w:p>
    <w:p>
      <w:pPr>
        <w:pStyle w:val="TextBody"/>
        <w:bidi w:val="0"/>
        <w:spacing w:before="0" w:after="240"/>
        <w:jc w:val="left"/>
        <w:rPr/>
      </w:pPr>
      <w:r>
        <w:rPr>
          <w:rFonts w:ascii="Times New Roman" w:hAnsi="Times New Roman"/>
          <w:b/>
          <w:i/>
          <w:color w:val="000000"/>
          <w:sz w:val="24"/>
          <w:u w:val="single"/>
        </w:rPr>
        <w:t>Award</w:t>
      </w:r>
      <w:r>
        <w:rPr>
          <w:rFonts w:ascii="Times New Roman" w:hAnsi="Times New Roman"/>
          <w:i/>
          <w:color w:val="000000"/>
          <w:sz w:val="24"/>
        </w:rPr>
        <w:t>.</w:t>
      </w:r>
    </w:p>
    <w:p>
      <w:pPr>
        <w:pStyle w:val="Heading2"/>
        <w:bidi w:val="0"/>
        <w:spacing w:before="0" w:after="240"/>
        <w:jc w:val="left"/>
        <w:rPr>
          <w:rFonts w:ascii="Times New Roman" w:hAnsi="Times New Roman"/>
          <w:sz w:val="20"/>
        </w:rPr>
      </w:pPr>
      <w:r>
        <w:rPr>
          <w:rFonts w:ascii="Times New Roman" w:hAnsi="Times New Roman"/>
          <w:b w:val="false"/>
          <w:color w:val="000000"/>
          <w:sz w:val="24"/>
        </w:rPr>
        <w:t>The Company hereby awards to the Optionee Nonqualified Stock Options (this “</w:t>
      </w:r>
      <w:r>
        <w:rPr>
          <w:rFonts w:ascii="Times New Roman" w:hAnsi="Times New Roman"/>
          <w:b w:val="false"/>
          <w:color w:val="000000"/>
          <w:sz w:val="24"/>
          <w:u w:val="single"/>
        </w:rPr>
        <w:t>Award</w:t>
      </w:r>
      <w:r>
        <w:rPr>
          <w:rFonts w:ascii="Times New Roman" w:hAnsi="Times New Roman"/>
          <w:color w:val="000000"/>
          <w:sz w:val="20"/>
        </w:rPr>
        <w:t>”</w:t>
      </w:r>
      <w:r>
        <w:rPr>
          <w:rFonts w:ascii="Times New Roman" w:hAnsi="Times New Roman"/>
          <w:b w:val="false"/>
          <w:color w:val="000000"/>
          <w:sz w:val="24"/>
        </w:rPr>
        <w:t>) to purchase from the Company shares of Common Stock at the price of $199.13 per share (the “</w:t>
      </w:r>
      <w:r>
        <w:rPr>
          <w:rFonts w:ascii="Times New Roman" w:hAnsi="Times New Roman"/>
          <w:b w:val="false"/>
          <w:color w:val="000000"/>
          <w:sz w:val="24"/>
          <w:u w:val="single"/>
        </w:rPr>
        <w:t>Exercise Price</w:t>
      </w:r>
      <w:r>
        <w:rPr>
          <w:rFonts w:ascii="Times New Roman" w:hAnsi="Times New Roman"/>
          <w:color w:val="000000"/>
          <w:sz w:val="20"/>
        </w:rPr>
        <w:t>”</w:t>
      </w:r>
      <w:r>
        <w:rPr>
          <w:rFonts w:ascii="Times New Roman" w:hAnsi="Times New Roman"/>
          <w:b w:val="false"/>
          <w:color w:val="000000"/>
          <w:sz w:val="24"/>
        </w:rPr>
        <w:t>) on the terms and subject to the conditions contained in this Agreement. The term “</w:t>
      </w:r>
      <w:r>
        <w:rPr>
          <w:rFonts w:ascii="Times New Roman" w:hAnsi="Times New Roman"/>
          <w:b w:val="false"/>
          <w:color w:val="000000"/>
          <w:sz w:val="24"/>
          <w:u w:val="single"/>
        </w:rPr>
        <w:t>Options</w:t>
      </w:r>
      <w:r>
        <w:rPr>
          <w:rFonts w:ascii="Times New Roman" w:hAnsi="Times New Roman"/>
          <w:color w:val="000000"/>
          <w:sz w:val="20"/>
        </w:rPr>
        <w:t xml:space="preserve">” </w:t>
      </w:r>
      <w:r>
        <w:rPr>
          <w:rFonts w:ascii="Times New Roman" w:hAnsi="Times New Roman"/>
          <w:b w:val="false"/>
          <w:color w:val="000000"/>
          <w:sz w:val="24"/>
        </w:rPr>
        <w:t>as used in this Agreement refers only to the Nonqualified Stock Options awarded to the Optionee under this Agreement.</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2.</w:t>
      </w:r>
    </w:p>
    <w:p>
      <w:pPr>
        <w:pStyle w:val="TextBody"/>
        <w:bidi w:val="0"/>
        <w:spacing w:before="0" w:after="240"/>
        <w:jc w:val="left"/>
        <w:rPr/>
      </w:pPr>
      <w:r>
        <w:rPr>
          <w:rFonts w:ascii="Times New Roman" w:hAnsi="Times New Roman"/>
          <w:b/>
          <w:i/>
          <w:color w:val="000000"/>
          <w:sz w:val="24"/>
          <w:u w:val="single"/>
        </w:rPr>
        <w:t>Relationship to the Plan</w:t>
      </w:r>
      <w:r>
        <w:rPr>
          <w:rFonts w:ascii="Times New Roman" w:hAnsi="Times New Roman"/>
          <w:i/>
          <w:color w:val="000000"/>
          <w:sz w:val="24"/>
        </w:rPr>
        <w:t>.</w:t>
      </w:r>
    </w:p>
    <w:p>
      <w:pPr>
        <w:pStyle w:val="Heading2"/>
        <w:bidi w:val="0"/>
        <w:spacing w:before="0" w:after="240"/>
        <w:jc w:val="left"/>
        <w:rPr>
          <w:rFonts w:ascii="Times New Roman" w:hAnsi="Times New Roman"/>
          <w:sz w:val="20"/>
        </w:rPr>
      </w:pPr>
      <w:r>
        <w:rPr>
          <w:rFonts w:ascii="Times New Roman" w:hAnsi="Times New Roman"/>
          <w:b w:val="false"/>
          <w:color w:val="000000"/>
          <w:sz w:val="24"/>
        </w:rPr>
        <w:t>This Award shall be subject to the terms and conditions of the Eagle Materials Inc. 2023 Equity Incentive Plan (as may be amended from time to time, the “</w:t>
      </w:r>
      <w:r>
        <w:rPr>
          <w:rFonts w:ascii="Times New Roman" w:hAnsi="Times New Roman"/>
          <w:b w:val="false"/>
          <w:color w:val="000000"/>
          <w:sz w:val="24"/>
          <w:u w:val="single"/>
        </w:rPr>
        <w:t>Plan</w:t>
      </w:r>
      <w:r>
        <w:rPr>
          <w:rFonts w:ascii="Times New Roman" w:hAnsi="Times New Roman"/>
          <w:color w:val="000000"/>
          <w:sz w:val="20"/>
        </w:rPr>
        <w:t>”</w:t>
      </w:r>
      <w:r>
        <w:rPr>
          <w:rFonts w:ascii="Times New Roman" w:hAnsi="Times New Roman"/>
          <w:b w:val="false"/>
          <w:color w:val="000000"/>
          <w:sz w:val="24"/>
        </w:rPr>
        <w:t>), this Agreement and such administrative interpretations of the Plan, if any, as may be in effect on the date of this Agreement or thereafter. Except as defined herein, capitalized terms shall have the meanings ascribed to them under the Plan. For purposes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shall mean a disability of the Optionee as determined by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color w:val="000000"/>
        </w:rPr>
        <w:t>“</w:t>
      </w:r>
      <w:r>
        <w:rPr>
          <w:rFonts w:ascii="Times New Roman" w:hAnsi="Times New Roman"/>
          <w:color w:val="000000"/>
          <w:sz w:val="24"/>
          <w:u w:val="single"/>
        </w:rPr>
        <w:t>Retirement</w:t>
      </w:r>
      <w:r>
        <w:rPr>
          <w:color w:val="000000"/>
        </w:rPr>
        <w:t xml:space="preserve">” </w:t>
      </w:r>
      <w:r>
        <w:rPr>
          <w:rFonts w:ascii="Times New Roman" w:hAnsi="Times New Roman"/>
          <w:color w:val="000000"/>
          <w:sz w:val="24"/>
        </w:rPr>
        <w:t>shall mean the retirement of the Optionee as approved by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color w:val="000000"/>
        </w:rPr>
        <w:t>“</w:t>
      </w:r>
      <w:r>
        <w:rPr>
          <w:rFonts w:ascii="Times New Roman" w:hAnsi="Times New Roman"/>
          <w:color w:val="000000"/>
          <w:sz w:val="24"/>
          <w:u w:val="single"/>
        </w:rPr>
        <w:t>Vesting Period</w:t>
      </w:r>
      <w:r>
        <w:rPr>
          <w:color w:val="000000"/>
        </w:rPr>
        <w:t xml:space="preserve">” </w:t>
      </w:r>
      <w:r>
        <w:rPr>
          <w:rFonts w:ascii="Times New Roman" w:hAnsi="Times New Roman"/>
          <w:color w:val="000000"/>
          <w:sz w:val="24"/>
        </w:rPr>
        <w:t>shall mean the period commencing on the Award Date and ending on March 31, 2029.</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3.</w:t>
      </w:r>
    </w:p>
    <w:p>
      <w:pPr>
        <w:pStyle w:val="TextBody"/>
        <w:bidi w:val="0"/>
        <w:spacing w:before="0" w:after="240"/>
        <w:jc w:val="left"/>
        <w:rPr/>
      </w:pPr>
      <w:r>
        <w:rPr>
          <w:rFonts w:ascii="Times New Roman" w:hAnsi="Times New Roman"/>
          <w:b/>
          <w:i/>
          <w:color w:val="000000"/>
          <w:sz w:val="24"/>
          <w:u w:val="single"/>
        </w:rPr>
        <w:t>Vesting and Exercisability</w:t>
      </w:r>
      <w:r>
        <w:rPr>
          <w:rFonts w:ascii="Times New Roman" w:hAnsi="Times New Roman"/>
          <w:i/>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color w:val="000000"/>
          <w:sz w:val="24"/>
          <w:u w:val="single"/>
        </w:rPr>
        <w:t>Vesting</w:t>
      </w:r>
      <w:r>
        <w:rPr>
          <w:rFonts w:ascii="Times New Roman" w:hAnsi="Times New Roman"/>
          <w:i/>
          <w:color w:val="000000"/>
          <w:sz w:val="24"/>
        </w:rPr>
        <w:t>.</w:t>
      </w:r>
      <w:r>
        <w:rPr>
          <w:color w:val="000000"/>
        </w:rPr>
        <w:t xml:space="preserve"> </w:t>
      </w:r>
      <w:r>
        <w:rPr>
          <w:rFonts w:ascii="Times New Roman" w:hAnsi="Times New Roman"/>
          <w:color w:val="000000"/>
          <w:sz w:val="24"/>
        </w:rPr>
        <w:t>The shares of Common Stock covered by the Options under this Award (“</w:t>
      </w:r>
      <w:r>
        <w:rPr>
          <w:rFonts w:ascii="Times New Roman" w:hAnsi="Times New Roman"/>
          <w:color w:val="000000"/>
          <w:sz w:val="24"/>
          <w:u w:val="single"/>
        </w:rPr>
        <w:t>Option Shares</w:t>
      </w:r>
      <w:r>
        <w:rPr>
          <w:color w:val="000000"/>
        </w:rPr>
        <w:t>”</w:t>
      </w:r>
      <w:r>
        <w:rPr>
          <w:rFonts w:ascii="Times New Roman" w:hAnsi="Times New Roman"/>
          <w:color w:val="000000"/>
          <w:sz w:val="24"/>
        </w:rPr>
        <w:t>) shall vest and become exercisable on the dates designated (each, a “</w:t>
      </w:r>
      <w:r>
        <w:rPr>
          <w:rFonts w:ascii="Times New Roman" w:hAnsi="Times New Roman"/>
          <w:color w:val="000000"/>
          <w:sz w:val="24"/>
          <w:u w:val="single"/>
        </w:rPr>
        <w:t>Vesting Date</w:t>
      </w:r>
      <w:r>
        <w:rPr>
          <w:color w:val="000000"/>
        </w:rPr>
        <w:t>”</w:t>
      </w:r>
      <w:r>
        <w:rPr>
          <w:rFonts w:ascii="Times New Roman" w:hAnsi="Times New Roman"/>
          <w:color w:val="000000"/>
          <w:sz w:val="24"/>
        </w:rPr>
        <w:t>) in accordance with the following vesting schedule:</w:t>
      </w:r>
    </w:p>
    <w:p>
      <w:pPr>
        <w:pStyle w:val="TextBody"/>
        <w:bidi w:val="0"/>
        <w:jc w:val="left"/>
        <w:rPr/>
      </w:pPr>
      <w:r>
        <w:rPr/>
        <w:t> </w:t>
      </w:r>
    </w:p>
    <w:tbl>
      <w:tblPr>
        <w:tblW w:w="3388" w:type="dxa"/>
        <w:jc w:val="left"/>
        <w:tblInd w:w="0" w:type="dxa"/>
        <w:tblLayout w:type="fixed"/>
        <w:tblCellMar>
          <w:top w:w="28" w:type="dxa"/>
          <w:left w:w="28" w:type="dxa"/>
          <w:bottom w:w="28" w:type="dxa"/>
          <w:right w:w="28" w:type="dxa"/>
        </w:tblCellMar>
      </w:tblPr>
      <w:tblGrid>
        <w:gridCol w:w="1636"/>
        <w:gridCol w:w="146"/>
        <w:gridCol w:w="160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u w:val="single"/>
              </w:rPr>
            </w:pPr>
            <w:r>
              <w:rPr>
                <w:rFonts w:ascii="Times New Roman" w:hAnsi="Times New Roman"/>
                <w:b/>
                <w:color w:val="000000"/>
                <w:sz w:val="24"/>
                <w:u w:val="single"/>
              </w:rPr>
              <w:t>Vesting Date</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u w:val="single"/>
              </w:rPr>
            </w:pPr>
            <w:r>
              <w:rPr>
                <w:rFonts w:ascii="Times New Roman" w:hAnsi="Times New Roman"/>
                <w:b/>
                <w:color w:val="000000"/>
                <w:sz w:val="24"/>
                <w:u w:val="single"/>
              </w:rPr>
              <w:t>Option Shares</w:t>
            </w:r>
          </w:p>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May 21,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March 31,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March 31,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Exercisability</w:t>
      </w:r>
      <w:r>
        <w:rPr>
          <w:rFonts w:ascii="Times New Roman" w:hAnsi="Times New Roman"/>
          <w:i/>
          <w:color w:val="000000"/>
          <w:sz w:val="24"/>
        </w:rPr>
        <w:t>.</w:t>
      </w:r>
      <w:r>
        <w:rPr>
          <w:color w:val="000000"/>
        </w:rPr>
        <w:t xml:space="preserve"> </w:t>
      </w:r>
      <w:r>
        <w:rPr>
          <w:rFonts w:ascii="Times New Roman" w:hAnsi="Times New Roman"/>
          <w:color w:val="000000"/>
          <w:sz w:val="24"/>
        </w:rPr>
        <w:t>To the extent any Option Shares become exercisable, such Option Shares may be exercised in whole or in part (at any time or from time to time, except as otherwise provided herein) until expiration of the Options pursuant to the terms of this Agreement and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color w:val="000000"/>
          <w:sz w:val="24"/>
          <w:u w:val="single"/>
        </w:rPr>
        <w:t>Forfeiture</w:t>
      </w:r>
      <w:r>
        <w:rPr>
          <w:rFonts w:ascii="Times New Roman" w:hAnsi="Times New Roman"/>
          <w:color w:val="000000"/>
          <w:sz w:val="24"/>
        </w:rPr>
        <w:t xml:space="preserve">. Subject to </w:t>
      </w:r>
      <w:r>
        <w:rPr>
          <w:rFonts w:ascii="Times New Roman" w:hAnsi="Times New Roman"/>
          <w:color w:val="000000"/>
          <w:sz w:val="24"/>
          <w:u w:val="single"/>
        </w:rPr>
        <w:t>Section 4</w:t>
      </w:r>
      <w:r>
        <w:rPr>
          <w:rFonts w:ascii="Times New Roman" w:hAnsi="Times New Roman"/>
          <w:color w:val="000000"/>
          <w:sz w:val="24"/>
        </w:rPr>
        <w:t xml:space="preserve">, the Optionee must be in continuous service as an Employee or, if applicable, as a Non-Employee Director for purposes of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of the Plan (“</w:t>
      </w:r>
      <w:r>
        <w:rPr>
          <w:rFonts w:ascii="Times New Roman" w:hAnsi="Times New Roman"/>
          <w:color w:val="000000"/>
          <w:sz w:val="24"/>
          <w:u w:val="single"/>
        </w:rPr>
        <w:t>Continuous Service</w:t>
      </w:r>
      <w:r>
        <w:rPr>
          <w:color w:val="000000"/>
        </w:rPr>
        <w:t>”</w:t>
      </w:r>
      <w:r>
        <w:rPr>
          <w:rFonts w:ascii="Times New Roman" w:hAnsi="Times New Roman"/>
          <w:color w:val="000000"/>
          <w:sz w:val="24"/>
        </w:rPr>
        <w:t xml:space="preserve">) from the Award Date through the applicable Vesting Date for the applicable unvested Option Shares to vest and become exercisable. Subject to </w:t>
      </w:r>
      <w:r>
        <w:rPr>
          <w:rFonts w:ascii="Times New Roman" w:hAnsi="Times New Roman"/>
          <w:color w:val="000000"/>
          <w:sz w:val="24"/>
          <w:u w:val="single"/>
        </w:rPr>
        <w:t>Section 4</w:t>
      </w:r>
      <w:r>
        <w:rPr>
          <w:rFonts w:ascii="Times New Roman" w:hAnsi="Times New Roman"/>
          <w:color w:val="000000"/>
          <w:sz w:val="24"/>
        </w:rPr>
        <w:t>, the termination of such Continuous Service prior to a Vesting Date shall cause all unvested Options to be automatically forfeited as of the date of such termination of Continuous Service.</w:t>
      </w:r>
    </w:p>
    <w:p>
      <w:pPr>
        <w:pStyle w:val="TextBody"/>
        <w:bidi w:val="0"/>
        <w:spacing w:before="240" w:after="240"/>
        <w:jc w:val="left"/>
        <w:rPr>
          <w:rFonts w:ascii="Times New Roman" w:hAnsi="Times New Roman"/>
          <w:b/>
          <w:i/>
          <w:color w:val="000000"/>
          <w:sz w:val="24"/>
        </w:rPr>
      </w:pPr>
      <w:r>
        <w:rPr>
          <w:rFonts w:ascii="Times New Roman" w:hAnsi="Times New Roman"/>
          <w:b/>
          <w:i/>
          <w:color w:val="000000"/>
          <w:sz w:val="24"/>
        </w:rPr>
        <w:t>4.</w:t>
      </w:r>
    </w:p>
    <w:p>
      <w:pPr>
        <w:pStyle w:val="TextBody"/>
        <w:bidi w:val="0"/>
        <w:spacing w:before="240" w:after="240"/>
        <w:jc w:val="left"/>
        <w:rPr/>
      </w:pPr>
      <w:r>
        <w:rPr>
          <w:rFonts w:ascii="Times New Roman" w:hAnsi="Times New Roman"/>
          <w:b/>
          <w:i/>
          <w:color w:val="000000"/>
          <w:sz w:val="24"/>
          <w:u w:val="single"/>
        </w:rPr>
        <w:t>Change in Control; Death, Disability or Retirement</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Change in Control</w:t>
      </w:r>
      <w:r>
        <w:rPr>
          <w:rFonts w:ascii="Times New Roman" w:hAnsi="Times New Roman"/>
          <w:color w:val="000000"/>
          <w:sz w:val="24"/>
        </w:rPr>
        <w:t xml:space="preserve">. Notwithstanding </w:t>
      </w:r>
      <w:r>
        <w:rPr>
          <w:rFonts w:ascii="Times New Roman" w:hAnsi="Times New Roman"/>
          <w:color w:val="000000"/>
          <w:sz w:val="24"/>
          <w:u w:val="single"/>
        </w:rPr>
        <w:t>Section 3</w:t>
      </w:r>
      <w:r>
        <w:rPr>
          <w:rFonts w:ascii="Times New Roman" w:hAnsi="Times New Roman"/>
          <w:color w:val="000000"/>
          <w:sz w:val="24"/>
        </w:rPr>
        <w:t xml:space="preserve">, if the Optionee has been in Continuous Service from the Award Date through the occurrence of a Change in Control, then, in the event of the occurrence of such a Change in Control, any vesting of the Option Shares will remain subject to the applicable provisions of the Plan, including, but not limited to, </w:t>
      </w:r>
      <w:r>
        <w:rPr>
          <w:rFonts w:ascii="Times New Roman" w:hAnsi="Times New Roman"/>
          <w:color w:val="000000"/>
          <w:sz w:val="24"/>
          <w:u w:val="single"/>
        </w:rPr>
        <w:t>Sections 1.3</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5.8</w:t>
      </w:r>
      <w:r>
        <w:rPr>
          <w:color w:val="000000"/>
        </w:rPr>
        <w:t xml:space="preserve"> </w:t>
      </w:r>
      <w:r>
        <w:rPr>
          <w:rFonts w:ascii="Times New Roman" w:hAnsi="Times New Roman"/>
          <w:color w:val="000000"/>
          <w:sz w:val="24"/>
        </w:rPr>
        <w:t>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Death, Disability or Retirement</w:t>
      </w:r>
      <w:r>
        <w:rPr>
          <w:rFonts w:ascii="Times New Roman" w:hAnsi="Times New Roman"/>
          <w:color w:val="000000"/>
          <w:sz w:val="24"/>
        </w:rPr>
        <w:t xml:space="preserve">. Notwithstanding </w:t>
      </w:r>
      <w:r>
        <w:rPr>
          <w:rFonts w:ascii="Times New Roman" w:hAnsi="Times New Roman"/>
          <w:color w:val="000000"/>
          <w:sz w:val="24"/>
          <w:u w:val="single"/>
        </w:rPr>
        <w:t>Section 3(c)</w:t>
      </w:r>
      <w:r>
        <w:rPr>
          <w:rFonts w:ascii="Times New Roman" w:hAnsi="Times New Roman"/>
          <w:color w:val="000000"/>
          <w:sz w:val="24"/>
        </w:rPr>
        <w:t xml:space="preserve">, in the event the Optionee’s Continuous Service terminates by reason of death, Disability or Retirement, then subject to the restrictive covenants in </w:t>
      </w:r>
      <w:r>
        <w:rPr>
          <w:rFonts w:ascii="Times New Roman" w:hAnsi="Times New Roman"/>
          <w:color w:val="000000"/>
          <w:sz w:val="24"/>
          <w:u w:val="single"/>
        </w:rPr>
        <w:t>Section 14</w:t>
      </w:r>
      <w:r>
        <w:rPr>
          <w:rFonts w:ascii="Times New Roman" w:hAnsi="Times New Roman"/>
          <w:color w:val="000000"/>
          <w:sz w:val="24"/>
        </w:rPr>
        <w:t xml:space="preserve">, as applicable, any then-exercisable Option Shares shall continue to be exercisable until the tenth anniversary of the Award Date, and any then-unvested Option Shares shall continue to remain eligible to vest and become exercisable (and remain exercisable until the tenth anniversary of the Award Date) pursuant to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on the applicable Vesting Date as if the Optionee had remained in such Continuous Service following such termination.</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5.</w:t>
      </w:r>
    </w:p>
    <w:p>
      <w:pPr>
        <w:pStyle w:val="TextBody"/>
        <w:bidi w:val="0"/>
        <w:spacing w:before="0" w:after="240"/>
        <w:jc w:val="left"/>
        <w:rPr/>
      </w:pPr>
      <w:r>
        <w:rPr>
          <w:rFonts w:ascii="Times New Roman" w:hAnsi="Times New Roman"/>
          <w:b/>
          <w:i/>
          <w:color w:val="000000"/>
          <w:sz w:val="24"/>
          <w:u w:val="single"/>
        </w:rPr>
        <w:t>Termination of Option</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Options hereby granted shall terminate and be of no force and effect with respect to any Option Shares not previously purchased by the Optionee at the earliest time specified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tenth anniversary of the Award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Optionee’s Continuous Service is terminated by the Company or a subsidiary for “cause” (as determined by the Committee) at any time after the Award Date, then the Options shall terminate immediately upon such date of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Optionee’s Continuous Service is terminated for any reason other than death, Disability, Retirement or termination for “cause,” then the Options shall terminate on the first business day following the expiration of the 90-day period beginning on such date of termination;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rPr>
        <w:t xml:space="preserve">if Optionee’s Continuous Service is terminated due to the death, Disability or Retirement of the Optionee, then the Options shall, subject to </w:t>
      </w:r>
      <w:r>
        <w:rPr>
          <w:rFonts w:ascii="Times New Roman" w:hAnsi="Times New Roman"/>
          <w:color w:val="000000"/>
          <w:sz w:val="24"/>
          <w:u w:val="single"/>
        </w:rPr>
        <w:t>Section 4(b)</w:t>
      </w:r>
      <w:r>
        <w:rPr>
          <w:rFonts w:ascii="Times New Roman" w:hAnsi="Times New Roman"/>
          <w:color w:val="000000"/>
          <w:sz w:val="24"/>
        </w:rPr>
        <w:t>, terminate on the tenth anniversary of the Award Date.</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6.</w:t>
      </w:r>
    </w:p>
    <w:p>
      <w:pPr>
        <w:pStyle w:val="TextBody"/>
        <w:bidi w:val="0"/>
        <w:spacing w:before="0" w:after="240"/>
        <w:jc w:val="left"/>
        <w:rPr/>
      </w:pPr>
      <w:r>
        <w:rPr>
          <w:rFonts w:ascii="Times New Roman" w:hAnsi="Times New Roman"/>
          <w:b/>
          <w:i/>
          <w:color w:val="000000"/>
          <w:sz w:val="24"/>
          <w:u w:val="single"/>
        </w:rPr>
        <w:t>Exercise of Option</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Subject to the limitations set forth herein and in the Plan, the Option Shares may be exercised by notice provided to the Company as set forth in </w:t>
      </w:r>
      <w:r>
        <w:rPr>
          <w:rFonts w:ascii="Times New Roman" w:hAnsi="Times New Roman"/>
          <w:color w:val="000000"/>
          <w:sz w:val="24"/>
          <w:u w:val="single"/>
        </w:rPr>
        <w:t>Section 7</w:t>
      </w:r>
      <w:r>
        <w:rPr>
          <w:rFonts w:ascii="Times New Roman" w:hAnsi="Times New Roman"/>
          <w:color w:val="000000"/>
          <w:sz w:val="24"/>
        </w:rPr>
        <w:t>. The payment of the Exercise Price for the Common Stock being purchased pursuant to this Award shall be made (a) in cash, by check or cash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 the assignment to the Company of the proceeds of a sale or loan with respect to some or all of the shares being acquired upon the exercise of the Option Shares (including, without limitation, through an exercise complying with the provisions of Regulation T as promulgated from time to time by the Board of Governors of the Federal Reserve System), (d) by withholding Option Shares equal to the Exercise Price multiplied by the number of Option Shares exercised and divided by the Fair Market Value of a single share of Common Stock at the time of exercise, rounded up to the nearest whole share, (e) by such other consideration as may be approved by the Committee from time to time to the extent permitted by applicable law, or (f) by any combination thereof. Such notice shall be accompanied by cash, check, cash equivalent or Common Stock in the full amount of all federal and state withholding or other employment taxes applicable to the taxable income of such Optionee resulting from such exercise (or instructions to satisfy such withholding obligation by withholding Option Shares in accordance with </w:t>
      </w:r>
      <w:r>
        <w:rPr>
          <w:rFonts w:ascii="Times New Roman" w:hAnsi="Times New Roman"/>
          <w:color w:val="000000"/>
          <w:sz w:val="24"/>
          <w:u w:val="single"/>
        </w:rPr>
        <w:t>Section 13</w:t>
      </w:r>
      <w:r>
        <w:rPr>
          <w:rFonts w:ascii="Times New Roman" w:hAnsi="Times New Roman"/>
          <w:color w:val="000000"/>
          <w:sz w:val="24"/>
        </w:rPr>
        <w:t xml:space="preserve">). Notwithstanding the foregoing, if the Exercise Price of the outstanding portion of the Option Shares is less than the Fair Market Value of a share of Common Stock on the day the Options would otherwise expire as provided in </w:t>
      </w:r>
      <w:r>
        <w:rPr>
          <w:rFonts w:ascii="Times New Roman" w:hAnsi="Times New Roman"/>
          <w:color w:val="000000"/>
          <w:sz w:val="24"/>
          <w:u w:val="single"/>
        </w:rPr>
        <w:t>Section 5(a), (c) or (d)</w:t>
      </w:r>
      <w:r>
        <w:rPr>
          <w:rFonts w:ascii="Times New Roman" w:hAnsi="Times New Roman"/>
          <w:color w:val="000000"/>
          <w:sz w:val="24"/>
        </w:rPr>
        <w:t>, then the Option Shares shall be automatically exercised in full immediately prior to its expiration.</w:t>
      </w:r>
    </w:p>
    <w:p>
      <w:pPr>
        <w:pStyle w:val="TextBody"/>
        <w:bidi w:val="0"/>
        <w:spacing w:before="0" w:after="240"/>
        <w:jc w:val="left"/>
        <w:rPr>
          <w:rFonts w:ascii="Times New Roman" w:hAnsi="Times New Roman"/>
          <w:sz w:val="20"/>
        </w:rPr>
      </w:pPr>
      <w:r>
        <w:rPr>
          <w:rFonts w:ascii="Times New Roman" w:hAnsi="Times New Roman"/>
          <w:color w:val="000000"/>
          <w:sz w:val="24"/>
        </w:rPr>
        <w:t>If the Optionee desires to pay the Exercise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to the Optionee upon such exercise a number of shares of Common Stock equal to the result obtained by dividing (i) the excess of the aggregate Fair Market Value of the total number shares of Common Stock that relate to the Option Shares being exercised over the Exercise Price payable in respect of such exercise by (ii) the Fair Market Value of a single share of Common Stock, and the Optionee may retain the shares of Common Stock the ownership of which is attested.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to the contrary contained herein, the Optionee agrees that he or she will not exercise the Option Shares hereunder, and the Company will not be obligated to issue any shares of Common Stock relating to any Option Shares exercised pursuant to this Agreement, if the exercise of the Option Shares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Company may, at its election, require the Optionee to give a representation in writing in form and substance satisfactory to the Company to the effect that he or she is acquiring such shares for his or her own account for investment and not with a view to, or for sale in connection with, the distribution of such shares or any part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any law or regulation requires the Company to take any action with respect to the shares specified in such notice, the time of issuance thereof, which would otherwise be as promptly as reasonably practicable, shall be postponed for the period of time necessary to take such action.</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7.</w:t>
      </w:r>
    </w:p>
    <w:p>
      <w:pPr>
        <w:pStyle w:val="TextBody"/>
        <w:bidi w:val="0"/>
        <w:spacing w:before="0" w:after="240"/>
        <w:jc w:val="left"/>
        <w:rPr/>
      </w:pPr>
      <w:r>
        <w:rPr>
          <w:rFonts w:ascii="Times New Roman" w:hAnsi="Times New Roman"/>
          <w:b/>
          <w:i/>
          <w:color w:val="000000"/>
          <w:sz w:val="24"/>
          <w:u w:val="single"/>
        </w:rPr>
        <w:t>Notices</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Notice of exercise of the Option Shares must be made in the following manner, using such forms as the Company may from time to time provide: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electronic means as designated by the Committee, in which case the date of exercise shall be the date when receipt is acknowledged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registered or certified United States mail, postage prepaid, to Eagle Materials Inc., Attention: Secretary, 5960 Berkshire Ln., Suite 900, Dallas, Texas 75225, in which case the date of exercise shall be the date of mailing;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hand delivery or otherwise to Eagle Materials Inc., Attention: Secretary, 5960 Berkshire Ln., Suite 900, Dallas, Texas 75225, in which case the date of exercise shall be the date when receipt is acknowledged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the foregoing, in the event that the address of the Company is changed prior to the date of any exercise of the Option Shares, notice of exercise shall instead be made pursuant to the foregoing provisions at the Company’s current address.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other notices provided for in this Agreement or in the Plan shall be given in writing or by such electronic means, as permitted by the Committee, and shall be deemed effectively delivered or given upon receipt or, in the case of notices delivered by mail by the Company to the Optionee, on the third business day after deposit in the United States mail, postage prepaid, addressed to the Optionee at the address specified at the end of this Agreement or at such other address as the Optionee hereafter designates by written notice to the Company. By accepting this Award, the Optionee consents to receive such documents by electronic delivery and to participate in the Plan through an on-line or electronic system established and maintained by the Company or another third party designated by the Company.</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8.</w:t>
      </w:r>
    </w:p>
    <w:p>
      <w:pPr>
        <w:pStyle w:val="TextBody"/>
        <w:bidi w:val="0"/>
        <w:spacing w:before="0" w:after="240"/>
        <w:jc w:val="left"/>
        <w:rPr/>
      </w:pPr>
      <w:r>
        <w:rPr>
          <w:rFonts w:ascii="Times New Roman" w:hAnsi="Times New Roman"/>
          <w:b/>
          <w:i/>
          <w:color w:val="000000"/>
          <w:sz w:val="24"/>
          <w:u w:val="single"/>
        </w:rPr>
        <w:t>Assignment of Option</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otherwise permitted by the Committee, the rights of the Optionee under the Plan and this Agreement are personal; no assignment or transfer of the Optionee’s rights under and interest in this Award may be made by the Optionee otherwise than by will, by beneficiary designation, by the laws of descent and distribution or by a qualified domestic relations order; and the Option Shares hereunder are exercisable during his or her lifetime only by the Optionee, except as otherwise expressly provided in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the death of the Optionee, exercise of the Option Shares shall be permitted only by the Optionee’s designated beneficiary or, in the absence of a designated beneficiary, the Optionee’s executor or the personal representative of the Optionee’s estate (or by his or her assignee, in the event of a permitted assignment) to the extent that the Option is exercisable on or after the date of the Optionee’s death.</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9.</w:t>
      </w:r>
    </w:p>
    <w:p>
      <w:pPr>
        <w:pStyle w:val="TextBody"/>
        <w:bidi w:val="0"/>
        <w:spacing w:before="0" w:after="240"/>
        <w:jc w:val="left"/>
        <w:rPr/>
      </w:pPr>
      <w:r>
        <w:rPr>
          <w:rFonts w:ascii="Times New Roman" w:hAnsi="Times New Roman"/>
          <w:b/>
          <w:i/>
          <w:color w:val="000000"/>
          <w:sz w:val="24"/>
          <w:u w:val="single"/>
        </w:rPr>
        <w:t>Corporate Events</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If, from time to time during the term of the Options, and to the extent this Award is outstanding as of such time, there is any equity restructuring affecting the outstanding Common Stock that causes the per share value of Common Stock to change, the Options and other applicable terms of this Award shall be adjusted in accordance with the provisions of </w:t>
      </w:r>
      <w:r>
        <w:rPr>
          <w:rFonts w:ascii="Times New Roman" w:hAnsi="Times New Roman"/>
          <w:color w:val="000000"/>
          <w:sz w:val="24"/>
          <w:u w:val="single"/>
        </w:rPr>
        <w:t>Section 5.7</w:t>
      </w:r>
      <w:r>
        <w:rPr>
          <w:rFonts w:ascii="Times New Roman" w:hAnsi="Times New Roman"/>
          <w:color w:val="000000"/>
          <w:sz w:val="20"/>
        </w:rPr>
        <w:t xml:space="preserve"> </w:t>
      </w:r>
      <w:r>
        <w:rPr>
          <w:rFonts w:ascii="Times New Roman" w:hAnsi="Times New Roman"/>
          <w:color w:val="000000"/>
          <w:sz w:val="24"/>
        </w:rPr>
        <w:t>of the Plan. Any and all new, substituted or additional securities to which the Optionee may be entitled by reason of this Award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because of an equity restructuring shall be immediately subject to the restrictions set forth herein (as may be modified pursuant to this Agreement) and included thereafter as Options for purposes of this Agreement.</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10.</w:t>
      </w:r>
    </w:p>
    <w:p>
      <w:pPr>
        <w:pStyle w:val="TextBody"/>
        <w:bidi w:val="0"/>
        <w:spacing w:before="0" w:after="240"/>
        <w:jc w:val="left"/>
        <w:rPr/>
      </w:pPr>
      <w:r>
        <w:rPr>
          <w:rFonts w:ascii="Times New Roman" w:hAnsi="Times New Roman"/>
          <w:b/>
          <w:i/>
          <w:color w:val="000000"/>
          <w:sz w:val="24"/>
          <w:u w:val="single"/>
        </w:rPr>
        <w:t>Issuance of Shares</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shall not be obligated to issue any shares of Common Stock if counsel to the Company determines that such issuance would violate any applicable law or any rule or regulations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regulations or agreement.</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11.</w:t>
      </w:r>
    </w:p>
    <w:p>
      <w:pPr>
        <w:pStyle w:val="TextBody"/>
        <w:bidi w:val="0"/>
        <w:spacing w:before="0" w:after="240"/>
        <w:jc w:val="left"/>
        <w:rPr/>
      </w:pPr>
      <w:r>
        <w:rPr>
          <w:rFonts w:ascii="Times New Roman" w:hAnsi="Times New Roman"/>
          <w:b/>
          <w:i/>
          <w:color w:val="000000"/>
          <w:sz w:val="24"/>
          <w:u w:val="single"/>
        </w:rPr>
        <w:t>Shareholder Rights</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Optionee shall have no rights of a shareholder with respect to shares of Common Stock subject to this Award unless and until such time as the related Option Shares have been exercised and such shares of Common Stock have been issued to the Optionee.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12.</w:t>
      </w:r>
    </w:p>
    <w:p>
      <w:pPr>
        <w:pStyle w:val="TextBody"/>
        <w:bidi w:val="0"/>
        <w:spacing w:before="0" w:after="240"/>
        <w:jc w:val="both"/>
        <w:rPr/>
      </w:pPr>
      <w:r>
        <w:rPr>
          <w:rFonts w:ascii="Times New Roman" w:hAnsi="Times New Roman"/>
          <w:b/>
          <w:i/>
          <w:color w:val="000000"/>
          <w:sz w:val="24"/>
          <w:u w:val="single"/>
        </w:rPr>
        <w:t>Stock Certificates</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Certificates or other evidences of or representing the Common Stock issued pursuant to the exercise of the related Option Shares will bear all legends required by law and necessary or advisable to effectuate the provisions of the Plan and this Award. The Company may place a “stop transfer” order against shares of the Common Stock issued or issuable pursuant to the exercise of the related Option Shares until all restrictions and conditions set forth in the Plan or this Agreement and in the legends referred to in this </w:t>
      </w:r>
      <w:r>
        <w:rPr>
          <w:rFonts w:ascii="Times New Roman" w:hAnsi="Times New Roman"/>
          <w:color w:val="000000"/>
          <w:sz w:val="24"/>
          <w:u w:val="single"/>
        </w:rPr>
        <w:t>Section 12</w:t>
      </w:r>
      <w:r>
        <w:rPr>
          <w:rFonts w:ascii="Times New Roman" w:hAnsi="Times New Roman"/>
          <w:color w:val="000000"/>
          <w:sz w:val="20"/>
        </w:rPr>
        <w:t xml:space="preserve"> </w:t>
      </w:r>
      <w:r>
        <w:rPr>
          <w:rFonts w:ascii="Times New Roman" w:hAnsi="Times New Roman"/>
          <w:color w:val="000000"/>
          <w:sz w:val="24"/>
        </w:rPr>
        <w:t>have been complied with.</w:t>
      </w:r>
      <w:r>
        <w:rPr>
          <w:rFonts w:ascii="Times New Roman" w:hAnsi="Times New Roman"/>
          <w:color w:val="000000"/>
          <w:sz w:val="20"/>
        </w:rPr>
        <w:t xml:space="preserve"> </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13.</w:t>
      </w:r>
    </w:p>
    <w:p>
      <w:pPr>
        <w:pStyle w:val="TextBody"/>
        <w:bidi w:val="0"/>
        <w:spacing w:before="0" w:after="240"/>
        <w:jc w:val="left"/>
        <w:rPr/>
      </w:pPr>
      <w:r>
        <w:rPr>
          <w:rFonts w:ascii="Times New Roman" w:hAnsi="Times New Roman"/>
          <w:b/>
          <w:i/>
          <w:color w:val="000000"/>
          <w:sz w:val="24"/>
          <w:u w:val="single"/>
        </w:rPr>
        <w:t>Tax Consequences; Withholding of Taxes</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The Optionee acknowledges that the Optionee has reviewed, or has had the opportunity to review, with the Optionee’s own tax advisors the federal, state, and local tax consequences of this investment and the transactions contemplated by this Agreement. The Optionee is relying solely on such advisors and not on any statements or representations of the Company or any of its agents. The Optionee understands that the Optionee (and not the Company) shall be responsible for the Optionee’s own tax liability that may arise as a result of the transactions contemplated by this Agreement. No shares of Common Stock purchased hereunder shall be issued in respect of the Optionee unless the withholding obligation under applicable tax laws or regulations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Award. The Optionee may pay all or any portion of the taxes required to be withheld by the Company or paid by the Optionee in connection with the exercise of all or any portion of the Option Shares hereunder by delivering cash, check or cash equivalents, or, pursuant to Committee-approved procedures, by electing to have the Company withhold shares of Common Stock, or by delivering previously owned shares of Common Stock sufficient to satisfy the tax withholding obligation.</w:t>
      </w:r>
      <w:r>
        <w:rPr>
          <w:rFonts w:ascii="Times New Roman" w:hAnsi="Times New Roman"/>
          <w:color w:val="000000"/>
          <w:sz w:val="20"/>
        </w:rPr>
        <w:t xml:space="preserve"> </w:t>
      </w:r>
      <w:r>
        <w:rPr>
          <w:rFonts w:ascii="Times New Roman" w:hAnsi="Times New Roman"/>
          <w:color w:val="000000"/>
          <w:sz w:val="24"/>
        </w:rPr>
        <w:t>The Optionee must make the foregoing election on or before the date that the amount of tax to be withheld is determined.</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14.</w:t>
      </w:r>
    </w:p>
    <w:p>
      <w:pPr>
        <w:pStyle w:val="TextBody"/>
        <w:bidi w:val="0"/>
        <w:spacing w:before="0" w:after="240"/>
        <w:jc w:val="left"/>
        <w:rPr/>
      </w:pPr>
      <w:r>
        <w:rPr>
          <w:rFonts w:ascii="Times New Roman" w:hAnsi="Times New Roman"/>
          <w:b/>
          <w:i/>
          <w:color w:val="000000"/>
          <w:sz w:val="24"/>
          <w:u w:val="single"/>
        </w:rPr>
        <w:t>Restrictive Covenants</w:t>
      </w:r>
      <w:r>
        <w:rPr>
          <w:rFonts w:ascii="Times New Roman" w:hAnsi="Times New Roman"/>
          <w:i/>
          <w:color w:val="000000"/>
          <w:sz w:val="24"/>
        </w:rPr>
        <w:t xml:space="preserve">. </w:t>
      </w:r>
    </w:p>
    <w:p>
      <w:pPr>
        <w:pStyle w:val="Heading1"/>
        <w:bidi w:val="0"/>
        <w:spacing w:before="0" w:after="240"/>
        <w:jc w:val="left"/>
        <w:rPr>
          <w:rFonts w:ascii="Times New Roman" w:hAnsi="Times New Roman"/>
          <w:sz w:val="20"/>
        </w:rPr>
      </w:pPr>
      <w:r>
        <w:rPr>
          <w:rFonts w:ascii="Times New Roman" w:hAnsi="Times New Roman"/>
          <w:b w:val="false"/>
          <w:color w:val="000000"/>
          <w:sz w:val="24"/>
        </w:rPr>
        <w:t xml:space="preserve">The Optionee acknowledges and agrees that the restrictions in this </w:t>
      </w:r>
      <w:r>
        <w:rPr>
          <w:rFonts w:ascii="Times New Roman" w:hAnsi="Times New Roman"/>
          <w:b w:val="false"/>
          <w:color w:val="000000"/>
          <w:sz w:val="24"/>
          <w:u w:val="single"/>
        </w:rPr>
        <w:t>Section 14</w:t>
      </w:r>
      <w:r>
        <w:rPr>
          <w:rFonts w:ascii="Times New Roman" w:hAnsi="Times New Roman"/>
          <w:color w:val="000000"/>
          <w:sz w:val="20"/>
        </w:rPr>
        <w:t xml:space="preserve"> </w:t>
      </w:r>
      <w:r>
        <w:rPr>
          <w:rFonts w:ascii="Times New Roman" w:hAnsi="Times New Roman"/>
          <w:b w:val="false"/>
          <w:color w:val="000000"/>
          <w:sz w:val="24"/>
        </w:rPr>
        <w:t>are necessary to protect the goodwill of the Company and the Confidential Information (as defined below) provided by the Company to the Optionee pursuant to this Agreement or otherwise.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pPr>
      <w:r>
        <w:rPr>
          <w:rFonts w:ascii="Times New Roman" w:hAnsi="Times New Roman"/>
          <w:color w:val="000000"/>
          <w:sz w:val="24"/>
          <w:u w:val="single"/>
        </w:rPr>
        <w:t>Confidential Information</w:t>
      </w:r>
      <w:r>
        <w:rPr>
          <w:rFonts w:ascii="Times New Roman" w:hAnsi="Times New Roman"/>
          <w:color w:val="000000"/>
          <w:sz w:val="24"/>
        </w:rPr>
        <w:t>. The Optionee acknowledges that, by virtue of his or her service to the Company and any of its affiliates either as an Employee or if applicable, as a Non-Employee Director, the Company has provided and promises to provide the Optionee with Confidential Information (as defined below). The Optionee shall hold in a fiduciary capacity for the benefit of the Company all secret or confidential information, knowledge or data relating to the Company or any of its affiliates, and their respective businesses, which shall have been obtained by the Optionee during the Optionee’s service to the Company or any of its affiliates either as an Employee or if applicable, as a Non-Employee Director, and which shall not be or become public knowledge (other than by acts by the Optionee or representatives of the Optionee in violation of this Agreement) (“</w:t>
      </w:r>
      <w:r>
        <w:rPr>
          <w:rFonts w:ascii="Times New Roman" w:hAnsi="Times New Roman"/>
          <w:color w:val="000000"/>
          <w:sz w:val="24"/>
          <w:u w:val="single"/>
        </w:rPr>
        <w:t>Confidential Information</w:t>
      </w:r>
      <w:r>
        <w:rPr>
          <w:color w:val="000000"/>
        </w:rPr>
        <w:t>”</w:t>
      </w:r>
      <w:r>
        <w:rPr>
          <w:rFonts w:ascii="Times New Roman" w:hAnsi="Times New Roman"/>
          <w:color w:val="000000"/>
          <w:sz w:val="24"/>
        </w:rPr>
        <w:t xml:space="preserve">). After termination of the Optionee’s employment with the Company, the Optionee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Optionee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Optionee’s ability to communicate with any government agency or otherwise participate in any investigation or proceeding that may be conducted by any government agency, including providing documents or other information. Nothing in this Agreement shall be construed to prohibit Employee from engaging in protected concerted activity under the National Labor Relations Act for the purpose of collective bargaining or other mutual aid or protection, including, without limitation, (A) making disclosures concerning this Agreement in aid of such concerted activities; (B) filing unfair labor practice charges; (C) assisting others who are filing such charges; and (D) cooperating with the investigative process of the National Labor Relations Board or other government agencies.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Non-Competition</w:t>
      </w:r>
      <w:r>
        <w:rPr>
          <w:rFonts w:ascii="Times New Roman" w:hAnsi="Times New Roman"/>
          <w:color w:val="000000"/>
          <w:sz w:val="24"/>
        </w:rPr>
        <w:t>. During the Vesting Period, in order to protect all Confidential Information, the Optionee agrees that to the fullest extent permitted by law, the Optionee shall not engage or be engaged in any aspect whatsoever of any of the following lines of business: (i) the production (including any associated mining), distribution, marketing or sale of cement (including Portland cement, oil well 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Times New Roman" w:hAnsi="Times New Roman"/>
          <w:color w:val="000000"/>
          <w:sz w:val="24"/>
          <w:u w:val="single"/>
        </w:rPr>
        <w:t>Line of Business</w:t>
      </w:r>
      <w:r>
        <w:rPr>
          <w:color w:val="000000"/>
        </w:rPr>
        <w:t>”</w:t>
      </w:r>
      <w:r>
        <w:rPr>
          <w:rFonts w:ascii="Times New Roman" w:hAnsi="Times New Roman"/>
          <w:color w:val="000000"/>
          <w:sz w:val="24"/>
        </w:rPr>
        <w:t xml:space="preserve">), either directly or indirectly as an individual, or as an employee, associate, partner, stockholder, consultant, owner, manager, agent or otherwise or by means of any corporate or other device, either on his or her own behalf in the Restricted Areas (as defined below) or on behalf of others who are engaged in any Line of Business (either directly or through an affiliate (including by virtue of having an affiliate in the Restricted Areas)) in the Restricted Areas; </w:t>
      </w:r>
      <w:r>
        <w:rPr>
          <w:rFonts w:ascii="Times New Roman" w:hAnsi="Times New Roman"/>
          <w:color w:val="000000"/>
          <w:sz w:val="24"/>
          <w:u w:val="single"/>
        </w:rPr>
        <w:t>provided</w:t>
      </w:r>
      <w:r>
        <w:rPr>
          <w:rFonts w:ascii="Times New Roman" w:hAnsi="Times New Roman"/>
          <w:color w:val="000000"/>
          <w:sz w:val="24"/>
        </w:rPr>
        <w:t xml:space="preserve">, that, notwithstanding the foregoing, the Optionee may invest in securities of any entity, solely for investment purposes and without participating in the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pPr>
      <w:r>
        <w:rPr>
          <w:rFonts w:ascii="Times New Roman" w:hAnsi="Times New Roman"/>
          <w:color w:val="000000"/>
          <w:sz w:val="24"/>
        </w:rPr>
        <w:t>business thereof, if (A) such securities are traded on any national securities exchange or the National Association of Securities Dealers, Inc. Automated Quotation System, (B) the Optionee is not a controlling person of, or a member of a group which controls, such entity, and (C) the Optionee does not, directly or indirectly, own 1% or more of any class of securities of such entity. The “</w:t>
      </w:r>
      <w:r>
        <w:rPr>
          <w:rFonts w:ascii="Times New Roman" w:hAnsi="Times New Roman"/>
          <w:color w:val="000000"/>
          <w:sz w:val="24"/>
          <w:u w:val="single"/>
        </w:rPr>
        <w:t>Restricted Areas</w:t>
      </w:r>
      <w:r>
        <w:rPr>
          <w:color w:val="000000"/>
        </w:rPr>
        <w:t xml:space="preserve">” </w:t>
      </w:r>
      <w:r>
        <w:rPr>
          <w:rFonts w:ascii="Times New Roman" w:hAnsi="Times New Roman"/>
          <w:color w:val="000000"/>
          <w:sz w:val="24"/>
        </w:rPr>
        <w:t>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Optionee or in respect of which the Optionee has performed any services.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color w:val="000000"/>
          <w:sz w:val="24"/>
          <w:u w:val="single"/>
        </w:rPr>
        <w:t>Non-Solicitation</w:t>
      </w:r>
      <w:r>
        <w:rPr>
          <w:rFonts w:ascii="Times New Roman" w:hAnsi="Times New Roman"/>
          <w:color w:val="000000"/>
          <w:sz w:val="24"/>
        </w:rPr>
        <w:t>. During the Vesting Period, the Optionee will not, directly or indirectly, in any manner (i) (x) solicit or attempt to solicit any individual that is an employee of the Company or its affiliates (“</w:t>
      </w:r>
      <w:r>
        <w:rPr>
          <w:rFonts w:ascii="Times New Roman" w:hAnsi="Times New Roman"/>
          <w:color w:val="000000"/>
          <w:sz w:val="24"/>
          <w:u w:val="single"/>
        </w:rPr>
        <w:t>Employee</w:t>
      </w:r>
      <w:r>
        <w:rPr>
          <w:color w:val="000000"/>
        </w:rPr>
        <w:t>”</w:t>
      </w:r>
      <w:r>
        <w:rPr>
          <w:rFonts w:ascii="Times New Roman" w:hAnsi="Times New Roman"/>
          <w:color w:val="000000"/>
          <w:sz w:val="24"/>
        </w:rPr>
        <w:t xml:space="preserve">), (y) encourage any person (other than the Company) to solicit any Employee, or (z) otherwise encourage any Employee to discontinue his or her employment with the Company or one of its affiliates; </w:t>
      </w:r>
      <w:r>
        <w:rPr>
          <w:rFonts w:ascii="Times New Roman" w:hAnsi="Times New Roman"/>
          <w:color w:val="000000"/>
          <w:sz w:val="24"/>
          <w:u w:val="single"/>
        </w:rPr>
        <w:t>provided</w:t>
      </w:r>
      <w:r>
        <w:rPr>
          <w:rFonts w:ascii="Times New Roman" w:hAnsi="Times New Roman"/>
          <w:color w:val="000000"/>
          <w:sz w:val="24"/>
        </w:rPr>
        <w:t>, that this Agreement shall not prohibit any advertisement or general solicitation (or hiring as a result thereof) that is not specifically targeted at such persons; (ii) solicit any customer who currently is a customer of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rFonts w:ascii="Times New Roman" w:hAnsi="Times New Roman"/>
          <w:color w:val="000000"/>
          <w:sz w:val="24"/>
          <w:u w:val="single"/>
        </w:rPr>
        <w:t>Remedies</w:t>
      </w:r>
      <w:r>
        <w:rPr>
          <w:rFonts w:ascii="Times New Roman" w:hAnsi="Times New Roman"/>
          <w:color w:val="000000"/>
          <w:sz w:val="24"/>
        </w:rPr>
        <w:t xml:space="preserve">. In the event of the Optionee’s breach or threatened breach of this </w:t>
      </w:r>
      <w:r>
        <w:rPr>
          <w:rFonts w:ascii="Times New Roman" w:hAnsi="Times New Roman"/>
          <w:color w:val="000000"/>
          <w:sz w:val="24"/>
          <w:u w:val="single"/>
        </w:rPr>
        <w:t>Section 14</w:t>
      </w:r>
      <w:r>
        <w:rPr>
          <w:rFonts w:ascii="Times New Roman" w:hAnsi="Times New Roman"/>
          <w:color w:val="000000"/>
          <w:sz w:val="24"/>
        </w:rPr>
        <w:t xml:space="preserve">, in addition to any other remedies, the Company shall be entitled to specific performance and/or a temporary or permanent injunction prohibiting and enjoining the Optionee from violating the covenants set forth in this </w:t>
      </w:r>
      <w:r>
        <w:rPr>
          <w:rFonts w:ascii="Times New Roman" w:hAnsi="Times New Roman"/>
          <w:color w:val="000000"/>
          <w:sz w:val="24"/>
          <w:u w:val="single"/>
        </w:rPr>
        <w:t>Section 14</w:t>
      </w:r>
      <w:r>
        <w:rPr>
          <w:rFonts w:ascii="Times New Roman" w:hAnsi="Times New Roman"/>
          <w:color w:val="000000"/>
          <w:sz w:val="24"/>
        </w:rPr>
        <w:t xml:space="preserve">. For purposes of obtaining equitable relief, such as specific performance, a temporary restraining order, or an injunction (but not any relief to the extent it would involve the payment by the Optionee of monetary damages or the loss of a benefit under this Agreement), the Company need not prove, and the Optionee acknowledges and agrees that irreparable harm or injury will have occurred as a result of any breach of the covenants set forth in this </w:t>
      </w:r>
      <w:r>
        <w:rPr>
          <w:rFonts w:ascii="Times New Roman" w:hAnsi="Times New Roman"/>
          <w:color w:val="000000"/>
          <w:sz w:val="24"/>
          <w:u w:val="single"/>
        </w:rPr>
        <w:t>Section 14</w:t>
      </w:r>
      <w:r>
        <w:rPr>
          <w:rFonts w:ascii="Times New Roman" w:hAnsi="Times New Roman"/>
          <w:color w:val="000000"/>
          <w:sz w:val="24"/>
        </w:rPr>
        <w:t xml:space="preserve">, and the Company need not provide notice or pay bond to the maximum extent permitted by law. In the event of the Optionee’s breach or threatened breach of the restrictive covenants contained in this </w:t>
      </w:r>
      <w:r>
        <w:rPr>
          <w:rFonts w:ascii="Times New Roman" w:hAnsi="Times New Roman"/>
          <w:color w:val="000000"/>
          <w:sz w:val="24"/>
          <w:u w:val="single"/>
        </w:rPr>
        <w:t>Section 14</w:t>
      </w:r>
      <w:r>
        <w:rPr>
          <w:rFonts w:ascii="Times New Roman" w:hAnsi="Times New Roman"/>
          <w:color w:val="000000"/>
          <w:sz w:val="24"/>
        </w:rPr>
        <w:t xml:space="preserve">, in addition to any other remedies available hereunder, at law or in equity, the Company shall also be entitled to recover the value of all remaining unvested Options and unexercised Option Shares, which shall be immediately forfeited by the Optionee. The Vesting Period solely for purposes of this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 xml:space="preserve">shall be tolled for any period of time during which the Optionee is in violation of the restrictions in </w:t>
      </w:r>
      <w:r>
        <w:rPr>
          <w:rFonts w:ascii="Times New Roman" w:hAnsi="Times New Roman"/>
          <w:color w:val="000000"/>
          <w:sz w:val="24"/>
          <w:u w:val="single"/>
        </w:rPr>
        <w:t>Sections 14(b)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14(c)</w:t>
      </w:r>
      <w:r>
        <w:rPr>
          <w:color w:val="000000"/>
        </w:rPr>
        <w:t xml:space="preserve"> </w:t>
      </w:r>
      <w:r>
        <w:rPr>
          <w:rFonts w:ascii="Times New Roman" w:hAnsi="Times New Roman"/>
          <w:color w:val="000000"/>
          <w:sz w:val="24"/>
        </w:rPr>
        <w:t xml:space="preserve">(e.g., in no event shall this sentence otherwise cause a Vesting Date to be delayed or a Vesting Period to be extended for purposes of </w:t>
      </w:r>
      <w:r>
        <w:rPr>
          <w:rFonts w:ascii="Times New Roman" w:hAnsi="Times New Roman"/>
          <w:color w:val="000000"/>
          <w:sz w:val="24"/>
          <w:u w:val="single"/>
        </w:rPr>
        <w:t>Section 3</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pPr>
      <w:r>
        <w:rPr>
          <w:rFonts w:ascii="Times New Roman" w:hAnsi="Times New Roman"/>
          <w:color w:val="000000"/>
          <w:sz w:val="24"/>
          <w:u w:val="single"/>
        </w:rPr>
        <w:t>Reformation</w:t>
      </w:r>
      <w:r>
        <w:rPr>
          <w:rFonts w:ascii="Times New Roman" w:hAnsi="Times New Roman"/>
          <w:color w:val="000000"/>
          <w:sz w:val="24"/>
        </w:rPr>
        <w:t xml:space="preserve">. In the event that any covenant contained in this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 xml:space="preserve">should ever be adjudicated to exceed the time, geographic or other limitations permitted by applicable law, then such covenant shall be reformed to the maximum time, geographic or other limitations to the maximum extent permitted by law. The covenants contained in this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pPr>
      <w:r>
        <w:rPr>
          <w:rFonts w:ascii="Times New Roman" w:hAnsi="Times New Roman"/>
          <w:color w:val="000000"/>
          <w:sz w:val="24"/>
          <w:u w:val="single"/>
        </w:rPr>
        <w:t>State-Specific Requirements</w:t>
      </w:r>
      <w:r>
        <w:rPr>
          <w:rFonts w:ascii="Times New Roman" w:hAnsi="Times New Roman"/>
          <w:color w:val="000000"/>
          <w:sz w:val="24"/>
        </w:rPr>
        <w:t xml:space="preserve">. The effectiveness of Sections </w:t>
      </w:r>
      <w:r>
        <w:rPr>
          <w:rFonts w:ascii="Times New Roman" w:hAnsi="Times New Roman"/>
          <w:color w:val="000000"/>
          <w:sz w:val="24"/>
          <w:u w:val="single"/>
        </w:rPr>
        <w:t>14(b)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14(c)</w:t>
      </w:r>
      <w:r>
        <w:rPr>
          <w:color w:val="000000"/>
        </w:rPr>
        <w:t xml:space="preserve"> </w:t>
      </w:r>
      <w:r>
        <w:rPr>
          <w:rFonts w:ascii="Times New Roman" w:hAnsi="Times New Roman"/>
          <w:color w:val="000000"/>
          <w:sz w:val="24"/>
        </w:rPr>
        <w:t xml:space="preserve">shall be subject to applicable state law, such that, Sections </w:t>
      </w:r>
      <w:r>
        <w:rPr>
          <w:rFonts w:ascii="Times New Roman" w:hAnsi="Times New Roman"/>
          <w:color w:val="000000"/>
          <w:sz w:val="24"/>
          <w:u w:val="single"/>
        </w:rPr>
        <w:t>14(b)</w:t>
      </w:r>
      <w:r>
        <w:rPr>
          <w:color w:val="000000"/>
        </w:rPr>
        <w:t xml:space="preserve"> </w:t>
      </w:r>
      <w:r>
        <w:rPr>
          <w:rFonts w:ascii="Times New Roman" w:hAnsi="Times New Roman"/>
          <w:color w:val="000000"/>
          <w:sz w:val="24"/>
        </w:rPr>
        <w:t xml:space="preserve">and/or and </w:t>
      </w:r>
      <w:r>
        <w:rPr>
          <w:rFonts w:ascii="Times New Roman" w:hAnsi="Times New Roman"/>
          <w:color w:val="000000"/>
          <w:sz w:val="24"/>
          <w:u w:val="single"/>
        </w:rPr>
        <w:t>14(c)</w:t>
      </w:r>
      <w:r>
        <w:rPr>
          <w:color w:val="000000"/>
        </w:rPr>
        <w:t xml:space="preserve"> </w:t>
      </w:r>
      <w:r>
        <w:rPr>
          <w:rFonts w:ascii="Times New Roman" w:hAnsi="Times New Roman"/>
          <w:color w:val="000000"/>
          <w:sz w:val="24"/>
        </w:rPr>
        <w:t>shall only apply to the extent permitted under applicable federal or state law (e.g., the state law, if applicable, that may apply on a mandatory basis based on where the Grantee resides).</w:t>
      </w:r>
    </w:p>
    <w:p>
      <w:pPr>
        <w:pStyle w:val="TextBody"/>
        <w:bidi w:val="0"/>
        <w:spacing w:before="240" w:after="240"/>
        <w:jc w:val="left"/>
        <w:rPr>
          <w:rFonts w:ascii="Times New Roman" w:hAnsi="Times New Roman"/>
          <w:b/>
          <w:i/>
          <w:color w:val="000000"/>
          <w:sz w:val="24"/>
        </w:rPr>
      </w:pPr>
      <w:r>
        <w:rPr>
          <w:rFonts w:ascii="Times New Roman" w:hAnsi="Times New Roman"/>
          <w:b/>
          <w:i/>
          <w:color w:val="000000"/>
          <w:sz w:val="24"/>
        </w:rPr>
        <w:t>15.</w:t>
      </w:r>
    </w:p>
    <w:p>
      <w:pPr>
        <w:pStyle w:val="TextBody"/>
        <w:bidi w:val="0"/>
        <w:spacing w:before="240" w:after="240"/>
        <w:jc w:val="left"/>
        <w:rPr/>
      </w:pPr>
      <w:r>
        <w:rPr>
          <w:rFonts w:ascii="Times New Roman" w:hAnsi="Times New Roman"/>
          <w:b/>
          <w:i/>
          <w:color w:val="000000"/>
          <w:sz w:val="24"/>
          <w:u w:val="single"/>
        </w:rPr>
        <w:t>Entire Agreement; Governing Law; Venue</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The Plan and this Agreement constitute the entire agreement of the Company and the Optionee (collectively, the “</w:t>
      </w:r>
      <w:r>
        <w:rPr>
          <w:rFonts w:ascii="Times New Roman" w:hAnsi="Times New Roman"/>
          <w:color w:val="000000"/>
          <w:sz w:val="24"/>
          <w:u w:val="single"/>
        </w:rPr>
        <w:t>Parties</w:t>
      </w:r>
      <w:r>
        <w:rPr>
          <w:rFonts w:ascii="Times New Roman" w:hAnsi="Times New Roman"/>
          <w:color w:val="000000"/>
          <w:sz w:val="20"/>
        </w:rPr>
        <w:t>”</w:t>
      </w:r>
      <w:r>
        <w:rPr>
          <w:rFonts w:ascii="Times New Roman" w:hAnsi="Times New Roman"/>
          <w:color w:val="000000"/>
          <w:sz w:val="24"/>
        </w:rPr>
        <w:t>) with respect to the subject matter hereof and supersede in their entirety all prior undertakings and agreements of the Parties with respect to the subject matter hereof, and may not be modified in a manner that adversely affects the Optionee’s interest hereunder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The Parties hereby submit to the exclusive jurisdiction of the state and federal courts in Dallas County, Texas. Each Party irrevocably waives, to the fullest extent permitted by law, any objection which either party may now or hereafter have to the laying of the venue of any such proceeding brought in such a court and any claim that any such proceeding brought in such a court has been brought in an inconvenient forum. Should any provision of the Plan or this Agreement be determined by a court of law to be illegal or unenforceable, such provision shall be enforced to the fullest extent allowed by law and the other provisions shall nevertheless remain effective and shall remain enforceable.</w:t>
      </w:r>
    </w:p>
    <w:p>
      <w:pPr>
        <w:pStyle w:val="TextBody"/>
        <w:bidi w:val="0"/>
        <w:spacing w:before="0" w:after="0"/>
        <w:jc w:val="left"/>
        <w:rPr>
          <w:rFonts w:ascii="Times New Roman" w:hAnsi="Times New Roman"/>
          <w:b/>
          <w:i/>
          <w:color w:val="000000"/>
          <w:sz w:val="24"/>
        </w:rPr>
      </w:pPr>
      <w:r>
        <w:rPr>
          <w:rFonts w:ascii="Times New Roman" w:hAnsi="Times New Roman"/>
          <w:b/>
          <w:i/>
          <w:color w:val="000000"/>
          <w:sz w:val="24"/>
        </w:rPr>
        <w:t>16.</w:t>
      </w:r>
    </w:p>
    <w:p>
      <w:pPr>
        <w:pStyle w:val="TextBody"/>
        <w:bidi w:val="0"/>
        <w:jc w:val="left"/>
        <w:rPr/>
      </w:pPr>
      <w:r>
        <w:rPr>
          <w:rFonts w:ascii="Times New Roman" w:hAnsi="Times New Roman"/>
          <w:b/>
          <w:i/>
          <w:color w:val="000000"/>
          <w:sz w:val="24"/>
          <w:u w:val="single"/>
        </w:rPr>
        <w:t>Jury Trial Waiver</w:t>
      </w:r>
      <w:r>
        <w:rPr>
          <w:rFonts w:ascii="Times New Roman" w:hAnsi="Times New Roman"/>
          <w:i/>
          <w:color w:val="000000"/>
          <w:sz w:val="24"/>
        </w:rPr>
        <w:t>.</w:t>
      </w:r>
    </w:p>
    <w:p>
      <w:pPr>
        <w:pStyle w:val="TextBody"/>
        <w:bidi w:val="0"/>
        <w:spacing w:before="240" w:after="240"/>
        <w:jc w:val="left"/>
        <w:rPr>
          <w:rFonts w:ascii="Times New Roman" w:hAnsi="Times New Roman"/>
          <w:sz w:val="20"/>
        </w:rPr>
      </w:pPr>
      <w:r>
        <w:rPr>
          <w:rFonts w:ascii="Times New Roman" w:hAnsi="Times New Roman"/>
          <w:b/>
          <w:color w:val="000000"/>
          <w:sz w:val="24"/>
          <w:u w:val="single"/>
        </w:rPr>
        <w:t>THE OPTIONEE HEREBY WAIVES THE RIGHT TO TRIAL BY JURY WITH RESPECT TO ANY CLAIM AGAINST THE COMPANY FOR BREACH OR ENFORCEMENT OF THE PLAN OR THIS AGREEMENT.</w:t>
      </w:r>
      <w:r>
        <w:rPr>
          <w:rFonts w:ascii="Times New Roman" w:hAnsi="Times New Roman"/>
          <w:color w:val="000000"/>
          <w:sz w:val="20"/>
        </w:rPr>
        <w:t xml:space="preserve"> </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17.</w:t>
      </w:r>
    </w:p>
    <w:p>
      <w:pPr>
        <w:pStyle w:val="TextBody"/>
        <w:bidi w:val="0"/>
        <w:spacing w:before="0" w:after="240"/>
        <w:jc w:val="left"/>
        <w:rPr/>
      </w:pPr>
      <w:r>
        <w:rPr>
          <w:rFonts w:ascii="Times New Roman" w:hAnsi="Times New Roman"/>
          <w:b/>
          <w:i/>
          <w:color w:val="000000"/>
          <w:sz w:val="24"/>
          <w:u w:val="single"/>
        </w:rPr>
        <w:t>Interpretive Matters</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this Award or this Agreement for construction or interpretation.</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18.</w:t>
      </w:r>
    </w:p>
    <w:p>
      <w:pPr>
        <w:pStyle w:val="TextBody"/>
        <w:bidi w:val="0"/>
        <w:spacing w:before="0" w:after="240"/>
        <w:jc w:val="left"/>
        <w:rPr/>
      </w:pPr>
      <w:r>
        <w:rPr>
          <w:rFonts w:ascii="Times New Roman" w:hAnsi="Times New Roman"/>
          <w:b/>
          <w:i/>
          <w:color w:val="000000"/>
          <w:sz w:val="24"/>
          <w:u w:val="single"/>
        </w:rPr>
        <w:t>Recoupment</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This Award (and amounts paid in respect thereof) shall be subject to the terms of any recoupment (clawback) policy adopted by the Company as in effect from time to time, as well as any recoupment/forfeiture provisions required by law and applicable to the Company or its subsidiaries, including pursuant to Section 954 of the Dodd-Frank Wall Street Reform and Consumer Protection Act;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unless prohibited by applicable law, any Company recoupment (clawback) policy shall have no application to this Award (or amounts paid in respect thereof) following a Change in Control.</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19.</w:t>
      </w:r>
    </w:p>
    <w:p>
      <w:pPr>
        <w:pStyle w:val="TextBody"/>
        <w:bidi w:val="0"/>
        <w:spacing w:before="0" w:after="240"/>
        <w:jc w:val="left"/>
        <w:rPr/>
      </w:pPr>
      <w:r>
        <w:rPr>
          <w:rFonts w:ascii="Times New Roman" w:hAnsi="Times New Roman"/>
          <w:b/>
          <w:i/>
          <w:color w:val="000000"/>
          <w:sz w:val="24"/>
          <w:u w:val="single"/>
        </w:rPr>
        <w:t>Successors and Assigns</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 or pursuant to the Plan.</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20.</w:t>
      </w:r>
    </w:p>
    <w:p>
      <w:pPr>
        <w:pStyle w:val="TextBody"/>
        <w:bidi w:val="0"/>
        <w:spacing w:before="0" w:after="240"/>
        <w:jc w:val="left"/>
        <w:rPr/>
      </w:pPr>
      <w:r>
        <w:rPr>
          <w:rFonts w:ascii="Times New Roman" w:hAnsi="Times New Roman"/>
          <w:b/>
          <w:i/>
          <w:color w:val="000000"/>
          <w:sz w:val="24"/>
          <w:u w:val="single"/>
        </w:rPr>
        <w:t>No Employment Guaranteed</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provision of this Agreement shall confer any right upon the Optionee to continued employment or service with the Company or any subsidiary.</w:t>
      </w:r>
    </w:p>
    <w:p>
      <w:pPr>
        <w:pStyle w:val="TextBody"/>
        <w:bidi w:val="0"/>
        <w:spacing w:before="0" w:after="12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center"/>
        <w:rPr/>
      </w:pPr>
      <w:r>
        <w:rPr/>
        <w:t> </w:t>
      </w:r>
    </w:p>
    <w:tbl>
      <w:tblPr>
        <w:tblW w:w="3135" w:type="dxa"/>
        <w:jc w:val="left"/>
        <w:tblInd w:w="0" w:type="dxa"/>
        <w:tblLayout w:type="fixed"/>
        <w:tblCellMar>
          <w:top w:w="28" w:type="dxa"/>
          <w:left w:w="28" w:type="dxa"/>
          <w:bottom w:w="28" w:type="dxa"/>
          <w:right w:w="28" w:type="dxa"/>
        </w:tblCellMar>
      </w:tblPr>
      <w:tblGrid>
        <w:gridCol w:w="2587"/>
        <w:gridCol w:w="548"/>
      </w:tblGrid>
      <w:tr>
        <w:trPr/>
        <w:tc>
          <w:tcPr>
            <w:tcW w:w="258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EAGLE MATERIALS INC.</w:t>
            </w:r>
          </w:p>
        </w:tc>
      </w:tr>
      <w:tr>
        <w:trPr/>
        <w:tc>
          <w:tcPr>
            <w:tcW w:w="313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3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548"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2587" w:type="dxa"/>
            <w:tcBorders/>
            <w:tcMar>
              <w:top w:w="0" w:type="dxa"/>
              <w:left w:w="0" w:type="dxa"/>
              <w:bottom w:w="0" w:type="dxa"/>
              <w:right w:w="0" w:type="dxa"/>
            </w:tcMar>
            <w:vAlign w:val="center"/>
          </w:tcPr>
          <w:p>
            <w:pPr>
              <w:pStyle w:val="TableContents"/>
              <w:bidi w:val="0"/>
              <w:spacing w:before="0" w:after="283"/>
              <w:jc w:val="both"/>
              <w:rPr/>
            </w:pPr>
            <w:r>
              <w:rPr/>
              <w:t> </w:t>
            </w:r>
          </w:p>
        </w:tc>
        <w:tc>
          <w:tcPr>
            <w:tcW w:w="5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5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87" w:type="dxa"/>
            <w:tcBorders/>
            <w:tcMar>
              <w:top w:w="0" w:type="dxa"/>
              <w:left w:w="0" w:type="dxa"/>
              <w:bottom w:w="0" w:type="dxa"/>
              <w:right w:w="0" w:type="dxa"/>
            </w:tcMar>
            <w:vAlign w:val="center"/>
          </w:tcPr>
          <w:p>
            <w:pPr>
              <w:pStyle w:val="TableContents"/>
              <w:bidi w:val="0"/>
              <w:spacing w:before="0" w:after="283"/>
              <w:jc w:val="both"/>
              <w:rPr/>
            </w:pPr>
            <w:r>
              <w:rPr/>
              <w:t> </w:t>
            </w:r>
          </w:p>
        </w:tc>
        <w:tc>
          <w:tcPr>
            <w:tcW w:w="5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Its:</w:t>
            </w:r>
          </w:p>
        </w:tc>
        <w:tc>
          <w:tcPr>
            <w:tcW w:w="5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87" w:type="dxa"/>
            <w:tcBorders/>
            <w:tcMar>
              <w:top w:w="0" w:type="dxa"/>
              <w:left w:w="0" w:type="dxa"/>
              <w:bottom w:w="0" w:type="dxa"/>
              <w:right w:w="0" w:type="dxa"/>
            </w:tcMar>
            <w:vAlign w:val="center"/>
          </w:tcPr>
          <w:p>
            <w:pPr>
              <w:pStyle w:val="TableContents"/>
              <w:bidi w:val="0"/>
              <w:spacing w:before="0" w:after="283"/>
              <w:jc w:val="both"/>
              <w:rPr/>
            </w:pPr>
            <w:r>
              <w:rPr/>
              <w:t> </w:t>
            </w:r>
          </w:p>
        </w:tc>
        <w:tc>
          <w:tcPr>
            <w:tcW w:w="5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548" w:type="dxa"/>
            <w:tcBorders/>
            <w:tcMar>
              <w:top w:w="0" w:type="dxa"/>
              <w:left w:w="0" w:type="dxa"/>
              <w:bottom w:w="0" w:type="dxa"/>
              <w:right w:w="0" w:type="dxa"/>
            </w:tcMar>
            <w:vAlign w:val="center"/>
          </w:tcPr>
          <w:p>
            <w:pPr>
              <w:pStyle w:val="TableContents"/>
              <w:bidi w:val="0"/>
              <w:spacing w:before="0" w:after="240"/>
              <w:jc w:val="left"/>
              <w:rPr/>
            </w:pPr>
            <w:r>
              <w:rPr/>
              <w:t> </w:t>
            </w:r>
          </w:p>
        </w:tc>
      </w:tr>
    </w:tbl>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Optionee acknowledges receipt of a copy of the Plan, represents that he or she is familiar with the terms and provisions thereof, and hereby accepts this Award subject to all of the terms and provisions hereof and thereof. The Optionee has reviewed this Agreement and the Plan in their entirety, has had an opportunity to obtain the advice of counsel prior to executing this Agreement, and fully understands all provisions of this Agreement and the Plan. The Optionee further agrees to notify the Company upon any change in the address for notice indicated in this Agreement.</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OPTIONEE</w:t>
      </w:r>
    </w:p>
    <w:p>
      <w:pPr>
        <w:pStyle w:val="TextBody"/>
        <w:bidi w:val="0"/>
        <w:jc w:val="center"/>
        <w:rPr/>
      </w:pPr>
      <w:r>
        <w:rPr/>
        <w:t> </w:t>
      </w:r>
    </w:p>
    <w:tbl>
      <w:tblPr>
        <w:tblW w:w="2258" w:type="dxa"/>
        <w:jc w:val="left"/>
        <w:tblInd w:w="0" w:type="dxa"/>
        <w:tblLayout w:type="fixed"/>
        <w:tblCellMar>
          <w:top w:w="28" w:type="dxa"/>
          <w:left w:w="28" w:type="dxa"/>
          <w:bottom w:w="28" w:type="dxa"/>
          <w:right w:w="28" w:type="dxa"/>
        </w:tblCellMar>
      </w:tblPr>
      <w:tblGrid>
        <w:gridCol w:w="1921"/>
        <w:gridCol w:w="146"/>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Mailing Address: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5" w:name="exp-ex10_4.htm"/>
      <w:bookmarkStart w:id="26" w:name="ksexpex10_4"/>
      <w:bookmarkEnd w:id="25"/>
      <w:bookmarkEnd w:id="26"/>
      <w:r>
        <w:rPr/>
        <w:t> </w:t>
      </w:r>
      <w:r>
        <w:br w:type="page"/>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10.4</w:t>
      </w:r>
    </w:p>
    <w:p>
      <w:pPr>
        <w:pStyle w:val="TextBody"/>
        <w:bidi w:val="0"/>
        <w:jc w:val="center"/>
        <w:rPr>
          <w:rFonts w:ascii="Times New Roman" w:hAnsi="Times New Roman"/>
          <w:sz w:val="20"/>
        </w:rPr>
      </w:pPr>
      <w:r>
        <w:rPr>
          <w:rFonts w:ascii="Times New Roman" w:hAnsi="Times New Roman"/>
          <w:b/>
          <w:color w:val="000000"/>
          <w:sz w:val="24"/>
          <w:u w:val="single"/>
        </w:rPr>
        <w:t>EAGLE MATERIALS INC</w:t>
      </w:r>
      <w:r>
        <w:rPr>
          <w:rFonts w:ascii="Times New Roman" w:hAnsi="Times New Roman"/>
          <w:b/>
          <w:color w:val="000000"/>
          <w:sz w:val="24"/>
        </w:rPr>
        <w: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2023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NONQUALIFIED STOCK OPTION AWARD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(Performance Vesting)</w:t>
      </w:r>
    </w:p>
    <w:p>
      <w:pPr>
        <w:pStyle w:val="TextBody"/>
        <w:bidi w:val="0"/>
        <w:spacing w:before="0" w:after="240"/>
        <w:jc w:val="left"/>
        <w:rPr>
          <w:rFonts w:ascii="Times New Roman" w:hAnsi="Times New Roman"/>
          <w:sz w:val="20"/>
        </w:rPr>
      </w:pPr>
      <w:r>
        <w:rPr>
          <w:rFonts w:ascii="Times New Roman" w:hAnsi="Times New Roman"/>
          <w:color w:val="000000"/>
          <w:sz w:val="24"/>
        </w:rPr>
        <w:t>Eagle Materials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(the “</w:t>
      </w:r>
      <w:r>
        <w:rPr>
          <w:rFonts w:ascii="Times New Roman" w:hAnsi="Times New Roman"/>
          <w:color w:val="000000"/>
          <w:sz w:val="24"/>
          <w:u w:val="single"/>
        </w:rPr>
        <w:t>Optionee</w:t>
      </w:r>
      <w:r>
        <w:rPr>
          <w:rFonts w:ascii="Times New Roman" w:hAnsi="Times New Roman"/>
          <w:color w:val="000000"/>
          <w:sz w:val="20"/>
        </w:rPr>
        <w:t>”</w:t>
      </w:r>
      <w:r>
        <w:rPr>
          <w:rFonts w:ascii="Times New Roman" w:hAnsi="Times New Roman"/>
          <w:color w:val="000000"/>
          <w:sz w:val="24"/>
        </w:rPr>
        <w:t>) hereby enter into this Nonqualified Stock Option Award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in order to set forth the terms and conditions of the Company’s award to the Optionee on May 21, 2026 (the “</w:t>
      </w:r>
      <w:r>
        <w:rPr>
          <w:rFonts w:ascii="Times New Roman" w:hAnsi="Times New Roman"/>
          <w:color w:val="000000"/>
          <w:sz w:val="24"/>
          <w:u w:val="single"/>
        </w:rPr>
        <w:t>Award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1.</w:t>
      </w:r>
    </w:p>
    <w:p>
      <w:pPr>
        <w:pStyle w:val="TextBody"/>
        <w:bidi w:val="0"/>
        <w:spacing w:before="0" w:after="240"/>
        <w:jc w:val="left"/>
        <w:rPr/>
      </w:pPr>
      <w:r>
        <w:rPr>
          <w:rFonts w:ascii="Times New Roman" w:hAnsi="Times New Roman"/>
          <w:b/>
          <w:i/>
          <w:color w:val="000000"/>
          <w:sz w:val="24"/>
          <w:u w:val="single"/>
        </w:rPr>
        <w:t>Award</w:t>
      </w:r>
      <w:r>
        <w:rPr>
          <w:rFonts w:ascii="Times New Roman" w:hAnsi="Times New Roman"/>
          <w:i/>
          <w:color w:val="000000"/>
          <w:sz w:val="24"/>
        </w:rPr>
        <w:t>.</w:t>
      </w:r>
    </w:p>
    <w:p>
      <w:pPr>
        <w:pStyle w:val="Heading2"/>
        <w:bidi w:val="0"/>
        <w:spacing w:before="0" w:after="240"/>
        <w:jc w:val="left"/>
        <w:rPr>
          <w:rFonts w:ascii="Times New Roman" w:hAnsi="Times New Roman"/>
          <w:sz w:val="20"/>
        </w:rPr>
      </w:pPr>
      <w:r>
        <w:rPr>
          <w:rFonts w:ascii="Times New Roman" w:hAnsi="Times New Roman"/>
          <w:b w:val="false"/>
          <w:color w:val="000000"/>
          <w:sz w:val="24"/>
        </w:rPr>
        <w:t>The Company hereby awards to the Optionee Nonqualified Stock Options (this “</w:t>
      </w:r>
      <w:r>
        <w:rPr>
          <w:rFonts w:ascii="Times New Roman" w:hAnsi="Times New Roman"/>
          <w:b w:val="false"/>
          <w:color w:val="000000"/>
          <w:sz w:val="24"/>
          <w:u w:val="single"/>
        </w:rPr>
        <w:t>Award</w:t>
      </w:r>
      <w:r>
        <w:rPr>
          <w:rFonts w:ascii="Times New Roman" w:hAnsi="Times New Roman"/>
          <w:color w:val="000000"/>
          <w:sz w:val="20"/>
        </w:rPr>
        <w:t>”</w:t>
      </w:r>
      <w:r>
        <w:rPr>
          <w:rFonts w:ascii="Times New Roman" w:hAnsi="Times New Roman"/>
          <w:b w:val="false"/>
          <w:color w:val="000000"/>
          <w:sz w:val="24"/>
        </w:rPr>
        <w:t>) to purchase from the Company shares of Common Stock at the price of $199.13 per share (the “</w:t>
      </w:r>
      <w:r>
        <w:rPr>
          <w:rFonts w:ascii="Times New Roman" w:hAnsi="Times New Roman"/>
          <w:b w:val="false"/>
          <w:color w:val="000000"/>
          <w:sz w:val="24"/>
          <w:u w:val="single"/>
        </w:rPr>
        <w:t>Exercise Price</w:t>
      </w:r>
      <w:r>
        <w:rPr>
          <w:rFonts w:ascii="Times New Roman" w:hAnsi="Times New Roman"/>
          <w:color w:val="000000"/>
          <w:sz w:val="20"/>
        </w:rPr>
        <w:t>”</w:t>
      </w:r>
      <w:r>
        <w:rPr>
          <w:rFonts w:ascii="Times New Roman" w:hAnsi="Times New Roman"/>
          <w:b w:val="false"/>
          <w:color w:val="000000"/>
          <w:sz w:val="24"/>
        </w:rPr>
        <w:t xml:space="preserve">) as the target amount of a performance-based Nonqualified Stock Option award on the terms and subject to the conditions contained in this Agreement. Depending on the Company’s performance as set forth in </w:t>
      </w:r>
      <w:r>
        <w:rPr>
          <w:rFonts w:ascii="Times New Roman" w:hAnsi="Times New Roman"/>
          <w:b w:val="false"/>
          <w:color w:val="000000"/>
          <w:sz w:val="24"/>
          <w:u w:val="single"/>
        </w:rPr>
        <w:t>Section 3</w:t>
      </w:r>
      <w:r>
        <w:rPr>
          <w:rFonts w:ascii="Times New Roman" w:hAnsi="Times New Roman"/>
          <w:b w:val="false"/>
          <w:color w:val="000000"/>
          <w:sz w:val="24"/>
        </w:rPr>
        <w:t>, the Optionee may earn 0% to 200% of the target number of Nonqualified Stock Options awarded. The term “</w:t>
      </w:r>
      <w:r>
        <w:rPr>
          <w:rFonts w:ascii="Times New Roman" w:hAnsi="Times New Roman"/>
          <w:b w:val="false"/>
          <w:color w:val="000000"/>
          <w:sz w:val="24"/>
          <w:u w:val="single"/>
        </w:rPr>
        <w:t>Options</w:t>
      </w:r>
      <w:r>
        <w:rPr>
          <w:rFonts w:ascii="Times New Roman" w:hAnsi="Times New Roman"/>
          <w:color w:val="000000"/>
          <w:sz w:val="20"/>
        </w:rPr>
        <w:t xml:space="preserve">” </w:t>
      </w:r>
      <w:r>
        <w:rPr>
          <w:rFonts w:ascii="Times New Roman" w:hAnsi="Times New Roman"/>
          <w:b w:val="false"/>
          <w:color w:val="000000"/>
          <w:sz w:val="24"/>
        </w:rPr>
        <w:t>as used in this Agreement refers only to the performance-based Nonqualified Stock Options awarded to the Optionee under this Agreement.</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2.</w:t>
      </w:r>
    </w:p>
    <w:p>
      <w:pPr>
        <w:pStyle w:val="TextBody"/>
        <w:bidi w:val="0"/>
        <w:spacing w:before="0" w:after="240"/>
        <w:jc w:val="left"/>
        <w:rPr/>
      </w:pPr>
      <w:r>
        <w:rPr>
          <w:rFonts w:ascii="Times New Roman" w:hAnsi="Times New Roman"/>
          <w:b/>
          <w:i/>
          <w:color w:val="000000"/>
          <w:sz w:val="24"/>
          <w:u w:val="single"/>
        </w:rPr>
        <w:t>Relationship to the Plan</w:t>
      </w:r>
      <w:r>
        <w:rPr>
          <w:rFonts w:ascii="Times New Roman" w:hAnsi="Times New Roman"/>
          <w:i/>
          <w:color w:val="000000"/>
          <w:sz w:val="24"/>
        </w:rPr>
        <w:t>.</w:t>
      </w:r>
    </w:p>
    <w:p>
      <w:pPr>
        <w:pStyle w:val="Heading2"/>
        <w:bidi w:val="0"/>
        <w:spacing w:before="0" w:after="240"/>
        <w:jc w:val="left"/>
        <w:rPr>
          <w:rFonts w:ascii="Times New Roman" w:hAnsi="Times New Roman"/>
          <w:sz w:val="20"/>
        </w:rPr>
      </w:pPr>
      <w:r>
        <w:rPr>
          <w:rFonts w:ascii="Times New Roman" w:hAnsi="Times New Roman"/>
          <w:b w:val="false"/>
          <w:color w:val="000000"/>
          <w:sz w:val="24"/>
        </w:rPr>
        <w:t>This Award shall be subject to the terms and conditions of the Eagle Materials Inc. 2023 Equity Incentive Plan (as may be amended from time to time, the “</w:t>
      </w:r>
      <w:r>
        <w:rPr>
          <w:rFonts w:ascii="Times New Roman" w:hAnsi="Times New Roman"/>
          <w:b w:val="false"/>
          <w:color w:val="000000"/>
          <w:sz w:val="24"/>
          <w:u w:val="single"/>
        </w:rPr>
        <w:t>Plan</w:t>
      </w:r>
      <w:r>
        <w:rPr>
          <w:rFonts w:ascii="Times New Roman" w:hAnsi="Times New Roman"/>
          <w:color w:val="000000"/>
          <w:sz w:val="20"/>
        </w:rPr>
        <w:t>”</w:t>
      </w:r>
      <w:r>
        <w:rPr>
          <w:rFonts w:ascii="Times New Roman" w:hAnsi="Times New Roman"/>
          <w:b w:val="false"/>
          <w:color w:val="000000"/>
          <w:sz w:val="24"/>
        </w:rPr>
        <w:t>), this Agreement and such administrative interpretations of the Plan, if any, as may be in effect on the date of this Agreement or thereafter. Except as defined herein, capitalized terms shall have the meanings ascribed to them under the Plan. For purposes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color w:val="000000"/>
        </w:rPr>
        <w:t>“</w:t>
      </w:r>
      <w:r>
        <w:rPr>
          <w:rFonts w:ascii="Times New Roman" w:hAnsi="Times New Roman"/>
          <w:color w:val="000000"/>
          <w:sz w:val="24"/>
          <w:u w:val="single"/>
        </w:rPr>
        <w:t>Average Absolute TSR</w:t>
      </w:r>
      <w:r>
        <w:rPr>
          <w:color w:val="000000"/>
        </w:rPr>
        <w:t xml:space="preserve">” </w:t>
      </w:r>
      <w:r>
        <w:rPr>
          <w:rFonts w:ascii="Times New Roman" w:hAnsi="Times New Roman"/>
          <w:color w:val="000000"/>
          <w:sz w:val="24"/>
        </w:rPr>
        <w:t>shall be calculated based on the following formula:</w:t>
      </w:r>
    </w:p>
    <w:p>
      <w:pPr>
        <w:pStyle w:val="Heading2"/>
        <w:bidi w:val="0"/>
        <w:spacing w:before="0" w:after="240"/>
        <w:jc w:val="left"/>
        <w:rPr>
          <w:rFonts w:ascii="Times New Roman" w:hAnsi="Times New Roman"/>
          <w:sz w:val="20"/>
        </w:rPr>
      </w:pPr>
      <w:r>
        <w:rPr>
          <w:rFonts w:ascii="Times New Roman" w:hAnsi="Times New Roman"/>
          <w:color w:val="000000"/>
          <w:sz w:val="20"/>
        </w:rPr>
        <w:t>Avg. A-TSR = [((Ending Price + Reinvested Dividends)/Beginning Price)</w:t>
      </w:r>
      <w:r>
        <w:rPr>
          <w:rFonts w:ascii="Times New Roman" w:hAnsi="Times New Roman"/>
          <w:color w:val="000000"/>
          <w:sz w:val="13"/>
        </w:rPr>
        <w:t>^(1/3)</w:t>
      </w:r>
      <w:r>
        <w:rPr>
          <w:rFonts w:ascii="Times New Roman" w:hAnsi="Times New Roman"/>
          <w:color w:val="000000"/>
          <w:sz w:val="20"/>
        </w:rPr>
        <w:t>] – 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color w:val="000000"/>
        </w:rPr>
        <w:t>“</w:t>
      </w:r>
      <w:r>
        <w:rPr>
          <w:rFonts w:ascii="Times New Roman" w:hAnsi="Times New Roman"/>
          <w:color w:val="000000"/>
          <w:sz w:val="24"/>
          <w:u w:val="single"/>
        </w:rPr>
        <w:t>Average Return on Equity</w:t>
      </w:r>
      <w:r>
        <w:rPr>
          <w:color w:val="000000"/>
        </w:rPr>
        <w:t xml:space="preserve">” </w:t>
      </w:r>
      <w:r>
        <w:rPr>
          <w:rFonts w:ascii="Times New Roman" w:hAnsi="Times New Roman"/>
          <w:color w:val="000000"/>
          <w:sz w:val="24"/>
        </w:rPr>
        <w:t xml:space="preserve">shall mean: (i) the sum of the Return on Equity for each of the 3 fiscal years contained within the Performance Period; divided by (ii) 3.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color w:val="000000"/>
        </w:rPr>
        <w:t>“</w:t>
      </w:r>
      <w:r>
        <w:rPr>
          <w:rFonts w:ascii="Times New Roman" w:hAnsi="Times New Roman"/>
          <w:color w:val="000000"/>
          <w:sz w:val="24"/>
          <w:u w:val="single"/>
        </w:rPr>
        <w:t>Average Stockholders’ Equity</w:t>
      </w:r>
      <w:r>
        <w:rPr>
          <w:color w:val="000000"/>
        </w:rPr>
        <w:t xml:space="preserve">” </w:t>
      </w:r>
      <w:r>
        <w:rPr>
          <w:rFonts w:ascii="Times New Roman" w:hAnsi="Times New Roman"/>
          <w:color w:val="000000"/>
          <w:sz w:val="24"/>
        </w:rPr>
        <w:t>for a fiscal year shall mean: (i) the Company’s total stockholders’ equity as of the beginning of such fiscal year plus the Company’s total stockholders’ equity at the end of such fiscal year; divided by (ii) 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color w:val="000000"/>
        </w:rPr>
        <w:t>“</w:t>
      </w:r>
      <w:r>
        <w:rPr>
          <w:rFonts w:ascii="Times New Roman" w:hAnsi="Times New Roman"/>
          <w:color w:val="000000"/>
          <w:sz w:val="24"/>
          <w:u w:val="single"/>
        </w:rPr>
        <w:t>Beginning Price</w:t>
      </w:r>
      <w:r>
        <w:rPr>
          <w:color w:val="000000"/>
        </w:rPr>
        <w:t xml:space="preserve">” </w:t>
      </w:r>
      <w:r>
        <w:rPr>
          <w:rFonts w:ascii="Times New Roman" w:hAnsi="Times New Roman"/>
          <w:color w:val="000000"/>
          <w:sz w:val="24"/>
        </w:rPr>
        <w:t xml:space="preserve">shall mean the average per share closing price of a share or share equivalent of Common Stock on the applicable stock exchange for the period of 20 trading days immediately preceding the first day of the Performance Period.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shall mean a disability of the Optionee as determined by the Board.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color w:val="000000"/>
        </w:rPr>
        <w:t>“</w:t>
      </w:r>
      <w:r>
        <w:rPr>
          <w:rFonts w:ascii="Times New Roman" w:hAnsi="Times New Roman"/>
          <w:color w:val="000000"/>
          <w:sz w:val="24"/>
          <w:u w:val="single"/>
        </w:rPr>
        <w:t>Ending Price</w:t>
      </w:r>
      <w:r>
        <w:rPr>
          <w:color w:val="000000"/>
        </w:rPr>
        <w:t xml:space="preserve">” </w:t>
      </w:r>
      <w:r>
        <w:rPr>
          <w:rFonts w:ascii="Times New Roman" w:hAnsi="Times New Roman"/>
          <w:color w:val="000000"/>
          <w:sz w:val="24"/>
        </w:rPr>
        <w:t xml:space="preserve">shall mean the average per share closing price of a share or share equivalent of Common Stock on the applicable stock exchange for the period of 20 trading days immediately preceding and including the last day of the Performance Period.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color w:val="000000"/>
        </w:rPr>
        <w:t>“</w:t>
      </w:r>
      <w:r>
        <w:rPr>
          <w:rFonts w:ascii="Times New Roman" w:hAnsi="Times New Roman"/>
          <w:color w:val="000000"/>
          <w:sz w:val="24"/>
          <w:u w:val="single"/>
        </w:rPr>
        <w:t>Performance Period</w:t>
      </w:r>
      <w:r>
        <w:rPr>
          <w:color w:val="000000"/>
        </w:rPr>
        <w:t xml:space="preserve">” </w:t>
      </w:r>
      <w:r>
        <w:rPr>
          <w:rFonts w:ascii="Times New Roman" w:hAnsi="Times New Roman"/>
          <w:color w:val="000000"/>
          <w:sz w:val="24"/>
        </w:rPr>
        <w:t xml:space="preserve">shall mean the period commencing on April 1, 2026 and ending on March 31, 2029.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left"/>
        <w:rPr/>
      </w:pPr>
      <w:r>
        <w:rPr>
          <w:color w:val="000000"/>
        </w:rPr>
        <w:t>“</w:t>
      </w:r>
      <w:r>
        <w:rPr>
          <w:rFonts w:ascii="Times New Roman" w:hAnsi="Times New Roman"/>
          <w:color w:val="000000"/>
          <w:sz w:val="24"/>
          <w:u w:val="single"/>
        </w:rPr>
        <w:t>Reinvested Dividends</w:t>
      </w:r>
      <w:r>
        <w:rPr>
          <w:color w:val="000000"/>
        </w:rPr>
        <w:t xml:space="preserve">” </w:t>
      </w:r>
      <w:r>
        <w:rPr>
          <w:rFonts w:ascii="Times New Roman" w:hAnsi="Times New Roman"/>
          <w:color w:val="000000"/>
          <w:sz w:val="24"/>
        </w:rPr>
        <w:t xml:space="preserve">shall be calculated by multiplying (i) the aggregate number of shares (including fractional shares) that could have been purchased during the Performance Period had each cash dividend paid on a single share of Common Stock during that period been immediately reinvested in additional shares (or fractional shares) of Common Stock at the closing selling price per share on the applicable ex-dividend date, using the closing price on such date, by (ii) the Ending Price. Each of the foregoing amounts will be equitably adjusted for stock splits, stock dividends, recapitalizations and other similar events affecting the shares.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color w:val="000000"/>
        </w:rPr>
        <w:t>“</w:t>
      </w:r>
      <w:r>
        <w:rPr>
          <w:rFonts w:ascii="Times New Roman" w:hAnsi="Times New Roman"/>
          <w:color w:val="000000"/>
          <w:sz w:val="24"/>
          <w:u w:val="single"/>
        </w:rPr>
        <w:t>Retirement</w:t>
      </w:r>
      <w:r>
        <w:rPr>
          <w:color w:val="000000"/>
        </w:rPr>
        <w:t xml:space="preserve">” </w:t>
      </w:r>
      <w:r>
        <w:rPr>
          <w:rFonts w:ascii="Times New Roman" w:hAnsi="Times New Roman"/>
          <w:color w:val="000000"/>
          <w:sz w:val="24"/>
        </w:rPr>
        <w:t>shall mean the retirement of the Optionee as approved by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left"/>
        <w:rPr/>
      </w:pPr>
      <w:r>
        <w:rPr>
          <w:color w:val="000000"/>
        </w:rPr>
        <w:t>“</w:t>
      </w:r>
      <w:r>
        <w:rPr>
          <w:rFonts w:ascii="Times New Roman" w:hAnsi="Times New Roman"/>
          <w:color w:val="000000"/>
          <w:sz w:val="24"/>
          <w:u w:val="single"/>
        </w:rPr>
        <w:t>Return on Equity</w:t>
      </w:r>
      <w:r>
        <w:rPr>
          <w:color w:val="000000"/>
        </w:rPr>
        <w:t xml:space="preserve">” </w:t>
      </w:r>
      <w:r>
        <w:rPr>
          <w:rFonts w:ascii="Times New Roman" w:hAnsi="Times New Roman"/>
          <w:color w:val="000000"/>
          <w:sz w:val="24"/>
        </w:rPr>
        <w:t xml:space="preserve">for a fiscal year shall mean the following calculation (as determined by the Committee): (i) the net earnings of the Company for such fiscal year; divided by (ii) the Company’s Average Stockholders’ Equity for such fiscal year.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left"/>
        <w:rPr/>
      </w:pPr>
      <w:r>
        <w:rPr>
          <w:color w:val="000000"/>
        </w:rPr>
        <w:t>“</w:t>
      </w:r>
      <w:r>
        <w:rPr>
          <w:rFonts w:ascii="Times New Roman" w:hAnsi="Times New Roman"/>
          <w:color w:val="000000"/>
          <w:sz w:val="24"/>
          <w:u w:val="single"/>
        </w:rPr>
        <w:t>Vesting Date</w:t>
      </w:r>
      <w:r>
        <w:rPr>
          <w:color w:val="000000"/>
        </w:rPr>
        <w:t xml:space="preserve">” </w:t>
      </w:r>
      <w:r>
        <w:rPr>
          <w:rFonts w:ascii="Times New Roman" w:hAnsi="Times New Roman"/>
          <w:color w:val="000000"/>
          <w:sz w:val="24"/>
        </w:rPr>
        <w:t>shall mean, with respect to the Performance Period, the fifth business day following the Certification Date (as defined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left"/>
        <w:rPr/>
      </w:pPr>
      <w:r>
        <w:rPr>
          <w:color w:val="000000"/>
        </w:rPr>
        <w:t>“</w:t>
      </w:r>
      <w:r>
        <w:rPr>
          <w:rFonts w:ascii="Times New Roman" w:hAnsi="Times New Roman"/>
          <w:color w:val="000000"/>
          <w:sz w:val="24"/>
          <w:u w:val="single"/>
        </w:rPr>
        <w:t>Vesting Period</w:t>
      </w:r>
      <w:r>
        <w:rPr>
          <w:color w:val="000000"/>
        </w:rPr>
        <w:t xml:space="preserve">” </w:t>
      </w:r>
      <w:r>
        <w:rPr>
          <w:rFonts w:ascii="Times New Roman" w:hAnsi="Times New Roman"/>
          <w:color w:val="000000"/>
          <w:sz w:val="24"/>
        </w:rPr>
        <w:t>shall mean the period commencing on the Award Date and ending on the Vesting Date.</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3.</w:t>
      </w:r>
    </w:p>
    <w:p>
      <w:pPr>
        <w:pStyle w:val="TextBody"/>
        <w:bidi w:val="0"/>
        <w:spacing w:before="0" w:after="240"/>
        <w:jc w:val="left"/>
        <w:rPr/>
      </w:pPr>
      <w:r>
        <w:rPr>
          <w:rFonts w:ascii="Times New Roman" w:hAnsi="Times New Roman"/>
          <w:b/>
          <w:i/>
          <w:color w:val="000000"/>
          <w:sz w:val="24"/>
          <w:u w:val="single"/>
        </w:rPr>
        <w:t>Vesting and Exercisability</w:t>
      </w:r>
      <w:r>
        <w:rPr>
          <w:rFonts w:ascii="Times New Roman" w:hAnsi="Times New Roman"/>
          <w:i/>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pPr>
      <w:r>
        <w:rPr>
          <w:rFonts w:ascii="Times New Roman" w:hAnsi="Times New Roman"/>
          <w:color w:val="000000"/>
          <w:sz w:val="24"/>
          <w:u w:val="single"/>
        </w:rPr>
        <w:t>Performance Criteria</w:t>
      </w:r>
      <w:r>
        <w:rPr>
          <w:rFonts w:ascii="Times New Roman" w:hAnsi="Times New Roman"/>
          <w:color w:val="000000"/>
          <w:sz w:val="24"/>
        </w:rPr>
        <w:t>. The number of Options that may be earned hereunder shall be based on the achievement of the performance criteria set forth below, and the percentage of such Options that may vest and become exercisable as Option Shares (as defined below) (the “</w:t>
      </w:r>
      <w:r>
        <w:rPr>
          <w:rFonts w:ascii="Times New Roman" w:hAnsi="Times New Roman"/>
          <w:color w:val="000000"/>
          <w:sz w:val="24"/>
          <w:u w:val="single"/>
        </w:rPr>
        <w:t>Vesting Percentage</w:t>
      </w:r>
      <w:r>
        <w:rPr>
          <w:color w:val="000000"/>
        </w:rPr>
        <w:t>”</w:t>
      </w:r>
      <w:r>
        <w:rPr>
          <w:rFonts w:ascii="Times New Roman" w:hAnsi="Times New Roman"/>
          <w:color w:val="000000"/>
          <w:sz w:val="24"/>
        </w:rPr>
        <w:t>) will be equal to the percentage of target Options earned, as modified by the TSR modifier and further qualified below.</w:t>
      </w:r>
    </w:p>
    <w:tbl>
      <w:tblPr>
        <w:tblW w:w="10205" w:type="dxa"/>
        <w:jc w:val="left"/>
        <w:tblInd w:w="0" w:type="dxa"/>
        <w:tblLayout w:type="fixed"/>
        <w:tblCellMar>
          <w:top w:w="28" w:type="dxa"/>
          <w:left w:w="28" w:type="dxa"/>
          <w:bottom w:w="28" w:type="dxa"/>
          <w:right w:w="28" w:type="dxa"/>
        </w:tblCellMar>
      </w:tblPr>
      <w:tblGrid>
        <w:gridCol w:w="1302"/>
        <w:gridCol w:w="1382"/>
        <w:gridCol w:w="1859"/>
        <w:gridCol w:w="1291"/>
        <w:gridCol w:w="2457"/>
        <w:gridCol w:w="1914"/>
      </w:tblGrid>
      <w:tr>
        <w:trPr/>
        <w:tc>
          <w:tcPr>
            <w:tcW w:w="130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130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 Level</w:t>
            </w:r>
          </w:p>
        </w:tc>
        <w:tc>
          <w:tcPr>
            <w:tcW w:w="13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Return on Equity</w:t>
            </w:r>
          </w:p>
        </w:tc>
        <w:tc>
          <w:tcPr>
            <w:tcW w:w="18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 of Target Options Earned</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Absolute TSR</w:t>
            </w:r>
          </w:p>
        </w:tc>
        <w:tc>
          <w:tcPr>
            <w:tcW w:w="24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TSR Modifier to Percentage of Target Options Earned</w:t>
            </w:r>
          </w:p>
        </w:tc>
        <w:tc>
          <w:tcPr>
            <w:tcW w:w="19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Vesting Percentage of Target Options</w:t>
            </w:r>
          </w:p>
        </w:tc>
      </w:tr>
      <w:tr>
        <w:trPr/>
        <w:tc>
          <w:tcPr>
            <w:tcW w:w="1302"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Maximum</w:t>
            </w:r>
          </w:p>
        </w:tc>
        <w:tc>
          <w:tcPr>
            <w:tcW w:w="13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u w:val="single"/>
              </w:rPr>
              <w:t>&gt;</w:t>
            </w:r>
            <w:r>
              <w:rPr>
                <w:rFonts w:ascii="Times New Roman" w:hAnsi="Times New Roman"/>
                <w:color w:val="000000"/>
                <w:sz w:val="18"/>
              </w:rPr>
              <w:t> 20.0%</w:t>
            </w:r>
          </w:p>
        </w:tc>
        <w:tc>
          <w:tcPr>
            <w:tcW w:w="1859"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2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u w:val="single"/>
              </w:rPr>
              <w:t>&gt;</w:t>
            </w:r>
            <w:r>
              <w:rPr>
                <w:rFonts w:ascii="Times New Roman" w:hAnsi="Times New Roman"/>
                <w:color w:val="000000"/>
                <w:sz w:val="18"/>
              </w:rPr>
              <w:t> 12.0%</w:t>
            </w:r>
          </w:p>
        </w:tc>
        <w:tc>
          <w:tcPr>
            <w:tcW w:w="2457"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1.33x</w:t>
            </w:r>
          </w:p>
        </w:tc>
        <w:tc>
          <w:tcPr>
            <w:tcW w:w="19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r>
      <w:tr>
        <w:trPr/>
        <w:tc>
          <w:tcPr>
            <w:tcW w:w="1302"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Target</w:t>
            </w:r>
          </w:p>
        </w:tc>
        <w:tc>
          <w:tcPr>
            <w:tcW w:w="138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8"/>
              </w:rPr>
              <w:t xml:space="preserve">15.0% </w:t>
            </w:r>
          </w:p>
        </w:tc>
        <w:tc>
          <w:tcPr>
            <w:tcW w:w="1859"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2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8.0%</w:t>
            </w:r>
          </w:p>
        </w:tc>
        <w:tc>
          <w:tcPr>
            <w:tcW w:w="2457"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1.00x</w:t>
            </w:r>
          </w:p>
        </w:tc>
        <w:tc>
          <w:tcPr>
            <w:tcW w:w="19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r>
      <w:tr>
        <w:trPr/>
        <w:tc>
          <w:tcPr>
            <w:tcW w:w="1302"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Threshold</w:t>
            </w:r>
          </w:p>
        </w:tc>
        <w:tc>
          <w:tcPr>
            <w:tcW w:w="138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10.0%</w:t>
            </w:r>
          </w:p>
        </w:tc>
        <w:tc>
          <w:tcPr>
            <w:tcW w:w="1859"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2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0.0%</w:t>
            </w:r>
          </w:p>
        </w:tc>
        <w:tc>
          <w:tcPr>
            <w:tcW w:w="2457"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1.00x</w:t>
            </w:r>
          </w:p>
        </w:tc>
        <w:tc>
          <w:tcPr>
            <w:tcW w:w="19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r>
    </w:tbl>
    <w:p>
      <w:pPr>
        <w:pStyle w:val="TextBody"/>
        <w:bidi w:val="0"/>
        <w:jc w:val="both"/>
        <w:rPr/>
      </w:pPr>
      <w:r>
        <w:rPr/>
        <w:t> </w:t>
      </w:r>
    </w:p>
    <w:p>
      <w:pPr>
        <w:pStyle w:val="Heading2"/>
        <w:bidi w:val="0"/>
        <w:spacing w:before="0" w:after="240"/>
        <w:jc w:val="left"/>
        <w:rPr>
          <w:rFonts w:ascii="Times New Roman" w:hAnsi="Times New Roman"/>
          <w:sz w:val="20"/>
        </w:rPr>
      </w:pPr>
      <w:r>
        <w:rPr>
          <w:rFonts w:ascii="Times New Roman" w:hAnsi="Times New Roman"/>
          <w:b w:val="false"/>
          <w:color w:val="000000"/>
          <w:sz w:val="24"/>
        </w:rPr>
        <w:t xml:space="preserve">; </w:t>
      </w:r>
      <w:r>
        <w:rPr>
          <w:rFonts w:ascii="Times New Roman" w:hAnsi="Times New Roman"/>
          <w:b w:val="false"/>
          <w:color w:val="000000"/>
          <w:sz w:val="24"/>
          <w:u w:val="single"/>
        </w:rPr>
        <w:t>provided</w:t>
      </w:r>
      <w:r>
        <w:rPr>
          <w:rFonts w:ascii="Times New Roman" w:hAnsi="Times New Roman"/>
          <w:b w:val="false"/>
          <w:color w:val="000000"/>
          <w:sz w:val="24"/>
        </w:rPr>
        <w:t>, that (i) the percentage of the target Options earned and the TSR Modifier, respectively, shall be calculated based on straight-line interpolation between the points shown above with fractional points rounded up to the nearest hundredth of a percent; (ii) if Average Absolute TSR is less than threshold, then the Vesting Percentage is capped at 100.0%, even if Average Return on Equity is greater than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target; and (iii) if Average Absolute TSR is greater than 20.0%, then the Vesting Percentage shall be no less than 100.0%, even if Average Return on Equity is less than target or threshold.</w:t>
      </w:r>
    </w:p>
    <w:p>
      <w:pPr>
        <w:pStyle w:val="TextBody"/>
        <w:bidi w:val="0"/>
        <w:jc w:val="left"/>
        <w:rPr>
          <w:rFonts w:ascii="Times New Roman" w:hAnsi="Times New Roman"/>
          <w:sz w:val="20"/>
        </w:rPr>
      </w:pPr>
      <w:r>
        <w:rPr>
          <w:rFonts w:ascii="Times New Roman" w:hAnsi="Times New Roman"/>
          <w:color w:val="000000"/>
          <w:sz w:val="24"/>
        </w:rPr>
        <w:t>After the end of the Performance Period, the Committee shall certify the Vesting Percentage (“</w:t>
      </w:r>
      <w:r>
        <w:rPr>
          <w:rFonts w:ascii="Times New Roman" w:hAnsi="Times New Roman"/>
          <w:color w:val="000000"/>
          <w:sz w:val="24"/>
          <w:u w:val="single"/>
        </w:rPr>
        <w:t>Certification Date</w:t>
      </w:r>
      <w:r>
        <w:rPr>
          <w:rFonts w:ascii="Times New Roman" w:hAnsi="Times New Roman"/>
          <w:color w:val="000000"/>
          <w:sz w:val="20"/>
        </w:rPr>
        <w:t>”</w:t>
      </w:r>
      <w:r>
        <w:rPr>
          <w:rFonts w:ascii="Times New Roman" w:hAnsi="Times New Roman"/>
          <w:color w:val="000000"/>
          <w:sz w:val="24"/>
        </w:rPr>
        <w:t xml:space="preserve">), with such Certification Date occurring no later than 90 days from the end of the Performance Period, and the Options, if earned, shall vest and become Option Shares as set forth in </w:t>
      </w:r>
      <w:r>
        <w:rPr>
          <w:rFonts w:ascii="Times New Roman" w:hAnsi="Times New Roman"/>
          <w:color w:val="000000"/>
          <w:sz w:val="24"/>
          <w:u w:val="single"/>
        </w:rPr>
        <w:t>Section 3(b</w:t>
      </w:r>
      <w:r>
        <w:rPr>
          <w:rFonts w:ascii="Times New Roman" w:hAnsi="Times New Roman"/>
          <w:color w:val="000000"/>
          <w:sz w:val="24"/>
        </w:rPr>
        <w:t>) below. Upon the Certification Date, any portion of the Options that are not earned in accordance with the provisions above shall be immediately and automatically forfeited.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Exercisability</w:t>
      </w:r>
      <w:r>
        <w:rPr>
          <w:rFonts w:ascii="Times New Roman" w:hAnsi="Times New Roman"/>
          <w:i/>
          <w:color w:val="000000"/>
          <w:sz w:val="24"/>
        </w:rPr>
        <w:t>.</w:t>
      </w:r>
      <w:r>
        <w:rPr>
          <w:color w:val="000000"/>
        </w:rPr>
        <w:t xml:space="preserve"> </w:t>
      </w:r>
      <w:r>
        <w:rPr>
          <w:rFonts w:ascii="Times New Roman" w:hAnsi="Times New Roman"/>
          <w:color w:val="000000"/>
          <w:sz w:val="24"/>
        </w:rPr>
        <w:t>If the Options are earned, the shares of Common Stock covered by such earned Options (“</w:t>
      </w:r>
      <w:r>
        <w:rPr>
          <w:rFonts w:ascii="Times New Roman" w:hAnsi="Times New Roman"/>
          <w:color w:val="000000"/>
          <w:sz w:val="24"/>
          <w:u w:val="single"/>
        </w:rPr>
        <w:t>Option Shares</w:t>
      </w:r>
      <w:r>
        <w:rPr>
          <w:color w:val="000000"/>
        </w:rPr>
        <w:t>”</w:t>
      </w:r>
      <w:r>
        <w:rPr>
          <w:rFonts w:ascii="Times New Roman" w:hAnsi="Times New Roman"/>
          <w:color w:val="000000"/>
          <w:sz w:val="24"/>
        </w:rPr>
        <w:t>) shall vest and become exercisable upon the Vesting Date. To the extent any Option Shares become exercisable, such Option Shares may be exercised in whole or in part (at any time or from time to time, except as otherwise provided herein) until expiration of the Options pursuant to the terms of this Agreement and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color w:val="000000"/>
          <w:sz w:val="24"/>
          <w:u w:val="single"/>
        </w:rPr>
        <w:t>Forfeiture</w:t>
      </w:r>
      <w:r>
        <w:rPr>
          <w:rFonts w:ascii="Times New Roman" w:hAnsi="Times New Roman"/>
          <w:color w:val="000000"/>
          <w:sz w:val="24"/>
        </w:rPr>
        <w:t xml:space="preserve">. Subject to </w:t>
      </w:r>
      <w:r>
        <w:rPr>
          <w:rFonts w:ascii="Times New Roman" w:hAnsi="Times New Roman"/>
          <w:color w:val="000000"/>
          <w:sz w:val="24"/>
          <w:u w:val="single"/>
        </w:rPr>
        <w:t>Section 4</w:t>
      </w:r>
      <w:r>
        <w:rPr>
          <w:rFonts w:ascii="Times New Roman" w:hAnsi="Times New Roman"/>
          <w:color w:val="000000"/>
          <w:sz w:val="24"/>
        </w:rPr>
        <w:t xml:space="preserve">, the Optionee must be in continuous service as an Employee or, if applicable, as a Non-Employee Director for purposes of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of the Plan (“</w:t>
      </w:r>
      <w:r>
        <w:rPr>
          <w:rFonts w:ascii="Times New Roman" w:hAnsi="Times New Roman"/>
          <w:color w:val="000000"/>
          <w:sz w:val="24"/>
          <w:u w:val="single"/>
        </w:rPr>
        <w:t>Continuous Service</w:t>
      </w:r>
      <w:r>
        <w:rPr>
          <w:color w:val="000000"/>
        </w:rPr>
        <w:t>”</w:t>
      </w:r>
      <w:r>
        <w:rPr>
          <w:rFonts w:ascii="Times New Roman" w:hAnsi="Times New Roman"/>
          <w:color w:val="000000"/>
          <w:sz w:val="24"/>
        </w:rPr>
        <w:t xml:space="preserve">) from the Award Date through the Vesting Date for the applicable unvested Option Shares to vest and become exercisable. Subject to </w:t>
      </w:r>
      <w:r>
        <w:rPr>
          <w:rFonts w:ascii="Times New Roman" w:hAnsi="Times New Roman"/>
          <w:color w:val="000000"/>
          <w:sz w:val="24"/>
          <w:u w:val="single"/>
        </w:rPr>
        <w:t>Section 4</w:t>
      </w:r>
      <w:r>
        <w:rPr>
          <w:rFonts w:ascii="Times New Roman" w:hAnsi="Times New Roman"/>
          <w:color w:val="000000"/>
          <w:sz w:val="24"/>
        </w:rPr>
        <w:t>, the termination of such Continuous Service prior to the Vesting Date shall cause all Options to be automatically forfeited as of the date of such termination of Continuous Service.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rFonts w:ascii="Times New Roman" w:hAnsi="Times New Roman"/>
          <w:color w:val="000000"/>
          <w:sz w:val="24"/>
          <w:u w:val="single"/>
        </w:rPr>
        <w:t>Calculations and Adjustments</w:t>
      </w:r>
      <w:r>
        <w:rPr>
          <w:rFonts w:ascii="Times New Roman" w:hAnsi="Times New Roman"/>
          <w:color w:val="000000"/>
          <w:sz w:val="24"/>
        </w:rPr>
        <w:t xml:space="preserve">. The Committee shall have the authority to approve the calculations involving Average Return on Equity and Average Absolute TSR for purposes of vesting, and its approval of such calculations shall be final, conclusive and binding on all parties; </w:t>
      </w:r>
      <w:r>
        <w:rPr>
          <w:rFonts w:ascii="Times New Roman" w:hAnsi="Times New Roman"/>
          <w:color w:val="000000"/>
          <w:sz w:val="24"/>
          <w:u w:val="single"/>
        </w:rPr>
        <w:t>provided</w:t>
      </w:r>
      <w:r>
        <w:rPr>
          <w:rFonts w:ascii="Times New Roman" w:hAnsi="Times New Roman"/>
          <w:color w:val="000000"/>
          <w:sz w:val="24"/>
        </w:rPr>
        <w:t>, that Average Return on Equity and Average Absolute TSR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matters (including legal fees, settlements and adjustments) in the event that the amount exceeds $5 million in the aggregate; and (iii) the impact of extraordinary items not related to the Company’s current or ongoing business operations, including impairments, write-downs or other significant non-operational charges. Without limiting the generality of the foregoing, in the event the Company determines to effect a spin-off that will occur prior to the end of the Performance Period, the Committee shall have the discretion to determine the extent to which Average Return on Equity and Average Absolute TSR shall be deemed to have been satisfied through the effective date of such spin-off or earlier, as determined by the Committee and such determination date shall constitute the Certification Date hereunder.</w:t>
      </w:r>
    </w:p>
    <w:p>
      <w:pPr>
        <w:pStyle w:val="TextBody"/>
        <w:bidi w:val="0"/>
        <w:spacing w:before="240" w:after="240"/>
        <w:jc w:val="left"/>
        <w:rPr>
          <w:rFonts w:ascii="Times New Roman" w:hAnsi="Times New Roman"/>
          <w:b/>
          <w:i/>
          <w:color w:val="000000"/>
          <w:sz w:val="24"/>
        </w:rPr>
      </w:pPr>
      <w:r>
        <w:rPr>
          <w:rFonts w:ascii="Times New Roman" w:hAnsi="Times New Roman"/>
          <w:b/>
          <w:i/>
          <w:color w:val="000000"/>
          <w:sz w:val="24"/>
        </w:rPr>
        <w:t>4.</w:t>
      </w:r>
    </w:p>
    <w:p>
      <w:pPr>
        <w:pStyle w:val="TextBody"/>
        <w:bidi w:val="0"/>
        <w:spacing w:before="240" w:after="240"/>
        <w:jc w:val="left"/>
        <w:rPr/>
      </w:pPr>
      <w:r>
        <w:rPr>
          <w:rFonts w:ascii="Times New Roman" w:hAnsi="Times New Roman"/>
          <w:b/>
          <w:i/>
          <w:color w:val="000000"/>
          <w:sz w:val="24"/>
          <w:u w:val="single"/>
        </w:rPr>
        <w:t>Change in Control; Death, Disability or Retirement</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Change in Control</w:t>
      </w:r>
      <w:r>
        <w:rPr>
          <w:rFonts w:ascii="Times New Roman" w:hAnsi="Times New Roman"/>
          <w:color w:val="000000"/>
          <w:sz w:val="24"/>
        </w:rPr>
        <w:t xml:space="preserve">. Notwithstanding </w:t>
      </w:r>
      <w:r>
        <w:rPr>
          <w:rFonts w:ascii="Times New Roman" w:hAnsi="Times New Roman"/>
          <w:color w:val="000000"/>
          <w:sz w:val="24"/>
          <w:u w:val="single"/>
        </w:rPr>
        <w:t>Section 3</w:t>
      </w:r>
      <w:r>
        <w:rPr>
          <w:rFonts w:ascii="Times New Roman" w:hAnsi="Times New Roman"/>
          <w:color w:val="000000"/>
          <w:sz w:val="24"/>
        </w:rPr>
        <w:t xml:space="preserve">, if the Optionee has been in Continuous Service from the Award Date through the occurrence of a Change in Control, then, in the event of the occurrence of such a Change in Control, any vesting of the Option Shares will remain subject to the applicable provisions of the Plan, including, but not limited to, </w:t>
      </w:r>
      <w:r>
        <w:rPr>
          <w:rFonts w:ascii="Times New Roman" w:hAnsi="Times New Roman"/>
          <w:color w:val="000000"/>
          <w:sz w:val="24"/>
          <w:u w:val="single"/>
        </w:rPr>
        <w:t>Sections 1.3</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5.8</w:t>
      </w:r>
      <w:r>
        <w:rPr>
          <w:color w:val="000000"/>
        </w:rPr>
        <w:t xml:space="preserve"> </w:t>
      </w:r>
      <w:r>
        <w:rPr>
          <w:rFonts w:ascii="Times New Roman" w:hAnsi="Times New Roman"/>
          <w:color w:val="000000"/>
          <w:sz w:val="24"/>
        </w:rPr>
        <w:t>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Death, Disability or Retirement</w:t>
      </w:r>
      <w:r>
        <w:rPr>
          <w:rFonts w:ascii="Times New Roman" w:hAnsi="Times New Roman"/>
          <w:color w:val="000000"/>
          <w:sz w:val="24"/>
        </w:rPr>
        <w:t xml:space="preserve">. Notwithstanding </w:t>
      </w:r>
      <w:r>
        <w:rPr>
          <w:rFonts w:ascii="Times New Roman" w:hAnsi="Times New Roman"/>
          <w:color w:val="000000"/>
          <w:sz w:val="24"/>
          <w:u w:val="single"/>
        </w:rPr>
        <w:t>Section 3(c)</w:t>
      </w:r>
      <w:r>
        <w:rPr>
          <w:rFonts w:ascii="Times New Roman" w:hAnsi="Times New Roman"/>
          <w:color w:val="000000"/>
          <w:sz w:val="24"/>
        </w:rPr>
        <w:t xml:space="preserve">, in the event the Optionee’s Continuous Service terminates by reason of death, Disability or Retirement, and in each case, such termination occurs on or after the first anniversary of the commencement of the Performance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pPr>
      <w:r>
        <w:rPr>
          <w:rFonts w:ascii="Times New Roman" w:hAnsi="Times New Roman"/>
          <w:color w:val="000000"/>
          <w:sz w:val="24"/>
        </w:rPr>
        <w:t xml:space="preserve">Period, then subject to the restrictive covenants in </w:t>
      </w:r>
      <w:r>
        <w:rPr>
          <w:rFonts w:ascii="Times New Roman" w:hAnsi="Times New Roman"/>
          <w:color w:val="000000"/>
          <w:sz w:val="24"/>
          <w:u w:val="single"/>
        </w:rPr>
        <w:t>Section 14</w:t>
      </w:r>
      <w:r>
        <w:rPr>
          <w:rFonts w:ascii="Times New Roman" w:hAnsi="Times New Roman"/>
          <w:color w:val="000000"/>
          <w:sz w:val="24"/>
        </w:rPr>
        <w:t xml:space="preserve">, as applicable, any then-exercisable Option Shares shall continue to be exercisable until the tenth anniversary of the Award Date, and any then-unvested Option Shares shall continue to remain eligible to vest and become exercisable (and remain exercisable until the tenth anniversary of the Award Date) pursuant to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on the Vesting Date as if the Optionee had remained in such Continuous Service following such termination, it being understood that any Options that are not earned with respect to the Performance Period shall be forfeited.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Other Terminations</w:t>
      </w:r>
      <w:r>
        <w:rPr>
          <w:rFonts w:ascii="Times New Roman" w:hAnsi="Times New Roman"/>
          <w:color w:val="000000"/>
          <w:sz w:val="24"/>
        </w:rPr>
        <w:t xml:space="preserve">. Notwithstanding </w:t>
      </w:r>
      <w:r>
        <w:rPr>
          <w:rFonts w:ascii="Times New Roman" w:hAnsi="Times New Roman"/>
          <w:color w:val="000000"/>
          <w:sz w:val="24"/>
          <w:u w:val="single"/>
        </w:rPr>
        <w:t>Section 3(c)</w:t>
      </w:r>
      <w:r>
        <w:rPr>
          <w:rFonts w:ascii="Times New Roman" w:hAnsi="Times New Roman"/>
          <w:color w:val="000000"/>
          <w:sz w:val="24"/>
        </w:rPr>
        <w:t xml:space="preserve">, in the event the Optionee’s Continuous Service terminates (other than a termination by reason of death, Disability or Retirement pursuant to </w:t>
      </w:r>
      <w:r>
        <w:rPr>
          <w:rFonts w:ascii="Times New Roman" w:hAnsi="Times New Roman"/>
          <w:color w:val="000000"/>
          <w:sz w:val="24"/>
          <w:u w:val="single"/>
        </w:rPr>
        <w:t>Section 4(b)</w:t>
      </w:r>
      <w:r>
        <w:rPr>
          <w:color w:val="000000"/>
        </w:rPr>
        <w:t xml:space="preserve"> </w:t>
      </w:r>
      <w:r>
        <w:rPr>
          <w:rFonts w:ascii="Times New Roman" w:hAnsi="Times New Roman"/>
          <w:color w:val="000000"/>
          <w:sz w:val="24"/>
        </w:rPr>
        <w:t xml:space="preserve">or termination for “cause”) after the end of the Performance Period but before the Vesting Date, then subject to the restrictive covenants below in </w:t>
      </w:r>
      <w:r>
        <w:rPr>
          <w:rFonts w:ascii="Times New Roman" w:hAnsi="Times New Roman"/>
          <w:color w:val="000000"/>
          <w:sz w:val="24"/>
          <w:u w:val="single"/>
        </w:rPr>
        <w:t>Section 14</w:t>
      </w:r>
      <w:r>
        <w:rPr>
          <w:rFonts w:ascii="Times New Roman" w:hAnsi="Times New Roman"/>
          <w:color w:val="000000"/>
          <w:sz w:val="24"/>
        </w:rPr>
        <w:t xml:space="preserve">, as applicable, the then-unvested Option Shares not previously forfeited shall remain eligible to vest and become exercisable pursuant to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on the Vesting Date as if the Optionee had remained in such Continuous Service following such termination until such Vesting Date (</w:t>
      </w:r>
      <w:r>
        <w:rPr>
          <w:rFonts w:ascii="Times New Roman" w:hAnsi="Times New Roman"/>
          <w:color w:val="000000"/>
          <w:sz w:val="24"/>
          <w:u w:val="single"/>
        </w:rPr>
        <w:t>provided</w:t>
      </w:r>
      <w:r>
        <w:rPr>
          <w:rFonts w:ascii="Times New Roman" w:hAnsi="Times New Roman"/>
          <w:color w:val="000000"/>
          <w:sz w:val="24"/>
        </w:rPr>
        <w:t xml:space="preserve">, any such Option Shares that so vest shall remain exercisable for a period of 90 days following such Vesting Date), it being understood that (i) in the event such termination occurs before the end of the Performance Period the Options shall be automatically forfeited, and (ii) any Options that are not earned with respect to the Performance Period shall be forfeited. </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5.</w:t>
      </w:r>
    </w:p>
    <w:p>
      <w:pPr>
        <w:pStyle w:val="TextBody"/>
        <w:bidi w:val="0"/>
        <w:spacing w:before="0" w:after="240"/>
        <w:jc w:val="left"/>
        <w:rPr/>
      </w:pPr>
      <w:r>
        <w:rPr>
          <w:rFonts w:ascii="Times New Roman" w:hAnsi="Times New Roman"/>
          <w:b/>
          <w:i/>
          <w:color w:val="000000"/>
          <w:sz w:val="24"/>
          <w:u w:val="single"/>
        </w:rPr>
        <w:t>Termination of Option</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Options hereby granted shall terminate and be of no force and effect with respect to any Option Shares not previously purchased by the Optionee at the earliest time specified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tenth anniversary of the Award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Optionee’s Continuous Service is terminated by the Company or a subsidiary for “cause” (as determined by the Committee) at any time after the Award Date, then the Options shall terminate immediately upon such date of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rPr>
        <w:t xml:space="preserve">if Optionee’s Continuous Service is terminated for any reason other than death, Disability, Retirement or termination for “cause,” then the Options shall, subject to </w:t>
      </w:r>
      <w:r>
        <w:rPr>
          <w:rFonts w:ascii="Times New Roman" w:hAnsi="Times New Roman"/>
          <w:color w:val="000000"/>
          <w:sz w:val="24"/>
          <w:u w:val="single"/>
        </w:rPr>
        <w:t>Section 4(c)</w:t>
      </w:r>
      <w:r>
        <w:rPr>
          <w:rFonts w:ascii="Times New Roman" w:hAnsi="Times New Roman"/>
          <w:color w:val="000000"/>
          <w:sz w:val="24"/>
        </w:rPr>
        <w:t>, terminate on the first business day following the expiration of the 90-day period beginning on such date of termination;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rPr>
        <w:t xml:space="preserve">if Optionee’s Continuous Service is terminated due to the death, Disability or Retirement of the Optionee, then the Options shall, subject to </w:t>
      </w:r>
      <w:r>
        <w:rPr>
          <w:rFonts w:ascii="Times New Roman" w:hAnsi="Times New Roman"/>
          <w:color w:val="000000"/>
          <w:sz w:val="24"/>
          <w:u w:val="single"/>
        </w:rPr>
        <w:t>Section 4(b)</w:t>
      </w:r>
      <w:r>
        <w:rPr>
          <w:rFonts w:ascii="Times New Roman" w:hAnsi="Times New Roman"/>
          <w:color w:val="000000"/>
          <w:sz w:val="24"/>
        </w:rPr>
        <w:t>, terminate on the tenth anniversary of the Award Date.</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6.</w:t>
      </w:r>
    </w:p>
    <w:p>
      <w:pPr>
        <w:pStyle w:val="TextBody"/>
        <w:bidi w:val="0"/>
        <w:spacing w:before="0" w:after="240"/>
        <w:jc w:val="left"/>
        <w:rPr/>
      </w:pPr>
      <w:r>
        <w:rPr>
          <w:rFonts w:ascii="Times New Roman" w:hAnsi="Times New Roman"/>
          <w:b/>
          <w:i/>
          <w:color w:val="000000"/>
          <w:sz w:val="24"/>
          <w:u w:val="single"/>
        </w:rPr>
        <w:t>Exercise of Option</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Subject to the limitations set forth herein and in the Plan, the Option Shares may be exercised by notice provided to the Company as set forth in </w:t>
      </w:r>
      <w:r>
        <w:rPr>
          <w:rFonts w:ascii="Times New Roman" w:hAnsi="Times New Roman"/>
          <w:color w:val="000000"/>
          <w:sz w:val="24"/>
          <w:u w:val="single"/>
        </w:rPr>
        <w:t>Section 7</w:t>
      </w:r>
      <w:r>
        <w:rPr>
          <w:rFonts w:ascii="Times New Roman" w:hAnsi="Times New Roman"/>
          <w:color w:val="000000"/>
          <w:sz w:val="24"/>
        </w:rPr>
        <w:t>. The payment of the Exercise Price for the Common Stock being purchased pursuant to this Award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assignment to the Company of the proceeds of a sale or loan with respect to some or all of the shares being acquired upon the exercise of the Option Shares (including, without limitation, through an exercise complying with the provisions of Regulation T as promulgated from time to time by the Board of Governors of the Federal Reserve System), (d) by withholding Option Shares equal to the Exercise Price multiplied by the number of Option Shares exercised and divided by the Fair Market Value of a single share of Common Stock at the time of exercise, rounded up to the nearest whole share, (e) by such other consideration as may be approved by the Committee from time to time to the extent permitted by applicable law, or (f) by any combination thereof. Such notice shall be accompanied by cash, check, cash equivalent or Common Stock in the full amount of all federal and state withholding or other employment taxes applicable to the taxable income of such Optionee resulting from such exercise (or instructions to satisfy such withholding obligation by withholding Option Shares in accordance with </w:t>
      </w:r>
      <w:r>
        <w:rPr>
          <w:rFonts w:ascii="Times New Roman" w:hAnsi="Times New Roman"/>
          <w:color w:val="000000"/>
          <w:sz w:val="24"/>
          <w:u w:val="single"/>
        </w:rPr>
        <w:t>Section 13</w:t>
      </w:r>
      <w:r>
        <w:rPr>
          <w:rFonts w:ascii="Times New Roman" w:hAnsi="Times New Roman"/>
          <w:color w:val="000000"/>
          <w:sz w:val="24"/>
        </w:rPr>
        <w:t xml:space="preserve">). Notwithstanding the foregoing, if the Exercise Price of the outstanding portion of the Option Shares is less than the Fair Market Value of a share of Common Stock on the day the Options would otherwise expire as provided in </w:t>
      </w:r>
      <w:r>
        <w:rPr>
          <w:rFonts w:ascii="Times New Roman" w:hAnsi="Times New Roman"/>
          <w:color w:val="000000"/>
          <w:sz w:val="24"/>
          <w:u w:val="single"/>
        </w:rPr>
        <w:t>Section 5(a), (c) or (d)</w:t>
      </w:r>
      <w:r>
        <w:rPr>
          <w:rFonts w:ascii="Times New Roman" w:hAnsi="Times New Roman"/>
          <w:color w:val="000000"/>
          <w:sz w:val="24"/>
        </w:rPr>
        <w:t>, then the Option Shares shall be automatically exercised in full immediately prior to its expiration.</w:t>
      </w:r>
    </w:p>
    <w:p>
      <w:pPr>
        <w:pStyle w:val="TextBody"/>
        <w:bidi w:val="0"/>
        <w:spacing w:before="0" w:after="240"/>
        <w:jc w:val="left"/>
        <w:rPr>
          <w:rFonts w:ascii="Times New Roman" w:hAnsi="Times New Roman"/>
          <w:sz w:val="20"/>
        </w:rPr>
      </w:pPr>
      <w:r>
        <w:rPr>
          <w:rFonts w:ascii="Times New Roman" w:hAnsi="Times New Roman"/>
          <w:color w:val="000000"/>
          <w:sz w:val="24"/>
        </w:rPr>
        <w:t>If the Optionee desires to pay the Exercise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to the Optionee upon such exercise a number of shares of Common Stock equal to the result obtained by dividing (i) the excess of the aggregate Fair Market Value of the total number shares of Common Stock that relate to the Option Shares being exercised over the Exercise Price payable in respect of such exercise by (ii) the Fair Market Value of a single share of Common Stock, and the Optionee may retain the shares of Common Stock the ownership of which is attested.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to the contrary contained herein, the Optionee agrees that he or she will not exercise the Option Shares hereunder, and the Company will not be obligated to issue any shares of Common Stock relating to any Option Shares exercised pursuant to this Agreement, if the exercise of the Option Shares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Company may, at its election, require the Optionee to give a representation in writing in form and substance satisfactory to the Company to the effect that he or she is acquiring such shares for his or her own account for investment and not with a view to, or for sale in connection with, the distribution of such shares or any part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any law or regulation requires the Company to take any action with respect to the shares specified in such notice, the time of issuance thereof, which would otherwise be as promptly as reasonably practicable, shall be postponed for the period of time necessary to take such action.</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7.</w:t>
      </w:r>
    </w:p>
    <w:p>
      <w:pPr>
        <w:pStyle w:val="TextBody"/>
        <w:bidi w:val="0"/>
        <w:spacing w:before="0" w:after="240"/>
        <w:jc w:val="left"/>
        <w:rPr/>
      </w:pPr>
      <w:r>
        <w:rPr>
          <w:rFonts w:ascii="Times New Roman" w:hAnsi="Times New Roman"/>
          <w:b/>
          <w:i/>
          <w:color w:val="000000"/>
          <w:sz w:val="24"/>
          <w:u w:val="single"/>
        </w:rPr>
        <w:t>Notices</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Notice of exercise of the Option Shares must be made in the following manner, using such forms as the Company may from time to time provide: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electronic means as designated by the Committee, in which case the date of exercise shall be the date when receipt is acknowledged by the Company;</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registered or certified United States mail, postage prepaid, to Eagle Materials Inc., Attention: Secretary, 5960 Berkshire Ln., Suite 900, Dallas, Texas 75225, in which case the date of exercise shall be the date of mailing;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hand delivery or otherwise to Eagle Materials Inc., Attention: Secretary, 5960 Berkshire Ln., Suite 900, Dallas, Texas 75225, in which case the date of exercise shall be the date when receipt is acknowledged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the foregoing, in the event that the address of the Company is changed prior to the date of any exercise of the Option Shares, notice of exercise shall instead be made pursuant to the foregoing provisions at the Company’s current address.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other notices provided for in this Agreement or in the Plan shall be given in writing or by such electronic means, as permitted by the Committee, and shall be deemed effectively delivered or given upon receipt or, in the case of notices delivered by mail by the Company to the Optionee, on the third business day after deposit in the United States mail, postage prepaid, addressed to the Optionee at the address specified at the end of this Agreement or at such other address as the Optionee hereafter designates by written notice to the Company. By accepting this Award, the Optionee consents to receive such documents by electronic delivery and to participate in the Plan through an on-line or electronic system established and maintained by the Company or another third party designated by the Company.</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8.</w:t>
      </w:r>
    </w:p>
    <w:p>
      <w:pPr>
        <w:pStyle w:val="TextBody"/>
        <w:bidi w:val="0"/>
        <w:spacing w:before="0" w:after="240"/>
        <w:jc w:val="left"/>
        <w:rPr/>
      </w:pPr>
      <w:r>
        <w:rPr>
          <w:rFonts w:ascii="Times New Roman" w:hAnsi="Times New Roman"/>
          <w:b/>
          <w:i/>
          <w:color w:val="000000"/>
          <w:sz w:val="24"/>
          <w:u w:val="single"/>
        </w:rPr>
        <w:t>Assignment of Option</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otherwise permitted by the Committee, the rights of the Optionee under the Plan and this Agreement are personal; no assignment or transfer of the Optionee’s rights under and interest in this Award may be made by the Optionee otherwise than by will, by beneficiary designation, by the laws of descent and distribution or by a qualified domestic relations order; and the Option Shares hereunder are exercisable during his or her lifetime only by the Optionee, except as otherwise expressly provided in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the death of the Optionee, exercise of the Option Shares shall be permitted only by the Optionee’s designated beneficiary or, in the absence of a designated beneficiary, the Optionee’s executor or the personal representative of the Optionee’s estate (or by his or her assignee, in the event of a permitted assignment) to the extent that the Option is exercisable on or after the date of the Optionee’s death.</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9.</w:t>
      </w:r>
    </w:p>
    <w:p>
      <w:pPr>
        <w:pStyle w:val="TextBody"/>
        <w:bidi w:val="0"/>
        <w:spacing w:before="0" w:after="240"/>
        <w:jc w:val="left"/>
        <w:rPr/>
      </w:pPr>
      <w:r>
        <w:rPr>
          <w:rFonts w:ascii="Times New Roman" w:hAnsi="Times New Roman"/>
          <w:b/>
          <w:i/>
          <w:color w:val="000000"/>
          <w:sz w:val="24"/>
          <w:u w:val="single"/>
        </w:rPr>
        <w:t>Corporate Events</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If, from time to time during the term of the Options, and to the extent this Award is outstanding as of such time, there is any equity restructuring affecting the outstanding Common Stock that causes the per share value of Common Stock to change, the Options and other applicable terms of this Award shall be adjusted in accordance with the provisions of </w:t>
      </w:r>
      <w:r>
        <w:rPr>
          <w:rFonts w:ascii="Times New Roman" w:hAnsi="Times New Roman"/>
          <w:color w:val="000000"/>
          <w:sz w:val="24"/>
          <w:u w:val="single"/>
        </w:rPr>
        <w:t>Section 5.7</w:t>
      </w:r>
      <w:r>
        <w:rPr>
          <w:rFonts w:ascii="Times New Roman" w:hAnsi="Times New Roman"/>
          <w:color w:val="000000"/>
          <w:sz w:val="20"/>
        </w:rPr>
        <w:t xml:space="preserve"> </w:t>
      </w:r>
      <w:r>
        <w:rPr>
          <w:rFonts w:ascii="Times New Roman" w:hAnsi="Times New Roman"/>
          <w:color w:val="000000"/>
          <w:sz w:val="24"/>
        </w:rPr>
        <w:t>of the Plan. Any and all new, substituted or additional securities to which the Optionee may be entitled by reason of this Award because of an equity restructuring shall be immediately subject to the restrictions set forth herein (as may be modified pursuant to this Agreement) and included thereafter as Options for purposes of this Agreement.</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10.</w:t>
      </w:r>
    </w:p>
    <w:p>
      <w:pPr>
        <w:pStyle w:val="TextBody"/>
        <w:bidi w:val="0"/>
        <w:spacing w:before="0" w:after="240"/>
        <w:jc w:val="both"/>
        <w:rPr/>
      </w:pPr>
      <w:r>
        <w:rPr>
          <w:rFonts w:ascii="Times New Roman" w:hAnsi="Times New Roman"/>
          <w:b/>
          <w:i/>
          <w:color w:val="000000"/>
          <w:sz w:val="24"/>
          <w:u w:val="single"/>
        </w:rPr>
        <w:t>Issuance of Shares</w:t>
      </w:r>
      <w:r>
        <w:rPr>
          <w:rFonts w:ascii="Times New Roman" w:hAnsi="Times New Roman"/>
          <w:i/>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not be obligated to issue any shares of Common Stock if counsel to the Company determines that such issuance would violate any applicable law or any rule or regulations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regulations or agreement.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11.</w:t>
      </w:r>
    </w:p>
    <w:p>
      <w:pPr>
        <w:pStyle w:val="TextBody"/>
        <w:bidi w:val="0"/>
        <w:spacing w:before="0" w:after="240"/>
        <w:jc w:val="both"/>
        <w:rPr/>
      </w:pPr>
      <w:r>
        <w:rPr>
          <w:rFonts w:ascii="Times New Roman" w:hAnsi="Times New Roman"/>
          <w:b/>
          <w:i/>
          <w:color w:val="000000"/>
          <w:sz w:val="24"/>
          <w:u w:val="single"/>
        </w:rPr>
        <w:t>Shareholder Rights</w:t>
      </w:r>
      <w:r>
        <w:rPr>
          <w:rFonts w:ascii="Times New Roman" w:hAnsi="Times New Roman"/>
          <w:i/>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Optionee shall have no rights of a shareholder with respect to shares of Common Stock subject to this Award unless and until such time as the related Option Shares have been exercised and such shares of Common Stock have been issued to the Optionee.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12.</w:t>
      </w:r>
    </w:p>
    <w:p>
      <w:pPr>
        <w:pStyle w:val="TextBody"/>
        <w:bidi w:val="0"/>
        <w:spacing w:before="0" w:after="240"/>
        <w:jc w:val="both"/>
        <w:rPr/>
      </w:pPr>
      <w:r>
        <w:rPr>
          <w:rFonts w:ascii="Times New Roman" w:hAnsi="Times New Roman"/>
          <w:b/>
          <w:i/>
          <w:color w:val="000000"/>
          <w:sz w:val="24"/>
          <w:u w:val="single"/>
        </w:rPr>
        <w:t>Stock Certificates</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Certificates or other evidences of or representing the Common Stock issued pursuant to the exercise of the related Option Shares will bear all legends required by law and necessary or advisable to effectuate the provisions of the Plan and this Award. The Company may place a “stop transfer” order against shares of the Common Stock issued or issuable pursuant to the exercise of the related Option Shares until all restrictions and conditions set forth in the Plan or this Agreement and in the legends referred to in this </w:t>
      </w:r>
      <w:r>
        <w:rPr>
          <w:rFonts w:ascii="Times New Roman" w:hAnsi="Times New Roman"/>
          <w:color w:val="000000"/>
          <w:sz w:val="24"/>
          <w:u w:val="single"/>
        </w:rPr>
        <w:t>Section 12</w:t>
      </w:r>
      <w:r>
        <w:rPr>
          <w:rFonts w:ascii="Times New Roman" w:hAnsi="Times New Roman"/>
          <w:color w:val="000000"/>
          <w:sz w:val="20"/>
        </w:rPr>
        <w:t xml:space="preserve"> </w:t>
      </w:r>
      <w:r>
        <w:rPr>
          <w:rFonts w:ascii="Times New Roman" w:hAnsi="Times New Roman"/>
          <w:color w:val="000000"/>
          <w:sz w:val="24"/>
        </w:rPr>
        <w:t>have been complied with.</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13.</w:t>
      </w:r>
    </w:p>
    <w:p>
      <w:pPr>
        <w:pStyle w:val="TextBody"/>
        <w:bidi w:val="0"/>
        <w:spacing w:before="0" w:after="240"/>
        <w:jc w:val="both"/>
        <w:rPr/>
      </w:pPr>
      <w:r>
        <w:rPr>
          <w:rFonts w:ascii="Times New Roman" w:hAnsi="Times New Roman"/>
          <w:b/>
          <w:i/>
          <w:color w:val="000000"/>
          <w:sz w:val="24"/>
          <w:u w:val="single"/>
        </w:rPr>
        <w:t>Tax Consequences; Withholding of Taxes</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Optionee acknowledges that the Optionee has reviewed, or has had the opportunity to review, with the Optionee’s own tax advisors the federal, state, and local tax consequences of this investment and the transactions contemplated by this Agreement. The Optionee is relying solely on such advisors and not on any statements or representations of the Company or any of its agents. The Optionee understands that the Optionee (and not the Company) shall be responsible for the Optionee’s own tax liability that may arise as a result of the transactions contemplated by this Agreement. No shares of Common Stock purchased hereunder shall be issued in respect of the Optionee unless the withholding obligation under applicable tax laws or regulations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Award. The Optionee may pay all or any portion of the taxes required to be withheld by the Company or paid by the Optionee in connection with the exercise of all or any portion of the Option Shares hereunder by delivering cash, check or cash equivalents, or, pursuant to Committee-approved procedures, by electing to have the Company withhold shares of Common Stock, or by delivering previously owned shares of Common Stock sufficient to satisfy the tax withholding obligation. The Optionee must make the foregoing election on or before the date that the amount of tax to be withheld is determined.</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4"/>
        </w:rPr>
        <w:t xml:space="preserve">14. </w:t>
      </w:r>
      <w:r>
        <w:rPr>
          <w:rFonts w:ascii="Times New Roman" w:hAnsi="Times New Roman"/>
          <w:b/>
          <w:i/>
          <w:color w:val="000000"/>
          <w:sz w:val="24"/>
          <w:u w:val="single"/>
        </w:rPr>
        <w:t>Restrictive Covenants</w:t>
      </w:r>
      <w:r>
        <w:rPr>
          <w:rFonts w:ascii="Times New Roman" w:hAnsi="Times New Roman"/>
          <w:b/>
          <w:i/>
          <w:color w:val="000000"/>
          <w:sz w:val="24"/>
        </w:rPr>
        <w:t>.</w:t>
      </w:r>
      <w:r>
        <w:rPr>
          <w:rFonts w:ascii="Times New Roman" w:hAnsi="Times New Roman"/>
          <w:color w:val="000000"/>
          <w:sz w:val="20"/>
        </w:rPr>
        <w:t xml:space="preserve"> </w:t>
      </w:r>
      <w:r>
        <w:rPr>
          <w:rFonts w:ascii="Times New Roman" w:hAnsi="Times New Roman"/>
          <w:color w:val="000000"/>
          <w:sz w:val="24"/>
        </w:rPr>
        <w:t xml:space="preserve">The Optionee acknowledges and agrees that the restrictions in this </w:t>
      </w:r>
      <w:r>
        <w:rPr>
          <w:rFonts w:ascii="Times New Roman" w:hAnsi="Times New Roman"/>
          <w:color w:val="000000"/>
          <w:sz w:val="24"/>
          <w:u w:val="single"/>
        </w:rPr>
        <w:t>Section 14</w:t>
      </w:r>
      <w:r>
        <w:rPr>
          <w:rFonts w:ascii="Times New Roman" w:hAnsi="Times New Roman"/>
          <w:color w:val="000000"/>
          <w:sz w:val="20"/>
        </w:rPr>
        <w:t xml:space="preserve"> </w:t>
      </w:r>
      <w:r>
        <w:rPr>
          <w:rFonts w:ascii="Times New Roman" w:hAnsi="Times New Roman"/>
          <w:color w:val="000000"/>
          <w:sz w:val="24"/>
        </w:rPr>
        <w:t>are necessary to protect the goodwill of the Company and the Confidential Information (as defined below) provided by the Company to the Optionee pursuant to this Agreement or otherwise.</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40"/>
        <w:jc w:val="left"/>
        <w:rPr/>
      </w:pPr>
      <w:r>
        <w:rPr>
          <w:rFonts w:ascii="Times New Roman" w:hAnsi="Times New Roman"/>
          <w:color w:val="000000"/>
          <w:sz w:val="24"/>
          <w:u w:val="single"/>
        </w:rPr>
        <w:t>Confidential Information</w:t>
      </w:r>
      <w:r>
        <w:rPr>
          <w:rFonts w:ascii="Times New Roman" w:hAnsi="Times New Roman"/>
          <w:color w:val="000000"/>
          <w:sz w:val="24"/>
        </w:rPr>
        <w:t>. The Optionee acknowledges that, by virtue of his or her service to the Company and any of its affiliates either as an Employee or if applicable, as a Non-Employee Director, the Company has provided and promises to provide the Optionee with Confidential Information (as defined below). The Optionee shall hold in a fiduciary capacity for the benefit of the Company all secret or confidential information, knowledge or data relating to the Company or any of its affiliates, and their respective businesses, which shall have been obtained by the Optionee during the Optionee’s service to the Company or any of its affiliates either as an Employee or if applicable, as a Non-Employee Director, and which shall not be or become public knowledge (other than by acts by the Optionee or representatives of the Optionee in violation of this Agreement) (“</w:t>
      </w:r>
      <w:r>
        <w:rPr>
          <w:rFonts w:ascii="Times New Roman" w:hAnsi="Times New Roman"/>
          <w:color w:val="000000"/>
          <w:sz w:val="24"/>
          <w:u w:val="single"/>
        </w:rPr>
        <w:t>Confidential Information</w:t>
      </w:r>
      <w:r>
        <w:rPr>
          <w:color w:val="000000"/>
        </w:rPr>
        <w:t>”</w:t>
      </w:r>
      <w:r>
        <w:rPr>
          <w:rFonts w:ascii="Times New Roman" w:hAnsi="Times New Roman"/>
          <w:color w:val="000000"/>
          <w:sz w:val="24"/>
        </w:rPr>
        <w:t>). After termination of the Optionee’s employment with the Company, the Optionee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Optionee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Optionee’s ability to communicate with any government agency or otherwise participate in any investigation or proceeding that may be conducted by any government agency, including providing documents or other information. Nothing in this Agreement shall be construed to prohibit Employee from engaging in protected concerted activity under the National Labor Relations Act for the purpose of collective bargaining or other mutual aid or protection, including, without limitation, (A) making disclosures concerning this Agreement in aid of such concerted activities; (B) filing unfair labor practice charges; (C) assisting others who are filing such charges; and (D) cooperating with the investigative process of the National Labor Relations Board or other government agencies.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pPr>
      <w:r>
        <w:rPr>
          <w:rFonts w:ascii="Times New Roman" w:hAnsi="Times New Roman"/>
          <w:color w:val="000000"/>
          <w:sz w:val="24"/>
          <w:u w:val="single"/>
        </w:rPr>
        <w:t>Non-Competition</w:t>
      </w:r>
      <w:r>
        <w:rPr>
          <w:rFonts w:ascii="Times New Roman" w:hAnsi="Times New Roman"/>
          <w:color w:val="000000"/>
          <w:sz w:val="24"/>
        </w:rPr>
        <w:t>. During the Vesting Period, in order to protect all Confidential Information, the Optionee agrees that to the fullest extent permitted by law, the Optionee shall not engage or be engaged in any aspect whatsoever of any of the following lines of business: (i) the production (including any associated mining), distribution, marketing or sale of cement (including Portland cement, oil well 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Times New Roman" w:hAnsi="Times New Roman"/>
          <w:color w:val="000000"/>
          <w:sz w:val="24"/>
          <w:u w:val="single"/>
        </w:rPr>
        <w:t>Line of Business</w:t>
      </w:r>
      <w:r>
        <w:rPr>
          <w:color w:val="000000"/>
        </w:rPr>
        <w:t>”</w:t>
      </w:r>
      <w:r>
        <w:rPr>
          <w:rFonts w:ascii="Times New Roman" w:hAnsi="Times New Roman"/>
          <w:color w:val="000000"/>
          <w:sz w:val="24"/>
        </w:rPr>
        <w:t xml:space="preserve">), either directly or indirectly as an individual, or as an employee, associate, partner, stockholder, consultant, owner, manager, agent or otherwise or by means of any corporate or other device, either on his or her own behalf in the Restricted Areas (as defined below) or on behalf of others who are engaged in any Line of Business (either directly or through an affiliate (including by virtue of having an affiliate in the Restricted Areas)) in the Restricted Areas; </w:t>
      </w:r>
      <w:r>
        <w:rPr>
          <w:rFonts w:ascii="Times New Roman" w:hAnsi="Times New Roman"/>
          <w:color w:val="000000"/>
          <w:sz w:val="24"/>
          <w:u w:val="single"/>
        </w:rPr>
        <w:t>provided</w:t>
      </w:r>
      <w:r>
        <w:rPr>
          <w:rFonts w:ascii="Times New Roman" w:hAnsi="Times New Roman"/>
          <w:color w:val="000000"/>
          <w:sz w:val="24"/>
        </w:rPr>
        <w:t xml:space="preserve">, that, notwithstanding the foregoing, the Optionee may invest in securities of any entity, solely for investment purposes and without participating in the business thereof, if (A) such securities are traded on any national securities exchange or the National Association of Securities Dealers, Inc. Automated Quotation System, (B) the Optionee is not a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left"/>
        <w:rPr/>
      </w:pPr>
      <w:r>
        <w:rPr>
          <w:rFonts w:ascii="Times New Roman" w:hAnsi="Times New Roman"/>
          <w:color w:val="000000"/>
          <w:sz w:val="24"/>
        </w:rPr>
        <w:t>controlling person of, or a member of a group which controls, such entity, and (C) the Optionee does not, directly or indirectly, own 1% or more of any class of securities of such entity. The “</w:t>
      </w:r>
      <w:r>
        <w:rPr>
          <w:rFonts w:ascii="Times New Roman" w:hAnsi="Times New Roman"/>
          <w:color w:val="000000"/>
          <w:sz w:val="24"/>
          <w:u w:val="single"/>
        </w:rPr>
        <w:t>Restricted Areas</w:t>
      </w:r>
      <w:r>
        <w:rPr>
          <w:color w:val="000000"/>
        </w:rPr>
        <w:t xml:space="preserve">” </w:t>
      </w:r>
      <w:r>
        <w:rPr>
          <w:rFonts w:ascii="Times New Roman" w:hAnsi="Times New Roman"/>
          <w:color w:val="000000"/>
          <w:sz w:val="24"/>
        </w:rPr>
        <w:t>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Optionee or in respect of which the Optionee has performed any services.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color w:val="000000"/>
          <w:sz w:val="24"/>
          <w:u w:val="single"/>
        </w:rPr>
        <w:t>Non-Solicitation</w:t>
      </w:r>
      <w:r>
        <w:rPr>
          <w:rFonts w:ascii="Times New Roman" w:hAnsi="Times New Roman"/>
          <w:color w:val="000000"/>
          <w:sz w:val="24"/>
        </w:rPr>
        <w:t>. During the Vesting Period, the Optionee will not, directly or indirectly, in any manner (i) (x) solicit or attempt to solicit any individual that is an employee of the Company or its affiliates (“</w:t>
      </w:r>
      <w:r>
        <w:rPr>
          <w:rFonts w:ascii="Times New Roman" w:hAnsi="Times New Roman"/>
          <w:color w:val="000000"/>
          <w:sz w:val="24"/>
          <w:u w:val="single"/>
        </w:rPr>
        <w:t>Employee</w:t>
      </w:r>
      <w:r>
        <w:rPr>
          <w:color w:val="000000"/>
        </w:rPr>
        <w:t>”</w:t>
      </w:r>
      <w:r>
        <w:rPr>
          <w:rFonts w:ascii="Times New Roman" w:hAnsi="Times New Roman"/>
          <w:color w:val="000000"/>
          <w:sz w:val="24"/>
        </w:rPr>
        <w:t xml:space="preserve">), (y) encourage any person (other than the Company) to solicit any Employee, or (z) otherwise encourage any Employee to discontinue his or her employment with the Company or one of its affiliates; </w:t>
      </w:r>
      <w:r>
        <w:rPr>
          <w:rFonts w:ascii="Times New Roman" w:hAnsi="Times New Roman"/>
          <w:color w:val="000000"/>
          <w:sz w:val="24"/>
          <w:u w:val="single"/>
        </w:rPr>
        <w:t>provided</w:t>
      </w:r>
      <w:r>
        <w:rPr>
          <w:rFonts w:ascii="Times New Roman" w:hAnsi="Times New Roman"/>
          <w:color w:val="000000"/>
          <w:sz w:val="24"/>
        </w:rPr>
        <w:t>, that this Agreement shall not prohibit any advertisement or general solicitation (or hiring as a result thereof) that is not specifically targeted at such persons; (ii) solicit any customer who currently is a customer of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rFonts w:ascii="Times New Roman" w:hAnsi="Times New Roman"/>
          <w:color w:val="000000"/>
          <w:sz w:val="24"/>
          <w:u w:val="single"/>
        </w:rPr>
        <w:t>Remedies</w:t>
      </w:r>
      <w:r>
        <w:rPr>
          <w:rFonts w:ascii="Times New Roman" w:hAnsi="Times New Roman"/>
          <w:color w:val="000000"/>
          <w:sz w:val="24"/>
        </w:rPr>
        <w:t xml:space="preserve">. In the event of the Optionee’s breach or threatened breach of this </w:t>
      </w:r>
      <w:r>
        <w:rPr>
          <w:rFonts w:ascii="Times New Roman" w:hAnsi="Times New Roman"/>
          <w:color w:val="000000"/>
          <w:sz w:val="24"/>
          <w:u w:val="single"/>
        </w:rPr>
        <w:t>Section 14</w:t>
      </w:r>
      <w:r>
        <w:rPr>
          <w:rFonts w:ascii="Times New Roman" w:hAnsi="Times New Roman"/>
          <w:color w:val="000000"/>
          <w:sz w:val="24"/>
        </w:rPr>
        <w:t xml:space="preserve">, in addition to any other remedies, the Company shall be entitled to specific performance and/or a temporary or permanent injunction prohibiting and enjoining the Optionee from violating the covenants set forth in this </w:t>
      </w:r>
      <w:r>
        <w:rPr>
          <w:rFonts w:ascii="Times New Roman" w:hAnsi="Times New Roman"/>
          <w:color w:val="000000"/>
          <w:sz w:val="24"/>
          <w:u w:val="single"/>
        </w:rPr>
        <w:t>Section 14</w:t>
      </w:r>
      <w:r>
        <w:rPr>
          <w:rFonts w:ascii="Times New Roman" w:hAnsi="Times New Roman"/>
          <w:color w:val="000000"/>
          <w:sz w:val="24"/>
        </w:rPr>
        <w:t xml:space="preserve">. For purposes of obtaining equitable relief, such as specific performance, a temporary restraining order, or an injunction (but not any relief to the extent it would involve the payment by the Optionee of monetary damages or the loss of a benefit under this Agreement), the Company need not prove, and the Optionee acknowledges and agrees that irreparable harm or injury will have occurred as a result of any breach of the covenants set forth in this </w:t>
      </w:r>
      <w:r>
        <w:rPr>
          <w:rFonts w:ascii="Times New Roman" w:hAnsi="Times New Roman"/>
          <w:color w:val="000000"/>
          <w:sz w:val="24"/>
          <w:u w:val="single"/>
        </w:rPr>
        <w:t>Section 14</w:t>
      </w:r>
      <w:r>
        <w:rPr>
          <w:rFonts w:ascii="Times New Roman" w:hAnsi="Times New Roman"/>
          <w:color w:val="000000"/>
          <w:sz w:val="24"/>
        </w:rPr>
        <w:t xml:space="preserve">, and the Company need not provide notice or pay bond to the maximum extent permitted by law. In the event of the Optionee’s breach or threatened breach of the restrictive covenants contained in this </w:t>
      </w:r>
      <w:r>
        <w:rPr>
          <w:rFonts w:ascii="Times New Roman" w:hAnsi="Times New Roman"/>
          <w:color w:val="000000"/>
          <w:sz w:val="24"/>
          <w:u w:val="single"/>
        </w:rPr>
        <w:t>Section 14</w:t>
      </w:r>
      <w:r>
        <w:rPr>
          <w:rFonts w:ascii="Times New Roman" w:hAnsi="Times New Roman"/>
          <w:color w:val="000000"/>
          <w:sz w:val="24"/>
        </w:rPr>
        <w:t xml:space="preserve">, in addition to any other remedies available hereunder, at law or in equity, the Company shall also be entitled to recover the value of all remaining unvested Options and unexercised Option Shares, which shall be immediately forfeited by the Optionee. The Vesting Period solely for purposes of this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 xml:space="preserve">shall be tolled for any period of time during which the Optionee is in violation of the restrictions in </w:t>
      </w:r>
      <w:r>
        <w:rPr>
          <w:rFonts w:ascii="Times New Roman" w:hAnsi="Times New Roman"/>
          <w:color w:val="000000"/>
          <w:sz w:val="24"/>
          <w:u w:val="single"/>
        </w:rPr>
        <w:t>Sections 14(b)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14(c)</w:t>
      </w:r>
      <w:r>
        <w:rPr>
          <w:color w:val="000000"/>
        </w:rPr>
        <w:t xml:space="preserve"> </w:t>
      </w:r>
      <w:r>
        <w:rPr>
          <w:rFonts w:ascii="Times New Roman" w:hAnsi="Times New Roman"/>
          <w:color w:val="000000"/>
          <w:sz w:val="24"/>
        </w:rPr>
        <w:t xml:space="preserve">(e.g., in no event shall this sentence otherwise cause the Vesting Date to be delayed or the Vesting Period to be extended for purposes of </w:t>
      </w:r>
      <w:r>
        <w:rPr>
          <w:rFonts w:ascii="Times New Roman" w:hAnsi="Times New Roman"/>
          <w:color w:val="000000"/>
          <w:sz w:val="24"/>
          <w:u w:val="single"/>
        </w:rPr>
        <w:t>Section 3</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pPr>
      <w:r>
        <w:rPr>
          <w:rFonts w:ascii="Times New Roman" w:hAnsi="Times New Roman"/>
          <w:color w:val="000000"/>
          <w:sz w:val="24"/>
          <w:u w:val="single"/>
        </w:rPr>
        <w:t>Reformation</w:t>
      </w:r>
      <w:r>
        <w:rPr>
          <w:rFonts w:ascii="Times New Roman" w:hAnsi="Times New Roman"/>
          <w:color w:val="000000"/>
          <w:sz w:val="24"/>
        </w:rPr>
        <w:t xml:space="preserve">. In the event that any covenant contained in this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 xml:space="preserve">should ever be adjudicated to exceed the time, geographic or other limitations permitted by applicable law, then such covenant shall be reformed to the maximum time, geographic or other limitations to the maximum extent permitted by law. The covenants contained in this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pPr>
      <w:r>
        <w:rPr>
          <w:rFonts w:ascii="Times New Roman" w:hAnsi="Times New Roman"/>
          <w:color w:val="000000"/>
          <w:sz w:val="24"/>
          <w:u w:val="single"/>
        </w:rPr>
        <w:t>State-Specific Requirements</w:t>
      </w:r>
      <w:r>
        <w:rPr>
          <w:rFonts w:ascii="Times New Roman" w:hAnsi="Times New Roman"/>
          <w:color w:val="000000"/>
          <w:sz w:val="24"/>
        </w:rPr>
        <w:t xml:space="preserve">. The effectiveness of Sections </w:t>
      </w:r>
      <w:r>
        <w:rPr>
          <w:rFonts w:ascii="Times New Roman" w:hAnsi="Times New Roman"/>
          <w:color w:val="000000"/>
          <w:sz w:val="24"/>
          <w:u w:val="single"/>
        </w:rPr>
        <w:t>14(b)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14(c)</w:t>
      </w:r>
      <w:r>
        <w:rPr>
          <w:color w:val="000000"/>
        </w:rPr>
        <w:t xml:space="preserve"> </w:t>
      </w:r>
      <w:r>
        <w:rPr>
          <w:rFonts w:ascii="Times New Roman" w:hAnsi="Times New Roman"/>
          <w:color w:val="000000"/>
          <w:sz w:val="24"/>
        </w:rPr>
        <w:t xml:space="preserve">shall be subject to applicable state law, such that, Sections </w:t>
      </w:r>
      <w:r>
        <w:rPr>
          <w:rFonts w:ascii="Times New Roman" w:hAnsi="Times New Roman"/>
          <w:color w:val="000000"/>
          <w:sz w:val="24"/>
          <w:u w:val="single"/>
        </w:rPr>
        <w:t>14(b)</w:t>
      </w:r>
      <w:r>
        <w:rPr>
          <w:color w:val="000000"/>
        </w:rPr>
        <w:t xml:space="preserve"> </w:t>
      </w:r>
      <w:r>
        <w:rPr>
          <w:rFonts w:ascii="Times New Roman" w:hAnsi="Times New Roman"/>
          <w:color w:val="000000"/>
          <w:sz w:val="24"/>
        </w:rPr>
        <w:t xml:space="preserve">and/or and </w:t>
      </w:r>
      <w:r>
        <w:rPr>
          <w:rFonts w:ascii="Times New Roman" w:hAnsi="Times New Roman"/>
          <w:color w:val="000000"/>
          <w:sz w:val="24"/>
          <w:u w:val="single"/>
        </w:rPr>
        <w:t>14(c)</w:t>
      </w:r>
      <w:r>
        <w:rPr>
          <w:color w:val="000000"/>
        </w:rPr>
        <w:t xml:space="preserve"> </w:t>
      </w:r>
      <w:r>
        <w:rPr>
          <w:rFonts w:ascii="Times New Roman" w:hAnsi="Times New Roman"/>
          <w:color w:val="000000"/>
          <w:sz w:val="24"/>
        </w:rPr>
        <w:t>shall only apply to the extent permitted under applicable federal or state law (e.g., the state law, if applicable, that may apply on a mandatory basis based on where the Grantee resides).</w:t>
      </w:r>
    </w:p>
    <w:p>
      <w:pPr>
        <w:pStyle w:val="TextBody"/>
        <w:bidi w:val="0"/>
        <w:spacing w:before="240" w:after="240"/>
        <w:jc w:val="both"/>
        <w:rPr>
          <w:rFonts w:ascii="Times New Roman" w:hAnsi="Times New Roman"/>
          <w:b/>
          <w:i/>
          <w:color w:val="000000"/>
          <w:sz w:val="24"/>
        </w:rPr>
      </w:pPr>
      <w:r>
        <w:rPr>
          <w:rFonts w:ascii="Times New Roman" w:hAnsi="Times New Roman"/>
          <w:b/>
          <w:i/>
          <w:color w:val="000000"/>
          <w:sz w:val="24"/>
        </w:rPr>
        <w:t>15.</w:t>
      </w:r>
    </w:p>
    <w:p>
      <w:pPr>
        <w:pStyle w:val="TextBody"/>
        <w:bidi w:val="0"/>
        <w:spacing w:before="240" w:after="240"/>
        <w:jc w:val="both"/>
        <w:rPr/>
      </w:pPr>
      <w:r>
        <w:rPr>
          <w:rFonts w:ascii="Times New Roman" w:hAnsi="Times New Roman"/>
          <w:b/>
          <w:i/>
          <w:color w:val="000000"/>
          <w:sz w:val="24"/>
          <w:u w:val="single"/>
        </w:rPr>
        <w:t>Entire Agreement; Governing Law; Venue</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The Plan and this Agreement constitute the entire agreement of the Company and the Optionee (collectively, the “</w:t>
      </w:r>
      <w:r>
        <w:rPr>
          <w:rFonts w:ascii="Times New Roman" w:hAnsi="Times New Roman"/>
          <w:color w:val="000000"/>
          <w:sz w:val="24"/>
          <w:u w:val="single"/>
        </w:rPr>
        <w:t>Parties</w:t>
      </w:r>
      <w:r>
        <w:rPr>
          <w:rFonts w:ascii="Times New Roman" w:hAnsi="Times New Roman"/>
          <w:color w:val="000000"/>
          <w:sz w:val="20"/>
        </w:rPr>
        <w:t>”</w:t>
      </w:r>
      <w:r>
        <w:rPr>
          <w:rFonts w:ascii="Times New Roman" w:hAnsi="Times New Roman"/>
          <w:color w:val="000000"/>
          <w:sz w:val="24"/>
        </w:rPr>
        <w:t>) with respect to the subject matter hereof and supersede in their entirety all prior undertakings and agreements of the Parties with respect to the subject matter hereof, and may not be modified in a manner that adversely affects the Optionee’s interest hereunder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The Parties hereby submit to the exclusive jurisdiction of the state and federal courts in Dallas County, Texas. Each Party irrevocably waives, to the fullest extent permitted by law, any objection which either party may now or hereafter have to the laying of the venue of any such proceeding brought in such a court and any claim that any such proceeding brought in such a court has been brought in an inconvenient forum. Should any provision of the Plan or this Agreement be determined by a court of law to be illegal or unenforceable, such provision shall be enforced to the fullest extent allowed by law and the other provisions shall nevertheless remain effective and shall remain enforceable.</w:t>
      </w:r>
    </w:p>
    <w:p>
      <w:pPr>
        <w:pStyle w:val="TextBody"/>
        <w:bidi w:val="0"/>
        <w:spacing w:before="0" w:after="0"/>
        <w:jc w:val="left"/>
        <w:rPr>
          <w:rFonts w:ascii="Times New Roman" w:hAnsi="Times New Roman"/>
          <w:b/>
          <w:i/>
          <w:color w:val="000000"/>
          <w:sz w:val="24"/>
        </w:rPr>
      </w:pPr>
      <w:r>
        <w:rPr>
          <w:rFonts w:ascii="Times New Roman" w:hAnsi="Times New Roman"/>
          <w:b/>
          <w:i/>
          <w:color w:val="000000"/>
          <w:sz w:val="24"/>
        </w:rPr>
        <w:t>16.</w:t>
      </w:r>
    </w:p>
    <w:p>
      <w:pPr>
        <w:pStyle w:val="TextBody"/>
        <w:bidi w:val="0"/>
        <w:jc w:val="left"/>
        <w:rPr/>
      </w:pPr>
      <w:r>
        <w:rPr>
          <w:rFonts w:ascii="Times New Roman" w:hAnsi="Times New Roman"/>
          <w:b/>
          <w:i/>
          <w:color w:val="000000"/>
          <w:sz w:val="24"/>
          <w:u w:val="single"/>
        </w:rPr>
        <w:t>Jury Trial Waiver</w:t>
      </w:r>
      <w:r>
        <w:rPr>
          <w:rFonts w:ascii="Times New Roman" w:hAnsi="Times New Roman"/>
          <w:i/>
          <w:color w:val="000000"/>
          <w:sz w:val="24"/>
        </w:rPr>
        <w:t>.</w:t>
      </w:r>
    </w:p>
    <w:p>
      <w:pPr>
        <w:pStyle w:val="TextBody"/>
        <w:bidi w:val="0"/>
        <w:spacing w:before="240" w:after="240"/>
        <w:jc w:val="left"/>
        <w:rPr>
          <w:rFonts w:ascii="Times New Roman" w:hAnsi="Times New Roman"/>
          <w:b/>
          <w:color w:val="000000"/>
          <w:sz w:val="24"/>
          <w:u w:val="single"/>
        </w:rPr>
      </w:pPr>
      <w:r>
        <w:rPr>
          <w:rFonts w:ascii="Times New Roman" w:hAnsi="Times New Roman"/>
          <w:b/>
          <w:color w:val="000000"/>
          <w:sz w:val="24"/>
          <w:u w:val="single"/>
        </w:rPr>
        <w:t>THE OPTIONEE HEREBY WAIVES THE RIGHT TO TRIAL BY JURY WITH RESPECT TO ANY CLAIM AGAINST THE COMPANY FOR BREACH OR ENFORCEMENT OF THE PLAN OR THIS AGREEMENT.</w:t>
      </w:r>
    </w:p>
    <w:p>
      <w:pPr>
        <w:pStyle w:val="TextBody"/>
        <w:bidi w:val="0"/>
        <w:spacing w:before="0" w:after="0"/>
        <w:jc w:val="left"/>
        <w:rPr>
          <w:rFonts w:ascii="Times New Roman" w:hAnsi="Times New Roman"/>
          <w:b/>
          <w:i/>
          <w:color w:val="000000"/>
          <w:sz w:val="24"/>
        </w:rPr>
      </w:pPr>
      <w:r>
        <w:rPr>
          <w:rFonts w:ascii="Times New Roman" w:hAnsi="Times New Roman"/>
          <w:b/>
          <w:i/>
          <w:color w:val="000000"/>
          <w:sz w:val="24"/>
        </w:rPr>
        <w:t>17.</w:t>
      </w:r>
    </w:p>
    <w:p>
      <w:pPr>
        <w:pStyle w:val="TextBody"/>
        <w:bidi w:val="0"/>
        <w:jc w:val="left"/>
        <w:rPr/>
      </w:pPr>
      <w:r>
        <w:rPr>
          <w:rFonts w:ascii="Times New Roman" w:hAnsi="Times New Roman"/>
          <w:b/>
          <w:i/>
          <w:color w:val="000000"/>
          <w:sz w:val="24"/>
          <w:u w:val="single"/>
        </w:rPr>
        <w:t>Interpretive Matters</w:t>
      </w:r>
      <w:r>
        <w:rPr>
          <w:rFonts w:ascii="Times New Roman" w:hAnsi="Times New Roman"/>
          <w:i/>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this Award or this Agreement for construction or interpretation.</w:t>
      </w:r>
    </w:p>
    <w:p>
      <w:pPr>
        <w:pStyle w:val="TextBody"/>
        <w:bidi w:val="0"/>
        <w:spacing w:before="240" w:after="240"/>
        <w:jc w:val="left"/>
        <w:rPr>
          <w:rFonts w:ascii="Times New Roman" w:hAnsi="Times New Roman"/>
          <w:b/>
          <w:i/>
          <w:color w:val="000000"/>
          <w:sz w:val="24"/>
        </w:rPr>
      </w:pPr>
      <w:r>
        <w:rPr>
          <w:rFonts w:ascii="Times New Roman" w:hAnsi="Times New Roman"/>
          <w:b/>
          <w:i/>
          <w:color w:val="000000"/>
          <w:sz w:val="24"/>
        </w:rPr>
        <w:t>18.</w:t>
      </w:r>
    </w:p>
    <w:p>
      <w:pPr>
        <w:pStyle w:val="TextBody"/>
        <w:bidi w:val="0"/>
        <w:spacing w:before="240" w:after="240"/>
        <w:jc w:val="left"/>
        <w:rPr/>
      </w:pPr>
      <w:r>
        <w:rPr>
          <w:rFonts w:ascii="Times New Roman" w:hAnsi="Times New Roman"/>
          <w:b/>
          <w:i/>
          <w:color w:val="000000"/>
          <w:sz w:val="24"/>
          <w:u w:val="single"/>
        </w:rPr>
        <w:t>Recoupment</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This Award (and amounts paid in respect thereof) shall be subject to the terms of any recoupment (clawback) policy adopted by the Company as in effect from time to time, as well as any recoupment/forfeiture provisions required by law and applicable to the Company or its subsidiaries, including pursuant to Section 954 of the Dodd-Frank Wall Street Reform and Consumer Protection Act;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unless prohibited by applicable law, any Company recoupment (clawback) policy shall have no application to this Award (or amounts paid in respect thereof) following a Change in Control.</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19.</w:t>
      </w:r>
    </w:p>
    <w:p>
      <w:pPr>
        <w:pStyle w:val="TextBody"/>
        <w:bidi w:val="0"/>
        <w:spacing w:before="0" w:after="240"/>
        <w:jc w:val="left"/>
        <w:rPr/>
      </w:pPr>
      <w:r>
        <w:rPr>
          <w:rFonts w:ascii="Times New Roman" w:hAnsi="Times New Roman"/>
          <w:b/>
          <w:i/>
          <w:color w:val="000000"/>
          <w:sz w:val="24"/>
          <w:u w:val="single"/>
        </w:rPr>
        <w:t>Successors and Assigns</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 or pursuant to the Plan.</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20.</w:t>
      </w:r>
    </w:p>
    <w:p>
      <w:pPr>
        <w:pStyle w:val="TextBody"/>
        <w:bidi w:val="0"/>
        <w:spacing w:before="0" w:after="240"/>
        <w:jc w:val="left"/>
        <w:rPr/>
      </w:pPr>
      <w:r>
        <w:rPr>
          <w:rFonts w:ascii="Times New Roman" w:hAnsi="Times New Roman"/>
          <w:b/>
          <w:i/>
          <w:color w:val="000000"/>
          <w:sz w:val="24"/>
          <w:u w:val="single"/>
        </w:rPr>
        <w:t>No Employment Guaranteed</w:t>
      </w:r>
      <w:r>
        <w:rPr>
          <w:rFonts w:ascii="Times New Roman" w:hAnsi="Times New Roman"/>
          <w:i/>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provision of this Agreement shall confer any right upon the Optionee to continued employment or service with the Company or any subsidiary.</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pPr>
      <w:r>
        <w:rPr/>
        <w:t> </w:t>
      </w:r>
    </w:p>
    <w:tbl>
      <w:tblPr>
        <w:tblW w:w="3135" w:type="dxa"/>
        <w:jc w:val="left"/>
        <w:tblInd w:w="0" w:type="dxa"/>
        <w:tblLayout w:type="fixed"/>
        <w:tblCellMar>
          <w:top w:w="28" w:type="dxa"/>
          <w:left w:w="28" w:type="dxa"/>
          <w:bottom w:w="28" w:type="dxa"/>
          <w:right w:w="28" w:type="dxa"/>
        </w:tblCellMar>
      </w:tblPr>
      <w:tblGrid>
        <w:gridCol w:w="2587"/>
        <w:gridCol w:w="548"/>
      </w:tblGrid>
      <w:tr>
        <w:trPr/>
        <w:tc>
          <w:tcPr>
            <w:tcW w:w="258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EAGLE MATERIALS INC.</w:t>
            </w:r>
          </w:p>
        </w:tc>
      </w:tr>
      <w:tr>
        <w:trPr/>
        <w:tc>
          <w:tcPr>
            <w:tcW w:w="2587" w:type="dxa"/>
            <w:tcBorders/>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5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87"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24"/>
              </w:rPr>
            </w:pPr>
            <w:r>
              <w:rPr>
                <w:rFonts w:ascii="Times New Roman" w:hAnsi="Times New Roman"/>
                <w:color w:val="000000"/>
                <w:sz w:val="24"/>
              </w:rPr>
              <w:t>Name:</w:t>
            </w:r>
          </w:p>
        </w:tc>
        <w:tc>
          <w:tcPr>
            <w:tcW w:w="548"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2587"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24"/>
              </w:rPr>
            </w:pPr>
            <w:r>
              <w:rPr>
                <w:rFonts w:ascii="Times New Roman" w:hAnsi="Times New Roman"/>
                <w:color w:val="000000"/>
                <w:sz w:val="24"/>
              </w:rPr>
              <w:t>Its:</w:t>
            </w:r>
          </w:p>
        </w:tc>
        <w:tc>
          <w:tcPr>
            <w:tcW w:w="548"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2587"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24"/>
              </w:rPr>
            </w:pPr>
            <w:r>
              <w:rPr>
                <w:rFonts w:ascii="Times New Roman" w:hAnsi="Times New Roman"/>
                <w:color w:val="000000"/>
                <w:sz w:val="24"/>
              </w:rPr>
              <w:t>Address:</w:t>
            </w:r>
          </w:p>
        </w:tc>
        <w:tc>
          <w:tcPr>
            <w:tcW w:w="548" w:type="dxa"/>
            <w:tcBorders/>
            <w:tcMar>
              <w:top w:w="0" w:type="dxa"/>
              <w:left w:w="0" w:type="dxa"/>
              <w:bottom w:w="0" w:type="dxa"/>
              <w:right w:w="0" w:type="dxa"/>
            </w:tcMar>
            <w:vAlign w:val="center"/>
          </w:tcPr>
          <w:p>
            <w:pPr>
              <w:pStyle w:val="TableContents"/>
              <w:bidi w:val="0"/>
              <w:spacing w:before="6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Optionee acknowledges receipt of a copy of the Plan, represents that he or she is familiar with the terms and provisions thereof, and hereby accepts this Award subject to all of the terms and provisions hereof and thereof. The Optionee has reviewed this Agreement and the Plan in their entirety, has had an opportunity to obtain the advice of counsel prior to executing this Agreement, and fully understands all provisions of this Agreement and the Plan. The Optionee further agrees to notify the Company upon any change in the address for notice indicated in this Agreement.</w:t>
      </w:r>
    </w:p>
    <w:p>
      <w:pPr>
        <w:pStyle w:val="TextBody"/>
        <w:bidi w:val="0"/>
        <w:jc w:val="both"/>
        <w:rPr/>
      </w:pPr>
      <w:r>
        <w:rPr/>
        <w:t> </w:t>
      </w:r>
    </w:p>
    <w:tbl>
      <w:tblPr>
        <w:tblW w:w="2112" w:type="dxa"/>
        <w:jc w:val="left"/>
        <w:tblInd w:w="0" w:type="dxa"/>
        <w:tblLayout w:type="fixed"/>
        <w:tblCellMar>
          <w:top w:w="28" w:type="dxa"/>
          <w:left w:w="28" w:type="dxa"/>
          <w:bottom w:w="28" w:type="dxa"/>
          <w:right w:w="28" w:type="dxa"/>
        </w:tblCellMar>
      </w:tblPr>
      <w:tblGrid>
        <w:gridCol w:w="1921"/>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OPTIONEE</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Signed: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Mailing Address:</w:t>
            </w:r>
          </w:p>
        </w:tc>
        <w:tc>
          <w:tcPr>
            <w:tcW w:w="191"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Email Address(es):</w:t>
            </w:r>
          </w:p>
        </w:tc>
        <w:tc>
          <w:tcPr>
            <w:tcW w:w="191" w:type="dxa"/>
            <w:tcBorders/>
            <w:tcMar>
              <w:top w:w="0" w:type="dxa"/>
              <w:left w:w="0" w:type="dxa"/>
              <w:bottom w:w="0" w:type="dxa"/>
              <w:right w:w="0" w:type="dxa"/>
            </w:tcMar>
            <w:vAlign w:val="center"/>
          </w:tcPr>
          <w:p>
            <w:pPr>
              <w:pStyle w:val="TableContents"/>
              <w:bidi w:val="0"/>
              <w:spacing w:before="60" w:after="283"/>
              <w:jc w:val="left"/>
              <w:rPr/>
            </w:pPr>
            <w:r>
              <w:rPr/>
              <w:t> </w:t>
            </w:r>
          </w:p>
        </w:tc>
      </w:tr>
    </w:tbl>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exp-ex31_1.htm"/>
      <w:bookmarkStart w:id="28" w:name="ksexpex31_1"/>
      <w:bookmarkEnd w:id="27"/>
      <w:bookmarkEnd w:id="28"/>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302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Michael R. Haack,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 have reviewed this report on Form 10-Q of Eagle Materials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July 29, 2026</w:t>
      </w:r>
    </w:p>
    <w:p>
      <w:pPr>
        <w:pStyle w:val="TextBody"/>
        <w:bidi w:val="0"/>
        <w:jc w:val="left"/>
        <w:rPr/>
      </w:pPr>
      <w:r>
        <w:rPr/>
        <w:t> </w:t>
      </w:r>
    </w:p>
    <w:tbl>
      <w:tblPr>
        <w:tblW w:w="3681" w:type="dxa"/>
        <w:jc w:val="left"/>
        <w:tblInd w:w="0" w:type="dxa"/>
        <w:tblLayout w:type="fixed"/>
        <w:tblCellMar>
          <w:top w:w="28" w:type="dxa"/>
          <w:left w:w="28" w:type="dxa"/>
          <w:bottom w:w="28" w:type="dxa"/>
          <w:right w:w="28" w:type="dxa"/>
        </w:tblCellMar>
      </w:tblPr>
      <w:tblGrid>
        <w:gridCol w:w="361"/>
        <w:gridCol w:w="109"/>
        <w:gridCol w:w="3211"/>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Michael R. Haack </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Michael R. Haack</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exp-ex31_2.htm"/>
      <w:bookmarkStart w:id="30" w:name="ksexpex31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302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D. Craig Kesler,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 have reviewed this report on Form 10-Q of Eagle Materials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July 29, 2026</w:t>
      </w:r>
    </w:p>
    <w:tbl>
      <w:tblPr>
        <w:tblW w:w="2886" w:type="dxa"/>
        <w:jc w:val="left"/>
        <w:tblInd w:w="0" w:type="dxa"/>
        <w:tblLayout w:type="fixed"/>
        <w:tblCellMar>
          <w:top w:w="28" w:type="dxa"/>
          <w:left w:w="28" w:type="dxa"/>
          <w:bottom w:w="28" w:type="dxa"/>
          <w:right w:w="28" w:type="dxa"/>
        </w:tblCellMar>
      </w:tblPr>
      <w:tblGrid>
        <w:gridCol w:w="361"/>
        <w:gridCol w:w="109"/>
        <w:gridCol w:w="2416"/>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 Craig Kesler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D. Craig Kesler</w:t>
            </w:r>
          </w:p>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exp-ex32_1.htm"/>
      <w:bookmarkStart w:id="32" w:name="ksexpex32_1"/>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Quarterly Report of Eagle Materials Inc. and subsidiaries (the “Company”) on Form 10-Q for the period ended June 30, 2026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July 29, 2026</w:t>
      </w:r>
    </w:p>
    <w:tbl>
      <w:tblPr>
        <w:tblW w:w="3681" w:type="dxa"/>
        <w:jc w:val="left"/>
        <w:tblInd w:w="0" w:type="dxa"/>
        <w:tblLayout w:type="fixed"/>
        <w:tblCellMar>
          <w:top w:w="28" w:type="dxa"/>
          <w:left w:w="28" w:type="dxa"/>
          <w:bottom w:w="28" w:type="dxa"/>
          <w:right w:w="28" w:type="dxa"/>
        </w:tblCellMar>
      </w:tblPr>
      <w:tblGrid>
        <w:gridCol w:w="361"/>
        <w:gridCol w:w="109"/>
        <w:gridCol w:w="3211"/>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R. Haack</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Michael R. Haack</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exp-ex32_2.htm"/>
      <w:bookmarkStart w:id="34" w:name="ksexpex32_2"/>
      <w:bookmarkEnd w:id="33"/>
      <w:bookmarkEnd w:id="3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Quarterly Report of Eagle Materials Inc. and subsidiaries (the “Company”) on Form 10-Q for the period ended June 30, 2026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July 29, 2026</w:t>
      </w:r>
    </w:p>
    <w:tbl>
      <w:tblPr>
        <w:tblW w:w="2886" w:type="dxa"/>
        <w:jc w:val="left"/>
        <w:tblInd w:w="0" w:type="dxa"/>
        <w:tblLayout w:type="fixed"/>
        <w:tblCellMar>
          <w:top w:w="28" w:type="dxa"/>
          <w:left w:w="28" w:type="dxa"/>
          <w:bottom w:w="28" w:type="dxa"/>
          <w:right w:w="28" w:type="dxa"/>
        </w:tblCellMar>
      </w:tblPr>
      <w:tblGrid>
        <w:gridCol w:w="361"/>
        <w:gridCol w:w="109"/>
        <w:gridCol w:w="2416"/>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 Craig Kesler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D. Craig Kesler</w:t>
            </w:r>
          </w:p>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sz w:val="20"/>
          <w:bdr w:val="single" w:sz="4" w:space="1" w:color="000000"/>
        </w:rPr>
      </w:pPr>
      <w:bookmarkStart w:id="35" w:name="exp-ex95.htm"/>
      <w:bookmarkStart w:id="36" w:name="ksexpex95"/>
      <w:bookmarkEnd w:id="35"/>
      <w:bookmarkEnd w:id="36"/>
      <w:r>
        <w:rPr>
          <w:rFonts w:ascii="Times New Roman" w:hAnsi="Times New Roman"/>
          <w:b/>
          <w:i/>
          <w:color w:val="000000"/>
          <w:sz w:val="20"/>
          <w:bdr w:val="single" w:sz="4" w:space="1" w:color="000000"/>
        </w:rPr>
        <w:t>~Exhibit 95</w:t>
      </w:r>
      <w:r>
        <w:rPr>
          <w:rFonts w:ascii="Times New Roman" w:hAnsi="Times New Roman"/>
          <w:color w:val="000000"/>
          <w:sz w:val="20"/>
          <w:bdr w:val="single" w:sz="4" w:space="1" w:color="000000"/>
        </w:rPr>
        <w:t xml:space="preserve"> </w:t>
      </w:r>
      <w:r>
        <w:br w:type="page"/>
      </w:r>
    </w:p>
    <w:p>
      <w:pPr>
        <w:pStyle w:val="TextBody"/>
        <w:bidi w:val="0"/>
        <w:spacing w:before="0" w:after="0"/>
        <w:jc w:val="center"/>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MINE SAFETY DISCLOSURE</w:t>
      </w:r>
    </w:p>
    <w:p>
      <w:pPr>
        <w:pStyle w:val="TextBody"/>
        <w:bidi w:val="0"/>
        <w:spacing w:before="0" w:after="0"/>
        <w:jc w:val="right"/>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00"/>
              <w:jc w:val="left"/>
              <w:rPr>
                <w:rFonts w:ascii="Times New Roman" w:hAnsi="Times New Roman"/>
                <w:color w:val="000000"/>
                <w:sz w:val="18"/>
              </w:rPr>
            </w:pPr>
            <w:r>
              <w:rPr>
                <w:rFonts w:ascii="Times New Roman" w:hAnsi="Times New Roman"/>
                <w:color w:val="000000"/>
                <w:sz w:val="18"/>
              </w:rPr>
              <w:t xml:space="preserve">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Quarter 1 FY 2027 April 1 – June 30, 2026,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 </w:t>
            </w:r>
          </w:p>
        </w:tc>
      </w:tr>
    </w:tbl>
    <w:p>
      <w:pPr>
        <w:pStyle w:val="TextBody"/>
        <w:bidi w:val="0"/>
        <w:spacing w:before="0" w:after="200"/>
        <w:jc w:val="left"/>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1149"/>
        <w:gridCol w:w="731"/>
        <w:gridCol w:w="637"/>
        <w:gridCol w:w="657"/>
        <w:gridCol w:w="647"/>
        <w:gridCol w:w="637"/>
        <w:gridCol w:w="1003"/>
        <w:gridCol w:w="755"/>
        <w:gridCol w:w="887"/>
        <w:gridCol w:w="820"/>
        <w:gridCol w:w="733"/>
        <w:gridCol w:w="719"/>
        <w:gridCol w:w="830"/>
      </w:tblGrid>
      <w:tr>
        <w:trPr/>
        <w:tc>
          <w:tcPr>
            <w:tcW w:w="11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14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Mine or Operating Name/MSHA </w:t>
              <w:br/>
              <w:t>Identification Number</w:t>
            </w:r>
          </w:p>
        </w:tc>
        <w:tc>
          <w:tcPr>
            <w:tcW w:w="7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104 S&amp;S Citations</w:t>
            </w:r>
          </w:p>
        </w:tc>
        <w:tc>
          <w:tcPr>
            <w:tcW w:w="63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104(b) Orders</w:t>
            </w:r>
          </w:p>
        </w:tc>
        <w:tc>
          <w:tcPr>
            <w:tcW w:w="65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104(d) Citations and Orders</w:t>
            </w:r>
          </w:p>
        </w:tc>
        <w:tc>
          <w:tcPr>
            <w:tcW w:w="64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110(b)(2) Violations</w:t>
            </w:r>
          </w:p>
        </w:tc>
        <w:tc>
          <w:tcPr>
            <w:tcW w:w="63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107(a) Orders</w:t>
            </w:r>
          </w:p>
        </w:tc>
        <w:tc>
          <w:tcPr>
            <w:tcW w:w="100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Dollar Value of MSHA Assessments Proposed</w:t>
            </w:r>
          </w:p>
        </w:tc>
        <w:tc>
          <w:tcPr>
            <w:tcW w:w="75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Number of Mining Related Fatalities</w:t>
            </w:r>
          </w:p>
        </w:tc>
        <w:tc>
          <w:tcPr>
            <w:tcW w:w="88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Received Notice of Pattern of Violations Under Section 104(e)</w:t>
              <w:br/>
              <w:t xml:space="preserve">(yes/no) </w:t>
            </w:r>
          </w:p>
        </w:tc>
        <w:tc>
          <w:tcPr>
            <w:tcW w:w="82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Received Notice of Potential to Have Pattern Under Section 104(e)</w:t>
              <w:br/>
              <w:t>(yes/no)</w:t>
            </w:r>
          </w:p>
        </w:tc>
        <w:tc>
          <w:tcPr>
            <w:tcW w:w="73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Legal Actions Pending as of Last Day of Period</w:t>
            </w:r>
          </w:p>
        </w:tc>
        <w:tc>
          <w:tcPr>
            <w:tcW w:w="71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Legal Actions Initiated During Period</w:t>
            </w:r>
          </w:p>
        </w:tc>
        <w:tc>
          <w:tcPr>
            <w:tcW w:w="83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Legal Actions Resolved During Period</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3D Concrete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Lyon, Nevada (2602412)</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w:t>
            </w:r>
            <w:r>
              <w:rPr>
                <w:rFonts w:ascii="Times New Roman" w:hAnsi="Times New Roman"/>
                <w:color w:val="000000"/>
                <w:sz w:val="11"/>
              </w:rPr>
              <w:t>(1)</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American Gypsum Company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Albuquerque, NM (2900181)</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American Gypsum Company LLC</w:t>
              <w:br/>
              <w:t>Duke, OK (3400256)</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American Gypsum Company LLC</w:t>
              <w:br/>
              <w:t>Eagle, CO (0503997)</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$151</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Battletown Materials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Meade, KY (1518147)</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Battletown Quarry</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Battletown, KY (1500040)</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Bullskin Stone &amp; Lime, LLC, Fayette, PA</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(3610047)</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Centex Materials LLC</w:t>
              <w:br/>
              <w:t>Buda, TX (4102241)</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$3,345</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Plains Cement Company LLC</w:t>
              <w:br/>
              <w:t>Sugar Creek, MO (2302171)</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$151</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w:t>
            </w:r>
            <w:r>
              <w:rPr>
                <w:rFonts w:ascii="Times New Roman" w:hAnsi="Times New Roman"/>
                <w:color w:val="000000"/>
                <w:sz w:val="11"/>
              </w:rPr>
              <w:t>(1)</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Plains Cement Company LLC, Tulsa, OK (3400026)</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w:t>
            </w:r>
            <w:r>
              <w:rPr>
                <w:rFonts w:ascii="Times New Roman" w:hAnsi="Times New Roman"/>
                <w:color w:val="000000"/>
                <w:sz w:val="11"/>
              </w:rPr>
              <w:t>(1)</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w:t>
            </w:r>
            <w:r>
              <w:rPr>
                <w:rFonts w:ascii="Times New Roman" w:hAnsi="Times New Roman"/>
                <w:color w:val="000000"/>
                <w:sz w:val="11"/>
              </w:rPr>
              <w:t>(1)</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w:t>
            </w:r>
            <w:r>
              <w:rPr>
                <w:rFonts w:ascii="Times New Roman" w:hAnsi="Times New Roman"/>
                <w:color w:val="000000"/>
                <w:sz w:val="11"/>
              </w:rPr>
              <w:t>(1)</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Fairborn Cement Company LLC</w:t>
              <w:br/>
              <w:t>Greene County, OH (3300161)</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Illinois Cement Company LLC</w:t>
              <w:br/>
              <w:t>LaSalle, IL (1100003)</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Kosmos Cement Company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Jefferson, KY (1504469)</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Mountain Cement Company LLC</w:t>
              <w:br/>
              <w:t>Laramie, WY (4800007)</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w:t>
            </w:r>
            <w:r>
              <w:rPr>
                <w:rFonts w:ascii="Times New Roman" w:hAnsi="Times New Roman"/>
                <w:color w:val="000000"/>
                <w:sz w:val="11"/>
              </w:rPr>
              <w:t>(1)</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w:t>
            </w:r>
            <w:r>
              <w:rPr>
                <w:rFonts w:ascii="Times New Roman" w:hAnsi="Times New Roman"/>
                <w:color w:val="000000"/>
                <w:sz w:val="11"/>
              </w:rPr>
              <w:t>(1)</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Nevada Cement Company LLC</w:t>
              <w:br/>
              <w:t>Fernley, NV (2600015)</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Raptor Materials LLC Weld, CO (115) (504681)</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Raptor Materials LLC Weld, CO (Two Rivers) (505192)</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$151</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Seguin Sand</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Guadalupe, TX (4105665)</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Texas Lehigh Cement Company LP</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Buda, TX (4102781)</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w:t>
            </w:r>
            <w:r>
              <w:rPr>
                <w:rFonts w:ascii="Times New Roman" w:hAnsi="Times New Roman"/>
                <w:color w:val="000000"/>
                <w:sz w:val="11"/>
              </w:rPr>
              <w:t>(1)</w:t>
            </w:r>
          </w:p>
        </w:tc>
      </w:tr>
    </w:tbl>
    <w:p>
      <w:pPr>
        <w:pStyle w:val="TextBody"/>
        <w:bidi w:val="0"/>
        <w:spacing w:before="0" w:after="0"/>
        <w:jc w:val="left"/>
        <w:rPr>
          <w:rFonts w:ascii="Times New Roman" w:hAnsi="Times New Roman"/>
          <w:color w:val="000000"/>
          <w:sz w:val="16"/>
          <w:bdr w:val="single" w:sz="4" w:space="1" w:color="000000"/>
        </w:rPr>
      </w:pPr>
      <w:r>
        <w:rPr>
          <w:rFonts w:ascii="Times New Roman" w:hAnsi="Times New Roman"/>
          <w:color w:val="000000"/>
          <w:sz w:val="16"/>
          <w:bdr w:val="single" w:sz="4" w:space="1" w:color="000000"/>
        </w:rPr>
        <w:t>(1)</w:t>
      </w:r>
    </w:p>
    <w:p>
      <w:pPr>
        <w:pStyle w:val="TextBody"/>
        <w:bidi w:val="0"/>
        <w:spacing w:before="0" w:after="0"/>
        <w:jc w:val="left"/>
        <w:rPr>
          <w:rFonts w:ascii="Times New Roman" w:hAnsi="Times New Roman"/>
          <w:color w:val="000000"/>
          <w:sz w:val="16"/>
          <w:bdr w:val="single" w:sz="4" w:space="1" w:color="000000"/>
        </w:rPr>
      </w:pPr>
      <w:r>
        <w:rPr>
          <w:rFonts w:ascii="Times New Roman" w:hAnsi="Times New Roman"/>
          <w:color w:val="000000"/>
          <w:sz w:val="16"/>
          <w:bdr w:val="single" w:sz="4" w:space="1" w:color="000000"/>
        </w:rPr>
        <w:t xml:space="preserve">All legal actions were penalty contests.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8646/000095013406007120/d34975exv3w1.htm" TargetMode="External"/><Relationship Id="rId4" Type="http://schemas.openxmlformats.org/officeDocument/2006/relationships/hyperlink" Target="https://www.sec.gov/Archives/edgar/data/918646/000119312524195946/d877046dex31.htm" TargetMode="External"/><Relationship Id="rId5" Type="http://schemas.openxmlformats.org/officeDocument/2006/relationships/hyperlink" Target="https://www.sec.gov/Archives/edgar/data/918646/000095013406007120/d34975exv3w2.htm" TargetMode="External"/><Relationship Id="rId6" Type="http://schemas.openxmlformats.org/officeDocument/2006/relationships/hyperlink" Target="https://www.sec.gov/Archives/edgar/data/918646/000119312522279133/d385636dex31.htm" TargetMode="External"/><Relationship Id="rId7" Type="http://schemas.openxmlformats.org/officeDocument/2006/relationships/hyperlink" Target="https://www.sec.gov/Archives/edgar/data/918646/000119312526234580/d94893dex101.htm" TargetMode="External"/><Relationship Id="rId8" Type="http://schemas.openxmlformats.org/officeDocument/2006/relationships/hyperlink" Target="https://www.sec.gov/Archives/edgar/data/918646/000119312526234580/d94893dex101.htm" TargetMode="External"/><Relationship Id="rId9" Type="http://schemas.openxmlformats.org/officeDocument/2006/relationships/hyperlink" Target="https://www.sec.gov/Archives/edgar/data/918646/000119312526234580/d94893dex102.htm" TargetMode="External"/><Relationship Id="rId10" Type="http://schemas.openxmlformats.org/officeDocument/2006/relationships/hyperlink" Target="https://www.sec.gov/Archives/edgar/data/918646/000119312526234580/d94893dex103.htm" TargetMode="External"/><Relationship Id="rId11" Type="http://schemas.openxmlformats.org/officeDocument/2006/relationships/hyperlink" Target="https://www.sec.gov/Archives/edgar/data/918646/000119312526234580/d94893dex103.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36876</Words>
  <Characters>196142</Characters>
  <CharactersWithSpaces>245517</CharactersWithSpaces>
  <Paragraphs>18087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