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3309620</wp:posOffset>
            </wp:positionH>
            <wp:positionV relativeFrom="paragraph">
              <wp:posOffset>27305</wp:posOffset>
            </wp:positionV>
            <wp:extent cx="5486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3309620</wp:posOffset>
            </wp:positionH>
            <wp:positionV relativeFrom="paragraph">
              <wp:posOffset>43180</wp:posOffset>
            </wp:positionV>
            <wp:extent cx="5486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ANNUAL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3309620</wp:posOffset>
            </wp:positionH>
            <wp:positionV relativeFrom="paragraph">
              <wp:posOffset>29210</wp:posOffset>
            </wp:positionV>
            <wp:extent cx="548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EAGLE MATERIALS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3309620</wp:posOffset>
            </wp:positionH>
            <wp:positionV relativeFrom="paragraph">
              <wp:posOffset>38735</wp:posOffset>
            </wp:positionV>
            <wp:extent cx="548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571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 xml:space="preserve">Delaware </w:t>
      </w:r>
      <w:r>
        <w:rPr>
          <w:rFonts w:ascii="Arial" w:cs="Arial" w:eastAsia="Arial" w:hAnsi="Arial"/>
          <w:sz w:val="9"/>
          <w:szCs w:val="9"/>
          <w:color w:val="auto"/>
        </w:rPr>
        <w:t>(State of Incorporation)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 xml:space="preserve">75-2520779 </w:t>
      </w:r>
      <w:r>
        <w:rPr>
          <w:rFonts w:ascii="Arial" w:cs="Arial" w:eastAsia="Arial" w:hAnsi="Arial"/>
          <w:sz w:val="9"/>
          <w:szCs w:val="9"/>
          <w:color w:val="auto"/>
        </w:rPr>
        <w:t>(I.R.S. Employer Identification No.)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 xml:space="preserve">5960 Berkshire Lane, Suite 900, Dallas, Texas 75225 </w:t>
      </w:r>
      <w:r>
        <w:rPr>
          <w:rFonts w:ascii="Arial" w:cs="Arial" w:eastAsia="Arial" w:hAnsi="Arial"/>
          <w:sz w:val="9"/>
          <w:szCs w:val="9"/>
          <w:color w:val="auto"/>
        </w:rPr>
        <w:t>(Address of principal executive offices)</w:t>
      </w:r>
    </w:p>
    <w:p>
      <w:pPr>
        <w:spacing w:after="0" w:line="18" w:lineRule="exact"/>
        <w:rPr>
          <w:sz w:val="24"/>
          <w:szCs w:val="24"/>
          <w:color w:val="auto"/>
        </w:rPr>
      </w:pPr>
    </w:p>
    <w:p>
      <w:pPr>
        <w:ind w:left="4860" w:hanging="284"/>
        <w:spacing w:after="0"/>
        <w:tabs>
          <w:tab w:leader="none" w:pos="4860"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432-2000 </w:t>
      </w:r>
      <w:r>
        <w:rPr>
          <w:rFonts w:ascii="Arial" w:cs="Arial" w:eastAsia="Arial" w:hAnsi="Arial"/>
          <w:sz w:val="9"/>
          <w:szCs w:val="9"/>
          <w:color w:val="auto"/>
        </w:rPr>
        <w:t>(Registrant’s telephone number)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7580" w:type="dxa"/>
            <w:vAlign w:val="bottom"/>
            <w:gridSpan w:val="9"/>
          </w:tcPr>
          <w:p>
            <w:pPr>
              <w:jc w:val="center"/>
              <w:ind w:left="3649"/>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3720" w:type="dxa"/>
            <w:vAlign w:val="bottom"/>
          </w:tcPr>
          <w:p>
            <w:pPr>
              <w:spacing w:after="0"/>
              <w:rPr>
                <w:sz w:val="12"/>
                <w:szCs w:val="12"/>
                <w:color w:val="auto"/>
              </w:rPr>
            </w:pPr>
          </w:p>
        </w:tc>
      </w:tr>
      <w:tr>
        <w:trPr>
          <w:trHeight w:val="191"/>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center"/>
              <w:ind w:right="1660"/>
              <w:spacing w:after="0"/>
              <w:rPr>
                <w:sz w:val="20"/>
                <w:szCs w:val="20"/>
                <w:color w:val="auto"/>
              </w:rPr>
            </w:pPr>
            <w:r>
              <w:rPr>
                <w:rFonts w:ascii="Arial" w:cs="Arial" w:eastAsia="Arial" w:hAnsi="Arial"/>
                <w:sz w:val="11"/>
                <w:szCs w:val="11"/>
                <w:b w:val="1"/>
                <w:bCs w:val="1"/>
                <w:color w:val="auto"/>
                <w:w w:val="94"/>
              </w:rPr>
              <w:t>Trading</w:t>
            </w:r>
          </w:p>
        </w:tc>
        <w:tc>
          <w:tcPr>
            <w:tcW w:w="3720" w:type="dxa"/>
            <w:vAlign w:val="bottom"/>
          </w:tcPr>
          <w:p>
            <w:pPr>
              <w:spacing w:after="0"/>
              <w:rPr>
                <w:sz w:val="16"/>
                <w:szCs w:val="16"/>
                <w:color w:val="auto"/>
              </w:rPr>
            </w:pPr>
          </w:p>
        </w:tc>
      </w:tr>
      <w:tr>
        <w:trPr>
          <w:trHeight w:val="137"/>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1"/>
                <w:szCs w:val="11"/>
                <w:b w:val="1"/>
                <w:bCs w:val="1"/>
                <w:color w:val="auto"/>
                <w:w w:val="97"/>
              </w:rPr>
              <w:t>Symbol(s)</w:t>
            </w: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jc w:val="center"/>
              <w:ind w:right="749"/>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07"/>
        </w:trPr>
        <w:tc>
          <w:tcPr>
            <w:tcW w:w="5020" w:type="dxa"/>
            <w:vAlign w:val="bottom"/>
            <w:gridSpan w:val="3"/>
          </w:tcPr>
          <w:p>
            <w:pPr>
              <w:jc w:val="center"/>
              <w:ind w:right="520"/>
              <w:spacing w:after="0" w:line="107" w:lineRule="exact"/>
              <w:rPr>
                <w:sz w:val="20"/>
                <w:szCs w:val="20"/>
                <w:color w:val="auto"/>
              </w:rPr>
            </w:pPr>
            <w:r>
              <w:rPr>
                <w:rFonts w:ascii="Arial" w:cs="Arial" w:eastAsia="Arial" w:hAnsi="Arial"/>
                <w:sz w:val="10"/>
                <w:szCs w:val="10"/>
                <w:color w:val="auto"/>
                <w:w w:val="95"/>
              </w:rPr>
              <w:t>Common Stock (par value $.01 per share)</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0" w:type="dxa"/>
            <w:vAlign w:val="bottom"/>
            <w:gridSpan w:val="4"/>
          </w:tcPr>
          <w:p>
            <w:pPr>
              <w:jc w:val="center"/>
              <w:ind w:right="1660"/>
              <w:spacing w:after="0" w:line="107" w:lineRule="exact"/>
              <w:rPr>
                <w:sz w:val="20"/>
                <w:szCs w:val="20"/>
                <w:color w:val="auto"/>
              </w:rPr>
            </w:pPr>
            <w:r>
              <w:rPr>
                <w:rFonts w:ascii="Arial" w:cs="Arial" w:eastAsia="Arial" w:hAnsi="Arial"/>
                <w:sz w:val="10"/>
                <w:szCs w:val="10"/>
                <w:color w:val="auto"/>
                <w:w w:val="89"/>
              </w:rPr>
              <w:t>EXP</w:t>
            </w:r>
          </w:p>
        </w:tc>
        <w:tc>
          <w:tcPr>
            <w:tcW w:w="3720" w:type="dxa"/>
            <w:vAlign w:val="bottom"/>
          </w:tcPr>
          <w:p>
            <w:pPr>
              <w:jc w:val="center"/>
              <w:ind w:right="749"/>
              <w:spacing w:after="0" w:line="107" w:lineRule="exact"/>
              <w:rPr>
                <w:sz w:val="20"/>
                <w:szCs w:val="20"/>
                <w:color w:val="auto"/>
              </w:rPr>
            </w:pPr>
            <w:r>
              <w:rPr>
                <w:rFonts w:ascii="Arial" w:cs="Arial" w:eastAsia="Arial" w:hAnsi="Arial"/>
                <w:sz w:val="10"/>
                <w:szCs w:val="10"/>
                <w:color w:val="auto"/>
                <w:w w:val="94"/>
              </w:rPr>
              <w:t>New York Stock Exchange</w:t>
            </w:r>
          </w:p>
        </w:tc>
      </w:tr>
      <w:tr>
        <w:trPr>
          <w:trHeight w:val="220"/>
        </w:trPr>
        <w:tc>
          <w:tcPr>
            <w:tcW w:w="7580" w:type="dxa"/>
            <w:vAlign w:val="bottom"/>
            <w:gridSpan w:val="9"/>
          </w:tcPr>
          <w:p>
            <w:pPr>
              <w:jc w:val="center"/>
              <w:ind w:left="3669"/>
              <w:spacing w:after="0"/>
              <w:rPr>
                <w:sz w:val="20"/>
                <w:szCs w:val="20"/>
                <w:color w:val="auto"/>
              </w:rPr>
            </w:pPr>
            <w:r>
              <w:rPr>
                <w:rFonts w:ascii="Arial" w:cs="Arial" w:eastAsia="Arial" w:hAnsi="Arial"/>
                <w:sz w:val="11"/>
                <w:szCs w:val="11"/>
                <w:b w:val="1"/>
                <w:bCs w:val="1"/>
                <w:color w:val="auto"/>
                <w:w w:val="98"/>
              </w:rPr>
              <w:t>Securities registered pursuant to Section 12(g) of the Act: None</w:t>
            </w:r>
          </w:p>
        </w:tc>
        <w:tc>
          <w:tcPr>
            <w:tcW w:w="3720" w:type="dxa"/>
            <w:vAlign w:val="bottom"/>
          </w:tcPr>
          <w:p>
            <w:pPr>
              <w:spacing w:after="0"/>
              <w:rPr>
                <w:sz w:val="19"/>
                <w:szCs w:val="19"/>
                <w:color w:val="auto"/>
              </w:rPr>
            </w:pPr>
          </w:p>
        </w:tc>
      </w:tr>
      <w:tr>
        <w:trPr>
          <w:trHeight w:val="58"/>
        </w:trPr>
        <w:tc>
          <w:tcPr>
            <w:tcW w:w="502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500" w:type="dxa"/>
            <w:vAlign w:val="bottom"/>
            <w:gridSpan w:val="3"/>
          </w:tcPr>
          <w:p>
            <w:pPr>
              <w:spacing w:after="0"/>
              <w:rPr>
                <w:sz w:val="5"/>
                <w:szCs w:val="5"/>
                <w:color w:val="auto"/>
              </w:rPr>
            </w:pPr>
          </w:p>
        </w:tc>
        <w:tc>
          <w:tcPr>
            <w:tcW w:w="3720" w:type="dxa"/>
            <w:vAlign w:val="bottom"/>
          </w:tcPr>
          <w:p>
            <w:pPr>
              <w:spacing w:after="0"/>
              <w:rPr>
                <w:sz w:val="5"/>
                <w:szCs w:val="5"/>
                <w:color w:val="auto"/>
              </w:rPr>
            </w:pPr>
          </w:p>
        </w:tc>
      </w:tr>
      <w:tr>
        <w:trPr>
          <w:trHeight w:val="189"/>
        </w:trPr>
        <w:tc>
          <w:tcPr>
            <w:tcW w:w="5020" w:type="dxa"/>
            <w:vAlign w:val="bottom"/>
            <w:gridSpan w:val="3"/>
          </w:tcPr>
          <w:p>
            <w:pPr>
              <w:spacing w:after="0"/>
              <w:rPr>
                <w:sz w:val="20"/>
                <w:szCs w:val="20"/>
                <w:color w:val="auto"/>
              </w:rPr>
            </w:pPr>
            <w:r>
              <w:rPr>
                <w:rFonts w:ascii="Arial" w:cs="Arial" w:eastAsia="Arial" w:hAnsi="Arial"/>
                <w:sz w:val="10"/>
                <w:szCs w:val="10"/>
                <w:color w:val="auto"/>
                <w:w w:val="96"/>
              </w:rPr>
              <w:t>Indicate by check mark if the registrant is a well-known seasoned issuer, as defined in Rule 405 of the Securities Act.</w:t>
            </w:r>
          </w:p>
        </w:tc>
        <w:tc>
          <w:tcPr>
            <w:tcW w:w="36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tc>
        <w:tc>
          <w:tcPr>
            <w:tcW w:w="2200" w:type="dxa"/>
            <w:vAlign w:val="bottom"/>
            <w:gridSpan w:val="4"/>
          </w:tcPr>
          <w:p>
            <w:pPr>
              <w:jc w:val="center"/>
              <w:ind w:right="1660"/>
              <w:spacing w:after="0" w:line="115" w:lineRule="exact"/>
              <w:rPr>
                <w:sz w:val="20"/>
                <w:szCs w:val="20"/>
                <w:color w:val="auto"/>
              </w:rPr>
            </w:pPr>
            <w:r>
              <w:rPr>
                <w:rFonts w:ascii="Arial" w:cs="Arial" w:eastAsia="Arial" w:hAnsi="Arial"/>
                <w:sz w:val="10"/>
                <w:szCs w:val="10"/>
                <w:color w:val="auto"/>
                <w:w w:val="93"/>
              </w:rPr>
              <w:t xml:space="preserve">NO </w:t>
            </w:r>
            <w:r>
              <w:rPr>
                <w:rFonts w:ascii="MS PGothic" w:cs="MS PGothic" w:eastAsia="MS PGothic" w:hAnsi="MS PGothic"/>
                <w:sz w:val="10"/>
                <w:szCs w:val="10"/>
                <w:color w:val="auto"/>
                <w:w w:val="93"/>
              </w:rPr>
              <w:t>☐</w:t>
            </w:r>
          </w:p>
        </w:tc>
        <w:tc>
          <w:tcPr>
            <w:tcW w:w="3720" w:type="dxa"/>
            <w:vAlign w:val="bottom"/>
          </w:tcPr>
          <w:p>
            <w:pPr>
              <w:spacing w:after="0"/>
              <w:rPr>
                <w:sz w:val="16"/>
                <w:szCs w:val="16"/>
                <w:color w:val="auto"/>
              </w:rPr>
            </w:pPr>
          </w:p>
        </w:tc>
      </w:tr>
      <w:tr>
        <w:trPr>
          <w:trHeight w:val="153"/>
        </w:trPr>
        <w:tc>
          <w:tcPr>
            <w:tcW w:w="5020" w:type="dxa"/>
            <w:vAlign w:val="bottom"/>
            <w:gridSpan w:val="3"/>
          </w:tcPr>
          <w:p>
            <w:pPr>
              <w:spacing w:after="0"/>
              <w:rPr>
                <w:sz w:val="20"/>
                <w:szCs w:val="20"/>
                <w:color w:val="auto"/>
              </w:rPr>
            </w:pPr>
            <w:r>
              <w:rPr>
                <w:rFonts w:ascii="Arial" w:cs="Arial" w:eastAsia="Arial" w:hAnsi="Arial"/>
                <w:sz w:val="10"/>
                <w:szCs w:val="10"/>
                <w:color w:val="auto"/>
                <w:w w:val="95"/>
              </w:rPr>
              <w:t>Indicate by check mark if the registrant is not required to file reports pursuant to Section 13 or Section 15(d) of the Act.</w:t>
            </w:r>
          </w:p>
        </w:tc>
        <w:tc>
          <w:tcPr>
            <w:tcW w:w="360" w:type="dxa"/>
            <w:vAlign w:val="bottom"/>
            <w:gridSpan w:val="2"/>
          </w:tcPr>
          <w:p>
            <w:pPr>
              <w:ind w:left="60"/>
              <w:spacing w:after="0" w:line="115" w:lineRule="exact"/>
              <w:rPr>
                <w:sz w:val="20"/>
                <w:szCs w:val="20"/>
                <w:color w:val="auto"/>
              </w:rPr>
            </w:pPr>
            <w:r>
              <w:rPr>
                <w:rFonts w:ascii="Arial" w:cs="Arial" w:eastAsia="Arial" w:hAnsi="Arial"/>
                <w:sz w:val="10"/>
                <w:szCs w:val="10"/>
                <w:color w:val="auto"/>
                <w:w w:val="85"/>
              </w:rPr>
              <w:t xml:space="preserve">YES </w:t>
            </w:r>
            <w:r>
              <w:rPr>
                <w:rFonts w:ascii="MS PGothic" w:cs="MS PGothic" w:eastAsia="MS PGothic" w:hAnsi="MS PGothic"/>
                <w:sz w:val="10"/>
                <w:szCs w:val="10"/>
                <w:color w:val="auto"/>
                <w:w w:val="85"/>
              </w:rPr>
              <w:t>☐</w:t>
            </w:r>
          </w:p>
        </w:tc>
        <w:tc>
          <w:tcPr>
            <w:tcW w:w="2200" w:type="dxa"/>
            <w:vAlign w:val="bottom"/>
            <w:gridSpan w:val="4"/>
          </w:tcPr>
          <w:p>
            <w:pPr>
              <w:jc w:val="center"/>
              <w:ind w:right="1660"/>
              <w:spacing w:after="0" w:line="115" w:lineRule="exact"/>
              <w:rPr>
                <w:sz w:val="20"/>
                <w:szCs w:val="20"/>
                <w:color w:val="auto"/>
              </w:rPr>
            </w:pPr>
            <w:r>
              <w:rPr>
                <w:rFonts w:ascii="Arial" w:cs="Arial" w:eastAsia="Arial" w:hAnsi="Arial"/>
                <w:sz w:val="10"/>
                <w:szCs w:val="10"/>
                <w:color w:val="auto"/>
                <w:w w:val="93"/>
              </w:rPr>
              <w:t xml:space="preserve">NO </w:t>
            </w:r>
            <w:r>
              <w:rPr>
                <w:rFonts w:ascii="MS PGothic" w:cs="MS PGothic" w:eastAsia="MS PGothic" w:hAnsi="MS PGothic"/>
                <w:sz w:val="10"/>
                <w:szCs w:val="10"/>
                <w:color w:val="auto"/>
                <w:w w:val="93"/>
              </w:rPr>
              <w:t>☒</w:t>
            </w:r>
          </w:p>
        </w:tc>
        <w:tc>
          <w:tcPr>
            <w:tcW w:w="3720" w:type="dxa"/>
            <w:vAlign w:val="bottom"/>
          </w:tcPr>
          <w:p>
            <w:pPr>
              <w:spacing w:after="0"/>
              <w:rPr>
                <w:sz w:val="13"/>
                <w:szCs w:val="13"/>
                <w:color w:val="auto"/>
              </w:rPr>
            </w:pPr>
          </w:p>
        </w:tc>
      </w:tr>
    </w:tbl>
    <w:p>
      <w:pPr>
        <w:spacing w:after="0" w:line="28" w:lineRule="exact"/>
        <w:rPr>
          <w:sz w:val="24"/>
          <w:szCs w:val="24"/>
          <w:color w:val="auto"/>
        </w:rPr>
      </w:pPr>
    </w:p>
    <w:p>
      <w:pPr>
        <w:ind w:right="20"/>
        <w:spacing w:after="0" w:line="11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9" w:lineRule="exact"/>
        <w:rPr>
          <w:sz w:val="24"/>
          <w:szCs w:val="24"/>
          <w:color w:val="auto"/>
        </w:rPr>
      </w:pPr>
    </w:p>
    <w:p>
      <w:pPr>
        <w:ind w:right="260"/>
        <w:spacing w:after="0" w:line="116"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9" w:lineRule="exact"/>
        <w:rPr>
          <w:sz w:val="24"/>
          <w:szCs w:val="24"/>
          <w:color w:val="auto"/>
        </w:rPr>
      </w:pPr>
    </w:p>
    <w:p>
      <w:pPr>
        <w:ind w:right="80"/>
        <w:spacing w:after="0" w:line="232"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106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1480" w:type="dxa"/>
            <w:vAlign w:val="bottom"/>
          </w:tcPr>
          <w:p>
            <w:pPr>
              <w:ind w:left="120"/>
              <w:spacing w:after="0" w:line="101" w:lineRule="exact"/>
              <w:rPr>
                <w:sz w:val="20"/>
                <w:szCs w:val="20"/>
                <w:color w:val="auto"/>
              </w:rPr>
            </w:pPr>
            <w:r>
              <w:rPr>
                <w:rFonts w:ascii="MS PGothic" w:cs="MS PGothic" w:eastAsia="MS PGothic" w:hAnsi="MS PGothic"/>
                <w:sz w:val="10"/>
                <w:szCs w:val="10"/>
                <w:color w:val="auto"/>
              </w:rPr>
              <w:t>☒</w:t>
            </w:r>
          </w:p>
        </w:tc>
        <w:tc>
          <w:tcPr>
            <w:tcW w:w="2500" w:type="dxa"/>
            <w:vAlign w:val="bottom"/>
          </w:tcPr>
          <w:p>
            <w:pPr>
              <w:ind w:left="1680"/>
              <w:spacing w:after="0" w:line="115" w:lineRule="exact"/>
              <w:rPr>
                <w:sz w:val="20"/>
                <w:szCs w:val="20"/>
                <w:color w:val="auto"/>
              </w:rPr>
            </w:pPr>
            <w:r>
              <w:rPr>
                <w:rFonts w:ascii="Arial" w:cs="Arial" w:eastAsia="Arial" w:hAnsi="Arial"/>
                <w:sz w:val="10"/>
                <w:szCs w:val="10"/>
                <w:color w:val="auto"/>
                <w:w w:val="94"/>
              </w:rPr>
              <w:t xml:space="preserve">Accelerated filer </w:t>
            </w:r>
            <w:r>
              <w:rPr>
                <w:rFonts w:ascii="MS PGothic" w:cs="MS PGothic" w:eastAsia="MS PGothic" w:hAnsi="MS PGothic"/>
                <w:sz w:val="10"/>
                <w:szCs w:val="10"/>
                <w:color w:val="auto"/>
                <w:w w:val="94"/>
              </w:rPr>
              <w:t>☐</w:t>
            </w:r>
          </w:p>
        </w:tc>
      </w:tr>
      <w:tr>
        <w:trPr>
          <w:trHeight w:val="144"/>
        </w:trPr>
        <w:tc>
          <w:tcPr>
            <w:tcW w:w="1060" w:type="dxa"/>
            <w:vAlign w:val="bottom"/>
          </w:tcPr>
          <w:p>
            <w:pPr>
              <w:spacing w:after="0"/>
              <w:rPr>
                <w:sz w:val="20"/>
                <w:szCs w:val="20"/>
                <w:color w:val="auto"/>
              </w:rPr>
            </w:pPr>
            <w:r>
              <w:rPr>
                <w:rFonts w:ascii="Arial" w:cs="Arial" w:eastAsia="Arial" w:hAnsi="Arial"/>
                <w:sz w:val="10"/>
                <w:szCs w:val="10"/>
                <w:color w:val="auto"/>
              </w:rPr>
              <w:t>Non-accelerated filer</w:t>
            </w:r>
          </w:p>
        </w:tc>
        <w:tc>
          <w:tcPr>
            <w:tcW w:w="1480" w:type="dxa"/>
            <w:vAlign w:val="bottom"/>
          </w:tcPr>
          <w:p>
            <w:pPr>
              <w:ind w:left="140"/>
              <w:spacing w:after="0" w:line="101" w:lineRule="exact"/>
              <w:rPr>
                <w:sz w:val="20"/>
                <w:szCs w:val="20"/>
                <w:color w:val="auto"/>
              </w:rPr>
            </w:pPr>
            <w:r>
              <w:rPr>
                <w:rFonts w:ascii="MS PGothic" w:cs="MS PGothic" w:eastAsia="MS PGothic" w:hAnsi="MS PGothic"/>
                <w:sz w:val="10"/>
                <w:szCs w:val="10"/>
                <w:color w:val="auto"/>
              </w:rPr>
              <w:t>☐</w:t>
            </w:r>
          </w:p>
        </w:tc>
        <w:tc>
          <w:tcPr>
            <w:tcW w:w="2500" w:type="dxa"/>
            <w:vAlign w:val="bottom"/>
          </w:tcPr>
          <w:p>
            <w:pPr>
              <w:ind w:left="1260"/>
              <w:spacing w:after="0" w:line="115" w:lineRule="exact"/>
              <w:rPr>
                <w:sz w:val="20"/>
                <w:szCs w:val="20"/>
                <w:color w:val="auto"/>
              </w:rPr>
            </w:pPr>
            <w:r>
              <w:rPr>
                <w:rFonts w:ascii="Arial" w:cs="Arial" w:eastAsia="Arial" w:hAnsi="Arial"/>
                <w:sz w:val="10"/>
                <w:szCs w:val="10"/>
                <w:color w:val="auto"/>
                <w:w w:val="92"/>
              </w:rPr>
              <w:t xml:space="preserve">Smaller reporting company </w:t>
            </w:r>
            <w:r>
              <w:rPr>
                <w:rFonts w:ascii="MS PGothic" w:cs="MS PGothic" w:eastAsia="MS PGothic" w:hAnsi="MS PGothic"/>
                <w:sz w:val="10"/>
                <w:szCs w:val="10"/>
                <w:color w:val="auto"/>
                <w:w w:val="92"/>
              </w:rPr>
              <w:t>☐</w:t>
            </w:r>
          </w:p>
        </w:tc>
      </w:tr>
      <w:tr>
        <w:trPr>
          <w:trHeight w:val="149"/>
        </w:trPr>
        <w:tc>
          <w:tcPr>
            <w:tcW w:w="254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tc>
        <w:tc>
          <w:tcPr>
            <w:tcW w:w="2500" w:type="dxa"/>
            <w:vAlign w:val="bottom"/>
          </w:tcPr>
          <w:p>
            <w:pPr>
              <w:spacing w:after="0"/>
              <w:rPr>
                <w:sz w:val="12"/>
                <w:szCs w:val="12"/>
                <w:color w:val="auto"/>
              </w:rPr>
            </w:pPr>
          </w:p>
        </w:tc>
      </w:tr>
    </w:tbl>
    <w:p>
      <w:pPr>
        <w:spacing w:after="0" w:line="4" w:lineRule="exact"/>
        <w:rPr>
          <w:sz w:val="24"/>
          <w:szCs w:val="24"/>
          <w:color w:val="auto"/>
        </w:rPr>
      </w:pPr>
    </w:p>
    <w:p>
      <w:pPr>
        <w:spacing w:after="0" w:line="92" w:lineRule="exact"/>
        <w:tabs>
          <w:tab w:leader="none" w:pos="10740" w:val="left"/>
        </w:tabs>
        <w:rPr>
          <w:sz w:val="20"/>
          <w:szCs w:val="20"/>
          <w:color w:val="auto"/>
        </w:rPr>
      </w:pPr>
      <w:r>
        <w:rPr>
          <w:rFonts w:ascii="Arial" w:cs="Arial" w:eastAsia="Arial" w:hAnsi="Arial"/>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8"/>
          <w:szCs w:val="8"/>
          <w:color w:val="auto"/>
        </w:rPr>
        <w:t>☐</w:t>
      </w:r>
    </w:p>
    <w:p>
      <w:pPr>
        <w:spacing w:after="0" w:line="85" w:lineRule="exact"/>
        <w:rPr>
          <w:sz w:val="24"/>
          <w:szCs w:val="24"/>
          <w:color w:val="auto"/>
        </w:rPr>
      </w:pPr>
    </w:p>
    <w:p>
      <w:pPr>
        <w:ind w:right="20"/>
        <w:spacing w:after="0" w:line="116"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5" w:lineRule="exact"/>
        <w:rPr>
          <w:sz w:val="24"/>
          <w:szCs w:val="24"/>
          <w:color w:val="auto"/>
        </w:rPr>
      </w:pPr>
    </w:p>
    <w:p>
      <w:pPr>
        <w:spacing w:after="0" w:line="115" w:lineRule="exact"/>
        <w:tabs>
          <w:tab w:leader="none" w:pos="478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voting stock held by nonaffiliates of the Company at September 30, 2020 (the last business day of the registrant’s most recently completed second fiscal quarter) was approximately $3.6 billion.</w:t>
      </w:r>
    </w:p>
    <w:p>
      <w:pPr>
        <w:spacing w:after="0" w:line="29" w:lineRule="exact"/>
        <w:rPr>
          <w:sz w:val="24"/>
          <w:szCs w:val="24"/>
          <w:color w:val="auto"/>
        </w:rPr>
      </w:pPr>
    </w:p>
    <w:p>
      <w:pPr>
        <w:spacing w:after="0"/>
        <w:rPr>
          <w:sz w:val="20"/>
          <w:szCs w:val="20"/>
          <w:color w:val="auto"/>
        </w:rPr>
      </w:pPr>
      <w:r>
        <w:rPr>
          <w:rFonts w:ascii="Arial" w:cs="Arial" w:eastAsia="Arial" w:hAnsi="Arial"/>
          <w:sz w:val="10"/>
          <w:szCs w:val="10"/>
          <w:color w:val="auto"/>
        </w:rPr>
        <w:t>As of May 18, 2021, the number of outstanding shares of common stock was:</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04"/>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Class</w:t>
            </w:r>
          </w:p>
        </w:tc>
        <w:tc>
          <w:tcPr>
            <w:tcW w:w="220" w:type="dxa"/>
            <w:vAlign w:val="bottom"/>
          </w:tcPr>
          <w:p>
            <w:pPr>
              <w:spacing w:after="0"/>
              <w:rPr>
                <w:sz w:val="9"/>
                <w:szCs w:val="9"/>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Outstanding Shares</w:t>
            </w:r>
          </w:p>
        </w:tc>
      </w:tr>
      <w:tr>
        <w:trPr>
          <w:trHeight w:val="152"/>
        </w:trPr>
        <w:tc>
          <w:tcPr>
            <w:tcW w:w="5760" w:type="dxa"/>
            <w:vAlign w:val="bottom"/>
            <w:gridSpan w:val="2"/>
          </w:tcPr>
          <w:p>
            <w:pPr>
              <w:jc w:val="center"/>
              <w:ind w:right="220"/>
              <w:spacing w:after="0"/>
              <w:rPr>
                <w:sz w:val="20"/>
                <w:szCs w:val="20"/>
                <w:color w:val="auto"/>
              </w:rPr>
            </w:pPr>
            <w:r>
              <w:rPr>
                <w:rFonts w:ascii="Arial" w:cs="Arial" w:eastAsia="Arial" w:hAnsi="Arial"/>
                <w:sz w:val="10"/>
                <w:szCs w:val="10"/>
                <w:color w:val="auto"/>
                <w:w w:val="95"/>
              </w:rPr>
              <w:t>Common Stock, $.01 Par Value</w:t>
            </w:r>
          </w:p>
        </w:tc>
        <w:tc>
          <w:tcPr>
            <w:tcW w:w="5540" w:type="dxa"/>
            <w:vAlign w:val="bottom"/>
          </w:tcPr>
          <w:p>
            <w:pPr>
              <w:jc w:val="right"/>
              <w:ind w:right="2495"/>
              <w:spacing w:after="0"/>
              <w:rPr>
                <w:sz w:val="20"/>
                <w:szCs w:val="20"/>
                <w:color w:val="auto"/>
              </w:rPr>
            </w:pPr>
            <w:r>
              <w:rPr>
                <w:rFonts w:ascii="Arial" w:cs="Arial" w:eastAsia="Arial" w:hAnsi="Arial"/>
                <w:sz w:val="10"/>
                <w:szCs w:val="10"/>
                <w:color w:val="auto"/>
              </w:rPr>
              <w:t>42,380,309</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49" w:lineRule="exact"/>
        <w:rPr>
          <w:sz w:val="24"/>
          <w:szCs w:val="24"/>
          <w:color w:val="auto"/>
        </w:rPr>
      </w:pPr>
    </w:p>
    <w:p>
      <w:pPr>
        <w:spacing w:after="0"/>
        <w:rPr>
          <w:sz w:val="20"/>
          <w:szCs w:val="20"/>
          <w:color w:val="auto"/>
        </w:rPr>
      </w:pPr>
      <w:r>
        <w:rPr>
          <w:rFonts w:ascii="Arial" w:cs="Arial" w:eastAsia="Arial" w:hAnsi="Arial"/>
          <w:sz w:val="10"/>
          <w:szCs w:val="10"/>
          <w:color w:val="auto"/>
        </w:rPr>
        <w:t>Portions of the Proxy Statement for the Annual Meeting of Stockholders of Eagle Materials Inc. to be held on August 3, 2021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1" w:right="29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TABLE OF CONTENTS</w:t>
      </w:r>
    </w:p>
    <w:p>
      <w:pPr>
        <w:spacing w:after="0" w:line="400" w:lineRule="exact"/>
        <w:rPr>
          <w:sz w:val="20"/>
          <w:szCs w:val="20"/>
          <w:color w:val="auto"/>
        </w:rPr>
      </w:pPr>
    </w:p>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PART I</w:t>
        </w:r>
      </w:hyperlink>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80" w:type="dxa"/>
            <w:vAlign w:val="bottom"/>
            <w:gridSpan w:val="6"/>
          </w:tcPr>
          <w:p>
            <w:pPr>
              <w:spacing w:after="0"/>
              <w:rPr>
                <w:sz w:val="20"/>
                <w:szCs w:val="20"/>
                <w:color w:val="auto"/>
              </w:rPr>
            </w:pPr>
            <w:r>
              <w:rPr>
                <w:rFonts w:ascii="Arial" w:cs="Arial" w:eastAsia="Arial" w:hAnsi="Arial"/>
                <w:sz w:val="12"/>
                <w:szCs w:val="12"/>
                <w:color w:val="auto"/>
              </w:rPr>
              <w:t>Item 1.</w:t>
            </w:r>
          </w:p>
        </w:tc>
        <w:tc>
          <w:tcPr>
            <w:tcW w:w="500" w:type="dxa"/>
            <w:vAlign w:val="bottom"/>
            <w:tcBorders>
              <w:bottom w:val="single" w:sz="8" w:color="0000EE"/>
            </w:tcBorders>
            <w:gridSpan w:val="2"/>
          </w:tcPr>
          <w:p>
            <w:pPr>
              <w:spacing w:after="0"/>
              <w:rPr>
                <w:rFonts w:ascii="Arial" w:cs="Arial" w:eastAsia="Arial" w:hAnsi="Arial"/>
                <w:sz w:val="12"/>
                <w:szCs w:val="12"/>
                <w:color w:val="0000EE"/>
                <w:w w:val="98"/>
              </w:rPr>
            </w:pPr>
            <w:hyperlink w:anchor="page3">
              <w:r>
                <w:rPr>
                  <w:rFonts w:ascii="Arial" w:cs="Arial" w:eastAsia="Arial" w:hAnsi="Arial"/>
                  <w:sz w:val="12"/>
                  <w:szCs w:val="12"/>
                  <w:color w:val="0000EE"/>
                  <w:w w:val="98"/>
                </w:rPr>
                <w:t>Business</w:t>
              </w:r>
            </w:hyperlink>
          </w:p>
        </w:tc>
        <w:tc>
          <w:tcPr>
            <w:tcW w:w="5460" w:type="dxa"/>
            <w:vAlign w:val="bottom"/>
            <w:gridSpan w:val="20"/>
          </w:tcPr>
          <w:p>
            <w:pPr>
              <w:spacing w:after="0"/>
              <w:rPr>
                <w:sz w:val="12"/>
                <w:szCs w:val="12"/>
                <w:color w:val="auto"/>
              </w:rPr>
            </w:pPr>
          </w:p>
        </w:tc>
      </w:tr>
      <w:tr>
        <w:trPr>
          <w:trHeight w:val="124"/>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bottom w:val="single" w:sz="8" w:color="0000EE"/>
            </w:tcBorders>
            <w:gridSpan w:val="3"/>
          </w:tcPr>
          <w:p>
            <w:pPr>
              <w:spacing w:after="0" w:line="124" w:lineRule="exact"/>
              <w:rPr>
                <w:rFonts w:ascii="Arial" w:cs="Arial" w:eastAsia="Arial" w:hAnsi="Arial"/>
                <w:sz w:val="12"/>
                <w:szCs w:val="12"/>
                <w:color w:val="0000EE"/>
                <w:w w:val="95"/>
              </w:rPr>
            </w:pPr>
            <w:hyperlink w:anchor="page3">
              <w:r>
                <w:rPr>
                  <w:rFonts w:ascii="Arial" w:cs="Arial" w:eastAsia="Arial" w:hAnsi="Arial"/>
                  <w:sz w:val="12"/>
                  <w:szCs w:val="12"/>
                  <w:color w:val="0000EE"/>
                  <w:w w:val="95"/>
                </w:rPr>
                <w:t>Overview</w:t>
              </w:r>
            </w:hyperlink>
          </w:p>
        </w:tc>
        <w:tc>
          <w:tcPr>
            <w:tcW w:w="5300" w:type="dxa"/>
            <w:vAlign w:val="bottom"/>
            <w:gridSpan w:val="18"/>
          </w:tcPr>
          <w:p>
            <w:pPr>
              <w:spacing w:after="0"/>
              <w:rPr>
                <w:sz w:val="10"/>
                <w:szCs w:val="10"/>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0" w:type="dxa"/>
            <w:vAlign w:val="bottom"/>
            <w:gridSpan w:val="21"/>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Fiscal 2021 Highlights</w:t>
              </w:r>
            </w:hyperlink>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0000EE"/>
            </w:tcBorders>
            <w:gridSpan w:val="8"/>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Human Capital</w:t>
              </w:r>
            </w:hyperlink>
          </w:p>
        </w:tc>
        <w:tc>
          <w:tcPr>
            <w:tcW w:w="4640" w:type="dxa"/>
            <w:vAlign w:val="bottom"/>
            <w:gridSpan w:val="13"/>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0" w:type="dxa"/>
            <w:vAlign w:val="bottom"/>
            <w:gridSpan w:val="21"/>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Industry Segment Information</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0" w:type="dxa"/>
            <w:vAlign w:val="bottom"/>
            <w:gridSpan w:val="21"/>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Where You Can Find More Information</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1A.</w:t>
            </w:r>
          </w:p>
        </w:tc>
        <w:tc>
          <w:tcPr>
            <w:tcW w:w="680" w:type="dxa"/>
            <w:vAlign w:val="bottom"/>
            <w:tcBorders>
              <w:bottom w:val="single" w:sz="8" w:color="0000EE"/>
            </w:tcBorders>
            <w:gridSpan w:val="5"/>
          </w:tcPr>
          <w:p>
            <w:pPr>
              <w:spacing w:after="0"/>
              <w:rPr>
                <w:rFonts w:ascii="Arial" w:cs="Arial" w:eastAsia="Arial" w:hAnsi="Arial"/>
                <w:sz w:val="12"/>
                <w:szCs w:val="12"/>
                <w:color w:val="0000EE"/>
                <w:w w:val="98"/>
              </w:rPr>
            </w:pPr>
            <w:hyperlink w:anchor="page22">
              <w:r>
                <w:rPr>
                  <w:rFonts w:ascii="Arial" w:cs="Arial" w:eastAsia="Arial" w:hAnsi="Arial"/>
                  <w:sz w:val="12"/>
                  <w:szCs w:val="12"/>
                  <w:color w:val="0000EE"/>
                  <w:w w:val="98"/>
                </w:rPr>
                <w:t>Risk Factors</w:t>
              </w:r>
            </w:hyperlink>
          </w:p>
        </w:tc>
        <w:tc>
          <w:tcPr>
            <w:tcW w:w="5280" w:type="dxa"/>
            <w:vAlign w:val="bottom"/>
            <w:gridSpan w:val="17"/>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1B.</w:t>
            </w:r>
          </w:p>
        </w:tc>
        <w:tc>
          <w:tcPr>
            <w:tcW w:w="5960" w:type="dxa"/>
            <w:vAlign w:val="bottom"/>
            <w:gridSpan w:val="22"/>
          </w:tcPr>
          <w:p>
            <w:pPr>
              <w:spacing w:after="0"/>
              <w:rPr>
                <w:rFonts w:ascii="Arial" w:cs="Arial" w:eastAsia="Arial" w:hAnsi="Arial"/>
                <w:sz w:val="12"/>
                <w:szCs w:val="12"/>
                <w:color w:val="0000EE"/>
              </w:rPr>
            </w:pPr>
            <w:hyperlink w:anchor="page34">
              <w:r>
                <w:rPr>
                  <w:rFonts w:ascii="Arial" w:cs="Arial" w:eastAsia="Arial" w:hAnsi="Arial"/>
                  <w:sz w:val="12"/>
                  <w:szCs w:val="12"/>
                  <w:color w:val="0000EE"/>
                </w:rPr>
                <w:t>Unresolved Staff Comments</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2.</w:t>
            </w:r>
          </w:p>
        </w:tc>
        <w:tc>
          <w:tcPr>
            <w:tcW w:w="560" w:type="dxa"/>
            <w:vAlign w:val="bottom"/>
            <w:tcBorders>
              <w:top w:val="single" w:sz="8" w:color="0000EE"/>
              <w:bottom w:val="single" w:sz="8" w:color="0000EE"/>
            </w:tcBorders>
            <w:gridSpan w:val="3"/>
          </w:tcPr>
          <w:p>
            <w:pPr>
              <w:spacing w:after="0"/>
              <w:rPr>
                <w:rFonts w:ascii="Arial" w:cs="Arial" w:eastAsia="Arial" w:hAnsi="Arial"/>
                <w:sz w:val="12"/>
                <w:szCs w:val="12"/>
                <w:color w:val="0000EE"/>
                <w:w w:val="98"/>
              </w:rPr>
            </w:pPr>
            <w:hyperlink w:anchor="page34">
              <w:r>
                <w:rPr>
                  <w:rFonts w:ascii="Arial" w:cs="Arial" w:eastAsia="Arial" w:hAnsi="Arial"/>
                  <w:sz w:val="12"/>
                  <w:szCs w:val="12"/>
                  <w:color w:val="0000EE"/>
                  <w:w w:val="98"/>
                </w:rPr>
                <w:t>Properties</w:t>
              </w:r>
            </w:hyperlink>
          </w:p>
        </w:tc>
        <w:tc>
          <w:tcPr>
            <w:tcW w:w="940" w:type="dxa"/>
            <w:vAlign w:val="bottom"/>
            <w:tcBorders>
              <w:top w:val="single" w:sz="8" w:color="0000EE"/>
            </w:tcBorders>
            <w:gridSpan w:val="8"/>
          </w:tcPr>
          <w:p>
            <w:pPr>
              <w:spacing w:after="0"/>
              <w:rPr>
                <w:sz w:val="12"/>
                <w:szCs w:val="12"/>
                <w:color w:val="auto"/>
              </w:rPr>
            </w:pPr>
          </w:p>
        </w:tc>
        <w:tc>
          <w:tcPr>
            <w:tcW w:w="4460" w:type="dxa"/>
            <w:vAlign w:val="bottom"/>
            <w:gridSpan w:val="11"/>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3.</w:t>
            </w:r>
          </w:p>
        </w:tc>
        <w:tc>
          <w:tcPr>
            <w:tcW w:w="5960" w:type="dxa"/>
            <w:vAlign w:val="bottom"/>
            <w:gridSpan w:val="22"/>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Legal Proceedings</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4.</w:t>
            </w:r>
          </w:p>
        </w:tc>
        <w:tc>
          <w:tcPr>
            <w:tcW w:w="5960" w:type="dxa"/>
            <w:vAlign w:val="bottom"/>
            <w:gridSpan w:val="22"/>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Mine Safety Disclosures</w:t>
              </w:r>
            </w:hyperlink>
          </w:p>
        </w:tc>
      </w:tr>
      <w:tr>
        <w:trPr>
          <w:trHeight w:val="304"/>
        </w:trPr>
        <w:tc>
          <w:tcPr>
            <w:tcW w:w="1280" w:type="dxa"/>
            <w:vAlign w:val="bottom"/>
            <w:gridSpan w:val="6"/>
          </w:tcPr>
          <w:p>
            <w:pPr>
              <w:spacing w:after="0"/>
              <w:rPr>
                <w:rFonts w:ascii="Arial" w:cs="Arial" w:eastAsia="Arial" w:hAnsi="Arial"/>
                <w:sz w:val="12"/>
                <w:szCs w:val="12"/>
                <w:b w:val="1"/>
                <w:bCs w:val="1"/>
                <w:color w:val="0000EE"/>
              </w:rPr>
            </w:pPr>
            <w:hyperlink w:anchor="page36">
              <w:r>
                <w:rPr>
                  <w:rFonts w:ascii="Arial" w:cs="Arial" w:eastAsia="Arial" w:hAnsi="Arial"/>
                  <w:sz w:val="12"/>
                  <w:szCs w:val="12"/>
                  <w:b w:val="1"/>
                  <w:bCs w:val="1"/>
                  <w:color w:val="0000EE"/>
                </w:rPr>
                <w:t>PART II</w:t>
              </w:r>
            </w:hyperlink>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1"/>
        </w:trPr>
        <w:tc>
          <w:tcPr>
            <w:tcW w:w="400" w:type="dxa"/>
            <w:vAlign w:val="bottom"/>
            <w:tcBorders>
              <w:top w:val="single" w:sz="8" w:color="0000EE"/>
            </w:tcBorders>
          </w:tcPr>
          <w:p>
            <w:pPr>
              <w:spacing w:after="0"/>
              <w:rPr>
                <w:sz w:val="20"/>
                <w:szCs w:val="20"/>
                <w:color w:val="auto"/>
              </w:rPr>
            </w:pPr>
            <w:r>
              <w:rPr>
                <w:rFonts w:ascii="Arial" w:cs="Arial" w:eastAsia="Arial" w:hAnsi="Arial"/>
                <w:sz w:val="12"/>
                <w:szCs w:val="12"/>
                <w:color w:val="auto"/>
              </w:rPr>
              <w:t>Item 5.</w:t>
            </w:r>
          </w:p>
        </w:tc>
        <w:tc>
          <w:tcPr>
            <w:tcW w:w="880" w:type="dxa"/>
            <w:vAlign w:val="bottom"/>
            <w:gridSpan w:val="5"/>
          </w:tcPr>
          <w:p>
            <w:pPr>
              <w:spacing w:after="0"/>
              <w:rPr>
                <w:sz w:val="24"/>
                <w:szCs w:val="24"/>
                <w:color w:val="auto"/>
              </w:rPr>
            </w:pPr>
          </w:p>
        </w:tc>
        <w:tc>
          <w:tcPr>
            <w:tcW w:w="5960" w:type="dxa"/>
            <w:vAlign w:val="bottom"/>
            <w:tcBorders>
              <w:bottom w:val="single" w:sz="8" w:color="0000EE"/>
            </w:tcBorders>
            <w:gridSpan w:val="22"/>
          </w:tcPr>
          <w:p>
            <w:pPr>
              <w:spacing w:after="0"/>
              <w:rPr>
                <w:rFonts w:ascii="Arial" w:cs="Arial" w:eastAsia="Arial" w:hAnsi="Arial"/>
                <w:sz w:val="12"/>
                <w:szCs w:val="12"/>
                <w:color w:val="0000EE"/>
                <w:w w:val="99"/>
              </w:rPr>
            </w:pPr>
            <w:hyperlink w:anchor="page36">
              <w:r>
                <w:rPr>
                  <w:rFonts w:ascii="Arial" w:cs="Arial" w:eastAsia="Arial" w:hAnsi="Arial"/>
                  <w:sz w:val="12"/>
                  <w:szCs w:val="12"/>
                  <w:color w:val="0000EE"/>
                  <w:w w:val="99"/>
                </w:rPr>
                <w:t>Market for Registrant’s Common Equity, Related Stockholder Matters, and Issuer Purchases of Equity Securities</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6.</w:t>
            </w:r>
          </w:p>
        </w:tc>
        <w:tc>
          <w:tcPr>
            <w:tcW w:w="1280" w:type="dxa"/>
            <w:vAlign w:val="bottom"/>
            <w:tcBorders>
              <w:bottom w:val="single" w:sz="8" w:color="0000EE"/>
            </w:tcBorders>
            <w:gridSpan w:val="7"/>
          </w:tcPr>
          <w:p>
            <w:pPr>
              <w:spacing w:after="0"/>
              <w:rPr>
                <w:rFonts w:ascii="Arial" w:cs="Arial" w:eastAsia="Arial" w:hAnsi="Arial"/>
                <w:sz w:val="12"/>
                <w:szCs w:val="12"/>
                <w:color w:val="0000EE"/>
                <w:w w:val="99"/>
              </w:rPr>
            </w:pPr>
            <w:hyperlink w:anchor="page38">
              <w:r>
                <w:rPr>
                  <w:rFonts w:ascii="Arial" w:cs="Arial" w:eastAsia="Arial" w:hAnsi="Arial"/>
                  <w:sz w:val="12"/>
                  <w:szCs w:val="12"/>
                  <w:color w:val="0000EE"/>
                  <w:w w:val="99"/>
                </w:rPr>
                <w:t>Selected Financial Data</w:t>
              </w:r>
            </w:hyperlink>
          </w:p>
        </w:tc>
        <w:tc>
          <w:tcPr>
            <w:tcW w:w="4680" w:type="dxa"/>
            <w:vAlign w:val="bottom"/>
            <w:gridSpan w:val="15"/>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7.</w:t>
            </w:r>
          </w:p>
        </w:tc>
        <w:tc>
          <w:tcPr>
            <w:tcW w:w="5960" w:type="dxa"/>
            <w:vAlign w:val="bottom"/>
            <w:gridSpan w:val="22"/>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Management’s Discussion and Analysis of Financial Condition and Results of Operations</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7A.</w:t>
            </w:r>
          </w:p>
        </w:tc>
        <w:tc>
          <w:tcPr>
            <w:tcW w:w="4720" w:type="dxa"/>
            <w:vAlign w:val="bottom"/>
            <w:tcBorders>
              <w:top w:val="single" w:sz="8" w:color="0000EE"/>
            </w:tcBorders>
            <w:gridSpan w:val="19"/>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Quantitative and Qualitative Disclosures About Market Risk</w:t>
              </w:r>
            </w:hyperlink>
          </w:p>
        </w:tc>
        <w:tc>
          <w:tcPr>
            <w:tcW w:w="1240" w:type="dxa"/>
            <w:vAlign w:val="bottom"/>
            <w:gridSpan w:val="3"/>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8.</w:t>
            </w:r>
          </w:p>
        </w:tc>
        <w:tc>
          <w:tcPr>
            <w:tcW w:w="3140" w:type="dxa"/>
            <w:vAlign w:val="bottom"/>
            <w:tcBorders>
              <w:top w:val="single" w:sz="8" w:color="0000EE"/>
            </w:tcBorders>
            <w:gridSpan w:val="17"/>
          </w:tcPr>
          <w:p>
            <w:pPr>
              <w:spacing w:after="0"/>
              <w:rPr>
                <w:rFonts w:ascii="Arial" w:cs="Arial" w:eastAsia="Arial" w:hAnsi="Arial"/>
                <w:sz w:val="12"/>
                <w:szCs w:val="12"/>
                <w:color w:val="0000EE"/>
              </w:rPr>
            </w:pPr>
            <w:hyperlink w:anchor="page57">
              <w:r>
                <w:rPr>
                  <w:rFonts w:ascii="Arial" w:cs="Arial" w:eastAsia="Arial" w:hAnsi="Arial"/>
                  <w:sz w:val="12"/>
                  <w:szCs w:val="12"/>
                  <w:color w:val="0000EE"/>
                </w:rPr>
                <w:t>Financial Statements and Supplementary Data</w:t>
              </w:r>
            </w:hyperlink>
          </w:p>
        </w:tc>
        <w:tc>
          <w:tcPr>
            <w:tcW w:w="2820" w:type="dxa"/>
            <w:vAlign w:val="bottom"/>
            <w:gridSpan w:val="5"/>
          </w:tcPr>
          <w:p>
            <w:pPr>
              <w:spacing w:after="0"/>
              <w:rPr>
                <w:sz w:val="12"/>
                <w:szCs w:val="12"/>
                <w:color w:val="auto"/>
              </w:rPr>
            </w:pPr>
          </w:p>
        </w:tc>
      </w:tr>
      <w:tr>
        <w:trPr>
          <w:trHeight w:val="20"/>
        </w:trPr>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9.</w:t>
            </w:r>
          </w:p>
        </w:tc>
        <w:tc>
          <w:tcPr>
            <w:tcW w:w="5960" w:type="dxa"/>
            <w:vAlign w:val="bottom"/>
            <w:gridSpan w:val="22"/>
          </w:tcPr>
          <w:p>
            <w:pPr>
              <w:spacing w:after="0"/>
              <w:rPr>
                <w:rFonts w:ascii="Arial" w:cs="Arial" w:eastAsia="Arial" w:hAnsi="Arial"/>
                <w:sz w:val="12"/>
                <w:szCs w:val="12"/>
                <w:color w:val="0000EE"/>
              </w:rPr>
            </w:pPr>
            <w:hyperlink w:anchor="page116">
              <w:r>
                <w:rPr>
                  <w:rFonts w:ascii="Arial" w:cs="Arial" w:eastAsia="Arial" w:hAnsi="Arial"/>
                  <w:sz w:val="12"/>
                  <w:szCs w:val="12"/>
                  <w:color w:val="0000EE"/>
                </w:rPr>
                <w:t>Changes in and Disagreements with Accountants on Accounting and Financial Disclosure</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9A.</w:t>
            </w:r>
          </w:p>
        </w:tc>
        <w:tc>
          <w:tcPr>
            <w:tcW w:w="1340" w:type="dxa"/>
            <w:vAlign w:val="bottom"/>
            <w:tcBorders>
              <w:top w:val="single" w:sz="8" w:color="0000EE"/>
              <w:bottom w:val="single" w:sz="8" w:color="0000EE"/>
            </w:tcBorders>
            <w:gridSpan w:val="10"/>
          </w:tcPr>
          <w:p>
            <w:pPr>
              <w:spacing w:after="0"/>
              <w:rPr>
                <w:rFonts w:ascii="Arial" w:cs="Arial" w:eastAsia="Arial" w:hAnsi="Arial"/>
                <w:sz w:val="12"/>
                <w:szCs w:val="12"/>
                <w:color w:val="0000EE"/>
                <w:w w:val="99"/>
              </w:rPr>
            </w:pPr>
            <w:hyperlink w:anchor="page116">
              <w:r>
                <w:rPr>
                  <w:rFonts w:ascii="Arial" w:cs="Arial" w:eastAsia="Arial" w:hAnsi="Arial"/>
                  <w:sz w:val="12"/>
                  <w:szCs w:val="12"/>
                  <w:color w:val="0000EE"/>
                  <w:w w:val="99"/>
                </w:rPr>
                <w:t>Controls and Procedures</w:t>
              </w:r>
            </w:hyperlink>
          </w:p>
        </w:tc>
        <w:tc>
          <w:tcPr>
            <w:tcW w:w="3420" w:type="dxa"/>
            <w:vAlign w:val="bottom"/>
            <w:tcBorders>
              <w:top w:val="single" w:sz="8" w:color="0000EE"/>
            </w:tcBorders>
            <w:gridSpan w:val="10"/>
          </w:tcPr>
          <w:p>
            <w:pPr>
              <w:spacing w:after="0"/>
              <w:rPr>
                <w:sz w:val="12"/>
                <w:szCs w:val="12"/>
                <w:color w:val="auto"/>
              </w:rPr>
            </w:pPr>
          </w:p>
        </w:tc>
        <w:tc>
          <w:tcPr>
            <w:tcW w:w="1200" w:type="dxa"/>
            <w:vAlign w:val="bottom"/>
            <w:gridSpan w:val="2"/>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9B.</w:t>
            </w:r>
          </w:p>
        </w:tc>
        <w:tc>
          <w:tcPr>
            <w:tcW w:w="5960" w:type="dxa"/>
            <w:vAlign w:val="bottom"/>
            <w:gridSpan w:val="22"/>
          </w:tcPr>
          <w:p>
            <w:pPr>
              <w:spacing w:after="0"/>
              <w:rPr>
                <w:rFonts w:ascii="Arial" w:cs="Arial" w:eastAsia="Arial" w:hAnsi="Arial"/>
                <w:sz w:val="12"/>
                <w:szCs w:val="12"/>
                <w:color w:val="0000EE"/>
              </w:rPr>
            </w:pPr>
            <w:hyperlink w:anchor="page118">
              <w:r>
                <w:rPr>
                  <w:rFonts w:ascii="Arial" w:cs="Arial" w:eastAsia="Arial" w:hAnsi="Arial"/>
                  <w:sz w:val="12"/>
                  <w:szCs w:val="12"/>
                  <w:color w:val="0000EE"/>
                </w:rPr>
                <w:t>Other Information</w:t>
              </w:r>
            </w:hyperlink>
          </w:p>
        </w:tc>
      </w:tr>
      <w:tr>
        <w:trPr>
          <w:trHeight w:val="304"/>
        </w:trPr>
        <w:tc>
          <w:tcPr>
            <w:tcW w:w="1280" w:type="dxa"/>
            <w:vAlign w:val="bottom"/>
            <w:gridSpan w:val="6"/>
          </w:tcPr>
          <w:p>
            <w:pPr>
              <w:spacing w:after="0"/>
              <w:rPr>
                <w:rFonts w:ascii="Arial" w:cs="Arial" w:eastAsia="Arial" w:hAnsi="Arial"/>
                <w:sz w:val="12"/>
                <w:szCs w:val="12"/>
                <w:b w:val="1"/>
                <w:bCs w:val="1"/>
                <w:color w:val="0000EE"/>
              </w:rPr>
            </w:pPr>
            <w:hyperlink w:anchor="page119">
              <w:r>
                <w:rPr>
                  <w:rFonts w:ascii="Arial" w:cs="Arial" w:eastAsia="Arial" w:hAnsi="Arial"/>
                  <w:sz w:val="12"/>
                  <w:szCs w:val="12"/>
                  <w:b w:val="1"/>
                  <w:bCs w:val="1"/>
                  <w:color w:val="0000EE"/>
                </w:rPr>
                <w:t>PART III</w:t>
              </w:r>
            </w:hyperlink>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1"/>
        </w:trPr>
        <w:tc>
          <w:tcPr>
            <w:tcW w:w="440" w:type="dxa"/>
            <w:vAlign w:val="bottom"/>
            <w:tcBorders>
              <w:top w:val="single" w:sz="8" w:color="0000EE"/>
            </w:tcBorders>
            <w:gridSpan w:val="2"/>
          </w:tcPr>
          <w:p>
            <w:pPr>
              <w:spacing w:after="0"/>
              <w:rPr>
                <w:sz w:val="20"/>
                <w:szCs w:val="20"/>
                <w:color w:val="auto"/>
              </w:rPr>
            </w:pPr>
            <w:r>
              <w:rPr>
                <w:rFonts w:ascii="Arial" w:cs="Arial" w:eastAsia="Arial" w:hAnsi="Arial"/>
                <w:sz w:val="12"/>
                <w:szCs w:val="12"/>
                <w:color w:val="auto"/>
                <w:w w:val="96"/>
              </w:rPr>
              <w:t>Item 10.</w:t>
            </w:r>
          </w:p>
        </w:tc>
        <w:tc>
          <w:tcPr>
            <w:tcW w:w="840" w:type="dxa"/>
            <w:vAlign w:val="bottom"/>
            <w:gridSpan w:val="4"/>
          </w:tcPr>
          <w:p>
            <w:pPr>
              <w:spacing w:after="0"/>
              <w:rPr>
                <w:sz w:val="24"/>
                <w:szCs w:val="24"/>
                <w:color w:val="auto"/>
              </w:rPr>
            </w:pPr>
          </w:p>
        </w:tc>
        <w:tc>
          <w:tcPr>
            <w:tcW w:w="5960" w:type="dxa"/>
            <w:vAlign w:val="bottom"/>
            <w:gridSpan w:val="22"/>
          </w:tcPr>
          <w:p>
            <w:pPr>
              <w:spacing w:after="0"/>
              <w:rPr>
                <w:rFonts w:ascii="Arial" w:cs="Arial" w:eastAsia="Arial" w:hAnsi="Arial"/>
                <w:sz w:val="12"/>
                <w:szCs w:val="12"/>
                <w:color w:val="0000EE"/>
              </w:rPr>
            </w:pPr>
            <w:hyperlink w:anchor="page119">
              <w:r>
                <w:rPr>
                  <w:rFonts w:ascii="Arial" w:cs="Arial" w:eastAsia="Arial" w:hAnsi="Arial"/>
                  <w:sz w:val="12"/>
                  <w:szCs w:val="12"/>
                  <w:color w:val="0000EE"/>
                </w:rPr>
                <w:t>Directors, Executive Officers and Corporate Governance</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11.</w:t>
            </w:r>
          </w:p>
        </w:tc>
        <w:tc>
          <w:tcPr>
            <w:tcW w:w="1340" w:type="dxa"/>
            <w:vAlign w:val="bottom"/>
            <w:tcBorders>
              <w:top w:val="single" w:sz="8" w:color="0000EE"/>
              <w:bottom w:val="single" w:sz="8" w:color="0000EE"/>
            </w:tcBorders>
            <w:gridSpan w:val="10"/>
          </w:tcPr>
          <w:p>
            <w:pPr>
              <w:spacing w:after="0"/>
              <w:rPr>
                <w:rFonts w:ascii="Arial" w:cs="Arial" w:eastAsia="Arial" w:hAnsi="Arial"/>
                <w:sz w:val="12"/>
                <w:szCs w:val="12"/>
                <w:color w:val="0000EE"/>
                <w:w w:val="99"/>
              </w:rPr>
            </w:pPr>
            <w:hyperlink w:anchor="page119">
              <w:r>
                <w:rPr>
                  <w:rFonts w:ascii="Arial" w:cs="Arial" w:eastAsia="Arial" w:hAnsi="Arial"/>
                  <w:sz w:val="12"/>
                  <w:szCs w:val="12"/>
                  <w:color w:val="0000EE"/>
                  <w:w w:val="99"/>
                </w:rPr>
                <w:t>Executive Compensation</w:t>
              </w:r>
            </w:hyperlink>
          </w:p>
        </w:tc>
        <w:tc>
          <w:tcPr>
            <w:tcW w:w="1660" w:type="dxa"/>
            <w:vAlign w:val="bottom"/>
            <w:tcBorders>
              <w:top w:val="single" w:sz="8" w:color="0000EE"/>
            </w:tcBorders>
            <w:gridSpan w:val="6"/>
          </w:tcPr>
          <w:p>
            <w:pPr>
              <w:spacing w:after="0"/>
              <w:rPr>
                <w:sz w:val="12"/>
                <w:szCs w:val="12"/>
                <w:color w:val="auto"/>
              </w:rPr>
            </w:pPr>
          </w:p>
        </w:tc>
        <w:tc>
          <w:tcPr>
            <w:tcW w:w="2960" w:type="dxa"/>
            <w:vAlign w:val="bottom"/>
            <w:gridSpan w:val="6"/>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12.</w:t>
            </w:r>
          </w:p>
        </w:tc>
        <w:tc>
          <w:tcPr>
            <w:tcW w:w="5960" w:type="dxa"/>
            <w:vAlign w:val="bottom"/>
            <w:gridSpan w:val="22"/>
          </w:tcPr>
          <w:p>
            <w:pPr>
              <w:spacing w:after="0"/>
              <w:rPr>
                <w:rFonts w:ascii="Arial" w:cs="Arial" w:eastAsia="Arial" w:hAnsi="Arial"/>
                <w:sz w:val="12"/>
                <w:szCs w:val="12"/>
                <w:color w:val="0000EE"/>
              </w:rPr>
            </w:pPr>
            <w:hyperlink w:anchor="page119">
              <w:r>
                <w:rPr>
                  <w:rFonts w:ascii="Arial" w:cs="Arial" w:eastAsia="Arial" w:hAnsi="Arial"/>
                  <w:sz w:val="12"/>
                  <w:szCs w:val="12"/>
                  <w:color w:val="0000EE"/>
                </w:rPr>
                <w:t>Security Ownership of Certain Beneficial Owners and Management and Related Stockholder Matters</w:t>
              </w:r>
            </w:hyperlink>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13.</w:t>
            </w:r>
          </w:p>
        </w:tc>
        <w:tc>
          <w:tcPr>
            <w:tcW w:w="4060" w:type="dxa"/>
            <w:vAlign w:val="bottom"/>
            <w:tcBorders>
              <w:top w:val="single" w:sz="8" w:color="0000EE"/>
              <w:bottom w:val="single" w:sz="8" w:color="0000EE"/>
            </w:tcBorders>
            <w:gridSpan w:val="18"/>
          </w:tcPr>
          <w:p>
            <w:pPr>
              <w:spacing w:after="0"/>
              <w:rPr>
                <w:rFonts w:ascii="Arial" w:cs="Arial" w:eastAsia="Arial" w:hAnsi="Arial"/>
                <w:sz w:val="12"/>
                <w:szCs w:val="12"/>
                <w:color w:val="0000EE"/>
                <w:w w:val="99"/>
              </w:rPr>
            </w:pPr>
            <w:hyperlink w:anchor="page120">
              <w:r>
                <w:rPr>
                  <w:rFonts w:ascii="Arial" w:cs="Arial" w:eastAsia="Arial" w:hAnsi="Arial"/>
                  <w:sz w:val="12"/>
                  <w:szCs w:val="12"/>
                  <w:color w:val="0000EE"/>
                  <w:w w:val="99"/>
                </w:rPr>
                <w:t>Certain Relationships and Related Transactions, and Director Independence</w:t>
              </w:r>
            </w:hyperlink>
          </w:p>
        </w:tc>
        <w:tc>
          <w:tcPr>
            <w:tcW w:w="1280" w:type="dxa"/>
            <w:vAlign w:val="bottom"/>
            <w:tcBorders>
              <w:top w:val="single" w:sz="8" w:color="0000EE"/>
            </w:tcBorders>
            <w:gridSpan w:val="3"/>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1280" w:type="dxa"/>
            <w:vAlign w:val="bottom"/>
            <w:gridSpan w:val="6"/>
          </w:tcPr>
          <w:p>
            <w:pPr>
              <w:spacing w:after="0"/>
              <w:rPr>
                <w:sz w:val="20"/>
                <w:szCs w:val="20"/>
                <w:color w:val="auto"/>
              </w:rPr>
            </w:pPr>
            <w:r>
              <w:rPr>
                <w:rFonts w:ascii="Arial" w:cs="Arial" w:eastAsia="Arial" w:hAnsi="Arial"/>
                <w:sz w:val="12"/>
                <w:szCs w:val="12"/>
                <w:color w:val="auto"/>
              </w:rPr>
              <w:t>Item 14.</w:t>
            </w:r>
          </w:p>
        </w:tc>
        <w:tc>
          <w:tcPr>
            <w:tcW w:w="5960" w:type="dxa"/>
            <w:vAlign w:val="bottom"/>
            <w:gridSpan w:val="22"/>
          </w:tcPr>
          <w:p>
            <w:pPr>
              <w:spacing w:after="0"/>
              <w:rPr>
                <w:rFonts w:ascii="Arial" w:cs="Arial" w:eastAsia="Arial" w:hAnsi="Arial"/>
                <w:sz w:val="12"/>
                <w:szCs w:val="12"/>
                <w:color w:val="0000EE"/>
              </w:rPr>
            </w:pPr>
            <w:hyperlink w:anchor="page120">
              <w:r>
                <w:rPr>
                  <w:rFonts w:ascii="Arial" w:cs="Arial" w:eastAsia="Arial" w:hAnsi="Arial"/>
                  <w:sz w:val="12"/>
                  <w:szCs w:val="12"/>
                  <w:color w:val="0000EE"/>
                </w:rPr>
                <w:t>Principal Accounting Fees and Services</w:t>
              </w:r>
            </w:hyperlink>
          </w:p>
        </w:tc>
      </w:tr>
      <w:tr>
        <w:trPr>
          <w:trHeight w:val="313"/>
        </w:trPr>
        <w:tc>
          <w:tcPr>
            <w:tcW w:w="460" w:type="dxa"/>
            <w:vAlign w:val="bottom"/>
            <w:tcBorders>
              <w:bottom w:val="single" w:sz="8" w:color="0000EE"/>
            </w:tcBorders>
            <w:gridSpan w:val="3"/>
          </w:tcPr>
          <w:p>
            <w:pPr>
              <w:spacing w:after="0"/>
              <w:rPr>
                <w:rFonts w:ascii="Arial" w:cs="Arial" w:eastAsia="Arial" w:hAnsi="Arial"/>
                <w:sz w:val="12"/>
                <w:szCs w:val="12"/>
                <w:b w:val="1"/>
                <w:bCs w:val="1"/>
                <w:color w:val="0000EE"/>
                <w:w w:val="92"/>
              </w:rPr>
            </w:pPr>
            <w:hyperlink w:anchor="page121">
              <w:r>
                <w:rPr>
                  <w:rFonts w:ascii="Arial" w:cs="Arial" w:eastAsia="Arial" w:hAnsi="Arial"/>
                  <w:sz w:val="12"/>
                  <w:szCs w:val="12"/>
                  <w:b w:val="1"/>
                  <w:bCs w:val="1"/>
                  <w:color w:val="0000EE"/>
                  <w:w w:val="92"/>
                </w:rPr>
                <w:t>PART IV</w:t>
              </w:r>
            </w:hyperlink>
          </w:p>
        </w:tc>
        <w:tc>
          <w:tcPr>
            <w:tcW w:w="82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1280" w:type="dxa"/>
            <w:vAlign w:val="bottom"/>
            <w:gridSpan w:val="6"/>
          </w:tcPr>
          <w:p>
            <w:pPr>
              <w:spacing w:after="0"/>
              <w:rPr>
                <w:sz w:val="20"/>
                <w:szCs w:val="20"/>
                <w:color w:val="auto"/>
              </w:rPr>
            </w:pPr>
            <w:r>
              <w:rPr>
                <w:rFonts w:ascii="Arial" w:cs="Arial" w:eastAsia="Arial" w:hAnsi="Arial"/>
                <w:sz w:val="12"/>
                <w:szCs w:val="12"/>
                <w:color w:val="auto"/>
              </w:rPr>
              <w:t>Item 15.</w:t>
            </w:r>
          </w:p>
        </w:tc>
        <w:tc>
          <w:tcPr>
            <w:tcW w:w="5960" w:type="dxa"/>
            <w:vAlign w:val="bottom"/>
            <w:gridSpan w:val="22"/>
          </w:tcPr>
          <w:p>
            <w:pPr>
              <w:spacing w:after="0"/>
              <w:rPr>
                <w:rFonts w:ascii="Arial" w:cs="Arial" w:eastAsia="Arial" w:hAnsi="Arial"/>
                <w:sz w:val="12"/>
                <w:szCs w:val="12"/>
                <w:color w:val="0000EE"/>
              </w:rPr>
            </w:pPr>
            <w:hyperlink w:anchor="page121">
              <w:r>
                <w:rPr>
                  <w:rFonts w:ascii="Arial" w:cs="Arial" w:eastAsia="Arial" w:hAnsi="Arial"/>
                  <w:sz w:val="12"/>
                  <w:szCs w:val="12"/>
                  <w:color w:val="0000EE"/>
                </w:rPr>
                <w:t>Exhibits, Financial Statement Schedules</w:t>
              </w:r>
            </w:hyperlink>
          </w:p>
        </w:tc>
      </w:tr>
      <w:tr>
        <w:trPr>
          <w:trHeight w:val="304"/>
        </w:trPr>
        <w:tc>
          <w:tcPr>
            <w:tcW w:w="1280" w:type="dxa"/>
            <w:vAlign w:val="bottom"/>
            <w:gridSpan w:val="6"/>
          </w:tcPr>
          <w:p>
            <w:pPr>
              <w:spacing w:after="0"/>
              <w:rPr>
                <w:rFonts w:ascii="Arial" w:cs="Arial" w:eastAsia="Arial" w:hAnsi="Arial"/>
                <w:sz w:val="12"/>
                <w:szCs w:val="12"/>
                <w:b w:val="1"/>
                <w:bCs w:val="1"/>
                <w:color w:val="0000EE"/>
              </w:rPr>
            </w:pPr>
            <w:hyperlink w:anchor="page122">
              <w:r>
                <w:rPr>
                  <w:rFonts w:ascii="Arial" w:cs="Arial" w:eastAsia="Arial" w:hAnsi="Arial"/>
                  <w:sz w:val="12"/>
                  <w:szCs w:val="12"/>
                  <w:b w:val="1"/>
                  <w:bCs w:val="1"/>
                  <w:color w:val="0000EE"/>
                </w:rPr>
                <w:t>INDEX TO EXHIBITS</w:t>
              </w:r>
            </w:hyperlink>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1140" w:type="dxa"/>
            <w:vAlign w:val="bottom"/>
            <w:tcBorders>
              <w:top w:val="single" w:sz="8" w:color="0000EE"/>
            </w:tcBorders>
            <w:gridSpan w:val="5"/>
          </w:tcPr>
          <w:p>
            <w:pPr>
              <w:spacing w:after="0"/>
              <w:rPr>
                <w:rFonts w:ascii="Arial" w:cs="Arial" w:eastAsia="Arial" w:hAnsi="Arial"/>
                <w:sz w:val="12"/>
                <w:szCs w:val="12"/>
                <w:b w:val="1"/>
                <w:bCs w:val="1"/>
                <w:color w:val="0000EE"/>
              </w:rPr>
            </w:pPr>
            <w:hyperlink w:anchor="page128">
              <w:r>
                <w:rPr>
                  <w:rFonts w:ascii="Arial" w:cs="Arial" w:eastAsia="Arial" w:hAnsi="Arial"/>
                  <w:sz w:val="12"/>
                  <w:szCs w:val="12"/>
                  <w:b w:val="1"/>
                  <w:bCs w:val="1"/>
                  <w:color w:val="0000EE"/>
                </w:rPr>
                <w:t>SIGNATURES</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141605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8"/>
          <w:szCs w:val="8"/>
          <w:color w:val="auto"/>
        </w:rPr>
        <w:t>PAGE</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36</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116</w:t>
      </w: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117</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117</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117</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118</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118</w:t>
      </w: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1"/>
          <w:szCs w:val="11"/>
          <w:color w:val="auto"/>
        </w:rPr>
        <w:t>119</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120</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126</w:t>
      </w:r>
    </w:p>
    <w:p>
      <w:pPr>
        <w:sectPr>
          <w:pgSz w:w="11900" w:h="16838" w:orient="portrait"/>
          <w:cols w:equalWidth="0" w:num="2">
            <w:col w:w="10320" w:space="720"/>
            <w:col w:w="260"/>
          </w:cols>
          <w:pgMar w:left="300" w:top="283"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OVERVIEW</w:t>
      </w:r>
    </w:p>
    <w:p>
      <w:pPr>
        <w:spacing w:after="0" w:line="101" w:lineRule="exact"/>
        <w:rPr>
          <w:sz w:val="20"/>
          <w:szCs w:val="20"/>
          <w:color w:val="auto"/>
        </w:rPr>
      </w:pPr>
    </w:p>
    <w:p>
      <w:pPr>
        <w:spacing w:after="0" w:line="307" w:lineRule="auto"/>
        <w:rPr>
          <w:sz w:val="20"/>
          <w:szCs w:val="20"/>
          <w:color w:val="auto"/>
        </w:rPr>
      </w:pPr>
      <w:r>
        <w:rPr>
          <w:rFonts w:ascii="Arial" w:cs="Arial" w:eastAsia="Arial" w:hAnsi="Arial"/>
          <w:sz w:val="11"/>
          <w:szCs w:val="11"/>
          <w:color w:val="auto"/>
        </w:rPr>
        <w:t>Eagle Materials Inc., through its subsidiaries, (the Company, which may be referred to as we, our, or us) is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The Company was founded in 1963 as a building materials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We benefit from several competitive strengths that have enabled us to deliver consistently strong operating results and profitable growth. These advantages include:</w:t>
      </w:r>
    </w:p>
    <w:p>
      <w:pPr>
        <w:spacing w:after="0" w:line="73" w:lineRule="exact"/>
        <w:rPr>
          <w:sz w:val="20"/>
          <w:szCs w:val="20"/>
          <w:color w:val="auto"/>
        </w:rPr>
      </w:pPr>
    </w:p>
    <w:p>
      <w:pPr>
        <w:ind w:right="600"/>
        <w:spacing w:after="0" w:line="301" w:lineRule="auto"/>
        <w:rPr>
          <w:sz w:val="20"/>
          <w:szCs w:val="20"/>
          <w:color w:val="auto"/>
        </w:rPr>
      </w:pPr>
      <w:r>
        <w:rPr>
          <w:rFonts w:ascii="Arial" w:cs="Arial" w:eastAsia="Arial" w:hAnsi="Arial"/>
          <w:sz w:val="12"/>
          <w:szCs w:val="12"/>
          <w:b w:val="1"/>
          <w:bCs w:val="1"/>
          <w:color w:val="004483"/>
        </w:rPr>
        <w:t xml:space="preserve">Integrated plant network with a broad and diversified geographic reach </w:t>
      </w:r>
      <w:r>
        <w:rPr>
          <w:rFonts w:ascii="Arial" w:cs="Arial" w:eastAsia="Arial" w:hAnsi="Arial"/>
          <w:sz w:val="12"/>
          <w:szCs w:val="12"/>
          <w:color w:val="004483"/>
        </w:rPr>
        <w:t>-</w:t>
      </w:r>
      <w:r>
        <w:rPr>
          <w:rFonts w:ascii="Arial" w:cs="Arial" w:eastAsia="Arial" w:hAnsi="Arial"/>
          <w:sz w:val="12"/>
          <w:szCs w:val="12"/>
          <w:b w:val="1"/>
          <w:bCs w:val="1"/>
          <w:color w:val="004483"/>
        </w:rPr>
        <w:t xml:space="preserve"> </w:t>
      </w:r>
      <w:r>
        <w:rPr>
          <w:rFonts w:ascii="Arial" w:cs="Arial" w:eastAsia="Arial" w:hAnsi="Arial"/>
          <w:sz w:val="12"/>
          <w:szCs w:val="12"/>
          <w:color w:val="000000"/>
        </w:rPr>
        <w:t>our plants are located near both raw material reserves and customers in high-growth U.S. markets, providing geographical</w:t>
      </w:r>
      <w:r>
        <w:rPr>
          <w:rFonts w:ascii="Arial" w:cs="Arial" w:eastAsia="Arial" w:hAnsi="Arial"/>
          <w:sz w:val="12"/>
          <w:szCs w:val="12"/>
          <w:b w:val="1"/>
          <w:bCs w:val="1"/>
          <w:color w:val="004483"/>
        </w:rPr>
        <w:t xml:space="preserve"> </w:t>
      </w:r>
      <w:r>
        <w:rPr>
          <w:rFonts w:ascii="Arial" w:cs="Arial" w:eastAsia="Arial" w:hAnsi="Arial"/>
          <w:sz w:val="12"/>
          <w:szCs w:val="12"/>
          <w:color w:val="000000"/>
        </w:rPr>
        <w:t>diversification which reduces exposure to individual regional construction cycles;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 xml:space="preserve">Low-cost producer position </w:t>
      </w:r>
      <w:r>
        <w:rPr>
          <w:rFonts w:ascii="Arial" w:cs="Arial" w:eastAsia="Arial" w:hAnsi="Arial"/>
          <w:sz w:val="12"/>
          <w:szCs w:val="12"/>
          <w:color w:val="000000"/>
        </w:rPr>
        <w:t>- which we maintain through cycles;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 xml:space="preserve">Production flexibility </w:t>
      </w:r>
      <w:r>
        <w:rPr>
          <w:rFonts w:ascii="Arial" w:cs="Arial" w:eastAsia="Arial" w:hAnsi="Arial"/>
          <w:sz w:val="12"/>
          <w:szCs w:val="12"/>
          <w:color w:val="000000"/>
        </w:rPr>
        <w:t>- enabling us to operate at high utilization levels generally, quickly position for downturns, and efficiently ramp up for demand rebounds;</w:t>
      </w:r>
    </w:p>
    <w:p>
      <w:pPr>
        <w:spacing w:after="0" w:line="87" w:lineRule="exact"/>
        <w:rPr>
          <w:sz w:val="20"/>
          <w:szCs w:val="20"/>
          <w:color w:val="auto"/>
        </w:rPr>
      </w:pPr>
    </w:p>
    <w:p>
      <w:pPr>
        <w:ind w:right="140"/>
        <w:spacing w:after="0" w:line="301" w:lineRule="auto"/>
        <w:rPr>
          <w:sz w:val="20"/>
          <w:szCs w:val="20"/>
          <w:color w:val="auto"/>
        </w:rPr>
      </w:pPr>
      <w:r>
        <w:rPr>
          <w:rFonts w:ascii="Arial" w:cs="Arial" w:eastAsia="Arial" w:hAnsi="Arial"/>
          <w:sz w:val="12"/>
          <w:szCs w:val="12"/>
          <w:b w:val="1"/>
          <w:bCs w:val="1"/>
          <w:color w:val="004483"/>
        </w:rPr>
        <w:t xml:space="preserve">Substantial raw material reserves </w:t>
      </w:r>
      <w:r>
        <w:rPr>
          <w:rFonts w:ascii="Arial" w:cs="Arial" w:eastAsia="Arial" w:hAnsi="Arial"/>
          <w:sz w:val="12"/>
          <w:szCs w:val="12"/>
          <w:color w:val="004483"/>
        </w:rPr>
        <w:t>-</w:t>
      </w:r>
      <w:r>
        <w:rPr>
          <w:rFonts w:ascii="Arial" w:cs="Arial" w:eastAsia="Arial" w:hAnsi="Arial"/>
          <w:sz w:val="12"/>
          <w:szCs w:val="12"/>
          <w:b w:val="1"/>
          <w:bCs w:val="1"/>
          <w:color w:val="004483"/>
        </w:rPr>
        <w:t xml:space="preserve"> </w:t>
      </w:r>
      <w:r>
        <w:rPr>
          <w:rFonts w:ascii="Arial" w:cs="Arial" w:eastAsia="Arial" w:hAnsi="Arial"/>
          <w:sz w:val="12"/>
          <w:szCs w:val="12"/>
          <w:color w:val="000000"/>
        </w:rPr>
        <w:t>between 25 to 50 years of primary raw-material reserves for each of our cement and wallboard facilities, providing certainty of supply and cost of our primary raw materials;</w:t>
      </w:r>
      <w:r>
        <w:rPr>
          <w:rFonts w:ascii="Arial" w:cs="Arial" w:eastAsia="Arial" w:hAnsi="Arial"/>
          <w:sz w:val="12"/>
          <w:szCs w:val="12"/>
          <w:b w:val="1"/>
          <w:bCs w:val="1"/>
          <w:color w:val="004483"/>
        </w:rPr>
        <w:t xml:space="preserve"> </w:t>
      </w:r>
      <w:r>
        <w:rPr>
          <w:rFonts w:ascii="Arial" w:cs="Arial" w:eastAsia="Arial" w:hAnsi="Arial"/>
          <w:sz w:val="12"/>
          <w:szCs w:val="12"/>
          <w:color w:val="000000"/>
        </w:rPr>
        <w:t>and</w:t>
      </w:r>
    </w:p>
    <w:p>
      <w:pPr>
        <w:spacing w:after="0" w:line="32" w:lineRule="exact"/>
        <w:rPr>
          <w:sz w:val="20"/>
          <w:szCs w:val="20"/>
          <w:color w:val="auto"/>
        </w:rPr>
      </w:pPr>
    </w:p>
    <w:p>
      <w:pPr>
        <w:ind w:right="40"/>
        <w:spacing w:after="0" w:line="284" w:lineRule="auto"/>
        <w:rPr>
          <w:sz w:val="20"/>
          <w:szCs w:val="20"/>
          <w:color w:val="auto"/>
        </w:rPr>
      </w:pPr>
      <w:r>
        <w:rPr>
          <w:rFonts w:ascii="Arial" w:cs="Arial" w:eastAsia="Arial" w:hAnsi="Arial"/>
          <w:sz w:val="12"/>
          <w:szCs w:val="12"/>
          <w:b w:val="1"/>
          <w:bCs w:val="1"/>
          <w:color w:val="004483"/>
        </w:rPr>
        <w:t xml:space="preserve">Proven management - </w:t>
      </w:r>
      <w:r>
        <w:rPr>
          <w:rFonts w:ascii="Arial" w:cs="Arial" w:eastAsia="Arial" w:hAnsi="Arial"/>
          <w:sz w:val="12"/>
          <w:szCs w:val="12"/>
          <w:color w:val="000000"/>
        </w:rPr>
        <w:t>our current management team has significant and valuable experience, with an average industry experience of more than 20 years, spanning several business cycles. Management’s</w:t>
      </w:r>
      <w:r>
        <w:rPr>
          <w:rFonts w:ascii="Arial" w:cs="Arial" w:eastAsia="Arial" w:hAnsi="Arial"/>
          <w:sz w:val="12"/>
          <w:szCs w:val="12"/>
          <w:b w:val="1"/>
          <w:bCs w:val="1"/>
          <w:color w:val="004483"/>
        </w:rPr>
        <w:t xml:space="preserve"> </w:t>
      </w:r>
      <w:r>
        <w:rPr>
          <w:rFonts w:ascii="Arial" w:cs="Arial" w:eastAsia="Arial" w:hAnsi="Arial"/>
          <w:sz w:val="12"/>
          <w:szCs w:val="12"/>
          <w:color w:val="000000"/>
        </w:rPr>
        <w:t>conservative balance sheet strategy focuses on maintaining prudent levels of leverage and liquidity through the business cycle, to protect the balance sheet through downturns and enable us to take advantage of growth opportunities, whether organic or through acquisitions.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These strengths form the basis of the Company’s strategy to protect and advance its competitive position and continue to deliver profitable growth.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05" w:right="37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004483"/>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004483"/>
        </w:rPr>
        <w:t>Decision to Remain a Combined Company</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In 2019, the Company conducted a strategic portfolio review and, upon completion of this review, announced plans to separate its Heavy Materials and Light Materials businesses into two independent, publicly traded corporations by means of a tax-free spin-off to Eagle shareholders. The planned separation was subsequently delayed due to, among other things, the COVID-19 pandemic and the resulting adverse market conditions.</w:t>
      </w:r>
    </w:p>
    <w:p>
      <w:pPr>
        <w:spacing w:after="0" w:line="6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On May 19, 2021, we announced that our Board of Directors had decided not to pursue the proposed separation of the Heavy Materials and Light Materials business at this time. This decision was informed by a consideration of some of the key benefits associated with remaining a combined company. First, the Board of Directors viewed the size and financial strength of the combined Company, with its diversified asset base, geographic diversity and robust balance sheet, as having provided significant comfort, stability and value to our shareholders, employees, customers and suppliers during the time of the pandemic. Second, the Board concluded that, in light of the continued consolidation of the industries in which we participate and the Company’s continued rigorous examination of a number of strategic alternatives since the announcement of the proposed separation, a combined company with greater financial scale and flexibility would be better positioned to pursue key strategic growth options and enhance shareholder value. Third, since the announcement of the proposed separation, the Company has streamlined its business portfolio, including the divestiture of its Oil and Gas Proppants business and other non-core assets. The Board of Directors will continue to evaluate the merits of a separation on a periodic basis, as part of its consideration of strategic alternatives and opportunities to create long-term shareholder value.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Strategy</w:t>
      </w:r>
    </w:p>
    <w:p>
      <w:pPr>
        <w:spacing w:after="0" w:line="102"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We rigorously pursue four overarching strategic objectives that consistently differentiate us from our competitors and contribute to our margin performance and growth: being a low-cost producer in all our markets, maintaining a decentralized operating structure, operating solely in the United States in regionally diverse and attractive markets, and achieving profitable growth through both strategic acquisitions and the organic development of our asset network.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004483"/>
        </w:rPr>
        <w:t>Continuously innovate to advance our low-cost producer position</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goal and the bedrock of our strategy is to be a low-cost producer in each of the markets in which we compete. We have right-sized capacity to service the markets we cover, and we focus diligently on reducing costs and making our operations more efficient to manage free cash flow though the economic cycle.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not only key to our commercial success, it also fully aligns with and advances our commitment to sustainable environmental practices. To maintain our low-cost producer position, we are always innovating our production processes with the aim of using fewer resources to make the same products. We regularly invest in technologies at our facilities to control emissions and to modify the fuels that we burn.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68"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004483"/>
        </w:rPr>
        <w:t>Maintain a decentralized operating structure</w:t>
      </w:r>
    </w:p>
    <w:p>
      <w:pPr>
        <w:spacing w:after="0" w:line="86"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The Company operates through a decentralized structure: operations are managed separately, and products are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We view our cement plant system and our wallboard plant system as discrete integrated networks, allowing us to ship products and minimize freight costs. The impact of regional construction cycles on our businesses is mitigated to some degree by our geographic diversification and integrated network of plants.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004483"/>
        </w:rPr>
        <w:t>Operate in regionally diverse and attractive markets</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Demand for our products depends on construction activity which tends to correlate with population growth. While the Company’s markets include most of the United States, approximately 70% of our total revenue is generated in ten states: Colorado, Illinois, Kansas, Kentucky, Missouri, Nebraska, Nevada, Ohio, Oklahoma, and Texas. Population growth, which is a major driver of construction products and building materials demand, is expected to grow approximately 17% between the 2010 census and 2040 for these ten states, compared with 14% population growth for the United States as a whole, according to the latest update in December 2019 by Moody’s Analytics. In our Light Materials sector, we have located operations primarily in the southern part of the United States, known as the Sun Belt. According to the same study, population in the Sun Belt is expected to grow by approximately 26% between the 2010 census and 2040.</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004483"/>
        </w:rPr>
        <w:t>Achieve profitable growth through acquisition and organic development</w:t>
      </w:r>
    </w:p>
    <w:p>
      <w:pPr>
        <w:spacing w:after="0" w:line="86" w:lineRule="exact"/>
        <w:rPr>
          <w:sz w:val="20"/>
          <w:szCs w:val="20"/>
          <w:color w:val="auto"/>
        </w:rPr>
      </w:pPr>
    </w:p>
    <w:p>
      <w:pPr>
        <w:ind w:right="240"/>
        <w:spacing w:after="0" w:line="271" w:lineRule="auto"/>
        <w:rPr>
          <w:sz w:val="20"/>
          <w:szCs w:val="20"/>
          <w:color w:val="auto"/>
        </w:rPr>
      </w:pPr>
      <w:r>
        <w:rPr>
          <w:rFonts w:ascii="Arial" w:cs="Arial" w:eastAsia="Arial" w:hAnsi="Arial"/>
          <w:sz w:val="12"/>
          <w:szCs w:val="12"/>
          <w:color w:val="auto"/>
        </w:rPr>
        <w:t>We seek to grow the Company through acquisitions and the organic development of our asset network. Since 2012, we have expanded the Heavy Materials sector principally through acquisitions, with total investments of approximately $2.0 billion, including our most recent purchase of Kosmos Cement Company in March 2020. These investments have more than doubled our U.S. cement capacity, making us the largest independent U.S. cement producer.</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These acquisitions have expanded our geographic footprint so that we now have a contiguous, integrated cement system from California to western Pennsylvania and south to Texas. We have completed additional bolt-on acquisitions, which also contribute to our expanded geographic footprint.</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The Company will continue to proactively pursue acquisition opportunities. Our free cash flow and balance sheet strength enable us to consider acquisitions and organic growth opportunities that align with our return on investment profitability objectives.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004483"/>
        </w:rPr>
        <w:t>Capital Allocation Priorities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capital allocation priorities are intended to enhance shareholder value and are as follows: 1. Growth investments that meet our financial return standards and are consistent with our strategic focus; 2. Operating capital investments to maintain and strengthen our low-cost producer positions; and 3. Return of excess cash to shareholders, primarily through our share repurchase program. Since becoming a public company in 1994, our share count is down approximately 40% and we have returned approximately $2.1 billion to our shareholders, through a combination of share repurchases and dividends.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52"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004483"/>
        </w:rPr>
        <w:t>FISCAL 2021 EVENTS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Financial Highlights</w:t>
      </w:r>
    </w:p>
    <w:p>
      <w:pPr>
        <w:spacing w:after="0" w:line="100"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Fiscal 2021 was a strong year for the Company, despite the COVID-19 pandemic and uncertainty around the economic impact of COVID related business shutdowns. The following are some of the Company’s highlights for fiscal 2021 compared with fiscal 2020:</w:t>
      </w:r>
    </w:p>
    <w:p>
      <w:pPr>
        <w:spacing w:after="0" w:line="59" w:lineRule="exact"/>
        <w:rPr>
          <w:sz w:val="20"/>
          <w:szCs w:val="20"/>
          <w:color w:val="auto"/>
        </w:rPr>
      </w:pPr>
    </w:p>
    <w:p>
      <w:pPr>
        <w:ind w:left="1060" w:hanging="438"/>
        <w:spacing w:after="0"/>
        <w:tabs>
          <w:tab w:leader="none" w:pos="1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Record Revenue of $1,622.6 million, up 16%. Organic revenue (does not include effect of the acquisitions and dispositions discussed below) up 5%.</w:t>
      </w:r>
    </w:p>
    <w:p>
      <w:pPr>
        <w:spacing w:after="0" w:line="87" w:lineRule="exact"/>
        <w:rPr>
          <w:rFonts w:ascii="Arial" w:cs="Arial" w:eastAsia="Arial" w:hAnsi="Arial"/>
          <w:sz w:val="12"/>
          <w:szCs w:val="12"/>
          <w:color w:val="auto"/>
        </w:rPr>
      </w:pPr>
    </w:p>
    <w:p>
      <w:pPr>
        <w:ind w:left="1060" w:hanging="438"/>
        <w:spacing w:after="0"/>
        <w:tabs>
          <w:tab w:leader="none" w:pos="1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Income from Continuing Operations increased 45% to $334.2 million.</w:t>
      </w:r>
    </w:p>
    <w:p>
      <w:pPr>
        <w:spacing w:after="0" w:line="87" w:lineRule="exact"/>
        <w:rPr>
          <w:rFonts w:ascii="Arial" w:cs="Arial" w:eastAsia="Arial" w:hAnsi="Arial"/>
          <w:sz w:val="12"/>
          <w:szCs w:val="12"/>
          <w:color w:val="auto"/>
        </w:rPr>
      </w:pPr>
    </w:p>
    <w:p>
      <w:pPr>
        <w:ind w:left="1060" w:hanging="438"/>
        <w:spacing w:after="0"/>
        <w:tabs>
          <w:tab w:leader="none" w:pos="1060" w:val="left"/>
        </w:tabs>
        <w:numPr>
          <w:ilvl w:val="0"/>
          <w:numId w:val="2"/>
        </w:numPr>
        <w:rPr>
          <w:rFonts w:ascii="Arial" w:cs="Arial" w:eastAsia="Arial" w:hAnsi="Arial"/>
          <w:sz w:val="12"/>
          <w:szCs w:val="12"/>
          <w:color w:val="auto"/>
        </w:rPr>
      </w:pPr>
      <w:r>
        <w:rPr>
          <w:rFonts w:ascii="Arial" w:cs="Arial" w:eastAsia="Arial" w:hAnsi="Arial"/>
          <w:sz w:val="12"/>
          <w:szCs w:val="12"/>
          <w:color w:val="auto"/>
        </w:rPr>
        <w:t>Cement and Gypsum Wallboard Sales Volume increased 26% and 6%, respectively.</w:t>
      </w:r>
    </w:p>
    <w:p>
      <w:pPr>
        <w:spacing w:after="0" w:line="87" w:lineRule="exact"/>
        <w:rPr>
          <w:rFonts w:ascii="Arial" w:cs="Arial" w:eastAsia="Arial" w:hAnsi="Arial"/>
          <w:sz w:val="12"/>
          <w:szCs w:val="12"/>
          <w:color w:val="auto"/>
        </w:rPr>
      </w:pPr>
    </w:p>
    <w:p>
      <w:pPr>
        <w:ind w:right="2060" w:firstLine="622"/>
        <w:spacing w:after="0" w:line="369" w:lineRule="auto"/>
        <w:tabs>
          <w:tab w:leader="none" w:pos="1062" w:val="left"/>
        </w:tabs>
        <w:numPr>
          <w:ilvl w:val="0"/>
          <w:numId w:val="2"/>
        </w:numPr>
        <w:rPr>
          <w:rFonts w:ascii="Arial" w:cs="Arial" w:eastAsia="Arial" w:hAnsi="Arial"/>
          <w:sz w:val="12"/>
          <w:szCs w:val="12"/>
          <w:color w:val="auto"/>
        </w:rPr>
      </w:pPr>
      <w:r>
        <w:rPr>
          <w:rFonts w:ascii="Arial" w:cs="Arial" w:eastAsia="Arial" w:hAnsi="Arial"/>
          <w:sz w:val="12"/>
          <w:szCs w:val="12"/>
          <w:color w:val="auto"/>
        </w:rPr>
        <w:t>Cash flows from operations increased by 61% to $643.1 million, enabling us to repay $560.0 million of debt during the year and increase our cash position. The Company also completed the integration of Kosmos Cement Company and divested certain non-core businesses during the year, as described below.</w:t>
      </w:r>
    </w:p>
    <w:p>
      <w:pPr>
        <w:spacing w:after="0"/>
        <w:rPr>
          <w:rFonts w:ascii="Arial" w:cs="Arial" w:eastAsia="Arial" w:hAnsi="Arial"/>
          <w:sz w:val="12"/>
          <w:szCs w:val="12"/>
          <w:color w:val="auto"/>
        </w:rPr>
      </w:pPr>
      <w:r>
        <w:rPr>
          <w:rFonts w:ascii="Arial" w:cs="Arial" w:eastAsia="Arial" w:hAnsi="Arial"/>
          <w:sz w:val="13"/>
          <w:szCs w:val="13"/>
          <w:i w:val="1"/>
          <w:iCs w:val="1"/>
          <w:color w:val="004483"/>
        </w:rPr>
        <w:t>Integration of Kosmos Cement Company</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On March 6, 2020, we acquired the assets of Kosmos Cement Company (Kosmos), a joint venture between CEMEX S.A.B. de C.V. and Buzzi Unicem S.p.A. for approximately $669 million. The acquisition included a (i)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The integration of Kosmos into our cement business was largely completed by the end of the first quarter of fiscal 2021.</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See Footnote (B) to the Audited Consolidated Financial Statements for more information regarding the acquisition of Kosmos.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Divestitures</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On April 17, 2020, we sold our Western Aggregates and Mathews Readymix operations for $93.5 million to Teichert, Inc., a California-based construction company. These operations were included in our Concrete and Aggregates segment, and were considered non-core assets as they did not provide essential support to our primary cement plant network.</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On May 30, 2019, we announced we were actively pursuing alternatives for our Oil and Gas Proppants business. On September 18, 2020, we sold this business to Smart Sand, Inc. for approximately $2.0 million, which was paid in Smart Sand common stock. The sale excluded certain assets, namely real property and equipment in south Texas, real property in Illinois, and certain other assets. After giving effect to the sale to Smart Sand, Inc., we are no longer engaged in the business of producing and selling sand used in hydraulic fracturing.</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See Footnote (C) to the Audited Consolidated Financial Statements for more information regarding the above divestitures.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004483"/>
        </w:rPr>
        <w:t>HUMAN CAPITAL</w:t>
      </w:r>
    </w:p>
    <w:p>
      <w:pPr>
        <w:spacing w:after="0" w:line="101"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As of March 31, 2021, the Company had approximately 2,200 employees, of which approximately 650 are salaried and approximately 1,550 are hourly. Approximately 700 of the hourly employees are employed under collective bargaining agreements and various supplemental agreements with local unions.</w:t>
      </w:r>
    </w:p>
    <w:p>
      <w:pPr>
        <w:spacing w:after="0" w:line="59"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Recruiting, developing, and retaining qualified employees is essential to implement our strategy and maintain our low-cost position. All of our employees are provided with the training necessary to safely and effectively perform their responsibilities. The health and safety of our employees is the highest priority of management. In all our businesses we have implemented initiatives to improve safety in the workplace. We hold an annual safety conference in the fall of each year, during which we discuss a variety of topics, including training programs; sharing of best practices; and maintaining focus on leading indicators, such as near-miss reporting, root cause analysis of all lost-time injuries, and sharing and discussing incidents that occurred during the past year. We also invite outside parties to assist in identifying potential safety trends and ways to mitigate identified risks. Management reviews a variety of safety metrics, including leading and lagging indicators, and updates are provided to corporate management by the business units monthly throughout the year.</w:t>
      </w:r>
    </w:p>
    <w:p>
      <w:pPr>
        <w:spacing w:after="0" w:line="6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COVID-19 pandemic created a unique challenge to our business and industry. We were designated an essential business in most of our locations, enabling us to continue production throughout the pandemic. We implemented enhanced health and safety protocols to safeguard our employees, as well as our customers and suppliers, both at our plants and third-party sites. Some of these health and safety protocols consisted of restricting access to our facilities to employees only, limiting travel between facilities by Company personnel to essential travel only, dividing the workforce at each location to ensure that any outbreak would not affect the entire workforce, staggering the timing of annual outages to ensure that only two cement plants were down at any one time, providing employees with up-to-date information about COVID-19 hot spots; and requiring self-quarantine for any employees who were possibly exposed to COVID-19. Despite the declining infection rates, we are continuing to focus on limiting possible future cases.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INDUSTRY SEGMENT INFORMATION</w:t>
      </w:r>
    </w:p>
    <w:p>
      <w:pPr>
        <w:spacing w:after="0" w:line="101" w:lineRule="exact"/>
        <w:rPr>
          <w:sz w:val="20"/>
          <w:szCs w:val="20"/>
          <w:color w:val="auto"/>
        </w:rPr>
      </w:pPr>
    </w:p>
    <w:p>
      <w:pPr>
        <w:jc w:val="both"/>
        <w:ind w:right="460"/>
        <w:spacing w:after="0" w:line="271" w:lineRule="auto"/>
        <w:rPr>
          <w:sz w:val="20"/>
          <w:szCs w:val="20"/>
          <w:color w:val="auto"/>
        </w:rPr>
      </w:pPr>
      <w:r>
        <w:rPr>
          <w:rFonts w:ascii="Arial" w:cs="Arial" w:eastAsia="Arial" w:hAnsi="Arial"/>
          <w:sz w:val="12"/>
          <w:szCs w:val="12"/>
          <w:color w:val="auto"/>
        </w:rPr>
        <w:t>Our business is organized into two sectors: Heavy Materials, which includes the Cement and Concrete and Aggregates segments; and Light Materials, which includes the Gypsum Wallboard and Recycled Paperboard segments. The primary end market for our Cement segment is infrastructure, while the primary end market for our Concrete and Aggregates segment is infrastructure, and both residential and commercial construction. The primary end market for our Gypsum Wallboard and Recycled Paperboard segments is residential construction.</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440"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386191"/>
        </w:rPr>
        <w:t>Heavy Materials</w:t>
      </w:r>
    </w:p>
    <w:p>
      <w:pPr>
        <w:spacing w:after="0" w:line="102"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Our Heavy Materials sector provides cement and concrete and aggregates for use in infrastructure, commercial, and residential construction. This sector comprises the Cement and Concrete and Aggregates segments. Demand has been strong for these construction products over the last several years. Cement consumption in the United States, as estimated by the Portland Cement Association (PCA), was approximately 112.1 million short tons in calendar 2020, compared with 109.8 million short tons in calendar 2019, and imported cement consumption was 17% of total sales in calendar 2020 compared with 16% in calendar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277EBF"/>
        </w:rPr>
        <w:t>CEMENT</w:t>
      </w:r>
    </w:p>
    <w:p>
      <w:pPr>
        <w:spacing w:after="0" w:line="101"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Cement is the basic binding agent for concrete, a primary construction material. The principal sources of demand for cement are public infrastructure, commercial construction, and residential construction, with public infrastructure accounting for nearly 50% of cement demand. Because of its low-value-to-weight ratio, the relative cost of transporting cement on land is high and limits the geographic area in which each producer can market its products profitably. Management believes shipments by truck are generally limited to a 150-mile radius from each plant up to 300 miles by rail, and further by barge. Therefore,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 manufacturing process for portland cement primarily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4445</wp:posOffset>
            </wp:positionV>
            <wp:extent cx="3509010" cy="714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901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60"/>
        <w:spacing w:after="0" w:line="277" w:lineRule="auto"/>
        <w:rPr>
          <w:sz w:val="20"/>
          <w:szCs w:val="20"/>
          <w:color w:val="auto"/>
        </w:rPr>
      </w:pPr>
      <w:r>
        <w:rPr>
          <w:rFonts w:ascii="Arial" w:cs="Arial" w:eastAsia="Arial" w:hAnsi="Arial"/>
          <w:sz w:val="12"/>
          <w:szCs w:val="12"/>
          <w:color w:val="auto"/>
        </w:rPr>
        <w:t>We also produce and market other cementitious products, including slag cement and fly ash. Slag granules are obtained from a steel company and ground in our grinding facility. Slag is used in concrete mix designs to improve the durability of concrete and reduce future maintenance costs. Fly ash is a by-product of a coal-fired power plant and acts as an extender of cement in concrete.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277EBF"/>
        </w:rPr>
        <w:t>Cement Plants</w:t>
      </w:r>
    </w:p>
    <w:p>
      <w:pPr>
        <w:spacing w:after="0" w:line="101" w:lineRule="exact"/>
        <w:rPr>
          <w:sz w:val="20"/>
          <w:szCs w:val="20"/>
          <w:color w:val="auto"/>
        </w:rPr>
      </w:pPr>
    </w:p>
    <w:p>
      <w:pPr>
        <w:jc w:val="both"/>
        <w:ind w:right="200"/>
        <w:spacing w:after="0" w:line="271" w:lineRule="auto"/>
        <w:rPr>
          <w:sz w:val="20"/>
          <w:szCs w:val="20"/>
          <w:color w:val="auto"/>
        </w:rPr>
      </w:pPr>
      <w:r>
        <w:rPr>
          <w:rFonts w:ascii="Arial" w:cs="Arial" w:eastAsia="Arial" w:hAnsi="Arial"/>
          <w:sz w:val="12"/>
          <w:szCs w:val="12"/>
          <w:color w:val="auto"/>
        </w:rPr>
        <w:t>We operate eight modern cement plants (one of which is operated through a joint venture), and one slag grinding facility. Our clinker capacity is approximately 6.7 million tons, which is approximately 6% of total U.S. clinker capacity (clinker is the intermediary product before it is ground into cement powder). All of our cement plants use dry-process technology, and approximately 80% of our clinker capacity is produced from preheater or preheater/pre-calciner kilns, which are generally more energy-efficient kiln types. In addition to production facilities, we also operate 29 cement storage and distribution terminals.</w:t>
      </w:r>
    </w:p>
    <w:p>
      <w:pPr>
        <w:spacing w:after="0" w:line="64"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Our cement companies focus on the U.S. heartland and operate as an integrated network selling product mainly in Colorado, Illinois, Kansas, Kentucky, Indiana, Iowa, Missouri, Nebraska, Nevada, Ohio, Oklahoma, and Texas. Our joint venture includes a minority interest in an import terminal in Houston, Texas, from which we can purchase up to 495,000 short tons annually. Our slag facility is located near Chicago, Illinois and has 500,000 tons annual grinding capacity.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436" w:right="33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color w:val="auto"/>
        </w:rPr>
        <w:t>The following table sets forth information regarding our cement plants at March 31, 2021 (tons are in thousands of short tons):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1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jc w:val="right"/>
              <w:ind w:right="292"/>
              <w:spacing w:after="0"/>
              <w:rPr>
                <w:sz w:val="20"/>
                <w:szCs w:val="20"/>
                <w:color w:val="auto"/>
              </w:rPr>
            </w:pPr>
            <w:r>
              <w:rPr>
                <w:rFonts w:ascii="Arial" w:cs="Arial" w:eastAsia="Arial" w:hAnsi="Arial"/>
                <w:sz w:val="8"/>
                <w:szCs w:val="8"/>
                <w:b w:val="1"/>
                <w:bCs w:val="1"/>
                <w:color w:val="auto"/>
              </w:rPr>
              <w:t>Estimated</w:t>
            </w:r>
          </w:p>
        </w:tc>
        <w:tc>
          <w:tcPr>
            <w:tcW w:w="680" w:type="dxa"/>
            <w:vAlign w:val="bottom"/>
          </w:tcPr>
          <w:p>
            <w:pPr>
              <w:spacing w:after="0"/>
              <w:rPr>
                <w:sz w:val="7"/>
                <w:szCs w:val="7"/>
                <w:color w:val="auto"/>
              </w:rPr>
            </w:pPr>
          </w:p>
        </w:tc>
      </w:tr>
      <w:tr>
        <w:trPr>
          <w:trHeight w:val="90"/>
        </w:trPr>
        <w:tc>
          <w:tcPr>
            <w:tcW w:w="1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jc w:val="right"/>
              <w:ind w:right="191"/>
              <w:spacing w:after="0" w:line="90" w:lineRule="exact"/>
              <w:rPr>
                <w:sz w:val="20"/>
                <w:szCs w:val="20"/>
                <w:color w:val="auto"/>
              </w:rPr>
            </w:pPr>
            <w:r>
              <w:rPr>
                <w:rFonts w:ascii="Arial" w:cs="Arial" w:eastAsia="Arial" w:hAnsi="Arial"/>
                <w:sz w:val="8"/>
                <w:szCs w:val="8"/>
                <w:b w:val="1"/>
                <w:bCs w:val="1"/>
                <w:color w:val="auto"/>
              </w:rPr>
              <w:t>Estimated</w:t>
            </w:r>
          </w:p>
        </w:tc>
        <w:tc>
          <w:tcPr>
            <w:tcW w:w="940" w:type="dxa"/>
            <w:vAlign w:val="bottom"/>
          </w:tcPr>
          <w:p>
            <w:pPr>
              <w:jc w:val="right"/>
              <w:ind w:right="292"/>
              <w:spacing w:after="0" w:line="90" w:lineRule="exact"/>
              <w:rPr>
                <w:sz w:val="20"/>
                <w:szCs w:val="20"/>
                <w:color w:val="auto"/>
              </w:rPr>
            </w:pPr>
            <w:r>
              <w:rPr>
                <w:rFonts w:ascii="Arial" w:cs="Arial" w:eastAsia="Arial" w:hAnsi="Arial"/>
                <w:sz w:val="8"/>
                <w:szCs w:val="8"/>
                <w:b w:val="1"/>
                <w:bCs w:val="1"/>
                <w:color w:val="auto"/>
              </w:rPr>
              <w:t>Minimum</w:t>
            </w:r>
          </w:p>
        </w:tc>
        <w:tc>
          <w:tcPr>
            <w:tcW w:w="680" w:type="dxa"/>
            <w:vAlign w:val="bottom"/>
          </w:tcPr>
          <w:p>
            <w:pPr>
              <w:jc w:val="right"/>
              <w:ind w:right="72"/>
              <w:spacing w:after="0" w:line="90" w:lineRule="exact"/>
              <w:rPr>
                <w:sz w:val="20"/>
                <w:szCs w:val="20"/>
                <w:color w:val="auto"/>
              </w:rPr>
            </w:pPr>
            <w:r>
              <w:rPr>
                <w:rFonts w:ascii="Arial" w:cs="Arial" w:eastAsia="Arial" w:hAnsi="Arial"/>
                <w:sz w:val="8"/>
                <w:szCs w:val="8"/>
                <w:b w:val="1"/>
                <w:bCs w:val="1"/>
                <w:color w:val="auto"/>
              </w:rPr>
              <w:t>Fiscal</w:t>
            </w:r>
          </w:p>
        </w:tc>
      </w:tr>
      <w:tr>
        <w:trPr>
          <w:trHeight w:val="90"/>
        </w:trPr>
        <w:tc>
          <w:tcPr>
            <w:tcW w:w="1480" w:type="dxa"/>
            <w:vAlign w:val="bottom"/>
          </w:tcPr>
          <w:p>
            <w:pPr>
              <w:spacing w:after="0"/>
              <w:rPr>
                <w:sz w:val="7"/>
                <w:szCs w:val="7"/>
                <w:color w:val="auto"/>
              </w:rPr>
            </w:pPr>
          </w:p>
        </w:tc>
        <w:tc>
          <w:tcPr>
            <w:tcW w:w="104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Rated Annual</w:t>
            </w:r>
          </w:p>
        </w:tc>
        <w:tc>
          <w:tcPr>
            <w:tcW w:w="200" w:type="dxa"/>
            <w:vAlign w:val="bottom"/>
          </w:tcPr>
          <w:p>
            <w:pPr>
              <w:spacing w:after="0"/>
              <w:rPr>
                <w:sz w:val="7"/>
                <w:szCs w:val="7"/>
                <w:color w:val="auto"/>
              </w:rPr>
            </w:pPr>
          </w:p>
        </w:tc>
        <w:tc>
          <w:tcPr>
            <w:tcW w:w="112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Annual</w:t>
            </w:r>
          </w:p>
        </w:tc>
        <w:tc>
          <w:tcPr>
            <w:tcW w:w="2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ind w:left="180"/>
              <w:spacing w:after="0" w:line="90" w:lineRule="exact"/>
              <w:rPr>
                <w:sz w:val="20"/>
                <w:szCs w:val="20"/>
                <w:color w:val="auto"/>
              </w:rPr>
            </w:pPr>
            <w:r>
              <w:rPr>
                <w:rFonts w:ascii="Arial" w:cs="Arial" w:eastAsia="Arial" w:hAnsi="Arial"/>
                <w:sz w:val="8"/>
                <w:szCs w:val="8"/>
                <w:b w:val="1"/>
                <w:bCs w:val="1"/>
                <w:color w:val="auto"/>
              </w:rPr>
              <w:t>Kiln</w:t>
            </w:r>
          </w:p>
        </w:tc>
        <w:tc>
          <w:tcPr>
            <w:tcW w:w="980" w:type="dxa"/>
            <w:vAlign w:val="bottom"/>
          </w:tcPr>
          <w:p>
            <w:pPr>
              <w:jc w:val="right"/>
              <w:ind w:right="171"/>
              <w:spacing w:after="0" w:line="90" w:lineRule="exact"/>
              <w:rPr>
                <w:sz w:val="20"/>
                <w:szCs w:val="20"/>
                <w:color w:val="auto"/>
              </w:rPr>
            </w:pPr>
            <w:r>
              <w:rPr>
                <w:rFonts w:ascii="Arial" w:cs="Arial" w:eastAsia="Arial" w:hAnsi="Arial"/>
                <w:sz w:val="8"/>
                <w:szCs w:val="8"/>
                <w:b w:val="1"/>
                <w:bCs w:val="1"/>
                <w:color w:val="auto"/>
              </w:rPr>
              <w:t>Owned or</w:t>
            </w:r>
          </w:p>
        </w:tc>
        <w:tc>
          <w:tcPr>
            <w:tcW w:w="900" w:type="dxa"/>
            <w:vAlign w:val="bottom"/>
          </w:tcPr>
          <w:p>
            <w:pPr>
              <w:jc w:val="right"/>
              <w:ind w:right="191"/>
              <w:spacing w:after="0" w:line="90" w:lineRule="exact"/>
              <w:rPr>
                <w:sz w:val="20"/>
                <w:szCs w:val="20"/>
                <w:color w:val="auto"/>
              </w:rPr>
            </w:pPr>
            <w:r>
              <w:rPr>
                <w:rFonts w:ascii="Arial" w:cs="Arial" w:eastAsia="Arial" w:hAnsi="Arial"/>
                <w:sz w:val="8"/>
                <w:szCs w:val="8"/>
                <w:b w:val="1"/>
                <w:bCs w:val="1"/>
                <w:color w:val="auto"/>
              </w:rPr>
              <w:t>Minimum</w:t>
            </w:r>
          </w:p>
        </w:tc>
        <w:tc>
          <w:tcPr>
            <w:tcW w:w="940" w:type="dxa"/>
            <w:vAlign w:val="bottom"/>
          </w:tcPr>
          <w:p>
            <w:pPr>
              <w:jc w:val="right"/>
              <w:ind w:right="292"/>
              <w:spacing w:after="0" w:line="90" w:lineRule="exact"/>
              <w:rPr>
                <w:sz w:val="20"/>
                <w:szCs w:val="20"/>
                <w:color w:val="auto"/>
              </w:rPr>
            </w:pPr>
            <w:r>
              <w:rPr>
                <w:rFonts w:ascii="Arial" w:cs="Arial" w:eastAsia="Arial" w:hAnsi="Arial"/>
                <w:sz w:val="8"/>
                <w:szCs w:val="8"/>
                <w:b w:val="1"/>
                <w:bCs w:val="1"/>
                <w:color w:val="auto"/>
              </w:rPr>
              <w:t>Limestone</w:t>
            </w:r>
          </w:p>
        </w:tc>
        <w:tc>
          <w:tcPr>
            <w:tcW w:w="680" w:type="dxa"/>
            <w:vAlign w:val="bottom"/>
          </w:tcPr>
          <w:p>
            <w:pPr>
              <w:jc w:val="right"/>
              <w:ind w:right="72"/>
              <w:spacing w:after="0" w:line="90" w:lineRule="exact"/>
              <w:rPr>
                <w:sz w:val="20"/>
                <w:szCs w:val="20"/>
                <w:color w:val="auto"/>
              </w:rPr>
            </w:pPr>
            <w:r>
              <w:rPr>
                <w:rFonts w:ascii="Arial" w:cs="Arial" w:eastAsia="Arial" w:hAnsi="Arial"/>
                <w:sz w:val="8"/>
                <w:szCs w:val="8"/>
                <w:b w:val="1"/>
                <w:bCs w:val="1"/>
                <w:color w:val="auto"/>
              </w:rPr>
              <w:t>2021</w:t>
            </w:r>
          </w:p>
        </w:tc>
      </w:tr>
      <w:tr>
        <w:trPr>
          <w:trHeight w:val="90"/>
        </w:trPr>
        <w:tc>
          <w:tcPr>
            <w:tcW w:w="1480" w:type="dxa"/>
            <w:vAlign w:val="bottom"/>
          </w:tcPr>
          <w:p>
            <w:pPr>
              <w:spacing w:after="0"/>
              <w:rPr>
                <w:sz w:val="7"/>
                <w:szCs w:val="7"/>
                <w:color w:val="auto"/>
              </w:rPr>
            </w:pPr>
          </w:p>
        </w:tc>
        <w:tc>
          <w:tcPr>
            <w:tcW w:w="104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Clinker</w:t>
            </w:r>
          </w:p>
        </w:tc>
        <w:tc>
          <w:tcPr>
            <w:tcW w:w="200" w:type="dxa"/>
            <w:vAlign w:val="bottom"/>
          </w:tcPr>
          <w:p>
            <w:pPr>
              <w:spacing w:after="0"/>
              <w:rPr>
                <w:sz w:val="7"/>
                <w:szCs w:val="7"/>
                <w:color w:val="auto"/>
              </w:rPr>
            </w:pPr>
          </w:p>
        </w:tc>
        <w:tc>
          <w:tcPr>
            <w:tcW w:w="112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Grinding</w:t>
            </w:r>
          </w:p>
        </w:tc>
        <w:tc>
          <w:tcPr>
            <w:tcW w:w="204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Manufacturing</w:t>
            </w:r>
          </w:p>
        </w:tc>
        <w:tc>
          <w:tcPr>
            <w:tcW w:w="940" w:type="dxa"/>
            <w:vAlign w:val="bottom"/>
          </w:tcPr>
          <w:p>
            <w:pPr>
              <w:ind w:left="440"/>
              <w:spacing w:after="0" w:line="90" w:lineRule="exact"/>
              <w:rPr>
                <w:sz w:val="20"/>
                <w:szCs w:val="20"/>
                <w:color w:val="auto"/>
              </w:rPr>
            </w:pPr>
            <w:r>
              <w:rPr>
                <w:rFonts w:ascii="Arial" w:cs="Arial" w:eastAsia="Arial" w:hAnsi="Arial"/>
                <w:sz w:val="8"/>
                <w:szCs w:val="8"/>
                <w:b w:val="1"/>
                <w:bCs w:val="1"/>
                <w:color w:val="auto"/>
              </w:rPr>
              <w:t>Number</w:t>
            </w:r>
          </w:p>
        </w:tc>
        <w:tc>
          <w:tcPr>
            <w:tcW w:w="980" w:type="dxa"/>
            <w:vAlign w:val="bottom"/>
          </w:tcPr>
          <w:p>
            <w:pPr>
              <w:ind w:left="180"/>
              <w:spacing w:after="0" w:line="90" w:lineRule="exact"/>
              <w:rPr>
                <w:sz w:val="20"/>
                <w:szCs w:val="20"/>
                <w:color w:val="auto"/>
              </w:rPr>
            </w:pPr>
            <w:r>
              <w:rPr>
                <w:rFonts w:ascii="Arial" w:cs="Arial" w:eastAsia="Arial" w:hAnsi="Arial"/>
                <w:sz w:val="8"/>
                <w:szCs w:val="8"/>
                <w:b w:val="1"/>
                <w:bCs w:val="1"/>
                <w:color w:val="auto"/>
              </w:rPr>
              <w:t>Dedication</w:t>
            </w:r>
          </w:p>
        </w:tc>
        <w:tc>
          <w:tcPr>
            <w:tcW w:w="980" w:type="dxa"/>
            <w:vAlign w:val="bottom"/>
          </w:tcPr>
          <w:p>
            <w:pPr>
              <w:jc w:val="right"/>
              <w:ind w:right="171"/>
              <w:spacing w:after="0" w:line="90" w:lineRule="exact"/>
              <w:rPr>
                <w:sz w:val="20"/>
                <w:szCs w:val="20"/>
                <w:color w:val="auto"/>
              </w:rPr>
            </w:pPr>
            <w:r>
              <w:rPr>
                <w:rFonts w:ascii="Arial" w:cs="Arial" w:eastAsia="Arial" w:hAnsi="Arial"/>
                <w:sz w:val="8"/>
                <w:szCs w:val="8"/>
                <w:b w:val="1"/>
                <w:bCs w:val="1"/>
                <w:color w:val="auto"/>
              </w:rPr>
              <w:t>Leased</w:t>
            </w:r>
          </w:p>
        </w:tc>
        <w:tc>
          <w:tcPr>
            <w:tcW w:w="900" w:type="dxa"/>
            <w:vAlign w:val="bottom"/>
          </w:tcPr>
          <w:p>
            <w:pPr>
              <w:jc w:val="right"/>
              <w:ind w:right="191"/>
              <w:spacing w:after="0" w:line="90" w:lineRule="exact"/>
              <w:rPr>
                <w:sz w:val="20"/>
                <w:szCs w:val="20"/>
                <w:color w:val="auto"/>
              </w:rPr>
            </w:pPr>
            <w:r>
              <w:rPr>
                <w:rFonts w:ascii="Arial" w:cs="Arial" w:eastAsia="Arial" w:hAnsi="Arial"/>
                <w:sz w:val="8"/>
                <w:szCs w:val="8"/>
                <w:b w:val="1"/>
                <w:bCs w:val="1"/>
                <w:color w:val="auto"/>
              </w:rPr>
              <w:t>Limestone</w:t>
            </w:r>
          </w:p>
        </w:tc>
        <w:tc>
          <w:tcPr>
            <w:tcW w:w="940" w:type="dxa"/>
            <w:vAlign w:val="bottom"/>
          </w:tcPr>
          <w:p>
            <w:pPr>
              <w:jc w:val="right"/>
              <w:ind w:right="292"/>
              <w:spacing w:after="0" w:line="90" w:lineRule="exact"/>
              <w:rPr>
                <w:sz w:val="20"/>
                <w:szCs w:val="20"/>
                <w:color w:val="auto"/>
              </w:rPr>
            </w:pPr>
            <w:r>
              <w:rPr>
                <w:rFonts w:ascii="Arial" w:cs="Arial" w:eastAsia="Arial" w:hAnsi="Arial"/>
                <w:sz w:val="8"/>
                <w:szCs w:val="8"/>
                <w:b w:val="1"/>
                <w:bCs w:val="1"/>
                <w:color w:val="auto"/>
              </w:rPr>
              <w:t>Reserves</w:t>
            </w:r>
          </w:p>
        </w:tc>
        <w:tc>
          <w:tcPr>
            <w:tcW w:w="680" w:type="dxa"/>
            <w:vAlign w:val="bottom"/>
          </w:tcPr>
          <w:p>
            <w:pPr>
              <w:jc w:val="right"/>
              <w:ind w:right="72"/>
              <w:spacing w:after="0" w:line="90" w:lineRule="exact"/>
              <w:rPr>
                <w:sz w:val="20"/>
                <w:szCs w:val="20"/>
                <w:color w:val="auto"/>
              </w:rPr>
            </w:pPr>
            <w:r>
              <w:rPr>
                <w:rFonts w:ascii="Arial" w:cs="Arial" w:eastAsia="Arial" w:hAnsi="Arial"/>
                <w:sz w:val="8"/>
                <w:szCs w:val="8"/>
                <w:b w:val="1"/>
                <w:bCs w:val="1"/>
                <w:color w:val="auto"/>
              </w:rPr>
              <w:t>Tons</w:t>
            </w:r>
          </w:p>
        </w:tc>
      </w:tr>
      <w:tr>
        <w:trPr>
          <w:trHeight w:val="101"/>
        </w:trPr>
        <w:tc>
          <w:tcPr>
            <w:tcW w:w="1480" w:type="dxa"/>
            <w:vAlign w:val="bottom"/>
            <w:tcBorders>
              <w:bottom w:val="single" w:sz="8" w:color="3983C5"/>
            </w:tcBorders>
          </w:tcPr>
          <w:p>
            <w:pPr>
              <w:spacing w:after="0"/>
              <w:rPr>
                <w:sz w:val="20"/>
                <w:szCs w:val="20"/>
                <w:color w:val="auto"/>
              </w:rPr>
            </w:pPr>
            <w:r>
              <w:rPr>
                <w:rFonts w:ascii="Arial" w:cs="Arial" w:eastAsia="Arial" w:hAnsi="Arial"/>
                <w:sz w:val="8"/>
                <w:szCs w:val="8"/>
                <w:b w:val="1"/>
                <w:bCs w:val="1"/>
                <w:color w:val="auto"/>
              </w:rPr>
              <w:t>Plant Location</w:t>
            </w:r>
          </w:p>
        </w:tc>
        <w:tc>
          <w:tcPr>
            <w:tcW w:w="1040" w:type="dxa"/>
            <w:vAlign w:val="bottom"/>
            <w:tcBorders>
              <w:bottom w:val="single" w:sz="8" w:color="3983C5"/>
            </w:tcBorders>
          </w:tcPr>
          <w:p>
            <w:pPr>
              <w:jc w:val="right"/>
              <w:ind w:right="71"/>
              <w:spacing w:after="0"/>
              <w:rPr>
                <w:sz w:val="20"/>
                <w:szCs w:val="20"/>
                <w:color w:val="auto"/>
              </w:rPr>
            </w:pPr>
            <w:r>
              <w:rPr>
                <w:rFonts w:ascii="Arial" w:cs="Arial" w:eastAsia="Arial" w:hAnsi="Arial"/>
                <w:sz w:val="8"/>
                <w:szCs w:val="8"/>
                <w:b w:val="1"/>
                <w:bCs w:val="1"/>
                <w:color w:val="auto"/>
              </w:rPr>
              <w:t xml:space="preserve">Capacity </w:t>
            </w:r>
            <w:r>
              <w:rPr>
                <w:rFonts w:ascii="Arial" w:cs="Arial" w:eastAsia="Arial" w:hAnsi="Arial"/>
                <w:sz w:val="7"/>
                <w:szCs w:val="7"/>
                <w:b w:val="1"/>
                <w:bCs w:val="1"/>
                <w:color w:val="auto"/>
              </w:rPr>
              <w:t>(1)</w:t>
            </w:r>
          </w:p>
        </w:tc>
        <w:tc>
          <w:tcPr>
            <w:tcW w:w="200" w:type="dxa"/>
            <w:vAlign w:val="bottom"/>
            <w:tcBorders>
              <w:bottom w:val="single" w:sz="8" w:color="3983C5"/>
            </w:tcBorders>
          </w:tcPr>
          <w:p>
            <w:pPr>
              <w:spacing w:after="0"/>
              <w:rPr>
                <w:sz w:val="8"/>
                <w:szCs w:val="8"/>
                <w:color w:val="auto"/>
              </w:rPr>
            </w:pPr>
          </w:p>
        </w:tc>
        <w:tc>
          <w:tcPr>
            <w:tcW w:w="1120" w:type="dxa"/>
            <w:vAlign w:val="bottom"/>
            <w:tcBorders>
              <w:bottom w:val="single" w:sz="8" w:color="3983C5"/>
            </w:tcBorders>
          </w:tcPr>
          <w:p>
            <w:pPr>
              <w:jc w:val="right"/>
              <w:ind w:right="71"/>
              <w:spacing w:after="0"/>
              <w:rPr>
                <w:sz w:val="20"/>
                <w:szCs w:val="20"/>
                <w:color w:val="auto"/>
              </w:rPr>
            </w:pPr>
            <w:r>
              <w:rPr>
                <w:rFonts w:ascii="Arial" w:cs="Arial" w:eastAsia="Arial" w:hAnsi="Arial"/>
                <w:sz w:val="8"/>
                <w:szCs w:val="8"/>
                <w:b w:val="1"/>
                <w:bCs w:val="1"/>
                <w:color w:val="auto"/>
              </w:rPr>
              <w:t>Capacity</w:t>
            </w:r>
          </w:p>
        </w:tc>
        <w:tc>
          <w:tcPr>
            <w:tcW w:w="2040" w:type="dxa"/>
            <w:vAlign w:val="bottom"/>
            <w:tcBorders>
              <w:bottom w:val="single" w:sz="8" w:color="3983C5"/>
            </w:tcBorders>
          </w:tcPr>
          <w:p>
            <w:pPr>
              <w:ind w:left="120"/>
              <w:spacing w:after="0"/>
              <w:rPr>
                <w:sz w:val="20"/>
                <w:szCs w:val="20"/>
                <w:color w:val="auto"/>
              </w:rPr>
            </w:pPr>
            <w:r>
              <w:rPr>
                <w:rFonts w:ascii="Arial" w:cs="Arial" w:eastAsia="Arial" w:hAnsi="Arial"/>
                <w:sz w:val="8"/>
                <w:szCs w:val="8"/>
                <w:b w:val="1"/>
                <w:bCs w:val="1"/>
                <w:color w:val="auto"/>
              </w:rPr>
              <w:t>Process</w:t>
            </w:r>
          </w:p>
        </w:tc>
        <w:tc>
          <w:tcPr>
            <w:tcW w:w="940" w:type="dxa"/>
            <w:vAlign w:val="bottom"/>
            <w:tcBorders>
              <w:bottom w:val="single" w:sz="8" w:color="3983C5"/>
            </w:tcBorders>
          </w:tcPr>
          <w:p>
            <w:pPr>
              <w:ind w:left="440"/>
              <w:spacing w:after="0"/>
              <w:rPr>
                <w:sz w:val="20"/>
                <w:szCs w:val="20"/>
                <w:color w:val="auto"/>
              </w:rPr>
            </w:pPr>
            <w:r>
              <w:rPr>
                <w:rFonts w:ascii="Arial" w:cs="Arial" w:eastAsia="Arial" w:hAnsi="Arial"/>
                <w:sz w:val="8"/>
                <w:szCs w:val="8"/>
                <w:b w:val="1"/>
                <w:bCs w:val="1"/>
                <w:color w:val="auto"/>
              </w:rPr>
              <w:t>of Kilns</w:t>
            </w:r>
          </w:p>
        </w:tc>
        <w:tc>
          <w:tcPr>
            <w:tcW w:w="980" w:type="dxa"/>
            <w:vAlign w:val="bottom"/>
            <w:tcBorders>
              <w:bottom w:val="single" w:sz="8" w:color="3983C5"/>
            </w:tcBorders>
          </w:tcPr>
          <w:p>
            <w:pPr>
              <w:ind w:left="180"/>
              <w:spacing w:after="0"/>
              <w:rPr>
                <w:sz w:val="20"/>
                <w:szCs w:val="20"/>
                <w:color w:val="auto"/>
              </w:rPr>
            </w:pPr>
            <w:r>
              <w:rPr>
                <w:rFonts w:ascii="Arial" w:cs="Arial" w:eastAsia="Arial" w:hAnsi="Arial"/>
                <w:sz w:val="8"/>
                <w:szCs w:val="8"/>
                <w:b w:val="1"/>
                <w:bCs w:val="1"/>
                <w:color w:val="auto"/>
              </w:rPr>
              <w:t>Date</w:t>
            </w:r>
          </w:p>
        </w:tc>
        <w:tc>
          <w:tcPr>
            <w:tcW w:w="980" w:type="dxa"/>
            <w:vAlign w:val="bottom"/>
            <w:tcBorders>
              <w:bottom w:val="single" w:sz="8" w:color="3983C5"/>
            </w:tcBorders>
          </w:tcPr>
          <w:p>
            <w:pPr>
              <w:jc w:val="right"/>
              <w:ind w:right="171"/>
              <w:spacing w:after="0"/>
              <w:rPr>
                <w:sz w:val="20"/>
                <w:szCs w:val="20"/>
                <w:color w:val="auto"/>
              </w:rPr>
            </w:pPr>
            <w:r>
              <w:rPr>
                <w:rFonts w:ascii="Arial" w:cs="Arial" w:eastAsia="Arial" w:hAnsi="Arial"/>
                <w:sz w:val="8"/>
                <w:szCs w:val="8"/>
                <w:b w:val="1"/>
                <w:bCs w:val="1"/>
                <w:color w:val="auto"/>
              </w:rPr>
              <w:t>Reserves</w:t>
            </w:r>
          </w:p>
        </w:tc>
        <w:tc>
          <w:tcPr>
            <w:tcW w:w="900" w:type="dxa"/>
            <w:vAlign w:val="bottom"/>
            <w:tcBorders>
              <w:bottom w:val="single" w:sz="8" w:color="3983C5"/>
            </w:tcBorders>
          </w:tcPr>
          <w:p>
            <w:pPr>
              <w:jc w:val="right"/>
              <w:ind w:right="191"/>
              <w:spacing w:after="0"/>
              <w:rPr>
                <w:sz w:val="20"/>
                <w:szCs w:val="20"/>
                <w:color w:val="auto"/>
              </w:rPr>
            </w:pPr>
            <w:r>
              <w:rPr>
                <w:rFonts w:ascii="Arial" w:cs="Arial" w:eastAsia="Arial" w:hAnsi="Arial"/>
                <w:sz w:val="8"/>
                <w:szCs w:val="8"/>
                <w:b w:val="1"/>
                <w:bCs w:val="1"/>
                <w:color w:val="auto"/>
              </w:rPr>
              <w:t xml:space="preserve">Reserves </w:t>
            </w:r>
            <w:r>
              <w:rPr>
                <w:rFonts w:ascii="Arial" w:cs="Arial" w:eastAsia="Arial" w:hAnsi="Arial"/>
                <w:sz w:val="7"/>
                <w:szCs w:val="7"/>
                <w:b w:val="1"/>
                <w:bCs w:val="1"/>
                <w:color w:val="auto"/>
              </w:rPr>
              <w:t>(2)</w:t>
            </w:r>
          </w:p>
        </w:tc>
        <w:tc>
          <w:tcPr>
            <w:tcW w:w="940" w:type="dxa"/>
            <w:vAlign w:val="bottom"/>
            <w:tcBorders>
              <w:bottom w:val="single" w:sz="8" w:color="3983C5"/>
            </w:tcBorders>
          </w:tcPr>
          <w:p>
            <w:pPr>
              <w:jc w:val="right"/>
              <w:ind w:right="292"/>
              <w:spacing w:after="0"/>
              <w:rPr>
                <w:sz w:val="20"/>
                <w:szCs w:val="20"/>
                <w:color w:val="auto"/>
              </w:rPr>
            </w:pPr>
            <w:r>
              <w:rPr>
                <w:rFonts w:ascii="Arial" w:cs="Arial" w:eastAsia="Arial" w:hAnsi="Arial"/>
                <w:sz w:val="8"/>
                <w:szCs w:val="8"/>
                <w:b w:val="1"/>
                <w:bCs w:val="1"/>
                <w:color w:val="auto"/>
              </w:rPr>
              <w:t xml:space="preserve">(Years) </w:t>
            </w:r>
            <w:r>
              <w:rPr>
                <w:rFonts w:ascii="Arial" w:cs="Arial" w:eastAsia="Arial" w:hAnsi="Arial"/>
                <w:sz w:val="7"/>
                <w:szCs w:val="7"/>
                <w:b w:val="1"/>
                <w:bCs w:val="1"/>
                <w:color w:val="auto"/>
              </w:rPr>
              <w:t>(3)</w:t>
            </w:r>
          </w:p>
        </w:tc>
        <w:tc>
          <w:tcPr>
            <w:tcW w:w="680" w:type="dxa"/>
            <w:vAlign w:val="bottom"/>
            <w:tcBorders>
              <w:bottom w:val="single" w:sz="8" w:color="3983C5"/>
            </w:tcBorders>
          </w:tcPr>
          <w:p>
            <w:pPr>
              <w:jc w:val="right"/>
              <w:ind w:right="72"/>
              <w:spacing w:after="0"/>
              <w:rPr>
                <w:sz w:val="20"/>
                <w:szCs w:val="20"/>
                <w:color w:val="auto"/>
              </w:rPr>
            </w:pPr>
            <w:r>
              <w:rPr>
                <w:rFonts w:ascii="Arial" w:cs="Arial" w:eastAsia="Arial" w:hAnsi="Arial"/>
                <w:sz w:val="8"/>
                <w:szCs w:val="8"/>
                <w:b w:val="1"/>
                <w:bCs w:val="1"/>
                <w:color w:val="auto"/>
              </w:rPr>
              <w:t>Mined</w:t>
            </w:r>
          </w:p>
        </w:tc>
      </w:tr>
      <w:tr>
        <w:trPr>
          <w:trHeight w:val="97"/>
        </w:trPr>
        <w:tc>
          <w:tcPr>
            <w:tcW w:w="1480" w:type="dxa"/>
            <w:vAlign w:val="bottom"/>
          </w:tcPr>
          <w:p>
            <w:pPr>
              <w:spacing w:after="0" w:line="97" w:lineRule="exact"/>
              <w:rPr>
                <w:sz w:val="20"/>
                <w:szCs w:val="20"/>
                <w:color w:val="auto"/>
              </w:rPr>
            </w:pPr>
            <w:r>
              <w:rPr>
                <w:rFonts w:ascii="Arial" w:cs="Arial" w:eastAsia="Arial" w:hAnsi="Arial"/>
                <w:sz w:val="10"/>
                <w:szCs w:val="10"/>
                <w:b w:val="1"/>
                <w:bCs w:val="1"/>
                <w:color w:val="3983C5"/>
              </w:rPr>
              <w:t>Buda, TX</w:t>
            </w:r>
          </w:p>
        </w:tc>
        <w:tc>
          <w:tcPr>
            <w:tcW w:w="1040" w:type="dxa"/>
            <w:vAlign w:val="bottom"/>
          </w:tcPr>
          <w:p>
            <w:pPr>
              <w:jc w:val="right"/>
              <w:ind w:right="71"/>
              <w:spacing w:after="0" w:line="97" w:lineRule="exact"/>
              <w:rPr>
                <w:sz w:val="20"/>
                <w:szCs w:val="20"/>
                <w:color w:val="auto"/>
              </w:rPr>
            </w:pPr>
            <w:r>
              <w:rPr>
                <w:rFonts w:ascii="Arial" w:cs="Arial" w:eastAsia="Arial" w:hAnsi="Arial"/>
                <w:sz w:val="10"/>
                <w:szCs w:val="10"/>
                <w:color w:val="auto"/>
              </w:rPr>
              <w:t>1,300</w:t>
            </w:r>
          </w:p>
        </w:tc>
        <w:tc>
          <w:tcPr>
            <w:tcW w:w="200" w:type="dxa"/>
            <w:vAlign w:val="bottom"/>
          </w:tcPr>
          <w:p>
            <w:pPr>
              <w:jc w:val="right"/>
              <w:ind w:right="57"/>
              <w:spacing w:after="0" w:line="98" w:lineRule="exact"/>
              <w:rPr>
                <w:sz w:val="20"/>
                <w:szCs w:val="20"/>
                <w:color w:val="auto"/>
              </w:rPr>
            </w:pPr>
            <w:r>
              <w:rPr>
                <w:rFonts w:ascii="Arial" w:cs="Arial" w:eastAsia="Arial" w:hAnsi="Arial"/>
                <w:sz w:val="9"/>
                <w:szCs w:val="9"/>
                <w:color w:val="auto"/>
                <w:w w:val="72"/>
              </w:rPr>
              <w:t>(4)</w:t>
            </w:r>
          </w:p>
        </w:tc>
        <w:tc>
          <w:tcPr>
            <w:tcW w:w="1120" w:type="dxa"/>
            <w:vAlign w:val="bottom"/>
          </w:tcPr>
          <w:p>
            <w:pPr>
              <w:jc w:val="right"/>
              <w:ind w:right="71"/>
              <w:spacing w:after="0" w:line="97" w:lineRule="exact"/>
              <w:rPr>
                <w:sz w:val="20"/>
                <w:szCs w:val="20"/>
                <w:color w:val="auto"/>
              </w:rPr>
            </w:pPr>
            <w:r>
              <w:rPr>
                <w:rFonts w:ascii="Arial" w:cs="Arial" w:eastAsia="Arial" w:hAnsi="Arial"/>
                <w:sz w:val="10"/>
                <w:szCs w:val="10"/>
                <w:color w:val="auto"/>
              </w:rPr>
              <w:t>1,435</w:t>
            </w:r>
          </w:p>
        </w:tc>
        <w:tc>
          <w:tcPr>
            <w:tcW w:w="2040" w:type="dxa"/>
            <w:vAlign w:val="bottom"/>
          </w:tcPr>
          <w:p>
            <w:pPr>
              <w:ind w:left="120"/>
              <w:spacing w:after="0" w:line="97" w:lineRule="exact"/>
              <w:rPr>
                <w:sz w:val="20"/>
                <w:szCs w:val="20"/>
                <w:color w:val="auto"/>
              </w:rPr>
            </w:pPr>
            <w:r>
              <w:rPr>
                <w:rFonts w:ascii="Arial" w:cs="Arial" w:eastAsia="Arial" w:hAnsi="Arial"/>
                <w:sz w:val="10"/>
                <w:szCs w:val="10"/>
                <w:color w:val="auto"/>
              </w:rPr>
              <w:t>Dry – 4 Stage Preheater/</w:t>
            </w:r>
          </w:p>
        </w:tc>
        <w:tc>
          <w:tcPr>
            <w:tcW w:w="940" w:type="dxa"/>
            <w:vAlign w:val="bottom"/>
          </w:tcPr>
          <w:p>
            <w:pPr>
              <w:ind w:left="440"/>
              <w:spacing w:after="0" w:line="97" w:lineRule="exact"/>
              <w:rPr>
                <w:sz w:val="20"/>
                <w:szCs w:val="20"/>
                <w:color w:val="auto"/>
              </w:rPr>
            </w:pPr>
            <w:r>
              <w:rPr>
                <w:rFonts w:ascii="Arial" w:cs="Arial" w:eastAsia="Arial" w:hAnsi="Arial"/>
                <w:sz w:val="10"/>
                <w:szCs w:val="10"/>
                <w:color w:val="auto"/>
              </w:rPr>
              <w:t>1</w:t>
            </w:r>
          </w:p>
        </w:tc>
        <w:tc>
          <w:tcPr>
            <w:tcW w:w="980" w:type="dxa"/>
            <w:vAlign w:val="bottom"/>
          </w:tcPr>
          <w:p>
            <w:pPr>
              <w:ind w:left="180"/>
              <w:spacing w:after="0" w:line="97" w:lineRule="exact"/>
              <w:rPr>
                <w:sz w:val="20"/>
                <w:szCs w:val="20"/>
                <w:color w:val="auto"/>
              </w:rPr>
            </w:pPr>
            <w:r>
              <w:rPr>
                <w:rFonts w:ascii="Arial" w:cs="Arial" w:eastAsia="Arial" w:hAnsi="Arial"/>
                <w:sz w:val="10"/>
                <w:szCs w:val="10"/>
                <w:color w:val="auto"/>
              </w:rPr>
              <w:t>1983</w:t>
            </w:r>
          </w:p>
        </w:tc>
        <w:tc>
          <w:tcPr>
            <w:tcW w:w="980" w:type="dxa"/>
            <w:vAlign w:val="bottom"/>
          </w:tcPr>
          <w:p>
            <w:pPr>
              <w:jc w:val="right"/>
              <w:ind w:right="171"/>
              <w:spacing w:after="0" w:line="97" w:lineRule="exact"/>
              <w:rPr>
                <w:sz w:val="20"/>
                <w:szCs w:val="20"/>
                <w:color w:val="auto"/>
              </w:rPr>
            </w:pPr>
            <w:r>
              <w:rPr>
                <w:rFonts w:ascii="Arial" w:cs="Arial" w:eastAsia="Arial" w:hAnsi="Arial"/>
                <w:sz w:val="10"/>
                <w:szCs w:val="10"/>
                <w:color w:val="auto"/>
              </w:rPr>
              <w:t>Owned</w:t>
            </w:r>
          </w:p>
        </w:tc>
        <w:tc>
          <w:tcPr>
            <w:tcW w:w="900" w:type="dxa"/>
            <w:vAlign w:val="bottom"/>
          </w:tcPr>
          <w:p>
            <w:pPr>
              <w:jc w:val="right"/>
              <w:ind w:right="191"/>
              <w:spacing w:after="0" w:line="97" w:lineRule="exact"/>
              <w:rPr>
                <w:sz w:val="20"/>
                <w:szCs w:val="20"/>
                <w:color w:val="auto"/>
              </w:rPr>
            </w:pPr>
            <w:r>
              <w:rPr>
                <w:rFonts w:ascii="Arial" w:cs="Arial" w:eastAsia="Arial" w:hAnsi="Arial"/>
                <w:sz w:val="10"/>
                <w:szCs w:val="10"/>
                <w:color w:val="auto"/>
              </w:rPr>
              <w:t>207,800</w:t>
            </w:r>
          </w:p>
        </w:tc>
        <w:tc>
          <w:tcPr>
            <w:tcW w:w="940" w:type="dxa"/>
            <w:vAlign w:val="bottom"/>
          </w:tcPr>
          <w:p>
            <w:pPr>
              <w:jc w:val="right"/>
              <w:ind w:right="292"/>
              <w:spacing w:after="0" w:line="97" w:lineRule="exact"/>
              <w:rPr>
                <w:sz w:val="20"/>
                <w:szCs w:val="20"/>
                <w:color w:val="auto"/>
              </w:rPr>
            </w:pPr>
            <w:r>
              <w:rPr>
                <w:rFonts w:ascii="Arial" w:cs="Arial" w:eastAsia="Arial" w:hAnsi="Arial"/>
                <w:sz w:val="10"/>
                <w:szCs w:val="10"/>
                <w:color w:val="auto"/>
              </w:rPr>
              <w:t>50+</w:t>
            </w:r>
          </w:p>
        </w:tc>
        <w:tc>
          <w:tcPr>
            <w:tcW w:w="680" w:type="dxa"/>
            <w:vAlign w:val="bottom"/>
          </w:tcPr>
          <w:p>
            <w:pPr>
              <w:jc w:val="right"/>
              <w:ind w:right="72"/>
              <w:spacing w:after="0" w:line="97" w:lineRule="exact"/>
              <w:rPr>
                <w:sz w:val="20"/>
                <w:szCs w:val="20"/>
                <w:color w:val="auto"/>
              </w:rPr>
            </w:pPr>
            <w:r>
              <w:rPr>
                <w:rFonts w:ascii="Arial" w:cs="Arial" w:eastAsia="Arial" w:hAnsi="Arial"/>
                <w:sz w:val="10"/>
                <w:szCs w:val="10"/>
                <w:color w:val="auto"/>
              </w:rPr>
              <w:t>1,550</w:t>
            </w:r>
          </w:p>
        </w:tc>
      </w:tr>
      <w:tr>
        <w:trPr>
          <w:trHeight w:val="117"/>
        </w:trPr>
        <w:tc>
          <w:tcPr>
            <w:tcW w:w="1480" w:type="dxa"/>
            <w:vAlign w:val="bottom"/>
            <w:tcBorders>
              <w:bottom w:val="single" w:sz="8" w:color="A6A6A6"/>
            </w:tcBorders>
          </w:tcPr>
          <w:p>
            <w:pPr>
              <w:spacing w:after="0"/>
              <w:rPr>
                <w:sz w:val="10"/>
                <w:szCs w:val="10"/>
                <w:color w:val="auto"/>
              </w:rPr>
            </w:pPr>
          </w:p>
        </w:tc>
        <w:tc>
          <w:tcPr>
            <w:tcW w:w="1040" w:type="dxa"/>
            <w:vAlign w:val="bottom"/>
            <w:tcBorders>
              <w:bottom w:val="single" w:sz="8" w:color="A6A6A6"/>
            </w:tcBorders>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1120" w:type="dxa"/>
            <w:vAlign w:val="bottom"/>
            <w:tcBorders>
              <w:bottom w:val="single" w:sz="8" w:color="A6A6A6"/>
            </w:tcBorders>
          </w:tcPr>
          <w:p>
            <w:pPr>
              <w:spacing w:after="0"/>
              <w:rPr>
                <w:sz w:val="10"/>
                <w:szCs w:val="10"/>
                <w:color w:val="auto"/>
              </w:rPr>
            </w:pPr>
          </w:p>
        </w:tc>
        <w:tc>
          <w:tcPr>
            <w:tcW w:w="2040" w:type="dxa"/>
            <w:vAlign w:val="bottom"/>
            <w:tcBorders>
              <w:bottom w:val="single" w:sz="8" w:color="A6A6A6"/>
            </w:tcBorders>
          </w:tcPr>
          <w:p>
            <w:pPr>
              <w:ind w:left="120"/>
              <w:spacing w:after="0"/>
              <w:rPr>
                <w:sz w:val="20"/>
                <w:szCs w:val="20"/>
                <w:color w:val="auto"/>
              </w:rPr>
            </w:pPr>
            <w:r>
              <w:rPr>
                <w:rFonts w:ascii="Arial" w:cs="Arial" w:eastAsia="Arial" w:hAnsi="Arial"/>
                <w:sz w:val="10"/>
                <w:szCs w:val="10"/>
                <w:color w:val="auto"/>
              </w:rPr>
              <w:t>Pre-calciner</w:t>
            </w:r>
          </w:p>
        </w:tc>
        <w:tc>
          <w:tcPr>
            <w:tcW w:w="940" w:type="dxa"/>
            <w:vAlign w:val="bottom"/>
            <w:tcBorders>
              <w:bottom w:val="single" w:sz="8" w:color="A6A6A6"/>
            </w:tcBorders>
          </w:tcPr>
          <w:p>
            <w:pPr>
              <w:spacing w:after="0"/>
              <w:rPr>
                <w:sz w:val="10"/>
                <w:szCs w:val="10"/>
                <w:color w:val="auto"/>
              </w:rPr>
            </w:pPr>
          </w:p>
        </w:tc>
        <w:tc>
          <w:tcPr>
            <w:tcW w:w="980" w:type="dxa"/>
            <w:vAlign w:val="bottom"/>
            <w:tcBorders>
              <w:bottom w:val="single" w:sz="8" w:color="A6A6A6"/>
            </w:tcBorders>
          </w:tcPr>
          <w:p>
            <w:pPr>
              <w:spacing w:after="0"/>
              <w:rPr>
                <w:sz w:val="10"/>
                <w:szCs w:val="10"/>
                <w:color w:val="auto"/>
              </w:rPr>
            </w:pPr>
          </w:p>
        </w:tc>
        <w:tc>
          <w:tcPr>
            <w:tcW w:w="980" w:type="dxa"/>
            <w:vAlign w:val="bottom"/>
            <w:tcBorders>
              <w:bottom w:val="single" w:sz="8" w:color="A6A6A6"/>
            </w:tcBorders>
          </w:tcPr>
          <w:p>
            <w:pPr>
              <w:spacing w:after="0"/>
              <w:rPr>
                <w:sz w:val="10"/>
                <w:szCs w:val="10"/>
                <w:color w:val="auto"/>
              </w:rPr>
            </w:pPr>
          </w:p>
        </w:tc>
        <w:tc>
          <w:tcPr>
            <w:tcW w:w="900" w:type="dxa"/>
            <w:vAlign w:val="bottom"/>
            <w:tcBorders>
              <w:bottom w:val="single" w:sz="8" w:color="A6A6A6"/>
            </w:tcBorders>
          </w:tcPr>
          <w:p>
            <w:pPr>
              <w:spacing w:after="0"/>
              <w:rPr>
                <w:sz w:val="10"/>
                <w:szCs w:val="10"/>
                <w:color w:val="auto"/>
              </w:rPr>
            </w:pPr>
          </w:p>
        </w:tc>
        <w:tc>
          <w:tcPr>
            <w:tcW w:w="940" w:type="dxa"/>
            <w:vAlign w:val="bottom"/>
            <w:tcBorders>
              <w:bottom w:val="single" w:sz="8" w:color="A6A6A6"/>
            </w:tcBorders>
          </w:tcPr>
          <w:p>
            <w:pPr>
              <w:spacing w:after="0"/>
              <w:rPr>
                <w:sz w:val="10"/>
                <w:szCs w:val="10"/>
                <w:color w:val="auto"/>
              </w:rPr>
            </w:pPr>
          </w:p>
        </w:tc>
        <w:tc>
          <w:tcPr>
            <w:tcW w:w="680" w:type="dxa"/>
            <w:vAlign w:val="bottom"/>
            <w:tcBorders>
              <w:bottom w:val="single" w:sz="8" w:color="A6A6A6"/>
            </w:tcBorders>
          </w:tcPr>
          <w:p>
            <w:pPr>
              <w:spacing w:after="0"/>
              <w:rPr>
                <w:sz w:val="10"/>
                <w:szCs w:val="10"/>
                <w:color w:val="auto"/>
              </w:rPr>
            </w:pPr>
          </w:p>
        </w:tc>
      </w:tr>
      <w:tr>
        <w:trPr>
          <w:trHeight w:val="106"/>
        </w:trPr>
        <w:tc>
          <w:tcPr>
            <w:tcW w:w="1480" w:type="dxa"/>
            <w:vAlign w:val="bottom"/>
            <w:tcBorders>
              <w:bottom w:val="single" w:sz="8" w:color="A6A6A6"/>
            </w:tcBorders>
          </w:tcPr>
          <w:p>
            <w:pPr>
              <w:spacing w:after="0" w:line="106" w:lineRule="exact"/>
              <w:rPr>
                <w:sz w:val="20"/>
                <w:szCs w:val="20"/>
                <w:color w:val="auto"/>
              </w:rPr>
            </w:pPr>
            <w:r>
              <w:rPr>
                <w:rFonts w:ascii="Arial" w:cs="Arial" w:eastAsia="Arial" w:hAnsi="Arial"/>
                <w:sz w:val="10"/>
                <w:szCs w:val="10"/>
                <w:b w:val="1"/>
                <w:bCs w:val="1"/>
                <w:color w:val="3983C5"/>
              </w:rPr>
              <w:t>LaSalle, IL</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1,000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1,100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5 Stage Preheater/Pre-calciner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2006</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42,300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37</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1,230</w:t>
            </w:r>
          </w:p>
        </w:tc>
      </w:tr>
      <w:tr>
        <w:trPr>
          <w:trHeight w:val="106"/>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Sugar Creek, MO</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1,000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1,300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5 Stage Preheater/Pre-calciner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2002</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122,330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50+</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1,100</w:t>
            </w:r>
          </w:p>
        </w:tc>
      </w:tr>
      <w:tr>
        <w:trPr>
          <w:trHeight w:val="106"/>
        </w:trPr>
        <w:tc>
          <w:tcPr>
            <w:tcW w:w="1480" w:type="dxa"/>
            <w:vAlign w:val="bottom"/>
            <w:tcBorders>
              <w:bottom w:val="single" w:sz="8" w:color="A6A6A6"/>
            </w:tcBorders>
          </w:tcPr>
          <w:p>
            <w:pPr>
              <w:spacing w:after="0"/>
              <w:rPr>
                <w:sz w:val="9"/>
                <w:szCs w:val="9"/>
                <w:color w:val="auto"/>
              </w:rPr>
            </w:pPr>
          </w:p>
        </w:tc>
        <w:tc>
          <w:tcPr>
            <w:tcW w:w="1040" w:type="dxa"/>
            <w:vAlign w:val="bottom"/>
            <w:tcBorders>
              <w:bottom w:val="single" w:sz="8" w:color="A6A6A6"/>
            </w:tcBorders>
          </w:tcPr>
          <w:p>
            <w:pPr>
              <w:spacing w:after="0"/>
              <w:rPr>
                <w:sz w:val="9"/>
                <w:szCs w:val="9"/>
                <w:color w:val="auto"/>
              </w:rPr>
            </w:pP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spacing w:after="0"/>
              <w:rPr>
                <w:sz w:val="9"/>
                <w:szCs w:val="9"/>
                <w:color w:val="auto"/>
              </w:rPr>
            </w:pPr>
          </w:p>
        </w:tc>
        <w:tc>
          <w:tcPr>
            <w:tcW w:w="2040" w:type="dxa"/>
            <w:vAlign w:val="bottom"/>
            <w:tcBorders>
              <w:bottom w:val="single" w:sz="8" w:color="A6A6A6"/>
            </w:tcBorders>
          </w:tcPr>
          <w:p>
            <w:pPr>
              <w:spacing w:after="0"/>
              <w:rPr>
                <w:sz w:val="9"/>
                <w:szCs w:val="9"/>
                <w:color w:val="auto"/>
              </w:rPr>
            </w:pPr>
          </w:p>
        </w:tc>
        <w:tc>
          <w:tcPr>
            <w:tcW w:w="94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Leased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4,400</w:t>
            </w:r>
          </w:p>
        </w:tc>
        <w:tc>
          <w:tcPr>
            <w:tcW w:w="940" w:type="dxa"/>
            <w:vAlign w:val="bottom"/>
            <w:tcBorders>
              <w:bottom w:val="single" w:sz="8" w:color="A6A6A6"/>
            </w:tcBorders>
          </w:tcPr>
          <w:p>
            <w:pPr>
              <w:spacing w:after="0"/>
              <w:rPr>
                <w:sz w:val="9"/>
                <w:szCs w:val="9"/>
                <w:color w:val="auto"/>
              </w:rPr>
            </w:pPr>
          </w:p>
        </w:tc>
        <w:tc>
          <w:tcPr>
            <w:tcW w:w="680" w:type="dxa"/>
            <w:vAlign w:val="bottom"/>
            <w:tcBorders>
              <w:bottom w:val="single" w:sz="8" w:color="A6A6A6"/>
            </w:tcBorders>
          </w:tcPr>
          <w:p>
            <w:pPr>
              <w:spacing w:after="0"/>
              <w:rPr>
                <w:sz w:val="9"/>
                <w:szCs w:val="9"/>
                <w:color w:val="auto"/>
              </w:rPr>
            </w:pPr>
          </w:p>
        </w:tc>
      </w:tr>
      <w:tr>
        <w:trPr>
          <w:trHeight w:val="106"/>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Laramie, WY</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650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800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2 Stage Preheater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1988</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98,000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50+</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1,085</w:t>
            </w:r>
          </w:p>
        </w:tc>
      </w:tr>
      <w:tr>
        <w:trPr>
          <w:trHeight w:val="106"/>
        </w:trPr>
        <w:tc>
          <w:tcPr>
            <w:tcW w:w="1480" w:type="dxa"/>
            <w:vAlign w:val="bottom"/>
            <w:tcBorders>
              <w:bottom w:val="single" w:sz="8" w:color="A6A6A6"/>
            </w:tcBorders>
          </w:tcPr>
          <w:p>
            <w:pPr>
              <w:spacing w:after="0"/>
              <w:rPr>
                <w:sz w:val="9"/>
                <w:szCs w:val="9"/>
                <w:color w:val="auto"/>
              </w:rPr>
            </w:pPr>
          </w:p>
        </w:tc>
        <w:tc>
          <w:tcPr>
            <w:tcW w:w="1040" w:type="dxa"/>
            <w:vAlign w:val="bottom"/>
            <w:tcBorders>
              <w:bottom w:val="single" w:sz="8" w:color="A6A6A6"/>
            </w:tcBorders>
          </w:tcPr>
          <w:p>
            <w:pPr>
              <w:spacing w:after="0"/>
              <w:rPr>
                <w:sz w:val="9"/>
                <w:szCs w:val="9"/>
                <w:color w:val="auto"/>
              </w:rPr>
            </w:pP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spacing w:after="0"/>
              <w:rPr>
                <w:sz w:val="9"/>
                <w:szCs w:val="9"/>
                <w:color w:val="auto"/>
              </w:rPr>
            </w:pP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Long Dry Kiln</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1996</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Leased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102,850</w:t>
            </w:r>
          </w:p>
        </w:tc>
        <w:tc>
          <w:tcPr>
            <w:tcW w:w="940" w:type="dxa"/>
            <w:vAlign w:val="bottom"/>
            <w:tcBorders>
              <w:bottom w:val="single" w:sz="8" w:color="A6A6A6"/>
            </w:tcBorders>
          </w:tcPr>
          <w:p>
            <w:pPr>
              <w:spacing w:after="0"/>
              <w:rPr>
                <w:sz w:val="9"/>
                <w:szCs w:val="9"/>
                <w:color w:val="auto"/>
              </w:rPr>
            </w:pPr>
          </w:p>
        </w:tc>
        <w:tc>
          <w:tcPr>
            <w:tcW w:w="680" w:type="dxa"/>
            <w:vAlign w:val="bottom"/>
            <w:tcBorders>
              <w:bottom w:val="single" w:sz="8" w:color="A6A6A6"/>
            </w:tcBorders>
          </w:tcPr>
          <w:p>
            <w:pPr>
              <w:spacing w:after="0"/>
              <w:rPr>
                <w:sz w:val="9"/>
                <w:szCs w:val="9"/>
                <w:color w:val="auto"/>
              </w:rPr>
            </w:pPr>
          </w:p>
        </w:tc>
      </w:tr>
      <w:tr>
        <w:trPr>
          <w:trHeight w:val="106"/>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Tulsa, OK</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600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900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Long Dry Kiln</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1961</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36,960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42</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910</w:t>
            </w:r>
          </w:p>
        </w:tc>
      </w:tr>
      <w:tr>
        <w:trPr>
          <w:trHeight w:val="124"/>
        </w:trPr>
        <w:tc>
          <w:tcPr>
            <w:tcW w:w="1480" w:type="dxa"/>
            <w:vAlign w:val="bottom"/>
            <w:tcBorders>
              <w:bottom w:val="single" w:sz="8" w:color="A6A6A6"/>
            </w:tcBorders>
          </w:tcPr>
          <w:p>
            <w:pPr>
              <w:spacing w:after="0"/>
              <w:rPr>
                <w:sz w:val="10"/>
                <w:szCs w:val="10"/>
                <w:color w:val="auto"/>
              </w:rPr>
            </w:pPr>
          </w:p>
        </w:tc>
        <w:tc>
          <w:tcPr>
            <w:tcW w:w="1040" w:type="dxa"/>
            <w:vAlign w:val="bottom"/>
            <w:tcBorders>
              <w:bottom w:val="single" w:sz="8" w:color="A6A6A6"/>
            </w:tcBorders>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1120" w:type="dxa"/>
            <w:vAlign w:val="bottom"/>
            <w:tcBorders>
              <w:bottom w:val="single" w:sz="8" w:color="A6A6A6"/>
            </w:tcBorders>
          </w:tcPr>
          <w:p>
            <w:pPr>
              <w:spacing w:after="0"/>
              <w:rPr>
                <w:sz w:val="10"/>
                <w:szCs w:val="10"/>
                <w:color w:val="auto"/>
              </w:rPr>
            </w:pPr>
          </w:p>
        </w:tc>
        <w:tc>
          <w:tcPr>
            <w:tcW w:w="2040" w:type="dxa"/>
            <w:vAlign w:val="bottom"/>
            <w:tcBorders>
              <w:bottom w:val="single" w:sz="8" w:color="A6A6A6"/>
            </w:tcBorders>
          </w:tcPr>
          <w:p>
            <w:pPr>
              <w:ind w:left="120"/>
              <w:spacing w:after="0"/>
              <w:rPr>
                <w:sz w:val="20"/>
                <w:szCs w:val="20"/>
                <w:color w:val="auto"/>
              </w:rPr>
            </w:pPr>
            <w:r>
              <w:rPr>
                <w:rFonts w:ascii="Arial" w:cs="Arial" w:eastAsia="Arial" w:hAnsi="Arial"/>
                <w:sz w:val="10"/>
                <w:szCs w:val="10"/>
                <w:color w:val="auto"/>
              </w:rPr>
              <w:t>Dry ‒ Long Dry Kiln</w:t>
            </w:r>
          </w:p>
        </w:tc>
        <w:tc>
          <w:tcPr>
            <w:tcW w:w="940" w:type="dxa"/>
            <w:vAlign w:val="bottom"/>
            <w:tcBorders>
              <w:bottom w:val="single" w:sz="8" w:color="A6A6A6"/>
            </w:tcBorders>
          </w:tcPr>
          <w:p>
            <w:pPr>
              <w:ind w:left="440"/>
              <w:spacing w:after="0"/>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rPr>
                <w:sz w:val="20"/>
                <w:szCs w:val="20"/>
                <w:color w:val="auto"/>
              </w:rPr>
            </w:pPr>
            <w:r>
              <w:rPr>
                <w:rFonts w:ascii="Arial" w:cs="Arial" w:eastAsia="Arial" w:hAnsi="Arial"/>
                <w:sz w:val="10"/>
                <w:szCs w:val="10"/>
                <w:color w:val="auto"/>
              </w:rPr>
              <w:t>1964</w:t>
            </w:r>
          </w:p>
        </w:tc>
        <w:tc>
          <w:tcPr>
            <w:tcW w:w="9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rPr>
              <w:t>Leased</w:t>
            </w:r>
          </w:p>
        </w:tc>
        <w:tc>
          <w:tcPr>
            <w:tcW w:w="9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rPr>
              <w:t>4,190</w:t>
            </w:r>
          </w:p>
        </w:tc>
        <w:tc>
          <w:tcPr>
            <w:tcW w:w="940" w:type="dxa"/>
            <w:vAlign w:val="bottom"/>
            <w:tcBorders>
              <w:bottom w:val="single" w:sz="8" w:color="A6A6A6"/>
            </w:tcBorders>
          </w:tcPr>
          <w:p>
            <w:pPr>
              <w:spacing w:after="0"/>
              <w:rPr>
                <w:sz w:val="10"/>
                <w:szCs w:val="10"/>
                <w:color w:val="auto"/>
              </w:rPr>
            </w:pPr>
          </w:p>
        </w:tc>
        <w:tc>
          <w:tcPr>
            <w:tcW w:w="680" w:type="dxa"/>
            <w:vAlign w:val="bottom"/>
            <w:tcBorders>
              <w:bottom w:val="single" w:sz="8" w:color="A6A6A6"/>
            </w:tcBorders>
          </w:tcPr>
          <w:p>
            <w:pPr>
              <w:spacing w:after="0"/>
              <w:rPr>
                <w:sz w:val="10"/>
                <w:szCs w:val="10"/>
                <w:color w:val="auto"/>
              </w:rPr>
            </w:pPr>
          </w:p>
        </w:tc>
      </w:tr>
      <w:tr>
        <w:trPr>
          <w:trHeight w:val="106"/>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Fernley, NV</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500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550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Long Dry Kiln</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1964</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13,950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50+</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480</w:t>
            </w:r>
          </w:p>
        </w:tc>
      </w:tr>
      <w:tr>
        <w:trPr>
          <w:trHeight w:val="106"/>
        </w:trPr>
        <w:tc>
          <w:tcPr>
            <w:tcW w:w="1480" w:type="dxa"/>
            <w:vAlign w:val="bottom"/>
            <w:tcBorders>
              <w:bottom w:val="single" w:sz="8" w:color="A6A6A6"/>
            </w:tcBorders>
          </w:tcPr>
          <w:p>
            <w:pPr>
              <w:spacing w:after="0"/>
              <w:rPr>
                <w:sz w:val="9"/>
                <w:szCs w:val="9"/>
                <w:color w:val="auto"/>
              </w:rPr>
            </w:pPr>
          </w:p>
        </w:tc>
        <w:tc>
          <w:tcPr>
            <w:tcW w:w="1040" w:type="dxa"/>
            <w:vAlign w:val="bottom"/>
            <w:tcBorders>
              <w:bottom w:val="single" w:sz="8" w:color="A6A6A6"/>
            </w:tcBorders>
          </w:tcPr>
          <w:p>
            <w:pPr>
              <w:spacing w:after="0"/>
              <w:rPr>
                <w:sz w:val="9"/>
                <w:szCs w:val="9"/>
                <w:color w:val="auto"/>
              </w:rPr>
            </w:pP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spacing w:after="0"/>
              <w:rPr>
                <w:sz w:val="9"/>
                <w:szCs w:val="9"/>
                <w:color w:val="auto"/>
              </w:rPr>
            </w:pP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1 Stage Preheater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1969</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Leased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68,200</w:t>
            </w:r>
          </w:p>
        </w:tc>
        <w:tc>
          <w:tcPr>
            <w:tcW w:w="940" w:type="dxa"/>
            <w:vAlign w:val="bottom"/>
            <w:tcBorders>
              <w:bottom w:val="single" w:sz="8" w:color="A6A6A6"/>
            </w:tcBorders>
          </w:tcPr>
          <w:p>
            <w:pPr>
              <w:spacing w:after="0"/>
              <w:rPr>
                <w:sz w:val="9"/>
                <w:szCs w:val="9"/>
                <w:color w:val="auto"/>
              </w:rPr>
            </w:pPr>
          </w:p>
        </w:tc>
        <w:tc>
          <w:tcPr>
            <w:tcW w:w="680" w:type="dxa"/>
            <w:vAlign w:val="bottom"/>
            <w:tcBorders>
              <w:bottom w:val="single" w:sz="8" w:color="A6A6A6"/>
            </w:tcBorders>
          </w:tcPr>
          <w:p>
            <w:pPr>
              <w:spacing w:after="0"/>
              <w:rPr>
                <w:sz w:val="9"/>
                <w:szCs w:val="9"/>
                <w:color w:val="auto"/>
              </w:rPr>
            </w:pPr>
          </w:p>
        </w:tc>
      </w:tr>
      <w:tr>
        <w:trPr>
          <w:trHeight w:val="106"/>
        </w:trPr>
        <w:tc>
          <w:tcPr>
            <w:tcW w:w="1480" w:type="dxa"/>
            <w:vAlign w:val="bottom"/>
            <w:tcBorders>
              <w:bottom w:val="single" w:sz="8" w:color="A6A6A6"/>
            </w:tcBorders>
          </w:tcPr>
          <w:p>
            <w:pPr>
              <w:spacing w:after="0" w:line="106" w:lineRule="exact"/>
              <w:rPr>
                <w:sz w:val="20"/>
                <w:szCs w:val="20"/>
                <w:color w:val="auto"/>
              </w:rPr>
            </w:pPr>
            <w:r>
              <w:rPr>
                <w:rFonts w:ascii="Arial" w:cs="Arial" w:eastAsia="Arial" w:hAnsi="Arial"/>
                <w:sz w:val="10"/>
                <w:szCs w:val="10"/>
                <w:b w:val="1"/>
                <w:bCs w:val="1"/>
                <w:color w:val="3983C5"/>
              </w:rPr>
              <w:t>Louisville, KY</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1,550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1,800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- 4 Stage Preheater/Pre-calciner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1999</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112,000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50+</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1,965</w:t>
            </w:r>
          </w:p>
        </w:tc>
      </w:tr>
      <w:tr>
        <w:trPr>
          <w:trHeight w:val="106"/>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Fairborn, OH</w:t>
            </w:r>
          </w:p>
        </w:tc>
        <w:tc>
          <w:tcPr>
            <w:tcW w:w="104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730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A6A6A6"/>
            </w:tcBorders>
          </w:tcPr>
          <w:p>
            <w:pPr>
              <w:jc w:val="right"/>
              <w:ind w:right="71"/>
              <w:spacing w:after="0" w:line="106" w:lineRule="exact"/>
              <w:rPr>
                <w:sz w:val="20"/>
                <w:szCs w:val="20"/>
                <w:color w:val="auto"/>
              </w:rPr>
            </w:pPr>
            <w:r>
              <w:rPr>
                <w:rFonts w:ascii="Arial" w:cs="Arial" w:eastAsia="Arial" w:hAnsi="Arial"/>
                <w:sz w:val="10"/>
                <w:szCs w:val="10"/>
                <w:color w:val="auto"/>
              </w:rPr>
              <w:t>980</w:t>
            </w:r>
          </w:p>
        </w:tc>
        <w:tc>
          <w:tcPr>
            <w:tcW w:w="2040" w:type="dxa"/>
            <w:vAlign w:val="bottom"/>
            <w:tcBorders>
              <w:bottom w:val="single" w:sz="8" w:color="A6A6A6"/>
            </w:tcBorders>
          </w:tcPr>
          <w:p>
            <w:pPr>
              <w:ind w:left="120"/>
              <w:spacing w:after="0" w:line="106" w:lineRule="exact"/>
              <w:rPr>
                <w:sz w:val="20"/>
                <w:szCs w:val="20"/>
                <w:color w:val="auto"/>
              </w:rPr>
            </w:pPr>
            <w:r>
              <w:rPr>
                <w:rFonts w:ascii="Arial" w:cs="Arial" w:eastAsia="Arial" w:hAnsi="Arial"/>
                <w:sz w:val="10"/>
                <w:szCs w:val="10"/>
                <w:color w:val="auto"/>
              </w:rPr>
              <w:t>Dry – 4 Stage Preheater</w:t>
            </w:r>
          </w:p>
        </w:tc>
        <w:tc>
          <w:tcPr>
            <w:tcW w:w="940" w:type="dxa"/>
            <w:vAlign w:val="bottom"/>
            <w:tcBorders>
              <w:bottom w:val="single" w:sz="8" w:color="A6A6A6"/>
            </w:tcBorders>
          </w:tcPr>
          <w:p>
            <w:pPr>
              <w:ind w:left="440"/>
              <w:spacing w:after="0" w:line="106" w:lineRule="exact"/>
              <w:rPr>
                <w:sz w:val="20"/>
                <w:szCs w:val="20"/>
                <w:color w:val="auto"/>
              </w:rPr>
            </w:pPr>
            <w:r>
              <w:rPr>
                <w:rFonts w:ascii="Arial" w:cs="Arial" w:eastAsia="Arial" w:hAnsi="Arial"/>
                <w:sz w:val="10"/>
                <w:szCs w:val="10"/>
                <w:color w:val="auto"/>
              </w:rPr>
              <w:t>1</w:t>
            </w:r>
          </w:p>
        </w:tc>
        <w:tc>
          <w:tcPr>
            <w:tcW w:w="980" w:type="dxa"/>
            <w:vAlign w:val="bottom"/>
            <w:tcBorders>
              <w:bottom w:val="single" w:sz="8" w:color="A6A6A6"/>
            </w:tcBorders>
          </w:tcPr>
          <w:p>
            <w:pPr>
              <w:ind w:left="180"/>
              <w:spacing w:after="0" w:line="106" w:lineRule="exact"/>
              <w:rPr>
                <w:sz w:val="20"/>
                <w:szCs w:val="20"/>
                <w:color w:val="auto"/>
              </w:rPr>
            </w:pPr>
            <w:r>
              <w:rPr>
                <w:rFonts w:ascii="Arial" w:cs="Arial" w:eastAsia="Arial" w:hAnsi="Arial"/>
                <w:sz w:val="10"/>
                <w:szCs w:val="10"/>
                <w:color w:val="auto"/>
              </w:rPr>
              <w:t>1974</w:t>
            </w: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Owned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23,910</w:t>
            </w:r>
          </w:p>
        </w:tc>
        <w:tc>
          <w:tcPr>
            <w:tcW w:w="940" w:type="dxa"/>
            <w:vAlign w:val="bottom"/>
            <w:tcBorders>
              <w:bottom w:val="single" w:sz="8" w:color="A6A6A6"/>
            </w:tcBorders>
          </w:tcPr>
          <w:p>
            <w:pPr>
              <w:jc w:val="right"/>
              <w:ind w:right="292"/>
              <w:spacing w:after="0" w:line="106" w:lineRule="exact"/>
              <w:rPr>
                <w:sz w:val="20"/>
                <w:szCs w:val="20"/>
                <w:color w:val="auto"/>
              </w:rPr>
            </w:pPr>
            <w:r>
              <w:rPr>
                <w:rFonts w:ascii="Arial" w:cs="Arial" w:eastAsia="Arial" w:hAnsi="Arial"/>
                <w:sz w:val="10"/>
                <w:szCs w:val="10"/>
                <w:color w:val="auto"/>
              </w:rPr>
              <w:t>28</w:t>
            </w:r>
          </w:p>
        </w:tc>
        <w:tc>
          <w:tcPr>
            <w:tcW w:w="680" w:type="dxa"/>
            <w:vAlign w:val="bottom"/>
            <w:tcBorders>
              <w:bottom w:val="single" w:sz="8" w:color="A6A6A6"/>
            </w:tcBorders>
          </w:tcPr>
          <w:p>
            <w:pPr>
              <w:jc w:val="right"/>
              <w:ind w:right="72"/>
              <w:spacing w:after="0" w:line="106" w:lineRule="exact"/>
              <w:rPr>
                <w:sz w:val="20"/>
                <w:szCs w:val="20"/>
                <w:color w:val="auto"/>
              </w:rPr>
            </w:pPr>
            <w:r>
              <w:rPr>
                <w:rFonts w:ascii="Arial" w:cs="Arial" w:eastAsia="Arial" w:hAnsi="Arial"/>
                <w:sz w:val="10"/>
                <w:szCs w:val="10"/>
                <w:color w:val="auto"/>
              </w:rPr>
              <w:t>960</w:t>
            </w:r>
          </w:p>
        </w:tc>
      </w:tr>
      <w:tr>
        <w:trPr>
          <w:trHeight w:val="106"/>
        </w:trPr>
        <w:tc>
          <w:tcPr>
            <w:tcW w:w="1480" w:type="dxa"/>
            <w:vAlign w:val="bottom"/>
            <w:tcBorders>
              <w:bottom w:val="single" w:sz="8" w:color="A6A6A6"/>
            </w:tcBorders>
          </w:tcPr>
          <w:p>
            <w:pPr>
              <w:spacing w:after="0"/>
              <w:rPr>
                <w:sz w:val="9"/>
                <w:szCs w:val="9"/>
                <w:color w:val="auto"/>
              </w:rPr>
            </w:pPr>
          </w:p>
        </w:tc>
        <w:tc>
          <w:tcPr>
            <w:tcW w:w="1040" w:type="dxa"/>
            <w:vAlign w:val="bottom"/>
            <w:tcBorders>
              <w:bottom w:val="single" w:sz="8" w:color="004483"/>
            </w:tcBorders>
          </w:tcPr>
          <w:p>
            <w:pPr>
              <w:spacing w:after="0"/>
              <w:rPr>
                <w:sz w:val="9"/>
                <w:szCs w:val="9"/>
                <w:color w:val="auto"/>
              </w:rPr>
            </w:pP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004483"/>
            </w:tcBorders>
          </w:tcPr>
          <w:p>
            <w:pPr>
              <w:spacing w:after="0"/>
              <w:rPr>
                <w:sz w:val="9"/>
                <w:szCs w:val="9"/>
                <w:color w:val="auto"/>
              </w:rPr>
            </w:pPr>
          </w:p>
        </w:tc>
        <w:tc>
          <w:tcPr>
            <w:tcW w:w="2040" w:type="dxa"/>
            <w:vAlign w:val="bottom"/>
            <w:tcBorders>
              <w:bottom w:val="single" w:sz="8" w:color="A6A6A6"/>
            </w:tcBorders>
          </w:tcPr>
          <w:p>
            <w:pPr>
              <w:spacing w:after="0"/>
              <w:rPr>
                <w:sz w:val="9"/>
                <w:szCs w:val="9"/>
                <w:color w:val="auto"/>
              </w:rPr>
            </w:pPr>
          </w:p>
        </w:tc>
        <w:tc>
          <w:tcPr>
            <w:tcW w:w="94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jc w:val="right"/>
              <w:ind w:right="171"/>
              <w:spacing w:after="0" w:line="106" w:lineRule="exact"/>
              <w:rPr>
                <w:sz w:val="20"/>
                <w:szCs w:val="20"/>
                <w:color w:val="auto"/>
              </w:rPr>
            </w:pPr>
            <w:r>
              <w:rPr>
                <w:rFonts w:ascii="Arial" w:cs="Arial" w:eastAsia="Arial" w:hAnsi="Arial"/>
                <w:sz w:val="10"/>
                <w:szCs w:val="10"/>
                <w:color w:val="auto"/>
              </w:rPr>
              <w:t>Leased</w:t>
            </w:r>
          </w:p>
        </w:tc>
        <w:tc>
          <w:tcPr>
            <w:tcW w:w="900" w:type="dxa"/>
            <w:vAlign w:val="bottom"/>
            <w:tcBorders>
              <w:bottom w:val="single" w:sz="8" w:color="A6A6A6"/>
            </w:tcBorders>
          </w:tcPr>
          <w:p>
            <w:pPr>
              <w:jc w:val="right"/>
              <w:ind w:right="191"/>
              <w:spacing w:after="0" w:line="106" w:lineRule="exact"/>
              <w:rPr>
                <w:sz w:val="20"/>
                <w:szCs w:val="20"/>
                <w:color w:val="auto"/>
              </w:rPr>
            </w:pPr>
            <w:r>
              <w:rPr>
                <w:rFonts w:ascii="Arial" w:cs="Arial" w:eastAsia="Arial" w:hAnsi="Arial"/>
                <w:sz w:val="10"/>
                <w:szCs w:val="10"/>
                <w:color w:val="auto"/>
              </w:rPr>
              <w:t>3,980</w:t>
            </w:r>
          </w:p>
        </w:tc>
        <w:tc>
          <w:tcPr>
            <w:tcW w:w="940" w:type="dxa"/>
            <w:vAlign w:val="bottom"/>
            <w:tcBorders>
              <w:bottom w:val="single" w:sz="8" w:color="A6A6A6"/>
            </w:tcBorders>
          </w:tcPr>
          <w:p>
            <w:pPr>
              <w:spacing w:after="0"/>
              <w:rPr>
                <w:sz w:val="9"/>
                <w:szCs w:val="9"/>
                <w:color w:val="auto"/>
              </w:rPr>
            </w:pPr>
          </w:p>
        </w:tc>
        <w:tc>
          <w:tcPr>
            <w:tcW w:w="680" w:type="dxa"/>
            <w:vAlign w:val="bottom"/>
            <w:tcBorders>
              <w:bottom w:val="single" w:sz="8" w:color="A6A6A6"/>
            </w:tcBorders>
          </w:tcPr>
          <w:p>
            <w:pPr>
              <w:spacing w:after="0"/>
              <w:rPr>
                <w:sz w:val="9"/>
                <w:szCs w:val="9"/>
                <w:color w:val="auto"/>
              </w:rPr>
            </w:pPr>
          </w:p>
        </w:tc>
      </w:tr>
      <w:tr>
        <w:trPr>
          <w:trHeight w:val="106"/>
        </w:trPr>
        <w:tc>
          <w:tcPr>
            <w:tcW w:w="1480" w:type="dxa"/>
            <w:vAlign w:val="bottom"/>
            <w:tcBorders>
              <w:bottom w:val="single" w:sz="8" w:color="A6A6A6"/>
            </w:tcBorders>
          </w:tcPr>
          <w:p>
            <w:pPr>
              <w:spacing w:after="0" w:line="106" w:lineRule="exact"/>
              <w:rPr>
                <w:sz w:val="20"/>
                <w:szCs w:val="20"/>
                <w:color w:val="auto"/>
              </w:rPr>
            </w:pPr>
            <w:r>
              <w:rPr>
                <w:rFonts w:ascii="Arial" w:cs="Arial" w:eastAsia="Arial" w:hAnsi="Arial"/>
                <w:sz w:val="10"/>
                <w:szCs w:val="10"/>
                <w:b w:val="1"/>
                <w:bCs w:val="1"/>
                <w:color w:val="3983C5"/>
              </w:rPr>
              <w:t>Total-Gross</w:t>
            </w:r>
          </w:p>
        </w:tc>
        <w:tc>
          <w:tcPr>
            <w:tcW w:w="1040" w:type="dxa"/>
            <w:vAlign w:val="bottom"/>
            <w:tcBorders>
              <w:bottom w:val="single" w:sz="8" w:color="004483"/>
            </w:tcBorders>
          </w:tcPr>
          <w:p>
            <w:pPr>
              <w:jc w:val="right"/>
              <w:ind w:right="71"/>
              <w:spacing w:after="0" w:line="106" w:lineRule="exact"/>
              <w:rPr>
                <w:sz w:val="20"/>
                <w:szCs w:val="20"/>
                <w:color w:val="auto"/>
              </w:rPr>
            </w:pPr>
            <w:r>
              <w:rPr>
                <w:rFonts w:ascii="Arial" w:cs="Arial" w:eastAsia="Arial" w:hAnsi="Arial"/>
                <w:sz w:val="10"/>
                <w:szCs w:val="10"/>
                <w:color w:val="auto"/>
              </w:rPr>
              <w:t>7,330</w:t>
            </w:r>
          </w:p>
        </w:tc>
        <w:tc>
          <w:tcPr>
            <w:tcW w:w="200" w:type="dxa"/>
            <w:vAlign w:val="bottom"/>
            <w:tcBorders>
              <w:bottom w:val="single" w:sz="8" w:color="A6A6A6"/>
            </w:tcBorders>
          </w:tcPr>
          <w:p>
            <w:pPr>
              <w:spacing w:after="0"/>
              <w:rPr>
                <w:sz w:val="9"/>
                <w:szCs w:val="9"/>
                <w:color w:val="auto"/>
              </w:rPr>
            </w:pPr>
          </w:p>
        </w:tc>
        <w:tc>
          <w:tcPr>
            <w:tcW w:w="1120" w:type="dxa"/>
            <w:vAlign w:val="bottom"/>
            <w:tcBorders>
              <w:bottom w:val="single" w:sz="8" w:color="004483"/>
            </w:tcBorders>
          </w:tcPr>
          <w:p>
            <w:pPr>
              <w:jc w:val="right"/>
              <w:ind w:right="71"/>
              <w:spacing w:after="0" w:line="106" w:lineRule="exact"/>
              <w:rPr>
                <w:sz w:val="20"/>
                <w:szCs w:val="20"/>
                <w:color w:val="auto"/>
              </w:rPr>
            </w:pPr>
            <w:r>
              <w:rPr>
                <w:rFonts w:ascii="Arial" w:cs="Arial" w:eastAsia="Arial" w:hAnsi="Arial"/>
                <w:sz w:val="10"/>
                <w:szCs w:val="10"/>
                <w:color w:val="auto"/>
              </w:rPr>
              <w:t>8,865</w:t>
            </w:r>
          </w:p>
        </w:tc>
        <w:tc>
          <w:tcPr>
            <w:tcW w:w="2040" w:type="dxa"/>
            <w:vAlign w:val="bottom"/>
            <w:tcBorders>
              <w:bottom w:val="single" w:sz="8" w:color="A6A6A6"/>
            </w:tcBorders>
          </w:tcPr>
          <w:p>
            <w:pPr>
              <w:spacing w:after="0"/>
              <w:rPr>
                <w:sz w:val="9"/>
                <w:szCs w:val="9"/>
                <w:color w:val="auto"/>
              </w:rPr>
            </w:pPr>
          </w:p>
        </w:tc>
        <w:tc>
          <w:tcPr>
            <w:tcW w:w="94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spacing w:after="0"/>
              <w:rPr>
                <w:sz w:val="9"/>
                <w:szCs w:val="9"/>
                <w:color w:val="auto"/>
              </w:rPr>
            </w:pPr>
          </w:p>
        </w:tc>
        <w:tc>
          <w:tcPr>
            <w:tcW w:w="980" w:type="dxa"/>
            <w:vAlign w:val="bottom"/>
            <w:tcBorders>
              <w:bottom w:val="single" w:sz="8" w:color="A6A6A6"/>
            </w:tcBorders>
          </w:tcPr>
          <w:p>
            <w:pPr>
              <w:spacing w:after="0"/>
              <w:rPr>
                <w:sz w:val="9"/>
                <w:szCs w:val="9"/>
                <w:color w:val="auto"/>
              </w:rPr>
            </w:pPr>
          </w:p>
        </w:tc>
        <w:tc>
          <w:tcPr>
            <w:tcW w:w="900" w:type="dxa"/>
            <w:vAlign w:val="bottom"/>
            <w:tcBorders>
              <w:bottom w:val="single" w:sz="8" w:color="A6A6A6"/>
            </w:tcBorders>
          </w:tcPr>
          <w:p>
            <w:pPr>
              <w:spacing w:after="0"/>
              <w:rPr>
                <w:sz w:val="9"/>
                <w:szCs w:val="9"/>
                <w:color w:val="auto"/>
              </w:rPr>
            </w:pPr>
          </w:p>
        </w:tc>
        <w:tc>
          <w:tcPr>
            <w:tcW w:w="940" w:type="dxa"/>
            <w:vAlign w:val="bottom"/>
            <w:tcBorders>
              <w:bottom w:val="single" w:sz="8" w:color="A6A6A6"/>
            </w:tcBorders>
          </w:tcPr>
          <w:p>
            <w:pPr>
              <w:spacing w:after="0"/>
              <w:rPr>
                <w:sz w:val="9"/>
                <w:szCs w:val="9"/>
                <w:color w:val="auto"/>
              </w:rPr>
            </w:pPr>
          </w:p>
        </w:tc>
        <w:tc>
          <w:tcPr>
            <w:tcW w:w="680" w:type="dxa"/>
            <w:vAlign w:val="bottom"/>
            <w:tcBorders>
              <w:bottom w:val="single" w:sz="8" w:color="A6A6A6"/>
            </w:tcBorders>
          </w:tcPr>
          <w:p>
            <w:pPr>
              <w:spacing w:after="0"/>
              <w:rPr>
                <w:sz w:val="9"/>
                <w:szCs w:val="9"/>
                <w:color w:val="auto"/>
              </w:rPr>
            </w:pPr>
          </w:p>
        </w:tc>
      </w:tr>
      <w:tr>
        <w:trPr>
          <w:trHeight w:val="113"/>
        </w:trPr>
        <w:tc>
          <w:tcPr>
            <w:tcW w:w="1480" w:type="dxa"/>
            <w:vAlign w:val="bottom"/>
          </w:tcPr>
          <w:p>
            <w:pPr>
              <w:spacing w:after="0" w:line="106" w:lineRule="exact"/>
              <w:rPr>
                <w:sz w:val="20"/>
                <w:szCs w:val="20"/>
                <w:color w:val="auto"/>
              </w:rPr>
            </w:pPr>
            <w:r>
              <w:rPr>
                <w:rFonts w:ascii="Arial" w:cs="Arial" w:eastAsia="Arial" w:hAnsi="Arial"/>
                <w:sz w:val="10"/>
                <w:szCs w:val="10"/>
                <w:b w:val="1"/>
                <w:bCs w:val="1"/>
                <w:color w:val="3983C5"/>
              </w:rPr>
              <w:t xml:space="preserve">Total-Net </w:t>
            </w:r>
            <w:r>
              <w:rPr>
                <w:rFonts w:ascii="Arial" w:cs="Arial" w:eastAsia="Arial" w:hAnsi="Arial"/>
                <w:sz w:val="8"/>
                <w:szCs w:val="8"/>
                <w:b w:val="1"/>
                <w:bCs w:val="1"/>
                <w:color w:val="3983C5"/>
              </w:rPr>
              <w:t>(5)</w:t>
            </w:r>
          </w:p>
        </w:tc>
        <w:tc>
          <w:tcPr>
            <w:tcW w:w="1040" w:type="dxa"/>
            <w:vAlign w:val="bottom"/>
            <w:tcBorders>
              <w:bottom w:val="single" w:sz="8" w:color="3983C5"/>
            </w:tcBorders>
          </w:tcPr>
          <w:p>
            <w:pPr>
              <w:jc w:val="right"/>
              <w:ind w:right="71"/>
              <w:spacing w:after="0" w:line="106" w:lineRule="exact"/>
              <w:rPr>
                <w:sz w:val="20"/>
                <w:szCs w:val="20"/>
                <w:color w:val="auto"/>
              </w:rPr>
            </w:pPr>
            <w:r>
              <w:rPr>
                <w:rFonts w:ascii="Arial" w:cs="Arial" w:eastAsia="Arial" w:hAnsi="Arial"/>
                <w:sz w:val="10"/>
                <w:szCs w:val="10"/>
                <w:b w:val="1"/>
                <w:bCs w:val="1"/>
                <w:color w:val="auto"/>
              </w:rPr>
              <w:t>6,680</w:t>
            </w:r>
          </w:p>
        </w:tc>
        <w:tc>
          <w:tcPr>
            <w:tcW w:w="200" w:type="dxa"/>
            <w:vAlign w:val="bottom"/>
          </w:tcPr>
          <w:p>
            <w:pPr>
              <w:spacing w:after="0"/>
              <w:rPr>
                <w:sz w:val="9"/>
                <w:szCs w:val="9"/>
                <w:color w:val="auto"/>
              </w:rPr>
            </w:pPr>
          </w:p>
        </w:tc>
        <w:tc>
          <w:tcPr>
            <w:tcW w:w="1120" w:type="dxa"/>
            <w:vAlign w:val="bottom"/>
            <w:tcBorders>
              <w:bottom w:val="single" w:sz="8" w:color="3983C5"/>
            </w:tcBorders>
          </w:tcPr>
          <w:p>
            <w:pPr>
              <w:jc w:val="right"/>
              <w:ind w:right="71"/>
              <w:spacing w:after="0" w:line="106" w:lineRule="exact"/>
              <w:rPr>
                <w:sz w:val="20"/>
                <w:szCs w:val="20"/>
                <w:color w:val="auto"/>
              </w:rPr>
            </w:pPr>
            <w:r>
              <w:rPr>
                <w:rFonts w:ascii="Arial" w:cs="Arial" w:eastAsia="Arial" w:hAnsi="Arial"/>
                <w:sz w:val="10"/>
                <w:szCs w:val="10"/>
                <w:b w:val="1"/>
                <w:bCs w:val="1"/>
                <w:color w:val="auto"/>
              </w:rPr>
              <w:t>8,150</w:t>
            </w:r>
          </w:p>
        </w:tc>
        <w:tc>
          <w:tcPr>
            <w:tcW w:w="2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r>
    </w:tbl>
    <w:p>
      <w:pPr>
        <w:ind w:left="268" w:hanging="268"/>
        <w:spacing w:after="0"/>
        <w:tabs>
          <w:tab w:leader="none" w:pos="268" w:val="left"/>
        </w:tabs>
        <w:numPr>
          <w:ilvl w:val="0"/>
          <w:numId w:val="3"/>
        </w:numPr>
        <w:rPr>
          <w:rFonts w:ascii="Arial" w:cs="Arial" w:eastAsia="Arial" w:hAnsi="Arial"/>
          <w:sz w:val="16"/>
          <w:szCs w:val="16"/>
          <w:color w:val="auto"/>
          <w:vertAlign w:val="superscript"/>
        </w:rPr>
      </w:pPr>
      <w:r>
        <w:rPr>
          <w:rFonts w:ascii="Arial" w:cs="Arial" w:eastAsia="Arial" w:hAnsi="Arial"/>
          <w:sz w:val="10"/>
          <w:szCs w:val="10"/>
          <w:color w:val="auto"/>
        </w:rPr>
        <w:t>One short ton equals 2,000 pounds.</w:t>
      </w:r>
    </w:p>
    <w:p>
      <w:pPr>
        <w:ind w:left="268" w:hanging="268"/>
        <w:spacing w:after="0" w:line="187" w:lineRule="auto"/>
        <w:tabs>
          <w:tab w:leader="none" w:pos="268" w:val="left"/>
        </w:tabs>
        <w:numPr>
          <w:ilvl w:val="0"/>
          <w:numId w:val="3"/>
        </w:numPr>
        <w:rPr>
          <w:rFonts w:ascii="Arial" w:cs="Arial" w:eastAsia="Arial" w:hAnsi="Arial"/>
          <w:sz w:val="12"/>
          <w:szCs w:val="12"/>
          <w:color w:val="auto"/>
          <w:vertAlign w:val="superscript"/>
        </w:rPr>
      </w:pPr>
      <w:r>
        <w:rPr>
          <w:rFonts w:ascii="Arial" w:cs="Arial" w:eastAsia="Arial" w:hAnsi="Arial"/>
          <w:sz w:val="8"/>
          <w:szCs w:val="8"/>
          <w:color w:val="auto"/>
        </w:rPr>
        <w:t>All limestone reserves are considered to be probable under the definition provided by Industry Guide 7.</w:t>
      </w:r>
    </w:p>
    <w:p>
      <w:pPr>
        <w:ind w:left="268" w:hanging="268"/>
        <w:spacing w:after="0" w:line="187" w:lineRule="auto"/>
        <w:tabs>
          <w:tab w:leader="none" w:pos="268" w:val="left"/>
        </w:tabs>
        <w:numPr>
          <w:ilvl w:val="0"/>
          <w:numId w:val="3"/>
        </w:numPr>
        <w:rPr>
          <w:rFonts w:ascii="Arial" w:cs="Arial" w:eastAsia="Arial" w:hAnsi="Arial"/>
          <w:sz w:val="12"/>
          <w:szCs w:val="12"/>
          <w:color w:val="auto"/>
          <w:vertAlign w:val="superscript"/>
        </w:rPr>
      </w:pPr>
      <w:r>
        <w:rPr>
          <w:rFonts w:ascii="Arial" w:cs="Arial" w:eastAsia="Arial" w:hAnsi="Arial"/>
          <w:sz w:val="8"/>
          <w:szCs w:val="8"/>
          <w:color w:val="auto"/>
        </w:rPr>
        <w:t>Years of limestone reserves calculated using annual rated capacity.</w:t>
      </w:r>
    </w:p>
    <w:p>
      <w:pPr>
        <w:ind w:left="268" w:hanging="268"/>
        <w:spacing w:after="0" w:line="187" w:lineRule="auto"/>
        <w:tabs>
          <w:tab w:leader="none" w:pos="268" w:val="left"/>
        </w:tabs>
        <w:numPr>
          <w:ilvl w:val="0"/>
          <w:numId w:val="3"/>
        </w:numPr>
        <w:rPr>
          <w:rFonts w:ascii="Arial" w:cs="Arial" w:eastAsia="Arial" w:hAnsi="Arial"/>
          <w:sz w:val="12"/>
          <w:szCs w:val="12"/>
          <w:color w:val="auto"/>
          <w:vertAlign w:val="superscript"/>
        </w:rPr>
      </w:pPr>
      <w:r>
        <w:rPr>
          <w:rFonts w:ascii="Arial" w:cs="Arial" w:eastAsia="Arial" w:hAnsi="Arial"/>
          <w:sz w:val="8"/>
          <w:szCs w:val="8"/>
          <w:color w:val="auto"/>
        </w:rPr>
        <w:t>The amount shown represents 100% of plant capacity. This plant is owned by a separate limited partnership in which the Company has a 50% interest.</w:t>
      </w:r>
    </w:p>
    <w:p>
      <w:pPr>
        <w:ind w:left="268" w:hanging="268"/>
        <w:spacing w:after="0" w:line="184" w:lineRule="auto"/>
        <w:tabs>
          <w:tab w:leader="none" w:pos="268" w:val="left"/>
        </w:tabs>
        <w:numPr>
          <w:ilvl w:val="0"/>
          <w:numId w:val="3"/>
        </w:numPr>
        <w:rPr>
          <w:rFonts w:ascii="Arial" w:cs="Arial" w:eastAsia="Arial" w:hAnsi="Arial"/>
          <w:sz w:val="13"/>
          <w:szCs w:val="13"/>
          <w:color w:val="auto"/>
          <w:vertAlign w:val="superscript"/>
        </w:rPr>
      </w:pPr>
      <w:r>
        <w:rPr>
          <w:rFonts w:ascii="Arial" w:cs="Arial" w:eastAsia="Arial" w:hAnsi="Arial"/>
          <w:sz w:val="8"/>
          <w:szCs w:val="8"/>
          <w:color w:val="auto"/>
        </w:rPr>
        <w:t>Net of partner’s 50% interest in the Buda, Texas plant.</w:t>
      </w:r>
    </w:p>
    <w:p>
      <w:pPr>
        <w:spacing w:after="0" w:line="71" w:lineRule="exact"/>
        <w:rPr>
          <w:sz w:val="20"/>
          <w:szCs w:val="20"/>
          <w:color w:val="auto"/>
        </w:rPr>
      </w:pPr>
    </w:p>
    <w:p>
      <w:pPr>
        <w:ind w:left="8" w:right="160"/>
        <w:spacing w:after="0" w:line="277" w:lineRule="auto"/>
        <w:rPr>
          <w:sz w:val="20"/>
          <w:szCs w:val="20"/>
          <w:color w:val="auto"/>
        </w:rPr>
      </w:pPr>
      <w:r>
        <w:rPr>
          <w:rFonts w:ascii="Arial" w:cs="Arial" w:eastAsia="Arial" w:hAnsi="Arial"/>
          <w:sz w:val="12"/>
          <w:szCs w:val="12"/>
          <w:color w:val="auto"/>
        </w:rPr>
        <w:t>All of our cement subsidiaries are wholly owned except the Buda, Texas plant (the Joint Venture), which is owned by Texas Lehigh Cement Company LP, a limited partnership joint venture owned 50% by us, and 50% by Lehigh Cement Company LLC, a subsidiary of Heidelberg Cement AG.</w:t>
      </w:r>
    </w:p>
    <w:p>
      <w:pPr>
        <w:spacing w:after="0" w:line="59" w:lineRule="exact"/>
        <w:rPr>
          <w:sz w:val="20"/>
          <w:szCs w:val="20"/>
          <w:color w:val="auto"/>
        </w:rPr>
      </w:pPr>
    </w:p>
    <w:p>
      <w:pPr>
        <w:ind w:left="8" w:right="100"/>
        <w:spacing w:after="0" w:line="271" w:lineRule="auto"/>
        <w:rPr>
          <w:sz w:val="20"/>
          <w:szCs w:val="20"/>
          <w:color w:val="auto"/>
        </w:rPr>
      </w:pPr>
      <w:r>
        <w:rPr>
          <w:rFonts w:ascii="Arial" w:cs="Arial" w:eastAsia="Arial" w:hAnsi="Arial"/>
          <w:sz w:val="12"/>
          <w:szCs w:val="12"/>
          <w:color w:val="auto"/>
        </w:rPr>
        <w:t>Our cement production, including our 50% share of the cement Joint Venture production, totaled 6.9 million short tons in fiscal 2021 and 5.4 million short tons in fiscal 2020. Total net cement sales, including our 50% share of cement sales from the Joint Venture, were 7.5 million and 5.9 million short tons in fiscal 2021 and fiscal 2020, respectively. The increases in fiscal 2021 compared with fiscal 2020 are due primarily to the Kosmos Acquisition in March 2020.</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77EBF"/>
        </w:rPr>
        <w:t>Demand, Sales, and Distribution</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principal sources of demand for cement and slag are public infrastructure, private non-residential construction, and residential construction, with public infrastructure comprising nearly 50% of total demand.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Cement consumption in the U.S. increased approximately 2% during calendar 2020 from calendar 2019, and the PCA forecasts cement consumption will increase another approximately 2% in calendar 2021.</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Demand for cement is seasonal, particularly in northern states where inclement winter weather often affects construction activity. Cement sales are generally greatest from spring through the middle of autumn.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Demand for slag has increased as the availability of fly ash has decreased due to the reduction in the use of coal to generate power.</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2" w:right="299" w:bottom="1440" w:gutter="0" w:footer="0" w:header="0"/>
        </w:sectPr>
      </w:pPr>
    </w:p>
    <w:bookmarkStart w:id="9" w:name="page10"/>
    <w:bookmarkEnd w:id="9"/>
    <w:p>
      <w:pPr>
        <w:spacing w:after="0" w:line="269" w:lineRule="auto"/>
        <w:rPr>
          <w:sz w:val="20"/>
          <w:szCs w:val="20"/>
          <w:color w:val="auto"/>
        </w:rPr>
      </w:pPr>
      <w:r>
        <w:rPr>
          <w:rFonts w:ascii="Arial" w:cs="Arial" w:eastAsia="Arial" w:hAnsi="Arial"/>
          <w:sz w:val="12"/>
          <w:szCs w:val="12"/>
          <w:color w:val="auto"/>
        </w:rPr>
        <w:t>Because of cement’s low value-to-weight ratio, the relative cost of transporting cement on land is high and limits the geographic area in which each company can market its products profitably. The low value-to-weight ratio generally limits shipments by truck to a 150-mile radius from each plant, up to 300 miles by rail, and further by barge. Consequently, the U.S. cement industry is made up of regional markets rather than a single national selling market. No single cement company has a distribution of plants extensive enough to serve all geographic areas, so profitability is sensitive to shifts in the balance between regional supply and demand.</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Environmental and zoning regulations have made it increasingly difficult for the U.S. cement industry to expand existing facilities and to build new cement facilities. Although we cannot predict which policies will be adopted in the future by federal, state, and local governmental bodies, we anticipate that future restrictions will likely continue to make zoning and permitting of new capacity additions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 fired power plants and the conversion of power plants from coal to natural gas and other forms of energy.</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 or on the Great Lakes, or transported on the Mississippi River system near major population centers. Our position in the U.S. heartland, away from most import terminals, insulates us from coastal imports, given the expense of transporting cement from deep water ports into the heartland regions. This geographic position further enhances the value of our plant network.</w:t>
      </w:r>
    </w:p>
    <w:p>
      <w:pPr>
        <w:spacing w:after="0" w:line="65"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The PCA estimates that imports represented approximately 17% of cement used in the U.S. during calendar 2020, compared with 16% in calendar 2019. The PCA also estimates that imports will increase to approximately 18% of calendar 2021 consumption. Based on the normal distribution of cement into the market, we believe that no less than approximately 5% to 10% of the total consumption will consistently be served by imported cement.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sectPr>
      </w:pPr>
    </w:p>
    <w:bookmarkStart w:id="10" w:name="page11"/>
    <w:bookmarkEnd w:id="10"/>
    <w:p>
      <w:pPr>
        <w:ind w:left="8" w:right="160"/>
        <w:spacing w:after="0" w:line="277" w:lineRule="auto"/>
        <w:rPr>
          <w:sz w:val="20"/>
          <w:szCs w:val="20"/>
          <w:color w:val="auto"/>
        </w:rPr>
      </w:pPr>
      <w:r>
        <w:rPr>
          <w:rFonts w:ascii="Arial" w:cs="Arial" w:eastAsia="Arial" w:hAnsi="Arial"/>
          <w:sz w:val="12"/>
          <w:szCs w:val="12"/>
          <w:color w:val="auto"/>
        </w:rPr>
        <w:t>The following table sets forth information regarding the geographic areas served by each of our cement and slag plants and the location of our distribution terminals in each area. We have 29 cement storage and distribution terminals that are strategically located to extend the sales areas of our plants.</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101"/>
        </w:trPr>
        <w:tc>
          <w:tcPr>
            <w:tcW w:w="1340" w:type="dxa"/>
            <w:vAlign w:val="bottom"/>
            <w:tcBorders>
              <w:bottom w:val="single" w:sz="8" w:color="3983C5"/>
            </w:tcBorders>
          </w:tcPr>
          <w:p>
            <w:pPr>
              <w:spacing w:after="0"/>
              <w:rPr>
                <w:sz w:val="20"/>
                <w:szCs w:val="20"/>
                <w:color w:val="auto"/>
              </w:rPr>
            </w:pPr>
            <w:r>
              <w:rPr>
                <w:rFonts w:ascii="Arial" w:cs="Arial" w:eastAsia="Arial" w:hAnsi="Arial"/>
                <w:sz w:val="8"/>
                <w:szCs w:val="8"/>
                <w:b w:val="1"/>
                <w:bCs w:val="1"/>
                <w:color w:val="auto"/>
              </w:rPr>
              <w:t>Plant Location</w:t>
            </w:r>
          </w:p>
        </w:tc>
        <w:tc>
          <w:tcPr>
            <w:tcW w:w="1040" w:type="dxa"/>
            <w:vAlign w:val="bottom"/>
            <w:tcBorders>
              <w:bottom w:val="single" w:sz="8" w:color="3983C5"/>
            </w:tcBorders>
          </w:tcPr>
          <w:p>
            <w:pPr>
              <w:ind w:left="300"/>
              <w:spacing w:after="0"/>
              <w:rPr>
                <w:sz w:val="20"/>
                <w:szCs w:val="20"/>
                <w:color w:val="auto"/>
              </w:rPr>
            </w:pPr>
            <w:r>
              <w:rPr>
                <w:rFonts w:ascii="Arial" w:cs="Arial" w:eastAsia="Arial" w:hAnsi="Arial"/>
                <w:sz w:val="8"/>
                <w:szCs w:val="8"/>
                <w:b w:val="1"/>
                <w:bCs w:val="1"/>
                <w:color w:val="auto"/>
              </w:rPr>
              <w:t>Type of Plant</w:t>
            </w:r>
          </w:p>
        </w:tc>
        <w:tc>
          <w:tcPr>
            <w:tcW w:w="2160" w:type="dxa"/>
            <w:vAlign w:val="bottom"/>
            <w:tcBorders>
              <w:bottom w:val="single" w:sz="8" w:color="3983C5"/>
            </w:tcBorders>
          </w:tcPr>
          <w:p>
            <w:pPr>
              <w:ind w:left="260"/>
              <w:spacing w:after="0"/>
              <w:rPr>
                <w:sz w:val="20"/>
                <w:szCs w:val="20"/>
                <w:color w:val="auto"/>
              </w:rPr>
            </w:pPr>
            <w:r>
              <w:rPr>
                <w:rFonts w:ascii="Arial" w:cs="Arial" w:eastAsia="Arial" w:hAnsi="Arial"/>
                <w:sz w:val="8"/>
                <w:szCs w:val="8"/>
                <w:b w:val="1"/>
                <w:bCs w:val="1"/>
                <w:color w:val="auto"/>
              </w:rPr>
              <w:t>Operating Company Name</w:t>
            </w:r>
          </w:p>
        </w:tc>
        <w:tc>
          <w:tcPr>
            <w:tcW w:w="2560" w:type="dxa"/>
            <w:vAlign w:val="bottom"/>
            <w:tcBorders>
              <w:bottom w:val="single" w:sz="8" w:color="3983C5"/>
            </w:tcBorders>
          </w:tcPr>
          <w:p>
            <w:pPr>
              <w:ind w:left="340"/>
              <w:spacing w:after="0"/>
              <w:rPr>
                <w:sz w:val="20"/>
                <w:szCs w:val="20"/>
                <w:color w:val="auto"/>
              </w:rPr>
            </w:pPr>
            <w:r>
              <w:rPr>
                <w:rFonts w:ascii="Arial" w:cs="Arial" w:eastAsia="Arial" w:hAnsi="Arial"/>
                <w:sz w:val="8"/>
                <w:szCs w:val="8"/>
                <w:b w:val="1"/>
                <w:bCs w:val="1"/>
                <w:color w:val="auto"/>
              </w:rPr>
              <w:t>Principal Geographic Areas</w:t>
            </w:r>
          </w:p>
        </w:tc>
        <w:tc>
          <w:tcPr>
            <w:tcW w:w="4200" w:type="dxa"/>
            <w:vAlign w:val="bottom"/>
            <w:tcBorders>
              <w:bottom w:val="single" w:sz="8" w:color="3983C5"/>
            </w:tcBorders>
          </w:tcPr>
          <w:p>
            <w:pPr>
              <w:ind w:left="160"/>
              <w:spacing w:after="0"/>
              <w:rPr>
                <w:sz w:val="20"/>
                <w:szCs w:val="20"/>
                <w:color w:val="auto"/>
              </w:rPr>
            </w:pPr>
            <w:r>
              <w:rPr>
                <w:rFonts w:ascii="Arial" w:cs="Arial" w:eastAsia="Arial" w:hAnsi="Arial"/>
                <w:sz w:val="8"/>
                <w:szCs w:val="8"/>
                <w:b w:val="1"/>
                <w:bCs w:val="1"/>
                <w:color w:val="auto"/>
              </w:rPr>
              <w:t xml:space="preserve">Distribution Terminals </w:t>
            </w:r>
            <w:r>
              <w:rPr>
                <w:rFonts w:ascii="Arial" w:cs="Arial" w:eastAsia="Arial" w:hAnsi="Arial"/>
                <w:sz w:val="7"/>
                <w:szCs w:val="7"/>
                <w:b w:val="1"/>
                <w:bCs w:val="1"/>
                <w:color w:val="auto"/>
              </w:rPr>
              <w:t>(1)</w:t>
            </w:r>
          </w:p>
        </w:tc>
      </w:tr>
      <w:tr>
        <w:trPr>
          <w:trHeight w:val="128"/>
        </w:trPr>
        <w:tc>
          <w:tcPr>
            <w:tcW w:w="1340" w:type="dxa"/>
            <w:vAlign w:val="bottom"/>
          </w:tcPr>
          <w:p>
            <w:pPr>
              <w:spacing w:after="0"/>
              <w:rPr>
                <w:sz w:val="20"/>
                <w:szCs w:val="20"/>
                <w:color w:val="auto"/>
              </w:rPr>
            </w:pPr>
            <w:r>
              <w:rPr>
                <w:rFonts w:ascii="Arial" w:cs="Arial" w:eastAsia="Arial" w:hAnsi="Arial"/>
                <w:sz w:val="11"/>
                <w:szCs w:val="11"/>
                <w:b w:val="1"/>
                <w:bCs w:val="1"/>
                <w:color w:val="3983C5"/>
              </w:rPr>
              <w:t>Buda, Texas</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Texas Lehigh Cement Company LP</w:t>
            </w:r>
          </w:p>
        </w:tc>
        <w:tc>
          <w:tcPr>
            <w:tcW w:w="2560" w:type="dxa"/>
            <w:vAlign w:val="bottom"/>
          </w:tcPr>
          <w:p>
            <w:pPr>
              <w:ind w:left="340"/>
              <w:spacing w:after="0"/>
              <w:rPr>
                <w:sz w:val="20"/>
                <w:szCs w:val="20"/>
                <w:color w:val="auto"/>
              </w:rPr>
            </w:pPr>
            <w:r>
              <w:rPr>
                <w:rFonts w:ascii="Arial" w:cs="Arial" w:eastAsia="Arial" w:hAnsi="Arial"/>
                <w:sz w:val="11"/>
                <w:szCs w:val="11"/>
                <w:color w:val="auto"/>
              </w:rPr>
              <w:t>Texas and western</w:t>
            </w:r>
          </w:p>
        </w:tc>
        <w:tc>
          <w:tcPr>
            <w:tcW w:w="4200" w:type="dxa"/>
            <w:vAlign w:val="bottom"/>
          </w:tcPr>
          <w:p>
            <w:pPr>
              <w:ind w:left="160"/>
              <w:spacing w:after="0"/>
              <w:rPr>
                <w:sz w:val="20"/>
                <w:szCs w:val="20"/>
                <w:color w:val="auto"/>
              </w:rPr>
            </w:pPr>
            <w:r>
              <w:rPr>
                <w:rFonts w:ascii="Arial" w:cs="Arial" w:eastAsia="Arial" w:hAnsi="Arial"/>
                <w:sz w:val="11"/>
                <w:szCs w:val="11"/>
                <w:color w:val="auto"/>
              </w:rPr>
              <w:t>Corpus Christi, Texas; Houston, Texas;</w:t>
            </w:r>
          </w:p>
        </w:tc>
      </w:tr>
      <w:tr>
        <w:trPr>
          <w:trHeight w:val="135"/>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Louisiana</w:t>
            </w:r>
          </w:p>
        </w:tc>
        <w:tc>
          <w:tcPr>
            <w:tcW w:w="4200" w:type="dxa"/>
            <w:vAlign w:val="bottom"/>
          </w:tcPr>
          <w:p>
            <w:pPr>
              <w:ind w:left="160"/>
              <w:spacing w:after="0"/>
              <w:rPr>
                <w:sz w:val="20"/>
                <w:szCs w:val="20"/>
                <w:color w:val="auto"/>
              </w:rPr>
            </w:pPr>
            <w:r>
              <w:rPr>
                <w:rFonts w:ascii="Arial" w:cs="Arial" w:eastAsia="Arial" w:hAnsi="Arial"/>
                <w:sz w:val="11"/>
                <w:szCs w:val="11"/>
                <w:color w:val="auto"/>
              </w:rPr>
              <w:t>Roanoke (Fort Worth), Texas; Waco,</w:t>
            </w:r>
          </w:p>
        </w:tc>
      </w:tr>
      <w:tr>
        <w:trPr>
          <w:trHeight w:val="135"/>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200" w:type="dxa"/>
            <w:vAlign w:val="bottom"/>
          </w:tcPr>
          <w:p>
            <w:pPr>
              <w:ind w:left="160"/>
              <w:spacing w:after="0"/>
              <w:rPr>
                <w:sz w:val="20"/>
                <w:szCs w:val="20"/>
                <w:color w:val="auto"/>
              </w:rPr>
            </w:pPr>
            <w:r>
              <w:rPr>
                <w:rFonts w:ascii="Arial" w:cs="Arial" w:eastAsia="Arial" w:hAnsi="Arial"/>
                <w:sz w:val="11"/>
                <w:szCs w:val="11"/>
                <w:color w:val="auto"/>
              </w:rPr>
              <w:t>Texas; Houston Cement Company</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spacing w:after="0"/>
              <w:rPr>
                <w:sz w:val="12"/>
                <w:szCs w:val="12"/>
                <w:color w:val="auto"/>
              </w:rPr>
            </w:pPr>
          </w:p>
        </w:tc>
        <w:tc>
          <w:tcPr>
            <w:tcW w:w="4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(Joint Venture), Houston, Texas</w:t>
            </w:r>
          </w:p>
        </w:tc>
      </w:tr>
      <w:tr>
        <w:trPr>
          <w:trHeight w:val="130"/>
        </w:trPr>
        <w:tc>
          <w:tcPr>
            <w:tcW w:w="1340" w:type="dxa"/>
            <w:vAlign w:val="bottom"/>
          </w:tcPr>
          <w:p>
            <w:pPr>
              <w:spacing w:after="0"/>
              <w:rPr>
                <w:sz w:val="20"/>
                <w:szCs w:val="20"/>
                <w:color w:val="auto"/>
              </w:rPr>
            </w:pPr>
            <w:r>
              <w:rPr>
                <w:rFonts w:ascii="Arial" w:cs="Arial" w:eastAsia="Arial" w:hAnsi="Arial"/>
                <w:sz w:val="11"/>
                <w:szCs w:val="11"/>
                <w:b w:val="1"/>
                <w:bCs w:val="1"/>
                <w:color w:val="3983C5"/>
              </w:rPr>
              <w:t>LaSalle, Illinois</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Illinois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Illinois, Michigan and</w:t>
            </w:r>
          </w:p>
        </w:tc>
        <w:tc>
          <w:tcPr>
            <w:tcW w:w="4200" w:type="dxa"/>
            <w:vAlign w:val="bottom"/>
          </w:tcPr>
          <w:p>
            <w:pPr>
              <w:ind w:left="160"/>
              <w:spacing w:after="0" w:line="130" w:lineRule="exact"/>
              <w:rPr>
                <w:sz w:val="20"/>
                <w:szCs w:val="20"/>
                <w:color w:val="auto"/>
              </w:rPr>
            </w:pPr>
            <w:r>
              <w:rPr>
                <w:rFonts w:ascii="Arial" w:cs="Arial" w:eastAsia="Arial" w:hAnsi="Arial"/>
                <w:sz w:val="9"/>
                <w:szCs w:val="9"/>
                <w:color w:val="auto"/>
              </w:rPr>
              <w:t xml:space="preserve">Hartland, Wisconsin; South Beloit, Illinois, </w:t>
            </w:r>
            <w:r>
              <w:rPr>
                <w:rFonts w:ascii="Arial" w:cs="Arial" w:eastAsia="Arial" w:hAnsi="Arial"/>
                <w:sz w:val="15"/>
                <w:szCs w:val="15"/>
                <w:color w:val="auto"/>
                <w:vertAlign w:val="superscript"/>
              </w:rPr>
              <w:t>(2)</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southern Wisconsin</w:t>
            </w:r>
          </w:p>
        </w:tc>
        <w:tc>
          <w:tcPr>
            <w:tcW w:w="4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Ottawa, Illinois</w:t>
            </w:r>
          </w:p>
        </w:tc>
      </w:tr>
      <w:tr>
        <w:trPr>
          <w:trHeight w:val="130"/>
        </w:trPr>
        <w:tc>
          <w:tcPr>
            <w:tcW w:w="1340" w:type="dxa"/>
            <w:vAlign w:val="bottom"/>
          </w:tcPr>
          <w:p>
            <w:pPr>
              <w:spacing w:after="0"/>
              <w:rPr>
                <w:sz w:val="20"/>
                <w:szCs w:val="20"/>
                <w:color w:val="auto"/>
              </w:rPr>
            </w:pPr>
            <w:r>
              <w:rPr>
                <w:rFonts w:ascii="Arial" w:cs="Arial" w:eastAsia="Arial" w:hAnsi="Arial"/>
                <w:sz w:val="11"/>
                <w:szCs w:val="11"/>
                <w:b w:val="1"/>
                <w:bCs w:val="1"/>
                <w:color w:val="3983C5"/>
              </w:rPr>
              <w:t>Sugar Creek, Missouri</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Central Plains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Western Missouri, eastern</w:t>
            </w:r>
          </w:p>
        </w:tc>
        <w:tc>
          <w:tcPr>
            <w:tcW w:w="4200" w:type="dxa"/>
            <w:vAlign w:val="bottom"/>
          </w:tcPr>
          <w:p>
            <w:pPr>
              <w:ind w:left="160"/>
              <w:spacing w:after="0"/>
              <w:rPr>
                <w:sz w:val="20"/>
                <w:szCs w:val="20"/>
                <w:color w:val="auto"/>
              </w:rPr>
            </w:pPr>
            <w:r>
              <w:rPr>
                <w:rFonts w:ascii="Arial" w:cs="Arial" w:eastAsia="Arial" w:hAnsi="Arial"/>
                <w:sz w:val="11"/>
                <w:szCs w:val="11"/>
                <w:color w:val="auto"/>
              </w:rPr>
              <w:t>Sugar Creek, Missouri; Wichita, Kansas;</w:t>
            </w:r>
          </w:p>
        </w:tc>
      </w:tr>
      <w:tr>
        <w:trPr>
          <w:trHeight w:val="135"/>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Kansas, eastern Nebraska,</w:t>
            </w:r>
          </w:p>
        </w:tc>
        <w:tc>
          <w:tcPr>
            <w:tcW w:w="4200" w:type="dxa"/>
            <w:vAlign w:val="bottom"/>
          </w:tcPr>
          <w:p>
            <w:pPr>
              <w:ind w:left="160"/>
              <w:spacing w:after="0"/>
              <w:rPr>
                <w:sz w:val="20"/>
                <w:szCs w:val="20"/>
                <w:color w:val="auto"/>
              </w:rPr>
            </w:pPr>
            <w:r>
              <w:rPr>
                <w:rFonts w:ascii="Arial" w:cs="Arial" w:eastAsia="Arial" w:hAnsi="Arial"/>
                <w:sz w:val="11"/>
                <w:szCs w:val="11"/>
                <w:color w:val="auto"/>
              </w:rPr>
              <w:t>Omaha, Nebraska; Altoona, Iowa;</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and Iowa</w:t>
            </w:r>
          </w:p>
        </w:tc>
        <w:tc>
          <w:tcPr>
            <w:tcW w:w="4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Springfield, Missouri</w:t>
            </w:r>
          </w:p>
        </w:tc>
      </w:tr>
      <w:tr>
        <w:trPr>
          <w:trHeight w:val="130"/>
        </w:trPr>
        <w:tc>
          <w:tcPr>
            <w:tcW w:w="1340" w:type="dxa"/>
            <w:vAlign w:val="bottom"/>
          </w:tcPr>
          <w:p>
            <w:pPr>
              <w:spacing w:after="0"/>
              <w:rPr>
                <w:sz w:val="20"/>
                <w:szCs w:val="20"/>
                <w:color w:val="auto"/>
              </w:rPr>
            </w:pPr>
            <w:r>
              <w:rPr>
                <w:rFonts w:ascii="Arial" w:cs="Arial" w:eastAsia="Arial" w:hAnsi="Arial"/>
                <w:sz w:val="11"/>
                <w:szCs w:val="11"/>
                <w:b w:val="1"/>
                <w:bCs w:val="1"/>
                <w:color w:val="3983C5"/>
              </w:rPr>
              <w:t>Tulsa, Oklahoma</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Central Plains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Oklahoma, western</w:t>
            </w:r>
          </w:p>
        </w:tc>
        <w:tc>
          <w:tcPr>
            <w:tcW w:w="4200" w:type="dxa"/>
            <w:vAlign w:val="bottom"/>
          </w:tcPr>
          <w:p>
            <w:pPr>
              <w:ind w:left="160"/>
              <w:spacing w:after="0"/>
              <w:rPr>
                <w:sz w:val="20"/>
                <w:szCs w:val="20"/>
                <w:color w:val="auto"/>
              </w:rPr>
            </w:pPr>
            <w:r>
              <w:rPr>
                <w:rFonts w:ascii="Arial" w:cs="Arial" w:eastAsia="Arial" w:hAnsi="Arial"/>
                <w:sz w:val="11"/>
                <w:szCs w:val="11"/>
                <w:color w:val="auto"/>
              </w:rPr>
              <w:t>Oklahoma City, Oklahoma</w:t>
            </w:r>
          </w:p>
        </w:tc>
      </w:tr>
      <w:tr>
        <w:trPr>
          <w:trHeight w:val="135"/>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Arkansas, and southern</w:t>
            </w:r>
          </w:p>
        </w:tc>
        <w:tc>
          <w:tcPr>
            <w:tcW w:w="4200" w:type="dxa"/>
            <w:vAlign w:val="bottom"/>
          </w:tcPr>
          <w:p>
            <w:pPr>
              <w:spacing w:after="0"/>
              <w:rPr>
                <w:sz w:val="11"/>
                <w:szCs w:val="11"/>
                <w:color w:val="auto"/>
              </w:rPr>
            </w:pP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Missouri</w:t>
            </w:r>
          </w:p>
        </w:tc>
        <w:tc>
          <w:tcPr>
            <w:tcW w:w="4200" w:type="dxa"/>
            <w:vAlign w:val="bottom"/>
            <w:tcBorders>
              <w:bottom w:val="single" w:sz="8" w:color="A6A6A6"/>
            </w:tcBorders>
          </w:tcPr>
          <w:p>
            <w:pPr>
              <w:spacing w:after="0"/>
              <w:rPr>
                <w:sz w:val="12"/>
                <w:szCs w:val="12"/>
                <w:color w:val="auto"/>
              </w:rPr>
            </w:pPr>
          </w:p>
        </w:tc>
      </w:tr>
      <w:tr>
        <w:trPr>
          <w:trHeight w:val="130"/>
        </w:trPr>
        <w:tc>
          <w:tcPr>
            <w:tcW w:w="1340" w:type="dxa"/>
            <w:vAlign w:val="bottom"/>
          </w:tcPr>
          <w:p>
            <w:pPr>
              <w:spacing w:after="0"/>
              <w:rPr>
                <w:sz w:val="20"/>
                <w:szCs w:val="20"/>
                <w:color w:val="auto"/>
              </w:rPr>
            </w:pPr>
            <w:r>
              <w:rPr>
                <w:rFonts w:ascii="Arial" w:cs="Arial" w:eastAsia="Arial" w:hAnsi="Arial"/>
                <w:sz w:val="11"/>
                <w:szCs w:val="11"/>
                <w:b w:val="1"/>
                <w:bCs w:val="1"/>
                <w:color w:val="3983C5"/>
              </w:rPr>
              <w:t>Laramie, Wyoming</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Mountain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Wyoming, Utah, Colorado,</w:t>
            </w:r>
          </w:p>
        </w:tc>
        <w:tc>
          <w:tcPr>
            <w:tcW w:w="4200" w:type="dxa"/>
            <w:vAlign w:val="bottom"/>
          </w:tcPr>
          <w:p>
            <w:pPr>
              <w:ind w:left="160"/>
              <w:spacing w:after="0"/>
              <w:rPr>
                <w:sz w:val="20"/>
                <w:szCs w:val="20"/>
                <w:color w:val="auto"/>
              </w:rPr>
            </w:pPr>
            <w:r>
              <w:rPr>
                <w:rFonts w:ascii="Arial" w:cs="Arial" w:eastAsia="Arial" w:hAnsi="Arial"/>
                <w:sz w:val="11"/>
                <w:szCs w:val="11"/>
                <w:color w:val="auto"/>
              </w:rPr>
              <w:t>Salt Lake City, Utah; Denver, Colorado;</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and western Nebraska</w:t>
            </w:r>
          </w:p>
        </w:tc>
        <w:tc>
          <w:tcPr>
            <w:tcW w:w="4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North Platte, Nebraska</w:t>
            </w:r>
          </w:p>
        </w:tc>
      </w:tr>
      <w:tr>
        <w:trPr>
          <w:trHeight w:val="130"/>
        </w:trPr>
        <w:tc>
          <w:tcPr>
            <w:tcW w:w="1340" w:type="dxa"/>
            <w:vAlign w:val="bottom"/>
          </w:tcPr>
          <w:p>
            <w:pPr>
              <w:spacing w:after="0"/>
              <w:rPr>
                <w:sz w:val="20"/>
                <w:szCs w:val="20"/>
                <w:color w:val="auto"/>
              </w:rPr>
            </w:pPr>
            <w:r>
              <w:rPr>
                <w:rFonts w:ascii="Arial" w:cs="Arial" w:eastAsia="Arial" w:hAnsi="Arial"/>
                <w:sz w:val="11"/>
                <w:szCs w:val="11"/>
                <w:b w:val="1"/>
                <w:bCs w:val="1"/>
                <w:color w:val="3983C5"/>
              </w:rPr>
              <w:t>Fernley, Nevada</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Nevada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Northern Nevada and</w:t>
            </w:r>
          </w:p>
        </w:tc>
        <w:tc>
          <w:tcPr>
            <w:tcW w:w="4200" w:type="dxa"/>
            <w:vAlign w:val="bottom"/>
          </w:tcPr>
          <w:p>
            <w:pPr>
              <w:ind w:left="160"/>
              <w:spacing w:after="0"/>
              <w:rPr>
                <w:sz w:val="20"/>
                <w:szCs w:val="20"/>
                <w:color w:val="auto"/>
              </w:rPr>
            </w:pPr>
            <w:r>
              <w:rPr>
                <w:rFonts w:ascii="Arial" w:cs="Arial" w:eastAsia="Arial" w:hAnsi="Arial"/>
                <w:sz w:val="11"/>
                <w:szCs w:val="11"/>
                <w:color w:val="auto"/>
              </w:rPr>
              <w:t>Sacramento, California</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northern California</w:t>
            </w:r>
          </w:p>
        </w:tc>
        <w:tc>
          <w:tcPr>
            <w:tcW w:w="4200" w:type="dxa"/>
            <w:vAlign w:val="bottom"/>
            <w:tcBorders>
              <w:bottom w:val="single" w:sz="8" w:color="A6A6A6"/>
            </w:tcBorders>
          </w:tcPr>
          <w:p>
            <w:pPr>
              <w:spacing w:after="0"/>
              <w:rPr>
                <w:sz w:val="12"/>
                <w:szCs w:val="12"/>
                <w:color w:val="auto"/>
              </w:rPr>
            </w:pPr>
          </w:p>
        </w:tc>
      </w:tr>
      <w:tr>
        <w:trPr>
          <w:trHeight w:val="126"/>
        </w:trPr>
        <w:tc>
          <w:tcPr>
            <w:tcW w:w="1340" w:type="dxa"/>
            <w:vAlign w:val="bottom"/>
          </w:tcPr>
          <w:p>
            <w:pPr>
              <w:spacing w:after="0"/>
              <w:rPr>
                <w:sz w:val="20"/>
                <w:szCs w:val="20"/>
                <w:color w:val="auto"/>
              </w:rPr>
            </w:pPr>
            <w:r>
              <w:rPr>
                <w:rFonts w:ascii="Arial" w:cs="Arial" w:eastAsia="Arial" w:hAnsi="Arial"/>
                <w:sz w:val="11"/>
                <w:szCs w:val="11"/>
                <w:b w:val="1"/>
                <w:bCs w:val="1"/>
                <w:color w:val="3983C5"/>
              </w:rPr>
              <w:t>Louisville, Kentucky</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Kosmos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w w:val="95"/>
              </w:rPr>
              <w:t>Kentucky, Ohio, Indiana, West Virginia, eastern</w:t>
            </w:r>
          </w:p>
        </w:tc>
        <w:tc>
          <w:tcPr>
            <w:tcW w:w="4200" w:type="dxa"/>
            <w:vAlign w:val="bottom"/>
          </w:tcPr>
          <w:p>
            <w:pPr>
              <w:ind w:left="160"/>
              <w:spacing w:after="0"/>
              <w:rPr>
                <w:sz w:val="20"/>
                <w:szCs w:val="20"/>
                <w:color w:val="auto"/>
              </w:rPr>
            </w:pPr>
            <w:r>
              <w:rPr>
                <w:rFonts w:ascii="Arial" w:cs="Arial" w:eastAsia="Arial" w:hAnsi="Arial"/>
                <w:sz w:val="11"/>
                <w:szCs w:val="11"/>
                <w:color w:val="auto"/>
              </w:rPr>
              <w:t>Indianapolis, Indiana; Ceredo, West Virginia;</w:t>
            </w:r>
          </w:p>
        </w:tc>
      </w:tr>
      <w:tr>
        <w:trPr>
          <w:trHeight w:val="139"/>
        </w:trPr>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Illinois, western Pennsylvania, and northern</w:t>
            </w:r>
          </w:p>
        </w:tc>
        <w:tc>
          <w:tcPr>
            <w:tcW w:w="4200" w:type="dxa"/>
            <w:vAlign w:val="bottom"/>
          </w:tcPr>
          <w:p>
            <w:pPr>
              <w:ind w:left="160"/>
              <w:spacing w:after="0" w:line="138" w:lineRule="exact"/>
              <w:rPr>
                <w:sz w:val="20"/>
                <w:szCs w:val="20"/>
                <w:color w:val="auto"/>
              </w:rPr>
            </w:pPr>
            <w:r>
              <w:rPr>
                <w:rFonts w:ascii="Arial" w:cs="Arial" w:eastAsia="Arial" w:hAnsi="Arial"/>
                <w:sz w:val="10"/>
                <w:szCs w:val="10"/>
                <w:color w:val="auto"/>
              </w:rPr>
              <w:t xml:space="preserve">Lexington, Kentucky </w:t>
            </w:r>
            <w:r>
              <w:rPr>
                <w:rFonts w:ascii="Arial" w:cs="Arial" w:eastAsia="Arial" w:hAnsi="Arial"/>
                <w:sz w:val="16"/>
                <w:szCs w:val="16"/>
                <w:color w:val="auto"/>
                <w:vertAlign w:val="superscript"/>
              </w:rPr>
              <w:t>(3)</w:t>
            </w:r>
            <w:r>
              <w:rPr>
                <w:rFonts w:ascii="Arial" w:cs="Arial" w:eastAsia="Arial" w:hAnsi="Arial"/>
                <w:sz w:val="10"/>
                <w:szCs w:val="10"/>
                <w:color w:val="auto"/>
              </w:rPr>
              <w:t>; Cincinnati, Ohio;</w:t>
            </w:r>
          </w:p>
        </w:tc>
      </w:tr>
      <w:tr>
        <w:trPr>
          <w:trHeight w:val="135"/>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Tennessee</w:t>
            </w:r>
          </w:p>
        </w:tc>
        <w:tc>
          <w:tcPr>
            <w:tcW w:w="4200" w:type="dxa"/>
            <w:vAlign w:val="bottom"/>
          </w:tcPr>
          <w:p>
            <w:pPr>
              <w:ind w:left="160"/>
              <w:spacing w:after="0"/>
              <w:rPr>
                <w:sz w:val="20"/>
                <w:szCs w:val="20"/>
                <w:color w:val="auto"/>
              </w:rPr>
            </w:pPr>
            <w:r>
              <w:rPr>
                <w:rFonts w:ascii="Arial" w:cs="Arial" w:eastAsia="Arial" w:hAnsi="Arial"/>
                <w:sz w:val="11"/>
                <w:szCs w:val="11"/>
                <w:color w:val="auto"/>
              </w:rPr>
              <w:t>Pittsburgh, Pennsylvania;</w:t>
            </w:r>
          </w:p>
        </w:tc>
      </w:tr>
      <w:tr>
        <w:trPr>
          <w:trHeight w:val="131"/>
        </w:trPr>
        <w:tc>
          <w:tcPr>
            <w:tcW w:w="1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200" w:type="dxa"/>
            <w:vAlign w:val="bottom"/>
          </w:tcPr>
          <w:p>
            <w:pPr>
              <w:ind w:left="160"/>
              <w:spacing w:after="0"/>
              <w:rPr>
                <w:sz w:val="20"/>
                <w:szCs w:val="20"/>
                <w:color w:val="auto"/>
              </w:rPr>
            </w:pPr>
            <w:r>
              <w:rPr>
                <w:rFonts w:ascii="Arial" w:cs="Arial" w:eastAsia="Arial" w:hAnsi="Arial"/>
                <w:sz w:val="11"/>
                <w:szCs w:val="11"/>
                <w:color w:val="auto"/>
              </w:rPr>
              <w:t>Charleston, West Virginia;</w:t>
            </w:r>
          </w:p>
        </w:tc>
      </w:tr>
      <w:tr>
        <w:trPr>
          <w:trHeight w:val="144"/>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spacing w:after="0"/>
              <w:rPr>
                <w:sz w:val="12"/>
                <w:szCs w:val="12"/>
                <w:color w:val="auto"/>
              </w:rPr>
            </w:pPr>
          </w:p>
        </w:tc>
        <w:tc>
          <w:tcPr>
            <w:tcW w:w="4200" w:type="dxa"/>
            <w:vAlign w:val="bottom"/>
            <w:tcBorders>
              <w:bottom w:val="single" w:sz="8" w:color="A6A6A6"/>
            </w:tcBorders>
          </w:tcPr>
          <w:p>
            <w:pPr>
              <w:ind w:left="160"/>
              <w:spacing w:after="0" w:line="144" w:lineRule="exact"/>
              <w:rPr>
                <w:sz w:val="20"/>
                <w:szCs w:val="20"/>
                <w:color w:val="auto"/>
              </w:rPr>
            </w:pPr>
            <w:r>
              <w:rPr>
                <w:rFonts w:ascii="Arial" w:cs="Arial" w:eastAsia="Arial" w:hAnsi="Arial"/>
                <w:sz w:val="10"/>
                <w:szCs w:val="10"/>
                <w:color w:val="auto"/>
              </w:rPr>
              <w:t xml:space="preserve">Mount Vernon, Indiana </w:t>
            </w:r>
            <w:r>
              <w:rPr>
                <w:rFonts w:ascii="Arial" w:cs="Arial" w:eastAsia="Arial" w:hAnsi="Arial"/>
                <w:sz w:val="16"/>
                <w:szCs w:val="16"/>
                <w:color w:val="auto"/>
                <w:vertAlign w:val="superscript"/>
              </w:rPr>
              <w:t>(3)</w:t>
            </w:r>
          </w:p>
        </w:tc>
      </w:tr>
      <w:tr>
        <w:trPr>
          <w:trHeight w:val="128"/>
        </w:trPr>
        <w:tc>
          <w:tcPr>
            <w:tcW w:w="1340" w:type="dxa"/>
            <w:vAlign w:val="bottom"/>
          </w:tcPr>
          <w:p>
            <w:pPr>
              <w:spacing w:after="0"/>
              <w:rPr>
                <w:sz w:val="20"/>
                <w:szCs w:val="20"/>
                <w:color w:val="auto"/>
              </w:rPr>
            </w:pPr>
            <w:r>
              <w:rPr>
                <w:rFonts w:ascii="Arial" w:cs="Arial" w:eastAsia="Arial" w:hAnsi="Arial"/>
                <w:sz w:val="11"/>
                <w:szCs w:val="11"/>
                <w:b w:val="1"/>
                <w:bCs w:val="1"/>
                <w:color w:val="3983C5"/>
              </w:rPr>
              <w:t>Fairborn, Ohio</w:t>
            </w:r>
          </w:p>
        </w:tc>
        <w:tc>
          <w:tcPr>
            <w:tcW w:w="1040" w:type="dxa"/>
            <w:vAlign w:val="bottom"/>
          </w:tcPr>
          <w:p>
            <w:pPr>
              <w:ind w:left="300"/>
              <w:spacing w:after="0"/>
              <w:rPr>
                <w:sz w:val="20"/>
                <w:szCs w:val="20"/>
                <w:color w:val="auto"/>
              </w:rPr>
            </w:pPr>
            <w:r>
              <w:rPr>
                <w:rFonts w:ascii="Arial" w:cs="Arial" w:eastAsia="Arial" w:hAnsi="Arial"/>
                <w:sz w:val="11"/>
                <w:szCs w:val="11"/>
                <w:color w:val="auto"/>
              </w:rPr>
              <w:t>Cement</w:t>
            </w:r>
          </w:p>
        </w:tc>
        <w:tc>
          <w:tcPr>
            <w:tcW w:w="2160" w:type="dxa"/>
            <w:vAlign w:val="bottom"/>
          </w:tcPr>
          <w:p>
            <w:pPr>
              <w:ind w:left="260"/>
              <w:spacing w:after="0"/>
              <w:rPr>
                <w:sz w:val="20"/>
                <w:szCs w:val="20"/>
                <w:color w:val="auto"/>
              </w:rPr>
            </w:pPr>
            <w:r>
              <w:rPr>
                <w:rFonts w:ascii="Arial" w:cs="Arial" w:eastAsia="Arial" w:hAnsi="Arial"/>
                <w:sz w:val="11"/>
                <w:szCs w:val="11"/>
                <w:color w:val="auto"/>
              </w:rPr>
              <w:t>Fairborn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Ohio, eastern Indiana, and</w:t>
            </w:r>
          </w:p>
        </w:tc>
        <w:tc>
          <w:tcPr>
            <w:tcW w:w="4200" w:type="dxa"/>
            <w:vAlign w:val="bottom"/>
          </w:tcPr>
          <w:p>
            <w:pPr>
              <w:ind w:left="160"/>
              <w:spacing w:after="0"/>
              <w:rPr>
                <w:sz w:val="20"/>
                <w:szCs w:val="20"/>
                <w:color w:val="auto"/>
              </w:rPr>
            </w:pPr>
            <w:r>
              <w:rPr>
                <w:rFonts w:ascii="Arial" w:cs="Arial" w:eastAsia="Arial" w:hAnsi="Arial"/>
                <w:sz w:val="11"/>
                <w:szCs w:val="11"/>
                <w:color w:val="auto"/>
              </w:rPr>
              <w:t>Columbus, Ohio</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northern Kentucky</w:t>
            </w:r>
          </w:p>
        </w:tc>
        <w:tc>
          <w:tcPr>
            <w:tcW w:w="4200" w:type="dxa"/>
            <w:vAlign w:val="bottom"/>
            <w:tcBorders>
              <w:bottom w:val="single" w:sz="8" w:color="A6A6A6"/>
            </w:tcBorders>
          </w:tcPr>
          <w:p>
            <w:pPr>
              <w:spacing w:after="0"/>
              <w:rPr>
                <w:sz w:val="12"/>
                <w:szCs w:val="12"/>
                <w:color w:val="auto"/>
              </w:rPr>
            </w:pPr>
          </w:p>
        </w:tc>
      </w:tr>
      <w:tr>
        <w:trPr>
          <w:trHeight w:val="126"/>
        </w:trPr>
        <w:tc>
          <w:tcPr>
            <w:tcW w:w="1340" w:type="dxa"/>
            <w:vAlign w:val="bottom"/>
          </w:tcPr>
          <w:p>
            <w:pPr>
              <w:spacing w:after="0"/>
              <w:rPr>
                <w:sz w:val="20"/>
                <w:szCs w:val="20"/>
                <w:color w:val="auto"/>
              </w:rPr>
            </w:pPr>
            <w:r>
              <w:rPr>
                <w:rFonts w:ascii="Arial" w:cs="Arial" w:eastAsia="Arial" w:hAnsi="Arial"/>
                <w:sz w:val="11"/>
                <w:szCs w:val="11"/>
                <w:b w:val="1"/>
                <w:bCs w:val="1"/>
                <w:color w:val="3983C5"/>
              </w:rPr>
              <w:t>Chicago, Illinois</w:t>
            </w:r>
          </w:p>
        </w:tc>
        <w:tc>
          <w:tcPr>
            <w:tcW w:w="1040" w:type="dxa"/>
            <w:vAlign w:val="bottom"/>
          </w:tcPr>
          <w:p>
            <w:pPr>
              <w:ind w:left="300"/>
              <w:spacing w:after="0"/>
              <w:rPr>
                <w:sz w:val="20"/>
                <w:szCs w:val="20"/>
                <w:color w:val="auto"/>
              </w:rPr>
            </w:pPr>
            <w:r>
              <w:rPr>
                <w:rFonts w:ascii="Arial" w:cs="Arial" w:eastAsia="Arial" w:hAnsi="Arial"/>
                <w:sz w:val="11"/>
                <w:szCs w:val="11"/>
                <w:color w:val="auto"/>
              </w:rPr>
              <w:t>Slag</w:t>
            </w:r>
          </w:p>
        </w:tc>
        <w:tc>
          <w:tcPr>
            <w:tcW w:w="2160" w:type="dxa"/>
            <w:vAlign w:val="bottom"/>
          </w:tcPr>
          <w:p>
            <w:pPr>
              <w:ind w:left="260"/>
              <w:spacing w:after="0"/>
              <w:rPr>
                <w:sz w:val="20"/>
                <w:szCs w:val="20"/>
                <w:color w:val="auto"/>
              </w:rPr>
            </w:pPr>
            <w:r>
              <w:rPr>
                <w:rFonts w:ascii="Arial" w:cs="Arial" w:eastAsia="Arial" w:hAnsi="Arial"/>
                <w:sz w:val="11"/>
                <w:szCs w:val="11"/>
                <w:color w:val="auto"/>
              </w:rPr>
              <w:t>Skyway Cement Company</w:t>
            </w:r>
          </w:p>
        </w:tc>
        <w:tc>
          <w:tcPr>
            <w:tcW w:w="2560" w:type="dxa"/>
            <w:vAlign w:val="bottom"/>
          </w:tcPr>
          <w:p>
            <w:pPr>
              <w:ind w:left="340"/>
              <w:spacing w:after="0"/>
              <w:rPr>
                <w:sz w:val="20"/>
                <w:szCs w:val="20"/>
                <w:color w:val="auto"/>
              </w:rPr>
            </w:pPr>
            <w:r>
              <w:rPr>
                <w:rFonts w:ascii="Arial" w:cs="Arial" w:eastAsia="Arial" w:hAnsi="Arial"/>
                <w:sz w:val="11"/>
                <w:szCs w:val="11"/>
                <w:color w:val="auto"/>
              </w:rPr>
              <w:t>Illinois, Pennsylvania,</w:t>
            </w:r>
          </w:p>
        </w:tc>
        <w:tc>
          <w:tcPr>
            <w:tcW w:w="4200" w:type="dxa"/>
            <w:vAlign w:val="bottom"/>
          </w:tcPr>
          <w:p>
            <w:pPr>
              <w:ind w:left="160"/>
              <w:spacing w:after="0"/>
              <w:rPr>
                <w:sz w:val="20"/>
                <w:szCs w:val="20"/>
                <w:color w:val="auto"/>
              </w:rPr>
            </w:pPr>
            <w:r>
              <w:rPr>
                <w:rFonts w:ascii="Arial" w:cs="Arial" w:eastAsia="Arial" w:hAnsi="Arial"/>
                <w:sz w:val="11"/>
                <w:szCs w:val="11"/>
                <w:color w:val="auto"/>
              </w:rPr>
              <w:t>Kansas City, Missouri; Etna, Pennsylvania;</w:t>
            </w:r>
          </w:p>
        </w:tc>
      </w:tr>
      <w:tr>
        <w:trPr>
          <w:trHeight w:val="139"/>
        </w:trPr>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60" w:type="dxa"/>
            <w:vAlign w:val="bottom"/>
          </w:tcPr>
          <w:p>
            <w:pPr>
              <w:ind w:left="340"/>
              <w:spacing w:after="0"/>
              <w:rPr>
                <w:sz w:val="20"/>
                <w:szCs w:val="20"/>
                <w:color w:val="auto"/>
              </w:rPr>
            </w:pPr>
            <w:r>
              <w:rPr>
                <w:rFonts w:ascii="Arial" w:cs="Arial" w:eastAsia="Arial" w:hAnsi="Arial"/>
                <w:sz w:val="11"/>
                <w:szCs w:val="11"/>
                <w:color w:val="auto"/>
              </w:rPr>
              <w:t>Iowa, Ohio, Minnesota,</w:t>
            </w:r>
          </w:p>
        </w:tc>
        <w:tc>
          <w:tcPr>
            <w:tcW w:w="4200" w:type="dxa"/>
            <w:vAlign w:val="bottom"/>
          </w:tcPr>
          <w:p>
            <w:pPr>
              <w:ind w:left="160"/>
              <w:spacing w:after="0" w:line="138" w:lineRule="exact"/>
              <w:rPr>
                <w:sz w:val="20"/>
                <w:szCs w:val="20"/>
                <w:color w:val="auto"/>
              </w:rPr>
            </w:pPr>
            <w:r>
              <w:rPr>
                <w:rFonts w:ascii="Arial" w:cs="Arial" w:eastAsia="Arial" w:hAnsi="Arial"/>
                <w:sz w:val="10"/>
                <w:szCs w:val="10"/>
                <w:color w:val="auto"/>
              </w:rPr>
              <w:t xml:space="preserve">Fairfield, Ohio </w:t>
            </w:r>
            <w:r>
              <w:rPr>
                <w:rFonts w:ascii="Arial" w:cs="Arial" w:eastAsia="Arial" w:hAnsi="Arial"/>
                <w:sz w:val="16"/>
                <w:szCs w:val="16"/>
                <w:color w:val="auto"/>
                <w:vertAlign w:val="superscript"/>
              </w:rPr>
              <w:t>(3)</w:t>
            </w:r>
          </w:p>
        </w:tc>
      </w:tr>
      <w:tr>
        <w:trPr>
          <w:trHeight w:val="138"/>
        </w:trPr>
        <w:tc>
          <w:tcPr>
            <w:tcW w:w="1340" w:type="dxa"/>
            <w:vAlign w:val="bottom"/>
            <w:tcBorders>
              <w:bottom w:val="single" w:sz="8" w:color="A6A6A6"/>
            </w:tcBorders>
          </w:tcPr>
          <w:p>
            <w:pPr>
              <w:spacing w:after="0"/>
              <w:rPr>
                <w:sz w:val="12"/>
                <w:szCs w:val="12"/>
                <w:color w:val="auto"/>
              </w:rPr>
            </w:pPr>
          </w:p>
        </w:tc>
        <w:tc>
          <w:tcPr>
            <w:tcW w:w="1040" w:type="dxa"/>
            <w:vAlign w:val="bottom"/>
            <w:tcBorders>
              <w:bottom w:val="single" w:sz="8" w:color="A6A6A6"/>
            </w:tcBorders>
          </w:tcPr>
          <w:p>
            <w:pPr>
              <w:spacing w:after="0"/>
              <w:rPr>
                <w:sz w:val="12"/>
                <w:szCs w:val="12"/>
                <w:color w:val="auto"/>
              </w:rPr>
            </w:pPr>
          </w:p>
        </w:tc>
        <w:tc>
          <w:tcPr>
            <w:tcW w:w="2160" w:type="dxa"/>
            <w:vAlign w:val="bottom"/>
            <w:tcBorders>
              <w:bottom w:val="single" w:sz="8" w:color="A6A6A6"/>
            </w:tcBorders>
          </w:tcPr>
          <w:p>
            <w:pPr>
              <w:spacing w:after="0"/>
              <w:rPr>
                <w:sz w:val="12"/>
                <w:szCs w:val="12"/>
                <w:color w:val="auto"/>
              </w:rPr>
            </w:pPr>
          </w:p>
        </w:tc>
        <w:tc>
          <w:tcPr>
            <w:tcW w:w="256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Missouri and Kansas</w:t>
            </w:r>
          </w:p>
        </w:tc>
        <w:tc>
          <w:tcPr>
            <w:tcW w:w="4200" w:type="dxa"/>
            <w:vAlign w:val="bottom"/>
            <w:tcBorders>
              <w:bottom w:val="single" w:sz="8" w:color="A6A6A6"/>
            </w:tcBorders>
          </w:tcPr>
          <w:p>
            <w:pPr>
              <w:spacing w:after="0"/>
              <w:rPr>
                <w:sz w:val="12"/>
                <w:szCs w:val="12"/>
                <w:color w:val="auto"/>
              </w:rPr>
            </w:pPr>
          </w:p>
        </w:tc>
      </w:tr>
    </w:tbl>
    <w:p>
      <w:pPr>
        <w:ind w:left="268" w:hanging="268"/>
        <w:spacing w:after="0"/>
        <w:tabs>
          <w:tab w:leader="none" w:pos="268" w:val="left"/>
        </w:tabs>
        <w:numPr>
          <w:ilvl w:val="0"/>
          <w:numId w:val="4"/>
        </w:numPr>
        <w:rPr>
          <w:rFonts w:ascii="Arial" w:cs="Arial" w:eastAsia="Arial" w:hAnsi="Arial"/>
          <w:sz w:val="16"/>
          <w:szCs w:val="16"/>
          <w:color w:val="auto"/>
          <w:vertAlign w:val="superscript"/>
        </w:rPr>
      </w:pPr>
      <w:r>
        <w:rPr>
          <w:rFonts w:ascii="Arial" w:cs="Arial" w:eastAsia="Arial" w:hAnsi="Arial"/>
          <w:sz w:val="10"/>
          <w:szCs w:val="10"/>
          <w:color w:val="auto"/>
        </w:rPr>
        <w:t>Each of the above distribution terminals is capable of handling cement and/or slag.</w:t>
      </w:r>
    </w:p>
    <w:p>
      <w:pPr>
        <w:ind w:left="268" w:hanging="268"/>
        <w:spacing w:after="0" w:line="187" w:lineRule="auto"/>
        <w:tabs>
          <w:tab w:leader="none" w:pos="268" w:val="left"/>
        </w:tabs>
        <w:numPr>
          <w:ilvl w:val="0"/>
          <w:numId w:val="4"/>
        </w:numPr>
        <w:rPr>
          <w:rFonts w:ascii="Arial" w:cs="Arial" w:eastAsia="Arial" w:hAnsi="Arial"/>
          <w:sz w:val="12"/>
          <w:szCs w:val="12"/>
          <w:color w:val="auto"/>
          <w:vertAlign w:val="superscript"/>
        </w:rPr>
      </w:pPr>
      <w:r>
        <w:rPr>
          <w:rFonts w:ascii="Arial" w:cs="Arial" w:eastAsia="Arial" w:hAnsi="Arial"/>
          <w:sz w:val="8"/>
          <w:szCs w:val="8"/>
          <w:color w:val="auto"/>
        </w:rPr>
        <w:t>We acquired this terminal on September 2, 2020.</w:t>
      </w:r>
    </w:p>
    <w:p>
      <w:pPr>
        <w:ind w:left="268" w:hanging="268"/>
        <w:spacing w:after="0" w:line="184" w:lineRule="auto"/>
        <w:tabs>
          <w:tab w:leader="none" w:pos="268" w:val="left"/>
        </w:tabs>
        <w:numPr>
          <w:ilvl w:val="0"/>
          <w:numId w:val="4"/>
        </w:numPr>
        <w:rPr>
          <w:rFonts w:ascii="Arial" w:cs="Arial" w:eastAsia="Arial" w:hAnsi="Arial"/>
          <w:sz w:val="13"/>
          <w:szCs w:val="13"/>
          <w:color w:val="auto"/>
          <w:vertAlign w:val="superscript"/>
        </w:rPr>
      </w:pPr>
      <w:r>
        <w:rPr>
          <w:rFonts w:ascii="Arial" w:cs="Arial" w:eastAsia="Arial" w:hAnsi="Arial"/>
          <w:sz w:val="8"/>
          <w:szCs w:val="8"/>
          <w:color w:val="auto"/>
        </w:rPr>
        <w:t>This facility is being leased.</w:t>
      </w:r>
    </w:p>
    <w:p>
      <w:pPr>
        <w:spacing w:after="0" w:line="71" w:lineRule="exact"/>
        <w:rPr>
          <w:sz w:val="20"/>
          <w:szCs w:val="20"/>
          <w:color w:val="auto"/>
        </w:rPr>
      </w:pPr>
    </w:p>
    <w:p>
      <w:pPr>
        <w:ind w:left="8" w:right="20"/>
        <w:spacing w:after="0" w:line="277" w:lineRule="auto"/>
        <w:rPr>
          <w:sz w:val="20"/>
          <w:szCs w:val="20"/>
          <w:color w:val="auto"/>
        </w:rPr>
      </w:pPr>
      <w:r>
        <w:rPr>
          <w:rFonts w:ascii="Arial" w:cs="Arial" w:eastAsia="Arial" w:hAnsi="Arial"/>
          <w:sz w:val="12"/>
          <w:szCs w:val="12"/>
          <w:color w:val="auto"/>
        </w:rPr>
        <w:t>We are leasing the terminal in Fairfield, Ohio under an initial term of four years, with two one-year options, which expire in fiscal 2025. The terminal in Lexington, Kentucky is being leased under an initial term of five years and will be up for renewal in fiscal 2024. The terminal in Mt. Vernon, Indiana is leased through fiscal 2031, and contains options that will allow the renewal of this lease for an additional twenty years.</w:t>
      </w:r>
    </w:p>
    <w:p>
      <w:pPr>
        <w:spacing w:after="0" w:line="59" w:lineRule="exact"/>
        <w:rPr>
          <w:sz w:val="20"/>
          <w:szCs w:val="20"/>
          <w:color w:val="auto"/>
        </w:rPr>
      </w:pPr>
    </w:p>
    <w:p>
      <w:pPr>
        <w:ind w:left="8" w:right="160"/>
        <w:spacing w:after="0" w:line="277" w:lineRule="auto"/>
        <w:rPr>
          <w:sz w:val="20"/>
          <w:szCs w:val="20"/>
          <w:color w:val="auto"/>
        </w:rPr>
      </w:pPr>
      <w:r>
        <w:rPr>
          <w:rFonts w:ascii="Arial" w:cs="Arial" w:eastAsia="Arial" w:hAnsi="Arial"/>
          <w:sz w:val="12"/>
          <w:szCs w:val="12"/>
          <w:color w:val="auto"/>
        </w:rPr>
        <w:t>Cement and slag are distributed directly to our customers mostly through customer pickups, and also by common carriers from our plants or distribution terminals. We transport cement, slag, and fly ash by truck, barge, and rail to our storage and distribution terminals.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single customer accounted for more than 10% of our Cement segment sales during fiscal 2021. We do not typically enter into long-term sales contracts or have a significant level of order backlog.</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77EBF"/>
        </w:rPr>
        <w:t>Raw Materials and Fuel Supplies</w:t>
      </w:r>
    </w:p>
    <w:p>
      <w:pPr>
        <w:spacing w:after="0" w:line="101" w:lineRule="exact"/>
        <w:rPr>
          <w:sz w:val="20"/>
          <w:szCs w:val="20"/>
          <w:color w:val="auto"/>
        </w:rPr>
      </w:pPr>
    </w:p>
    <w:p>
      <w:pPr>
        <w:ind w:left="8" w:right="60"/>
        <w:spacing w:after="0" w:line="269" w:lineRule="auto"/>
        <w:rPr>
          <w:sz w:val="20"/>
          <w:szCs w:val="20"/>
          <w:color w:val="auto"/>
        </w:rPr>
      </w:pPr>
      <w:r>
        <w:rPr>
          <w:rFonts w:ascii="Arial" w:cs="Arial" w:eastAsia="Arial" w:hAnsi="Arial"/>
          <w:sz w:val="12"/>
          <w:szCs w:val="12"/>
          <w:color w:val="auto"/>
        </w:rPr>
        <w:t>The principal raw material used in the production of portland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we own or lease will permit each of our plants to operate at our present production capacity for at least 25 years. We are actively seeking additional limestone reserves close to our plants and believe we will be able to acquire more reserves in the future. Other raw materials used in substantially smaller quantities than limestone are sand, clay, iron ore, and gypsum. These</w:t>
      </w: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materials are readily available and can be obtained either from Company-owned or leased reserves, or can be purchased from outside suppliers.</w:t>
      </w:r>
    </w:p>
    <w:p>
      <w:pPr>
        <w:spacing w:after="0" w:line="87"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We utilize coal, petroleum coke, natural gas, and alternative fuels to fuel our cement plants. The cost of fuel and power increased in fiscal 2021, compared with fiscal 2020, due to higher natural gas prices during the fiscal fourth quarter. We expect the cost of fuel to remain fairly consistent in fiscal 2022. In keeping with our commitment to sustainability and cost management, we continue to expand the use of alternative fuels at our cement facilities.</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We have a long-term agreement with a steel manufacturer to supply granules necessary for grinding slag. This agreement requires us to purchase up to 550,000 tons of granules, which meet certain specifications, made available by the steel manufacturer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we have not had many production interruptions under these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277EBF"/>
        </w:rPr>
        <w:t>Environmental Matters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cement operations are subject to numerous federal, state, and local laws and regulations pertaining to health, safety, and the environment. Some of these laws, such as the federal Clean Air Act and the federal Clean Water Act (and analogous state laws) impose environmental-permitting requirements and govern the nature and amount of emissions that may be generated when conducting particular operations. Some laws, such as the federal Comprehensive Environmental Response, Compensation and Liability Act (CERCLA) (and analogous state laws) impose obligations to clean up or remediate spills of hazardous materials into the environment.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is listed as a CERCLA Superfund site.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environmental issues involving the cement manufacturing industry deserve special mention.</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b w:val="1"/>
          <w:bCs w:val="1"/>
          <w:i w:val="1"/>
          <w:iCs w:val="1"/>
          <w:color w:val="auto"/>
        </w:rPr>
        <w:t xml:space="preserve">Cement Kiln Dust </w:t>
      </w:r>
      <w:r>
        <w:rPr>
          <w:rFonts w:ascii="Arial" w:cs="Arial" w:eastAsia="Arial" w:hAnsi="Arial"/>
          <w:sz w:val="12"/>
          <w:szCs w:val="12"/>
          <w:color w:val="auto"/>
        </w:rPr>
        <w:t>– Because much of CKD is unreacted raw materials, it is often returned to the production process. Substantially all CKD produced in connection with our ongoing operations is recycled,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therefore such CKD is not viewed as a waste under the Resource Conservation and Recovery Act (RCRA). However, CKD was historically collected and stored on-site at our Illinois, Nevada, Missouri, Oklahoma and Wyoming cement plants and at a former plant site in Corpus Christi, Texas, which is no longer producing cement. Currently, CKD waste is generally excluded from the definition of hazardous waste under the federal regulations. The U.S. Environmental Protection Agency (EPA) has been evaluating the regulatory status of CKD under the RCRA since 2002, and thus far has not changed its approach.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w:t>
      </w:r>
    </w:p>
    <w:p>
      <w:pPr>
        <w:spacing w:after="0" w:line="48" w:lineRule="exact"/>
        <w:rPr>
          <w:sz w:val="20"/>
          <w:szCs w:val="20"/>
          <w:color w:val="auto"/>
        </w:rPr>
      </w:pPr>
    </w:p>
    <w:p>
      <w:pPr>
        <w:ind w:right="480"/>
        <w:spacing w:after="0" w:line="351" w:lineRule="auto"/>
        <w:rPr>
          <w:sz w:val="20"/>
          <w:szCs w:val="20"/>
          <w:color w:val="auto"/>
        </w:rPr>
      </w:pPr>
      <w:r>
        <w:rPr>
          <w:rFonts w:ascii="Arial" w:cs="Arial" w:eastAsia="Arial" w:hAnsi="Arial"/>
          <w:sz w:val="11"/>
          <w:szCs w:val="11"/>
          <w:b w:val="1"/>
          <w:bCs w:val="1"/>
          <w:i w:val="1"/>
          <w:iCs w:val="1"/>
          <w:color w:val="auto"/>
        </w:rPr>
        <w:t xml:space="preserve">Potential Greenhouse Gas Regulation </w:t>
      </w:r>
      <w:r>
        <w:rPr>
          <w:rFonts w:ascii="Arial" w:cs="Arial" w:eastAsia="Arial" w:hAnsi="Arial"/>
          <w:sz w:val="11"/>
          <w:szCs w:val="11"/>
          <w:color w:val="auto"/>
        </w:rPr>
        <w:t>– The potential regulation of our emission of greenhouse gases (GHGs), including carbon dioxide, could affect our cement operations because (1) the cement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manufacturing process requires the combustion of large amounts of fuel to generate very high kiln temperatures; and (2) the production of carbon dioxide is a byproduct of the calcination process, whereby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2"/>
          <w:szCs w:val="12"/>
          <w:color w:val="auto"/>
        </w:rPr>
        <w:t>carbon dioxide is removed from calcium carbonate to produce calcium oxide. Curbing GHG emissions is a clear priority for the newly elected President Biden. Further, several states have individually implemented or are presently considering measures to reduce emissions of GHGs, primarily through the planned development of GHG inventories or registries, or regional GHG cap and trade programs. It is not possible at this time to predict how any future legislation that may be enacted or final EPA regulations that may be adopted to address GHG emissions would impact our business. However, any imposition of raw materials or production limitations, fuel-use or carbon taxes, or emission limitations or reductions could have a significant impact on the cement manufacturing industry and a material adverse effect on us and our results of operations.</w:t>
      </w:r>
    </w:p>
    <w:p>
      <w:pPr>
        <w:spacing w:after="0" w:line="53"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b w:val="1"/>
          <w:bCs w:val="1"/>
          <w:i w:val="1"/>
          <w:iCs w:val="1"/>
          <w:color w:val="auto"/>
        </w:rPr>
        <w:t xml:space="preserve">Solid Waste Incineration Regulations </w:t>
      </w:r>
      <w:r>
        <w:rPr>
          <w:rFonts w:ascii="Arial" w:cs="Arial" w:eastAsia="Arial" w:hAnsi="Arial"/>
          <w:sz w:val="12"/>
          <w:szCs w:val="12"/>
          <w:color w:val="auto"/>
        </w:rPr>
        <w:t>– The EPA has promulgated revised regulations for Commercial and Industrial Solid Waste Incineration (CISWI) units, pursuant to Section 129 of the CAA. The EPA has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approved several states’ implementation plans under this rule, including plans submitted by Colorado and Oklahoma, and has proposed a federal plan that would apply in states that have not submitted and received approval for a state plan has. Compared to the PC NESHAP, the CISWI regulations contain requirements across a broader range of pollutants, and the requirement for dioxin/furans for existing and new sources is somewhat more stringent.</w:t>
      </w:r>
    </w:p>
    <w:p>
      <w:pPr>
        <w:spacing w:after="0" w:line="45"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b w:val="1"/>
          <w:bCs w:val="1"/>
          <w:i w:val="1"/>
          <w:iCs w:val="1"/>
          <w:color w:val="auto"/>
        </w:rPr>
        <w:t xml:space="preserve">Air Quality Standards for Ozone </w:t>
      </w:r>
      <w:r>
        <w:rPr>
          <w:rFonts w:ascii="Arial" w:cs="Arial" w:eastAsia="Arial" w:hAnsi="Arial"/>
          <w:sz w:val="12"/>
          <w:szCs w:val="12"/>
          <w:color w:val="auto"/>
        </w:rPr>
        <w:t>– The EPA is engaged in an ongoing review and implementation of the national ambient air quality standards (NAAQS) for ozone. Nonattainment designations in or surrounding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areas of operations could have a material impact on our consolidated financial results. The CAA requires the EPA to review, and if necessary, revise the NAAQS every five years. Most recently, in December 2020, the Trump Administration announced its decision to retain the 2015 ozone NAAQS set by the Obama Administration without change. This December 2020 final action, however, is subject to legal challenge and is currently being reviewed by the EPA pursuant to President Biden’s executive order directing federal agencies to review certain environmental actions taken by the Trump Administration.</w:t>
      </w:r>
    </w:p>
    <w:p>
      <w:pPr>
        <w:spacing w:after="0" w:line="59"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We believe that our current procedures and practices in our operations, including those for handling and managing hazardous 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 stringent environmental laws, or stricter interpretation of existing environmental laws, could necessitate significant capital outlays.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In fiscal 2021, we had $2.4 million of capital expenditures related to compliance with environmental regulations applicable to our cement operations. We anticipate spending $2.9 million during fiscal 2022.</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b w:val="1"/>
          <w:bCs w:val="1"/>
          <w:color w:val="00AAC6"/>
        </w:rPr>
        <w:t>CONCRETE AND AGGREGATES</w:t>
      </w:r>
    </w:p>
    <w:p>
      <w:pPr>
        <w:spacing w:after="0" w:line="101" w:lineRule="exact"/>
        <w:rPr>
          <w:sz w:val="20"/>
          <w:szCs w:val="20"/>
          <w:color w:val="auto"/>
        </w:rPr>
      </w:pPr>
    </w:p>
    <w:p>
      <w:pPr>
        <w:ind w:left="8" w:right="60"/>
        <w:spacing w:after="0" w:line="277" w:lineRule="auto"/>
        <w:rPr>
          <w:sz w:val="20"/>
          <w:szCs w:val="20"/>
          <w:color w:val="auto"/>
        </w:rPr>
      </w:pPr>
      <w:r>
        <w:rPr>
          <w:rFonts w:ascii="Arial" w:cs="Arial" w:eastAsia="Arial" w:hAnsi="Arial"/>
          <w:sz w:val="12"/>
          <w:szCs w:val="12"/>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59" w:lineRule="exact"/>
        <w:rPr>
          <w:sz w:val="20"/>
          <w:szCs w:val="20"/>
          <w:color w:val="auto"/>
        </w:rPr>
      </w:pPr>
    </w:p>
    <w:p>
      <w:pPr>
        <w:ind w:left="8" w:right="280"/>
        <w:spacing w:after="0" w:line="277" w:lineRule="auto"/>
        <w:rPr>
          <w:sz w:val="20"/>
          <w:szCs w:val="20"/>
          <w:color w:val="auto"/>
        </w:rPr>
      </w:pPr>
      <w:r>
        <w:rPr>
          <w:rFonts w:ascii="Arial" w:cs="Arial" w:eastAsia="Arial" w:hAnsi="Arial"/>
          <w:sz w:val="12"/>
          <w:szCs w:val="12"/>
          <w:color w:val="auto"/>
        </w:rPr>
        <w:t>The aggregates business consists of mining, extracting, producing, and selling crushed stone, sand, and gravel. Construction aggregates of suitable characteristics are employed in virtually all types of construction, including the production of readymix concrete, flexible base, and asphaltic mixes used in highway construction and maintenance.</w:t>
      </w:r>
    </w:p>
    <w:p>
      <w:pPr>
        <w:spacing w:after="0" w:line="59" w:lineRule="exact"/>
        <w:rPr>
          <w:sz w:val="20"/>
          <w:szCs w:val="20"/>
          <w:color w:val="auto"/>
        </w:rPr>
      </w:pPr>
    </w:p>
    <w:p>
      <w:pPr>
        <w:ind w:left="8" w:right="380"/>
        <w:spacing w:after="0" w:line="277" w:lineRule="auto"/>
        <w:rPr>
          <w:sz w:val="20"/>
          <w:szCs w:val="20"/>
          <w:color w:val="auto"/>
        </w:rPr>
      </w:pPr>
      <w:r>
        <w:rPr>
          <w:rFonts w:ascii="Arial" w:cs="Arial" w:eastAsia="Arial" w:hAnsi="Arial"/>
          <w:sz w:val="12"/>
          <w:szCs w:val="12"/>
          <w:color w:val="auto"/>
        </w:rPr>
        <w:t>On April 17, 2020, we sold Western Aggregates LLC and Mathews Readymix LLC, our readymix and aggregates companies in northern California for approximately $93.5 million. See Footnote (C) to the Audited Consolidated Financial Statements for more information regarding the sale.</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0AAC6"/>
        </w:rPr>
        <w:t>Concrete and Aggregates Plants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produce and distribute readymix concrete from company-owned sites in Central Texas; the greater Kansas City area; and northern Nevada. The following table sets forth information regarding these operations:</w:t>
      </w:r>
    </w:p>
    <w:p>
      <w:pPr>
        <w:sectPr>
          <w:pgSz w:w="11900" w:h="16838" w:orient="portrait"/>
          <w:cols w:equalWidth="0" w:num="1">
            <w:col w:w="11308"/>
          </w:cols>
          <w:pgMar w:left="292" w:top="440" w:right="299" w:bottom="1440" w:gutter="0" w:footer="0" w:header="0"/>
        </w:sectPr>
      </w:pP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01"/>
        </w:trPr>
        <w:tc>
          <w:tcPr>
            <w:tcW w:w="7340" w:type="dxa"/>
            <w:vAlign w:val="bottom"/>
            <w:tcBorders>
              <w:bottom w:val="single" w:sz="8" w:color="00AAC6"/>
            </w:tcBorders>
          </w:tcPr>
          <w:p>
            <w:pPr>
              <w:spacing w:after="0"/>
              <w:rPr>
                <w:sz w:val="20"/>
                <w:szCs w:val="20"/>
                <w:color w:val="auto"/>
              </w:rPr>
            </w:pPr>
            <w:r>
              <w:rPr>
                <w:rFonts w:ascii="Arial" w:cs="Arial" w:eastAsia="Arial" w:hAnsi="Arial"/>
                <w:sz w:val="8"/>
                <w:szCs w:val="8"/>
                <w:b w:val="1"/>
                <w:bCs w:val="1"/>
                <w:color w:val="auto"/>
              </w:rPr>
              <w:t>Location</w:t>
            </w:r>
          </w:p>
        </w:tc>
        <w:tc>
          <w:tcPr>
            <w:tcW w:w="1780" w:type="dxa"/>
            <w:vAlign w:val="bottom"/>
            <w:tcBorders>
              <w:bottom w:val="single" w:sz="8" w:color="00AAC6"/>
            </w:tcBorders>
          </w:tcPr>
          <w:p>
            <w:pPr>
              <w:jc w:val="right"/>
              <w:spacing w:after="0"/>
              <w:rPr>
                <w:sz w:val="20"/>
                <w:szCs w:val="20"/>
                <w:color w:val="auto"/>
              </w:rPr>
            </w:pPr>
            <w:r>
              <w:rPr>
                <w:rFonts w:ascii="Arial" w:cs="Arial" w:eastAsia="Arial" w:hAnsi="Arial"/>
                <w:sz w:val="8"/>
                <w:szCs w:val="8"/>
                <w:b w:val="1"/>
                <w:bCs w:val="1"/>
                <w:color w:val="auto"/>
              </w:rPr>
              <w:t>Number of Plants</w:t>
            </w:r>
          </w:p>
        </w:tc>
      </w:tr>
      <w:tr>
        <w:trPr>
          <w:trHeight w:val="131"/>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AAC6"/>
              </w:rPr>
              <w:t>Central Texas</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w:t>
            </w:r>
          </w:p>
        </w:tc>
      </w:tr>
      <w:tr>
        <w:trPr>
          <w:trHeight w:val="133"/>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AAC6"/>
              </w:rPr>
              <w:t>Kansas City Area</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w:t>
            </w:r>
          </w:p>
        </w:tc>
      </w:tr>
      <w:tr>
        <w:trPr>
          <w:trHeight w:val="133"/>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AAC6"/>
              </w:rPr>
              <w:t>Northern Nevada</w:t>
            </w:r>
          </w:p>
        </w:tc>
        <w:tc>
          <w:tcPr>
            <w:tcW w:w="1780" w:type="dxa"/>
            <w:vAlign w:val="bottom"/>
            <w:tcBorders>
              <w:bottom w:val="single" w:sz="8" w:color="00AAC6"/>
            </w:tcBorders>
          </w:tcPr>
          <w:p>
            <w:pPr>
              <w:jc w:val="right"/>
              <w:spacing w:after="0"/>
              <w:rPr>
                <w:sz w:val="20"/>
                <w:szCs w:val="20"/>
                <w:color w:val="auto"/>
              </w:rPr>
            </w:pPr>
            <w:r>
              <w:rPr>
                <w:rFonts w:ascii="Arial" w:cs="Arial" w:eastAsia="Arial" w:hAnsi="Arial"/>
                <w:sz w:val="11"/>
                <w:szCs w:val="11"/>
                <w:color w:val="auto"/>
              </w:rPr>
              <w:t>8</w:t>
            </w:r>
          </w:p>
        </w:tc>
      </w:tr>
      <w:tr>
        <w:trPr>
          <w:trHeight w:val="142"/>
        </w:trPr>
        <w:tc>
          <w:tcPr>
            <w:tcW w:w="734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Total</w:t>
            </w:r>
          </w:p>
        </w:tc>
        <w:tc>
          <w:tcPr>
            <w:tcW w:w="1780" w:type="dxa"/>
            <w:vAlign w:val="bottom"/>
            <w:tcBorders>
              <w:bottom w:val="single" w:sz="8" w:color="00AAC6"/>
            </w:tcBorders>
          </w:tcPr>
          <w:p>
            <w:pPr>
              <w:jc w:val="right"/>
              <w:spacing w:after="0"/>
              <w:rPr>
                <w:sz w:val="20"/>
                <w:szCs w:val="20"/>
                <w:color w:val="auto"/>
              </w:rPr>
            </w:pPr>
            <w:r>
              <w:rPr>
                <w:rFonts w:ascii="Arial" w:cs="Arial" w:eastAsia="Arial" w:hAnsi="Arial"/>
                <w:sz w:val="11"/>
                <w:szCs w:val="11"/>
                <w:b w:val="1"/>
                <w:bCs w:val="1"/>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-10795</wp:posOffset>
            </wp:positionV>
            <wp:extent cx="1143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-113665</wp:posOffset>
            </wp:positionV>
            <wp:extent cx="1143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120"/>
        <w:spacing w:after="0"/>
        <w:rPr>
          <w:sz w:val="20"/>
          <w:szCs w:val="20"/>
          <w:color w:val="auto"/>
        </w:rPr>
      </w:pPr>
      <w:r>
        <w:rPr>
          <w:rFonts w:ascii="Arial" w:cs="Arial" w:eastAsia="Arial" w:hAnsi="Arial"/>
          <w:sz w:val="7"/>
          <w:szCs w:val="7"/>
          <w:b w:val="1"/>
          <w:bCs w:val="1"/>
          <w:color w:val="auto"/>
        </w:rPr>
        <w:t>Number of 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12700</wp:posOffset>
            </wp:positionV>
            <wp:extent cx="124587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5870" cy="5715"/>
                    </a:xfrm>
                    <a:prstGeom prst="rect">
                      <a:avLst/>
                    </a:prstGeom>
                    <a:noFill/>
                  </pic:spPr>
                </pic:pic>
              </a:graphicData>
            </a:graphic>
          </wp:anchor>
        </w:drawing>
      </w:r>
    </w:p>
    <w:p>
      <w:pPr>
        <w:spacing w:after="0" w:line="13"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8890</wp:posOffset>
            </wp:positionV>
            <wp:extent cx="12458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587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8890</wp:posOffset>
            </wp:positionV>
            <wp:extent cx="124587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587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8890</wp:posOffset>
            </wp:positionV>
            <wp:extent cx="11315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1570" cy="5715"/>
                    </a:xfrm>
                    <a:prstGeom prst="rect">
                      <a:avLst/>
                    </a:prstGeom>
                    <a:noFill/>
                  </pic:spPr>
                </pic:pic>
              </a:graphicData>
            </a:graphic>
          </wp:anchor>
        </w:drawing>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11430</wp:posOffset>
            </wp:positionV>
            <wp:extent cx="113157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1570" cy="571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22860</wp:posOffset>
            </wp:positionV>
            <wp:extent cx="11315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571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9808" w:space="720"/>
            <w:col w:w="780"/>
          </w:cols>
          <w:pgMar w:left="292" w:top="440" w:right="299" w:bottom="1440" w:gutter="0" w:footer="0" w:header="0"/>
          <w:type w:val="continuous"/>
        </w:sectPr>
      </w:pPr>
    </w:p>
    <w:p>
      <w:pPr>
        <w:ind w:left="8" w:right="260"/>
        <w:spacing w:after="0" w:line="277" w:lineRule="auto"/>
        <w:rPr>
          <w:sz w:val="20"/>
          <w:szCs w:val="20"/>
          <w:color w:val="auto"/>
        </w:rPr>
      </w:pPr>
      <w:r>
        <w:rPr>
          <w:rFonts w:ascii="Arial" w:cs="Arial" w:eastAsia="Arial" w:hAnsi="Arial"/>
          <w:sz w:val="12"/>
          <w:szCs w:val="12"/>
          <w:color w:val="auto"/>
        </w:rPr>
        <w:t>We conduct aggregate operations near our concrete facilities. Aggregates are obtained principally by mining and extracting from quarries owned or leased by the Company. The following table sets forth certain information regarding these aggregate facilities:</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tcPr>
          <w:p>
            <w:pPr>
              <w:jc w:val="right"/>
              <w:ind w:right="333"/>
              <w:spacing w:after="0"/>
              <w:rPr>
                <w:sz w:val="20"/>
                <w:szCs w:val="20"/>
                <w:color w:val="auto"/>
              </w:rPr>
            </w:pPr>
            <w:r>
              <w:rPr>
                <w:rFonts w:ascii="Arial" w:cs="Arial" w:eastAsia="Arial" w:hAnsi="Arial"/>
                <w:sz w:val="8"/>
                <w:szCs w:val="8"/>
                <w:b w:val="1"/>
                <w:bCs w:val="1"/>
                <w:color w:val="auto"/>
              </w:rPr>
              <w:t>Estimated Annual</w:t>
            </w:r>
          </w:p>
        </w:tc>
        <w:tc>
          <w:tcPr>
            <w:tcW w:w="1340" w:type="dxa"/>
            <w:vAlign w:val="bottom"/>
          </w:tcPr>
          <w:p>
            <w:pPr>
              <w:spacing w:after="0"/>
              <w:rPr>
                <w:sz w:val="7"/>
                <w:szCs w:val="7"/>
                <w:color w:val="auto"/>
              </w:rPr>
            </w:pPr>
          </w:p>
        </w:tc>
        <w:tc>
          <w:tcPr>
            <w:tcW w:w="1180" w:type="dxa"/>
            <w:vAlign w:val="bottom"/>
          </w:tcPr>
          <w:p>
            <w:pPr>
              <w:jc w:val="right"/>
              <w:ind w:right="11"/>
              <w:spacing w:after="0"/>
              <w:rPr>
                <w:sz w:val="20"/>
                <w:szCs w:val="20"/>
                <w:color w:val="auto"/>
              </w:rPr>
            </w:pPr>
            <w:r>
              <w:rPr>
                <w:rFonts w:ascii="Arial" w:cs="Arial" w:eastAsia="Arial" w:hAnsi="Arial"/>
                <w:sz w:val="8"/>
                <w:szCs w:val="8"/>
                <w:b w:val="1"/>
                <w:bCs w:val="1"/>
                <w:color w:val="auto"/>
              </w:rPr>
              <w:t>Estimated Minimum</w:t>
            </w: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80" w:type="dxa"/>
            <w:vAlign w:val="bottom"/>
          </w:tcPr>
          <w:p>
            <w:pPr>
              <w:jc w:val="right"/>
              <w:ind w:right="52"/>
              <w:spacing w:after="0"/>
              <w:rPr>
                <w:sz w:val="20"/>
                <w:szCs w:val="20"/>
                <w:color w:val="auto"/>
              </w:rPr>
            </w:pPr>
            <w:r>
              <w:rPr>
                <w:rFonts w:ascii="Arial" w:cs="Arial" w:eastAsia="Arial" w:hAnsi="Arial"/>
                <w:sz w:val="8"/>
                <w:szCs w:val="8"/>
                <w:b w:val="1"/>
                <w:bCs w:val="1"/>
                <w:color w:val="auto"/>
              </w:rPr>
              <w:t>Fiscal 2021</w:t>
            </w:r>
          </w:p>
        </w:tc>
      </w:tr>
      <w:tr>
        <w:trPr>
          <w:trHeight w:val="90"/>
        </w:trPr>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Pr>
          <w:p>
            <w:pPr>
              <w:spacing w:after="0" w:line="90" w:lineRule="exact"/>
              <w:rPr>
                <w:sz w:val="20"/>
                <w:szCs w:val="20"/>
                <w:color w:val="auto"/>
              </w:rPr>
            </w:pPr>
            <w:r>
              <w:rPr>
                <w:rFonts w:ascii="Arial" w:cs="Arial" w:eastAsia="Arial" w:hAnsi="Arial"/>
                <w:sz w:val="8"/>
                <w:szCs w:val="8"/>
                <w:b w:val="1"/>
                <w:bCs w:val="1"/>
                <w:color w:val="auto"/>
              </w:rPr>
              <w:t>Types</w:t>
            </w:r>
          </w:p>
        </w:tc>
        <w:tc>
          <w:tcPr>
            <w:tcW w:w="1740" w:type="dxa"/>
            <w:vAlign w:val="bottom"/>
          </w:tcPr>
          <w:p>
            <w:pPr>
              <w:jc w:val="right"/>
              <w:ind w:right="333"/>
              <w:spacing w:after="0" w:line="90" w:lineRule="exact"/>
              <w:rPr>
                <w:sz w:val="20"/>
                <w:szCs w:val="20"/>
                <w:color w:val="auto"/>
              </w:rPr>
            </w:pPr>
            <w:r>
              <w:rPr>
                <w:rFonts w:ascii="Arial" w:cs="Arial" w:eastAsia="Arial" w:hAnsi="Arial"/>
                <w:sz w:val="8"/>
                <w:szCs w:val="8"/>
                <w:b w:val="1"/>
                <w:bCs w:val="1"/>
                <w:color w:val="auto"/>
              </w:rPr>
              <w:t>Production Capacity</w:t>
            </w:r>
          </w:p>
        </w:tc>
        <w:tc>
          <w:tcPr>
            <w:tcW w:w="1340" w:type="dxa"/>
            <w:vAlign w:val="bottom"/>
          </w:tcPr>
          <w:p>
            <w:pPr>
              <w:spacing w:after="0"/>
              <w:rPr>
                <w:sz w:val="7"/>
                <w:szCs w:val="7"/>
                <w:color w:val="auto"/>
              </w:rPr>
            </w:pPr>
          </w:p>
        </w:tc>
        <w:tc>
          <w:tcPr>
            <w:tcW w:w="1180" w:type="dxa"/>
            <w:vAlign w:val="bottom"/>
          </w:tcPr>
          <w:p>
            <w:pPr>
              <w:jc w:val="right"/>
              <w:ind w:right="11"/>
              <w:spacing w:after="0" w:line="90" w:lineRule="exact"/>
              <w:rPr>
                <w:sz w:val="20"/>
                <w:szCs w:val="20"/>
                <w:color w:val="auto"/>
              </w:rPr>
            </w:pPr>
            <w:r>
              <w:rPr>
                <w:rFonts w:ascii="Arial" w:cs="Arial" w:eastAsia="Arial" w:hAnsi="Arial"/>
                <w:sz w:val="8"/>
                <w:szCs w:val="8"/>
                <w:b w:val="1"/>
                <w:bCs w:val="1"/>
                <w:color w:val="auto"/>
              </w:rPr>
              <w:t>Reserves</w:t>
            </w:r>
          </w:p>
        </w:tc>
        <w:tc>
          <w:tcPr>
            <w:tcW w:w="500" w:type="dxa"/>
            <w:vAlign w:val="bottom"/>
          </w:tcPr>
          <w:p>
            <w:pPr>
              <w:spacing w:after="0"/>
              <w:rPr>
                <w:sz w:val="7"/>
                <w:szCs w:val="7"/>
                <w:color w:val="auto"/>
              </w:rPr>
            </w:pPr>
          </w:p>
        </w:tc>
        <w:tc>
          <w:tcPr>
            <w:tcW w:w="1580" w:type="dxa"/>
            <w:vAlign w:val="bottom"/>
          </w:tcPr>
          <w:p>
            <w:pPr>
              <w:jc w:val="right"/>
              <w:ind w:right="431"/>
              <w:spacing w:after="0" w:line="90" w:lineRule="exact"/>
              <w:rPr>
                <w:sz w:val="20"/>
                <w:szCs w:val="20"/>
                <w:color w:val="auto"/>
              </w:rPr>
            </w:pPr>
            <w:r>
              <w:rPr>
                <w:rFonts w:ascii="Arial" w:cs="Arial" w:eastAsia="Arial" w:hAnsi="Arial"/>
                <w:sz w:val="8"/>
                <w:szCs w:val="8"/>
                <w:b w:val="1"/>
                <w:bCs w:val="1"/>
                <w:color w:val="auto"/>
              </w:rPr>
              <w:t>Estimated Minimum</w:t>
            </w:r>
          </w:p>
        </w:tc>
        <w:tc>
          <w:tcPr>
            <w:tcW w:w="1080" w:type="dxa"/>
            <w:vAlign w:val="bottom"/>
          </w:tcPr>
          <w:p>
            <w:pPr>
              <w:jc w:val="right"/>
              <w:ind w:right="52"/>
              <w:spacing w:after="0" w:line="90" w:lineRule="exact"/>
              <w:rPr>
                <w:sz w:val="20"/>
                <w:szCs w:val="20"/>
                <w:color w:val="auto"/>
              </w:rPr>
            </w:pPr>
            <w:r>
              <w:rPr>
                <w:rFonts w:ascii="Arial" w:cs="Arial" w:eastAsia="Arial" w:hAnsi="Arial"/>
                <w:sz w:val="8"/>
                <w:szCs w:val="8"/>
                <w:b w:val="1"/>
                <w:bCs w:val="1"/>
                <w:color w:val="auto"/>
              </w:rPr>
              <w:t>Tons Mined</w:t>
            </w:r>
          </w:p>
        </w:tc>
      </w:tr>
      <w:tr>
        <w:trPr>
          <w:trHeight w:val="101"/>
        </w:trPr>
        <w:tc>
          <w:tcPr>
            <w:tcW w:w="2300" w:type="dxa"/>
            <w:vAlign w:val="bottom"/>
            <w:gridSpan w:val="2"/>
          </w:tcPr>
          <w:p>
            <w:pPr>
              <w:spacing w:after="0"/>
              <w:rPr>
                <w:sz w:val="20"/>
                <w:szCs w:val="20"/>
                <w:color w:val="auto"/>
              </w:rPr>
            </w:pPr>
            <w:r>
              <w:rPr>
                <w:rFonts w:ascii="Arial" w:cs="Arial" w:eastAsia="Arial" w:hAnsi="Arial"/>
                <w:sz w:val="8"/>
                <w:szCs w:val="8"/>
                <w:b w:val="1"/>
                <w:bCs w:val="1"/>
                <w:color w:val="auto"/>
              </w:rPr>
              <w:t>Location</w:t>
            </w:r>
          </w:p>
        </w:tc>
        <w:tc>
          <w:tcPr>
            <w:tcW w:w="1580" w:type="dxa"/>
            <w:vAlign w:val="bottom"/>
          </w:tcPr>
          <w:p>
            <w:pPr>
              <w:spacing w:after="0"/>
              <w:rPr>
                <w:sz w:val="20"/>
                <w:szCs w:val="20"/>
                <w:color w:val="auto"/>
              </w:rPr>
            </w:pPr>
            <w:r>
              <w:rPr>
                <w:rFonts w:ascii="Arial" w:cs="Arial" w:eastAsia="Arial" w:hAnsi="Arial"/>
                <w:sz w:val="8"/>
                <w:szCs w:val="8"/>
                <w:b w:val="1"/>
                <w:bCs w:val="1"/>
                <w:color w:val="auto"/>
              </w:rPr>
              <w:t>of Aggregates</w:t>
            </w:r>
          </w:p>
        </w:tc>
        <w:tc>
          <w:tcPr>
            <w:tcW w:w="1740" w:type="dxa"/>
            <w:vAlign w:val="bottom"/>
          </w:tcPr>
          <w:p>
            <w:pPr>
              <w:jc w:val="right"/>
              <w:ind w:right="333"/>
              <w:spacing w:after="0"/>
              <w:rPr>
                <w:sz w:val="20"/>
                <w:szCs w:val="20"/>
                <w:color w:val="auto"/>
              </w:rPr>
            </w:pPr>
            <w:r>
              <w:rPr>
                <w:rFonts w:ascii="Arial" w:cs="Arial" w:eastAsia="Arial" w:hAnsi="Arial"/>
                <w:sz w:val="8"/>
                <w:szCs w:val="8"/>
                <w:b w:val="1"/>
                <w:bCs w:val="1"/>
                <w:color w:val="auto"/>
              </w:rPr>
              <w:t>(Thousand tons)</w:t>
            </w:r>
          </w:p>
        </w:tc>
        <w:tc>
          <w:tcPr>
            <w:tcW w:w="1340" w:type="dxa"/>
            <w:vAlign w:val="bottom"/>
          </w:tcPr>
          <w:p>
            <w:pPr>
              <w:jc w:val="right"/>
              <w:ind w:right="308"/>
              <w:spacing w:after="0"/>
              <w:rPr>
                <w:sz w:val="20"/>
                <w:szCs w:val="20"/>
                <w:color w:val="auto"/>
              </w:rPr>
            </w:pPr>
            <w:r>
              <w:rPr>
                <w:rFonts w:ascii="Arial" w:cs="Arial" w:eastAsia="Arial" w:hAnsi="Arial"/>
                <w:sz w:val="8"/>
                <w:szCs w:val="8"/>
                <w:b w:val="1"/>
                <w:bCs w:val="1"/>
                <w:color w:val="auto"/>
              </w:rPr>
              <w:t>Owned or Leased</w:t>
            </w:r>
          </w:p>
        </w:tc>
        <w:tc>
          <w:tcPr>
            <w:tcW w:w="1180" w:type="dxa"/>
            <w:vAlign w:val="bottom"/>
          </w:tcPr>
          <w:p>
            <w:pPr>
              <w:jc w:val="right"/>
              <w:ind w:right="11"/>
              <w:spacing w:after="0"/>
              <w:rPr>
                <w:sz w:val="20"/>
                <w:szCs w:val="20"/>
                <w:color w:val="auto"/>
              </w:rPr>
            </w:pPr>
            <w:r>
              <w:rPr>
                <w:rFonts w:ascii="Arial" w:cs="Arial" w:eastAsia="Arial" w:hAnsi="Arial"/>
                <w:sz w:val="8"/>
                <w:szCs w:val="8"/>
                <w:b w:val="1"/>
                <w:bCs w:val="1"/>
                <w:color w:val="auto"/>
              </w:rPr>
              <w:t xml:space="preserve">(Thousand Tons) </w:t>
            </w:r>
            <w:r>
              <w:rPr>
                <w:rFonts w:ascii="Arial" w:cs="Arial" w:eastAsia="Arial" w:hAnsi="Arial"/>
                <w:sz w:val="7"/>
                <w:szCs w:val="7"/>
                <w:b w:val="1"/>
                <w:bCs w:val="1"/>
                <w:color w:val="auto"/>
              </w:rPr>
              <w:t>(1)</w:t>
            </w:r>
          </w:p>
        </w:tc>
        <w:tc>
          <w:tcPr>
            <w:tcW w:w="500" w:type="dxa"/>
            <w:vAlign w:val="bottom"/>
          </w:tcPr>
          <w:p>
            <w:pPr>
              <w:spacing w:after="0"/>
              <w:rPr>
                <w:sz w:val="8"/>
                <w:szCs w:val="8"/>
                <w:color w:val="auto"/>
              </w:rPr>
            </w:pPr>
          </w:p>
        </w:tc>
        <w:tc>
          <w:tcPr>
            <w:tcW w:w="1580" w:type="dxa"/>
            <w:vAlign w:val="bottom"/>
          </w:tcPr>
          <w:p>
            <w:pPr>
              <w:jc w:val="right"/>
              <w:ind w:right="431"/>
              <w:spacing w:after="0"/>
              <w:rPr>
                <w:sz w:val="20"/>
                <w:szCs w:val="20"/>
                <w:color w:val="auto"/>
              </w:rPr>
            </w:pPr>
            <w:r>
              <w:rPr>
                <w:rFonts w:ascii="Arial" w:cs="Arial" w:eastAsia="Arial" w:hAnsi="Arial"/>
                <w:sz w:val="8"/>
                <w:szCs w:val="8"/>
                <w:b w:val="1"/>
                <w:bCs w:val="1"/>
                <w:color w:val="auto"/>
              </w:rPr>
              <w:t>Reserves (Years)</w:t>
            </w:r>
          </w:p>
        </w:tc>
        <w:tc>
          <w:tcPr>
            <w:tcW w:w="1080" w:type="dxa"/>
            <w:vAlign w:val="bottom"/>
          </w:tcPr>
          <w:p>
            <w:pPr>
              <w:jc w:val="right"/>
              <w:ind w:right="52"/>
              <w:spacing w:after="0"/>
              <w:rPr>
                <w:sz w:val="20"/>
                <w:szCs w:val="20"/>
                <w:color w:val="auto"/>
              </w:rPr>
            </w:pPr>
            <w:r>
              <w:rPr>
                <w:rFonts w:ascii="Arial" w:cs="Arial" w:eastAsia="Arial" w:hAnsi="Arial"/>
                <w:sz w:val="8"/>
                <w:szCs w:val="8"/>
                <w:b w:val="1"/>
                <w:bCs w:val="1"/>
                <w:color w:val="auto"/>
              </w:rPr>
              <w:t>(Thousand Tons)</w:t>
            </w:r>
          </w:p>
        </w:tc>
      </w:tr>
      <w:tr>
        <w:trPr>
          <w:trHeight w:val="131"/>
        </w:trPr>
        <w:tc>
          <w:tcPr>
            <w:tcW w:w="2160" w:type="dxa"/>
            <w:vAlign w:val="bottom"/>
            <w:tcBorders>
              <w:top w:val="single" w:sz="8" w:color="00AAC6"/>
            </w:tcBorders>
          </w:tcPr>
          <w:p>
            <w:pPr>
              <w:spacing w:after="0"/>
              <w:rPr>
                <w:sz w:val="20"/>
                <w:szCs w:val="20"/>
                <w:color w:val="auto"/>
              </w:rPr>
            </w:pPr>
            <w:r>
              <w:rPr>
                <w:rFonts w:ascii="Arial" w:cs="Arial" w:eastAsia="Arial" w:hAnsi="Arial"/>
                <w:sz w:val="11"/>
                <w:szCs w:val="11"/>
                <w:b w:val="1"/>
                <w:bCs w:val="1"/>
                <w:color w:val="00AAC6"/>
              </w:rPr>
              <w:t>Central Texas</w:t>
            </w:r>
          </w:p>
        </w:tc>
        <w:tc>
          <w:tcPr>
            <w:tcW w:w="140" w:type="dxa"/>
            <w:vAlign w:val="bottom"/>
          </w:tcPr>
          <w:p>
            <w:pPr>
              <w:spacing w:after="0"/>
              <w:rPr>
                <w:sz w:val="11"/>
                <w:szCs w:val="11"/>
                <w:color w:val="auto"/>
              </w:rPr>
            </w:pPr>
          </w:p>
        </w:tc>
        <w:tc>
          <w:tcPr>
            <w:tcW w:w="1580" w:type="dxa"/>
            <w:vAlign w:val="bottom"/>
            <w:tcBorders>
              <w:top w:val="single" w:sz="8" w:color="00AAC6"/>
              <w:bottom w:val="single" w:sz="8" w:color="A6A6A6"/>
            </w:tcBorders>
          </w:tcPr>
          <w:p>
            <w:pPr>
              <w:spacing w:after="0"/>
              <w:rPr>
                <w:sz w:val="20"/>
                <w:szCs w:val="20"/>
                <w:color w:val="auto"/>
              </w:rPr>
            </w:pPr>
            <w:r>
              <w:rPr>
                <w:rFonts w:ascii="Arial" w:cs="Arial" w:eastAsia="Arial" w:hAnsi="Arial"/>
                <w:sz w:val="11"/>
                <w:szCs w:val="11"/>
                <w:color w:val="auto"/>
              </w:rPr>
              <w:t>Limestone and Gravel</w:t>
            </w:r>
          </w:p>
        </w:tc>
        <w:tc>
          <w:tcPr>
            <w:tcW w:w="1740" w:type="dxa"/>
            <w:vAlign w:val="bottom"/>
            <w:tcBorders>
              <w:top w:val="single" w:sz="8" w:color="00AAC6"/>
              <w:bottom w:val="single" w:sz="8" w:color="A6A6A6"/>
            </w:tcBorders>
          </w:tcPr>
          <w:p>
            <w:pPr>
              <w:jc w:val="right"/>
              <w:ind w:right="333"/>
              <w:spacing w:after="0"/>
              <w:rPr>
                <w:sz w:val="20"/>
                <w:szCs w:val="20"/>
                <w:color w:val="auto"/>
              </w:rPr>
            </w:pPr>
            <w:r>
              <w:rPr>
                <w:rFonts w:ascii="Arial" w:cs="Arial" w:eastAsia="Arial" w:hAnsi="Arial"/>
                <w:sz w:val="11"/>
                <w:szCs w:val="11"/>
                <w:color w:val="auto"/>
              </w:rPr>
              <w:t>2,500</w:t>
            </w:r>
          </w:p>
        </w:tc>
        <w:tc>
          <w:tcPr>
            <w:tcW w:w="1340" w:type="dxa"/>
            <w:vAlign w:val="bottom"/>
            <w:tcBorders>
              <w:top w:val="single" w:sz="8" w:color="00AAC6"/>
              <w:bottom w:val="single" w:sz="8" w:color="A6A6A6"/>
            </w:tcBorders>
          </w:tcPr>
          <w:p>
            <w:pPr>
              <w:jc w:val="right"/>
              <w:ind w:right="308"/>
              <w:spacing w:after="0"/>
              <w:rPr>
                <w:sz w:val="20"/>
                <w:szCs w:val="20"/>
                <w:color w:val="auto"/>
              </w:rPr>
            </w:pPr>
            <w:r>
              <w:rPr>
                <w:rFonts w:ascii="Arial" w:cs="Arial" w:eastAsia="Arial" w:hAnsi="Arial"/>
                <w:sz w:val="11"/>
                <w:szCs w:val="11"/>
                <w:color w:val="auto"/>
              </w:rPr>
              <w:t>Owned</w:t>
            </w:r>
          </w:p>
        </w:tc>
        <w:tc>
          <w:tcPr>
            <w:tcW w:w="1180" w:type="dxa"/>
            <w:vAlign w:val="bottom"/>
            <w:tcBorders>
              <w:top w:val="single" w:sz="8" w:color="00AAC6"/>
              <w:bottom w:val="single" w:sz="8" w:color="A6A6A6"/>
            </w:tcBorders>
          </w:tcPr>
          <w:p>
            <w:pPr>
              <w:jc w:val="right"/>
              <w:ind w:right="11"/>
              <w:spacing w:after="0"/>
              <w:rPr>
                <w:sz w:val="20"/>
                <w:szCs w:val="20"/>
                <w:color w:val="auto"/>
              </w:rPr>
            </w:pPr>
            <w:r>
              <w:rPr>
                <w:rFonts w:ascii="Arial" w:cs="Arial" w:eastAsia="Arial" w:hAnsi="Arial"/>
                <w:sz w:val="11"/>
                <w:szCs w:val="11"/>
                <w:color w:val="auto"/>
              </w:rPr>
              <w:t>4,300</w:t>
            </w:r>
          </w:p>
        </w:tc>
        <w:tc>
          <w:tcPr>
            <w:tcW w:w="500" w:type="dxa"/>
            <w:vAlign w:val="bottom"/>
            <w:tcBorders>
              <w:top w:val="single" w:sz="8" w:color="00AAC6"/>
              <w:bottom w:val="single" w:sz="8" w:color="A6A6A6"/>
            </w:tcBorders>
          </w:tcPr>
          <w:p>
            <w:pPr>
              <w:spacing w:after="0"/>
              <w:rPr>
                <w:sz w:val="11"/>
                <w:szCs w:val="11"/>
                <w:color w:val="auto"/>
              </w:rPr>
            </w:pPr>
          </w:p>
        </w:tc>
        <w:tc>
          <w:tcPr>
            <w:tcW w:w="1580" w:type="dxa"/>
            <w:vAlign w:val="bottom"/>
            <w:tcBorders>
              <w:top w:val="single" w:sz="8" w:color="00AAC6"/>
              <w:bottom w:val="single" w:sz="8" w:color="A6A6A6"/>
            </w:tcBorders>
          </w:tcPr>
          <w:p>
            <w:pPr>
              <w:jc w:val="right"/>
              <w:ind w:right="431"/>
              <w:spacing w:after="0"/>
              <w:rPr>
                <w:sz w:val="20"/>
                <w:szCs w:val="20"/>
                <w:color w:val="auto"/>
              </w:rPr>
            </w:pPr>
            <w:r>
              <w:rPr>
                <w:rFonts w:ascii="Arial" w:cs="Arial" w:eastAsia="Arial" w:hAnsi="Arial"/>
                <w:sz w:val="11"/>
                <w:szCs w:val="11"/>
                <w:color w:val="auto"/>
              </w:rPr>
              <w:t>25+</w:t>
            </w:r>
          </w:p>
        </w:tc>
        <w:tc>
          <w:tcPr>
            <w:tcW w:w="1080" w:type="dxa"/>
            <w:vAlign w:val="bottom"/>
            <w:tcBorders>
              <w:top w:val="single" w:sz="8" w:color="00AAC6"/>
              <w:bottom w:val="single" w:sz="8" w:color="A6A6A6"/>
            </w:tcBorders>
          </w:tcPr>
          <w:p>
            <w:pPr>
              <w:jc w:val="right"/>
              <w:ind w:right="52"/>
              <w:spacing w:after="0"/>
              <w:rPr>
                <w:sz w:val="20"/>
                <w:szCs w:val="20"/>
                <w:color w:val="auto"/>
              </w:rPr>
            </w:pPr>
            <w:r>
              <w:rPr>
                <w:rFonts w:ascii="Arial" w:cs="Arial" w:eastAsia="Arial" w:hAnsi="Arial"/>
                <w:sz w:val="11"/>
                <w:szCs w:val="11"/>
                <w:color w:val="auto"/>
              </w:rPr>
              <w:t>1,860</w:t>
            </w:r>
          </w:p>
        </w:tc>
      </w:tr>
      <w:tr>
        <w:trPr>
          <w:trHeight w:val="133"/>
        </w:trPr>
        <w:tc>
          <w:tcPr>
            <w:tcW w:w="216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580" w:type="dxa"/>
            <w:vAlign w:val="bottom"/>
            <w:tcBorders>
              <w:bottom w:val="single" w:sz="8" w:color="A6A6A6"/>
            </w:tcBorders>
          </w:tcPr>
          <w:p>
            <w:pPr>
              <w:spacing w:after="0"/>
              <w:rPr>
                <w:sz w:val="11"/>
                <w:szCs w:val="11"/>
                <w:color w:val="auto"/>
              </w:rPr>
            </w:pPr>
          </w:p>
        </w:tc>
        <w:tc>
          <w:tcPr>
            <w:tcW w:w="174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308"/>
              <w:spacing w:after="0"/>
              <w:rPr>
                <w:sz w:val="20"/>
                <w:szCs w:val="20"/>
                <w:color w:val="auto"/>
              </w:rPr>
            </w:pPr>
            <w:r>
              <w:rPr>
                <w:rFonts w:ascii="Arial" w:cs="Arial" w:eastAsia="Arial" w:hAnsi="Arial"/>
                <w:sz w:val="11"/>
                <w:szCs w:val="11"/>
                <w:color w:val="auto"/>
              </w:rPr>
              <w:t>Leased</w:t>
            </w:r>
          </w:p>
        </w:tc>
        <w:tc>
          <w:tcPr>
            <w:tcW w:w="1180" w:type="dxa"/>
            <w:vAlign w:val="bottom"/>
            <w:tcBorders>
              <w:bottom w:val="single" w:sz="8" w:color="A6A6A6"/>
            </w:tcBorders>
          </w:tcPr>
          <w:p>
            <w:pPr>
              <w:jc w:val="right"/>
              <w:ind w:right="11"/>
              <w:spacing w:after="0"/>
              <w:rPr>
                <w:sz w:val="20"/>
                <w:szCs w:val="20"/>
                <w:color w:val="auto"/>
              </w:rPr>
            </w:pPr>
            <w:r>
              <w:rPr>
                <w:rFonts w:ascii="Arial" w:cs="Arial" w:eastAsia="Arial" w:hAnsi="Arial"/>
                <w:sz w:val="11"/>
                <w:szCs w:val="11"/>
                <w:color w:val="auto"/>
              </w:rPr>
              <w:t>61,500</w:t>
            </w:r>
          </w:p>
        </w:tc>
        <w:tc>
          <w:tcPr>
            <w:tcW w:w="500" w:type="dxa"/>
            <w:vAlign w:val="bottom"/>
            <w:tcBorders>
              <w:bottom w:val="single" w:sz="8" w:color="A6A6A6"/>
            </w:tcBorders>
          </w:tcPr>
          <w:p>
            <w:pPr>
              <w:spacing w:after="0"/>
              <w:rPr>
                <w:sz w:val="11"/>
                <w:szCs w:val="11"/>
                <w:color w:val="auto"/>
              </w:rPr>
            </w:pPr>
          </w:p>
        </w:tc>
        <w:tc>
          <w:tcPr>
            <w:tcW w:w="15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r>
      <w:tr>
        <w:trPr>
          <w:trHeight w:val="135"/>
        </w:trPr>
        <w:tc>
          <w:tcPr>
            <w:tcW w:w="23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AAC6"/>
              </w:rPr>
              <w:t>Kansas City Area</w:t>
            </w:r>
          </w:p>
        </w:tc>
        <w:tc>
          <w:tcPr>
            <w:tcW w:w="15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Limestone</w:t>
            </w:r>
          </w:p>
        </w:tc>
        <w:tc>
          <w:tcPr>
            <w:tcW w:w="174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308"/>
              <w:spacing w:after="0"/>
              <w:rPr>
                <w:sz w:val="20"/>
                <w:szCs w:val="20"/>
                <w:color w:val="auto"/>
              </w:rPr>
            </w:pPr>
            <w:r>
              <w:rPr>
                <w:rFonts w:ascii="Arial" w:cs="Arial" w:eastAsia="Arial" w:hAnsi="Arial"/>
                <w:sz w:val="11"/>
                <w:szCs w:val="11"/>
                <w:color w:val="auto"/>
              </w:rPr>
              <w:t>Owned</w:t>
            </w:r>
          </w:p>
        </w:tc>
        <w:tc>
          <w:tcPr>
            <w:tcW w:w="1180" w:type="dxa"/>
            <w:vAlign w:val="bottom"/>
            <w:tcBorders>
              <w:bottom w:val="single" w:sz="8" w:color="A6A6A6"/>
            </w:tcBorders>
          </w:tcPr>
          <w:p>
            <w:pPr>
              <w:jc w:val="right"/>
              <w:ind w:right="11"/>
              <w:spacing w:after="0"/>
              <w:rPr>
                <w:sz w:val="20"/>
                <w:szCs w:val="20"/>
                <w:color w:val="auto"/>
              </w:rPr>
            </w:pPr>
            <w:r>
              <w:rPr>
                <w:rFonts w:ascii="Arial" w:cs="Arial" w:eastAsia="Arial" w:hAnsi="Arial"/>
                <w:sz w:val="11"/>
                <w:szCs w:val="11"/>
                <w:color w:val="auto"/>
              </w:rPr>
              <w:t>25,000</w:t>
            </w:r>
          </w:p>
        </w:tc>
        <w:tc>
          <w:tcPr>
            <w:tcW w:w="500" w:type="dxa"/>
            <w:vAlign w:val="bottom"/>
            <w:tcBorders>
              <w:bottom w:val="single" w:sz="8" w:color="A6A6A6"/>
            </w:tcBorders>
          </w:tcPr>
          <w:p>
            <w:pPr>
              <w:jc w:val="right"/>
              <w:ind w:right="294"/>
              <w:spacing w:after="0"/>
              <w:rPr>
                <w:sz w:val="20"/>
                <w:szCs w:val="20"/>
                <w:color w:val="auto"/>
              </w:rPr>
            </w:pPr>
            <w:r>
              <w:rPr>
                <w:rFonts w:ascii="Arial" w:cs="Arial" w:eastAsia="Arial" w:hAnsi="Arial"/>
                <w:sz w:val="9"/>
                <w:szCs w:val="9"/>
                <w:color w:val="auto"/>
              </w:rPr>
              <w:t>(2)</w:t>
            </w:r>
          </w:p>
        </w:tc>
        <w:tc>
          <w:tcPr>
            <w:tcW w:w="1580" w:type="dxa"/>
            <w:vAlign w:val="bottom"/>
            <w:tcBorders>
              <w:bottom w:val="single" w:sz="8" w:color="A6A6A6"/>
            </w:tcBorders>
          </w:tcPr>
          <w:p>
            <w:pPr>
              <w:jc w:val="right"/>
              <w:ind w:right="331"/>
              <w:spacing w:after="0"/>
              <w:rPr>
                <w:sz w:val="20"/>
                <w:szCs w:val="20"/>
                <w:color w:val="auto"/>
              </w:rPr>
            </w:pPr>
            <w:r>
              <w:rPr>
                <w:rFonts w:ascii="Arial" w:cs="Arial" w:eastAsia="Arial" w:hAnsi="Arial"/>
                <w:sz w:val="11"/>
                <w:szCs w:val="11"/>
                <w:color w:val="auto"/>
              </w:rPr>
              <w:t>n/a</w:t>
            </w:r>
            <w:r>
              <w:rPr>
                <w:rFonts w:ascii="Arial" w:cs="Arial" w:eastAsia="Arial" w:hAnsi="Arial"/>
                <w:sz w:val="9"/>
                <w:szCs w:val="9"/>
                <w:color w:val="auto"/>
              </w:rPr>
              <w:t>(3)</w:t>
            </w:r>
          </w:p>
        </w:tc>
        <w:tc>
          <w:tcPr>
            <w:tcW w:w="1080" w:type="dxa"/>
            <w:vAlign w:val="bottom"/>
            <w:tcBorders>
              <w:bottom w:val="single" w:sz="8" w:color="A6A6A6"/>
            </w:tcBorders>
          </w:tcPr>
          <w:p>
            <w:pPr>
              <w:jc w:val="right"/>
              <w:ind w:right="52"/>
              <w:spacing w:after="0"/>
              <w:rPr>
                <w:sz w:val="20"/>
                <w:szCs w:val="20"/>
                <w:color w:val="auto"/>
              </w:rPr>
            </w:pPr>
            <w:r>
              <w:rPr>
                <w:rFonts w:ascii="Arial" w:cs="Arial" w:eastAsia="Arial" w:hAnsi="Arial"/>
                <w:sz w:val="11"/>
                <w:szCs w:val="11"/>
                <w:color w:val="auto"/>
              </w:rPr>
              <w:t>—</w:t>
            </w:r>
          </w:p>
        </w:tc>
      </w:tr>
      <w:tr>
        <w:trPr>
          <w:trHeight w:val="132"/>
        </w:trPr>
        <w:tc>
          <w:tcPr>
            <w:tcW w:w="2300" w:type="dxa"/>
            <w:vAlign w:val="bottom"/>
            <w:gridSpan w:val="2"/>
          </w:tcPr>
          <w:p>
            <w:pPr>
              <w:spacing w:after="0"/>
              <w:rPr>
                <w:sz w:val="20"/>
                <w:szCs w:val="20"/>
                <w:color w:val="auto"/>
              </w:rPr>
            </w:pPr>
            <w:r>
              <w:rPr>
                <w:rFonts w:ascii="Arial" w:cs="Arial" w:eastAsia="Arial" w:hAnsi="Arial"/>
                <w:sz w:val="11"/>
                <w:szCs w:val="11"/>
                <w:b w:val="1"/>
                <w:bCs w:val="1"/>
                <w:color w:val="00AAC6"/>
              </w:rPr>
              <w:t>Northern Nevada</w:t>
            </w:r>
          </w:p>
        </w:tc>
        <w:tc>
          <w:tcPr>
            <w:tcW w:w="15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Sand and Gravel</w:t>
            </w:r>
          </w:p>
        </w:tc>
        <w:tc>
          <w:tcPr>
            <w:tcW w:w="1740" w:type="dxa"/>
            <w:vAlign w:val="bottom"/>
            <w:tcBorders>
              <w:bottom w:val="single" w:sz="8" w:color="A6A6A6"/>
            </w:tcBorders>
          </w:tcPr>
          <w:p>
            <w:pPr>
              <w:jc w:val="right"/>
              <w:ind w:right="333"/>
              <w:spacing w:after="0"/>
              <w:rPr>
                <w:sz w:val="20"/>
                <w:szCs w:val="20"/>
                <w:color w:val="auto"/>
              </w:rPr>
            </w:pPr>
            <w:r>
              <w:rPr>
                <w:rFonts w:ascii="Arial" w:cs="Arial" w:eastAsia="Arial" w:hAnsi="Arial"/>
                <w:sz w:val="11"/>
                <w:szCs w:val="11"/>
                <w:color w:val="auto"/>
              </w:rPr>
              <w:t>650</w:t>
            </w:r>
          </w:p>
        </w:tc>
        <w:tc>
          <w:tcPr>
            <w:tcW w:w="1340" w:type="dxa"/>
            <w:vAlign w:val="bottom"/>
            <w:tcBorders>
              <w:bottom w:val="single" w:sz="8" w:color="A6A6A6"/>
            </w:tcBorders>
          </w:tcPr>
          <w:p>
            <w:pPr>
              <w:jc w:val="right"/>
              <w:ind w:right="308"/>
              <w:spacing w:after="0"/>
              <w:rPr>
                <w:sz w:val="20"/>
                <w:szCs w:val="20"/>
                <w:color w:val="auto"/>
              </w:rPr>
            </w:pPr>
            <w:r>
              <w:rPr>
                <w:rFonts w:ascii="Arial" w:cs="Arial" w:eastAsia="Arial" w:hAnsi="Arial"/>
                <w:sz w:val="11"/>
                <w:szCs w:val="11"/>
                <w:color w:val="auto"/>
              </w:rPr>
              <w:t>Owned</w:t>
            </w:r>
          </w:p>
        </w:tc>
        <w:tc>
          <w:tcPr>
            <w:tcW w:w="1180" w:type="dxa"/>
            <w:vAlign w:val="bottom"/>
            <w:tcBorders>
              <w:bottom w:val="single" w:sz="8" w:color="A6A6A6"/>
            </w:tcBorders>
          </w:tcPr>
          <w:p>
            <w:pPr>
              <w:jc w:val="right"/>
              <w:ind w:right="11"/>
              <w:spacing w:after="0"/>
              <w:rPr>
                <w:sz w:val="20"/>
                <w:szCs w:val="20"/>
                <w:color w:val="auto"/>
              </w:rPr>
            </w:pPr>
            <w:r>
              <w:rPr>
                <w:rFonts w:ascii="Arial" w:cs="Arial" w:eastAsia="Arial" w:hAnsi="Arial"/>
                <w:sz w:val="11"/>
                <w:szCs w:val="11"/>
                <w:color w:val="auto"/>
              </w:rPr>
              <w:t>20,000</w:t>
            </w:r>
          </w:p>
        </w:tc>
        <w:tc>
          <w:tcPr>
            <w:tcW w:w="500" w:type="dxa"/>
            <w:vAlign w:val="bottom"/>
            <w:tcBorders>
              <w:bottom w:val="single" w:sz="8" w:color="A6A6A6"/>
            </w:tcBorders>
          </w:tcPr>
          <w:p>
            <w:pPr>
              <w:spacing w:after="0"/>
              <w:rPr>
                <w:sz w:val="11"/>
                <w:szCs w:val="11"/>
                <w:color w:val="auto"/>
              </w:rPr>
            </w:pPr>
          </w:p>
        </w:tc>
        <w:tc>
          <w:tcPr>
            <w:tcW w:w="1580" w:type="dxa"/>
            <w:vAlign w:val="bottom"/>
            <w:tcBorders>
              <w:bottom w:val="single" w:sz="8" w:color="A6A6A6"/>
            </w:tcBorders>
          </w:tcPr>
          <w:p>
            <w:pPr>
              <w:jc w:val="right"/>
              <w:ind w:right="431"/>
              <w:spacing w:after="0"/>
              <w:rPr>
                <w:sz w:val="20"/>
                <w:szCs w:val="20"/>
                <w:color w:val="auto"/>
              </w:rPr>
            </w:pPr>
            <w:r>
              <w:rPr>
                <w:rFonts w:ascii="Arial" w:cs="Arial" w:eastAsia="Arial" w:hAnsi="Arial"/>
                <w:sz w:val="11"/>
                <w:szCs w:val="11"/>
                <w:color w:val="auto"/>
              </w:rPr>
              <w:t>50+</w:t>
            </w:r>
          </w:p>
        </w:tc>
        <w:tc>
          <w:tcPr>
            <w:tcW w:w="1080" w:type="dxa"/>
            <w:vAlign w:val="bottom"/>
            <w:tcBorders>
              <w:bottom w:val="single" w:sz="8" w:color="A6A6A6"/>
            </w:tcBorders>
          </w:tcPr>
          <w:p>
            <w:pPr>
              <w:jc w:val="right"/>
              <w:ind w:right="52"/>
              <w:spacing w:after="0"/>
              <w:rPr>
                <w:sz w:val="20"/>
                <w:szCs w:val="20"/>
                <w:color w:val="auto"/>
              </w:rPr>
            </w:pPr>
            <w:r>
              <w:rPr>
                <w:rFonts w:ascii="Arial" w:cs="Arial" w:eastAsia="Arial" w:hAnsi="Arial"/>
                <w:sz w:val="11"/>
                <w:szCs w:val="11"/>
                <w:color w:val="auto"/>
              </w:rPr>
              <w:t>640</w:t>
            </w:r>
          </w:p>
        </w:tc>
      </w:tr>
      <w:tr>
        <w:trPr>
          <w:trHeight w:val="133"/>
        </w:trPr>
        <w:tc>
          <w:tcPr>
            <w:tcW w:w="216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580" w:type="dxa"/>
            <w:vAlign w:val="bottom"/>
            <w:tcBorders>
              <w:bottom w:val="single" w:sz="8" w:color="A6A6A6"/>
            </w:tcBorders>
          </w:tcPr>
          <w:p>
            <w:pPr>
              <w:spacing w:after="0"/>
              <w:rPr>
                <w:sz w:val="11"/>
                <w:szCs w:val="11"/>
                <w:color w:val="auto"/>
              </w:rPr>
            </w:pPr>
          </w:p>
        </w:tc>
        <w:tc>
          <w:tcPr>
            <w:tcW w:w="174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308"/>
              <w:spacing w:after="0"/>
              <w:rPr>
                <w:sz w:val="20"/>
                <w:szCs w:val="20"/>
                <w:color w:val="auto"/>
              </w:rPr>
            </w:pPr>
            <w:r>
              <w:rPr>
                <w:rFonts w:ascii="Arial" w:cs="Arial" w:eastAsia="Arial" w:hAnsi="Arial"/>
                <w:sz w:val="11"/>
                <w:szCs w:val="11"/>
                <w:color w:val="auto"/>
              </w:rPr>
              <w:t>Leased</w:t>
            </w:r>
          </w:p>
        </w:tc>
        <w:tc>
          <w:tcPr>
            <w:tcW w:w="1180" w:type="dxa"/>
            <w:vAlign w:val="bottom"/>
            <w:tcBorders>
              <w:bottom w:val="single" w:sz="8" w:color="A6A6A6"/>
            </w:tcBorders>
          </w:tcPr>
          <w:p>
            <w:pPr>
              <w:jc w:val="right"/>
              <w:ind w:right="11"/>
              <w:spacing w:after="0"/>
              <w:rPr>
                <w:sz w:val="20"/>
                <w:szCs w:val="20"/>
                <w:color w:val="auto"/>
              </w:rPr>
            </w:pPr>
            <w:r>
              <w:rPr>
                <w:rFonts w:ascii="Arial" w:cs="Arial" w:eastAsia="Arial" w:hAnsi="Arial"/>
                <w:sz w:val="11"/>
                <w:szCs w:val="11"/>
                <w:color w:val="auto"/>
              </w:rPr>
              <w:t>25,360</w:t>
            </w:r>
          </w:p>
        </w:tc>
        <w:tc>
          <w:tcPr>
            <w:tcW w:w="500" w:type="dxa"/>
            <w:vAlign w:val="bottom"/>
            <w:tcBorders>
              <w:bottom w:val="single" w:sz="8" w:color="A6A6A6"/>
            </w:tcBorders>
          </w:tcPr>
          <w:p>
            <w:pPr>
              <w:spacing w:after="0"/>
              <w:rPr>
                <w:sz w:val="11"/>
                <w:szCs w:val="11"/>
                <w:color w:val="auto"/>
              </w:rPr>
            </w:pPr>
          </w:p>
        </w:tc>
        <w:tc>
          <w:tcPr>
            <w:tcW w:w="15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r>
    </w:tbl>
    <w:p>
      <w:pPr>
        <w:spacing w:after="0" w:line="80" w:lineRule="exact"/>
        <w:rPr>
          <w:sz w:val="20"/>
          <w:szCs w:val="20"/>
          <w:color w:val="auto"/>
        </w:rPr>
      </w:pPr>
    </w:p>
    <w:p>
      <w:pPr>
        <w:ind w:left="148" w:hanging="142"/>
        <w:spacing w:after="0"/>
        <w:tabs>
          <w:tab w:leader="none" w:pos="148" w:val="left"/>
        </w:tabs>
        <w:numPr>
          <w:ilvl w:val="0"/>
          <w:numId w:val="5"/>
        </w:numPr>
        <w:rPr>
          <w:rFonts w:ascii="Arial" w:cs="Arial" w:eastAsia="Arial" w:hAnsi="Arial"/>
          <w:sz w:val="16"/>
          <w:szCs w:val="16"/>
          <w:color w:val="auto"/>
          <w:vertAlign w:val="superscript"/>
        </w:rPr>
      </w:pPr>
      <w:r>
        <w:rPr>
          <w:rFonts w:ascii="Arial" w:cs="Arial" w:eastAsia="Arial" w:hAnsi="Arial"/>
          <w:sz w:val="10"/>
          <w:szCs w:val="10"/>
          <w:color w:val="auto"/>
        </w:rPr>
        <w:t>All reserves are considered to be probable under the definition of Industry Guide 7.</w:t>
      </w:r>
    </w:p>
    <w:p>
      <w:pPr>
        <w:ind w:left="268" w:hanging="268"/>
        <w:spacing w:after="0" w:line="187" w:lineRule="auto"/>
        <w:tabs>
          <w:tab w:leader="none" w:pos="268" w:val="left"/>
        </w:tabs>
        <w:numPr>
          <w:ilvl w:val="0"/>
          <w:numId w:val="5"/>
        </w:numPr>
        <w:rPr>
          <w:rFonts w:ascii="Arial" w:cs="Arial" w:eastAsia="Arial" w:hAnsi="Arial"/>
          <w:sz w:val="12"/>
          <w:szCs w:val="12"/>
          <w:color w:val="auto"/>
          <w:vertAlign w:val="superscript"/>
        </w:rPr>
      </w:pPr>
      <w:r>
        <w:rPr>
          <w:rFonts w:ascii="Arial" w:cs="Arial" w:eastAsia="Arial" w:hAnsi="Arial"/>
          <w:sz w:val="8"/>
          <w:szCs w:val="8"/>
          <w:color w:val="auto"/>
        </w:rPr>
        <w:t>Includes reserves located in our underground mine that we believe can be economically used for aggregate supply.</w:t>
      </w:r>
    </w:p>
    <w:p>
      <w:pPr>
        <w:ind w:left="268" w:hanging="268"/>
        <w:spacing w:after="0" w:line="184" w:lineRule="auto"/>
        <w:tabs>
          <w:tab w:leader="none" w:pos="268" w:val="left"/>
        </w:tabs>
        <w:numPr>
          <w:ilvl w:val="0"/>
          <w:numId w:val="5"/>
        </w:numPr>
        <w:rPr>
          <w:rFonts w:ascii="Arial" w:cs="Arial" w:eastAsia="Arial" w:hAnsi="Arial"/>
          <w:sz w:val="13"/>
          <w:szCs w:val="13"/>
          <w:color w:val="auto"/>
          <w:vertAlign w:val="superscript"/>
        </w:rPr>
      </w:pPr>
      <w:r>
        <w:rPr>
          <w:rFonts w:ascii="Arial" w:cs="Arial" w:eastAsia="Arial" w:hAnsi="Arial"/>
          <w:sz w:val="8"/>
          <w:szCs w:val="8"/>
          <w:color w:val="auto"/>
        </w:rPr>
        <w:t>The Company is currently not operating its aggregate facility in the Kansas City area.</w:t>
      </w:r>
    </w:p>
    <w:p>
      <w:pPr>
        <w:spacing w:after="0" w:line="71" w:lineRule="exact"/>
        <w:rPr>
          <w:sz w:val="20"/>
          <w:szCs w:val="20"/>
          <w:color w:val="auto"/>
        </w:rPr>
      </w:pPr>
    </w:p>
    <w:p>
      <w:pPr>
        <w:ind w:left="8" w:right="100"/>
        <w:spacing w:after="0" w:line="271" w:lineRule="auto"/>
        <w:rPr>
          <w:sz w:val="20"/>
          <w:szCs w:val="20"/>
          <w:color w:val="auto"/>
        </w:rPr>
      </w:pPr>
      <w:r>
        <w:rPr>
          <w:rFonts w:ascii="Arial" w:cs="Arial" w:eastAsia="Arial" w:hAnsi="Arial"/>
          <w:sz w:val="12"/>
          <w:szCs w:val="12"/>
          <w:color w:val="auto"/>
        </w:rPr>
        <w:t>Our total net aggregates sales were 2.0 million tons in fiscal 2021 and 3.3 million tons in fiscal 2020. Total aggregates production was 2.5 million tons in fiscal 2021 and 4.1 million tons in fiscal 2020. The decline in both aggregates sales and aggregates production in fiscal 2021 was primarily due to the sale of our northern California aggregates business in April 2020. Excluding Western Aggregates, our aggregates sales were 1.9 million tons in fiscal 2021 and 1.7 million tons in fiscal 2020. A portion of our total aggregates production is used internally by our readymix concrete operations in Texas and northern Nevada.</w:t>
      </w:r>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40" w:right="2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2"/>
          <w:szCs w:val="12"/>
          <w:b w:val="1"/>
          <w:bCs w:val="1"/>
          <w:color w:val="00AAC6"/>
        </w:rPr>
        <w:t>Demand, Sales, and Distribution</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Demand for readymix concrete and aggregates largely depends on local levels of construction activity. Construction activity is also subject to weather conditions, the availability of financing at reasonable rates, and overall fluctuations in local economies, and therefore tends to be cyclical. We sell readymix concrete to numerous contractors and other customers in each plant’s marketing area. Our batch plants in Central Texas, the greater Kansas City area, and northern Nevada are strategically located to serve each marketing area. Concrete is delivered from the batch plants primarily by company-owned trucks. We sell aggregates to building contractors and other customers engaged in a wide variety of construction activities. Aggregates are delivered from our plants by common carriers and customer pickup. No single customer accounted for more than 10% of fiscal 2021 segment revenue.</w:t>
      </w:r>
    </w:p>
    <w:p>
      <w:pPr>
        <w:spacing w:after="0" w:line="67" w:lineRule="exact"/>
        <w:rPr>
          <w:sz w:val="20"/>
          <w:szCs w:val="20"/>
          <w:color w:val="auto"/>
        </w:rPr>
      </w:pPr>
    </w:p>
    <w:p>
      <w:pPr>
        <w:ind w:right="240"/>
        <w:spacing w:after="0" w:line="271" w:lineRule="auto"/>
        <w:rPr>
          <w:sz w:val="20"/>
          <w:szCs w:val="20"/>
          <w:color w:val="auto"/>
        </w:rPr>
      </w:pPr>
      <w:r>
        <w:rPr>
          <w:rFonts w:ascii="Arial" w:cs="Arial" w:eastAsia="Arial" w:hAnsi="Arial"/>
          <w:sz w:val="12"/>
          <w:szCs w:val="12"/>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00AAC6"/>
        </w:rPr>
        <w:t>Raw Materials and Fuel Supplies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We obtain cement and aggregates for our concrete businesses from related companies, including our Joint Venture, as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7520" w:type="dxa"/>
            <w:vAlign w:val="bottom"/>
          </w:tcPr>
          <w:p>
            <w:pPr>
              <w:spacing w:after="0"/>
              <w:rPr>
                <w:sz w:val="8"/>
                <w:szCs w:val="8"/>
                <w:color w:val="auto"/>
              </w:rPr>
            </w:pPr>
          </w:p>
        </w:tc>
        <w:tc>
          <w:tcPr>
            <w:tcW w:w="2800" w:type="dxa"/>
            <w:vAlign w:val="bottom"/>
            <w:gridSpan w:val="3"/>
          </w:tcPr>
          <w:p>
            <w:pPr>
              <w:ind w:left="1140"/>
              <w:spacing w:after="0"/>
              <w:rPr>
                <w:sz w:val="20"/>
                <w:szCs w:val="20"/>
                <w:color w:val="auto"/>
              </w:rPr>
            </w:pPr>
            <w:r>
              <w:rPr>
                <w:rFonts w:ascii="Arial" w:cs="Arial" w:eastAsia="Arial" w:hAnsi="Arial"/>
                <w:sz w:val="8"/>
                <w:szCs w:val="8"/>
                <w:b w:val="1"/>
                <w:bCs w:val="1"/>
                <w:color w:val="auto"/>
              </w:rPr>
              <w:t>Percentage of Internally Supplied</w:t>
            </w: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7520" w:type="dxa"/>
            <w:vAlign w:val="bottom"/>
            <w:tcBorders>
              <w:bottom w:val="single" w:sz="8" w:color="00AAC6"/>
            </w:tcBorders>
          </w:tcPr>
          <w:p>
            <w:pPr>
              <w:spacing w:after="0"/>
              <w:rPr>
                <w:sz w:val="20"/>
                <w:szCs w:val="20"/>
                <w:color w:val="auto"/>
              </w:rPr>
            </w:pPr>
            <w:r>
              <w:rPr>
                <w:rFonts w:ascii="Arial" w:cs="Arial" w:eastAsia="Arial" w:hAnsi="Arial"/>
                <w:sz w:val="8"/>
                <w:szCs w:val="8"/>
                <w:b w:val="1"/>
                <w:bCs w:val="1"/>
                <w:color w:val="auto"/>
              </w:rPr>
              <w:t>Location</w:t>
            </w:r>
          </w:p>
        </w:tc>
        <w:tc>
          <w:tcPr>
            <w:tcW w:w="1600" w:type="dxa"/>
            <w:vAlign w:val="bottom"/>
            <w:tcBorders>
              <w:bottom w:val="single" w:sz="8" w:color="00AAC6"/>
            </w:tcBorders>
          </w:tcPr>
          <w:p>
            <w:pPr>
              <w:jc w:val="right"/>
              <w:spacing w:after="0"/>
              <w:rPr>
                <w:sz w:val="20"/>
                <w:szCs w:val="20"/>
                <w:color w:val="auto"/>
              </w:rPr>
            </w:pPr>
            <w:r>
              <w:rPr>
                <w:rFonts w:ascii="Arial" w:cs="Arial" w:eastAsia="Arial" w:hAnsi="Arial"/>
                <w:sz w:val="8"/>
                <w:szCs w:val="8"/>
                <w:b w:val="1"/>
                <w:bCs w:val="1"/>
                <w:color w:val="auto"/>
              </w:rPr>
              <w:t>Cement</w:t>
            </w:r>
          </w:p>
        </w:tc>
        <w:tc>
          <w:tcPr>
            <w:tcW w:w="100" w:type="dxa"/>
            <w:vAlign w:val="bottom"/>
          </w:tcPr>
          <w:p>
            <w:pPr>
              <w:spacing w:after="0"/>
              <w:rPr>
                <w:sz w:val="8"/>
                <w:szCs w:val="8"/>
                <w:color w:val="auto"/>
              </w:rPr>
            </w:pPr>
          </w:p>
        </w:tc>
        <w:tc>
          <w:tcPr>
            <w:tcW w:w="1100" w:type="dxa"/>
            <w:vAlign w:val="bottom"/>
            <w:tcBorders>
              <w:bottom w:val="single" w:sz="8" w:color="00AAC6"/>
            </w:tcBorders>
          </w:tcPr>
          <w:p>
            <w:pPr>
              <w:spacing w:after="0"/>
              <w:rPr>
                <w:sz w:val="8"/>
                <w:szCs w:val="8"/>
                <w:color w:val="auto"/>
              </w:rPr>
            </w:pPr>
          </w:p>
        </w:tc>
        <w:tc>
          <w:tcPr>
            <w:tcW w:w="860" w:type="dxa"/>
            <w:vAlign w:val="bottom"/>
            <w:tcBorders>
              <w:bottom w:val="single" w:sz="8" w:color="00AAC6"/>
            </w:tcBorders>
          </w:tcPr>
          <w:p>
            <w:pPr>
              <w:ind w:left="460"/>
              <w:spacing w:after="0"/>
              <w:rPr>
                <w:sz w:val="20"/>
                <w:szCs w:val="20"/>
                <w:color w:val="auto"/>
              </w:rPr>
            </w:pPr>
            <w:r>
              <w:rPr>
                <w:rFonts w:ascii="Arial" w:cs="Arial" w:eastAsia="Arial" w:hAnsi="Arial"/>
                <w:sz w:val="8"/>
                <w:szCs w:val="8"/>
                <w:b w:val="1"/>
                <w:bCs w:val="1"/>
                <w:color w:val="auto"/>
                <w:w w:val="86"/>
              </w:rPr>
              <w:t>Aggregates</w:t>
            </w:r>
          </w:p>
        </w:tc>
        <w:tc>
          <w:tcPr>
            <w:tcW w:w="100" w:type="dxa"/>
            <w:vAlign w:val="bottom"/>
          </w:tcPr>
          <w:p>
            <w:pPr>
              <w:spacing w:after="0"/>
              <w:rPr>
                <w:sz w:val="8"/>
                <w:szCs w:val="8"/>
                <w:color w:val="auto"/>
              </w:rPr>
            </w:pPr>
          </w:p>
        </w:tc>
      </w:tr>
      <w:tr>
        <w:trPr>
          <w:trHeight w:val="131"/>
        </w:trPr>
        <w:tc>
          <w:tcPr>
            <w:tcW w:w="7520" w:type="dxa"/>
            <w:vAlign w:val="bottom"/>
          </w:tcPr>
          <w:p>
            <w:pPr>
              <w:spacing w:after="0"/>
              <w:rPr>
                <w:sz w:val="20"/>
                <w:szCs w:val="20"/>
                <w:color w:val="auto"/>
              </w:rPr>
            </w:pPr>
            <w:r>
              <w:rPr>
                <w:rFonts w:ascii="Arial" w:cs="Arial" w:eastAsia="Arial" w:hAnsi="Arial"/>
                <w:sz w:val="11"/>
                <w:szCs w:val="11"/>
                <w:b w:val="1"/>
                <w:bCs w:val="1"/>
                <w:color w:val="00AAC6"/>
              </w:rPr>
              <w:t>Central Texas</w:t>
            </w:r>
          </w:p>
        </w:tc>
        <w:tc>
          <w:tcPr>
            <w:tcW w:w="1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gridSpan w:val="2"/>
          </w:tcPr>
          <w:p>
            <w:pPr>
              <w:ind w:left="760"/>
              <w:spacing w:after="0"/>
              <w:rPr>
                <w:sz w:val="20"/>
                <w:szCs w:val="20"/>
                <w:color w:val="auto"/>
              </w:rPr>
            </w:pPr>
            <w:r>
              <w:rPr>
                <w:rFonts w:ascii="Arial" w:cs="Arial" w:eastAsia="Arial" w:hAnsi="Arial"/>
                <w:sz w:val="11"/>
                <w:szCs w:val="11"/>
                <w:color w:val="auto"/>
                <w:w w:val="81"/>
              </w:rPr>
              <w:t>45%</w:t>
            </w:r>
          </w:p>
        </w:tc>
      </w:tr>
      <w:tr>
        <w:trPr>
          <w:trHeight w:val="20"/>
        </w:trPr>
        <w:tc>
          <w:tcPr>
            <w:tcW w:w="7520" w:type="dxa"/>
            <w:vAlign w:val="bottom"/>
            <w:shd w:val="clear" w:color="auto" w:fill="A6A6A6"/>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520" w:type="dxa"/>
            <w:vAlign w:val="bottom"/>
          </w:tcPr>
          <w:p>
            <w:pPr>
              <w:spacing w:after="0"/>
              <w:rPr>
                <w:sz w:val="20"/>
                <w:szCs w:val="20"/>
                <w:color w:val="auto"/>
              </w:rPr>
            </w:pPr>
            <w:r>
              <w:rPr>
                <w:rFonts w:ascii="Arial" w:cs="Arial" w:eastAsia="Arial" w:hAnsi="Arial"/>
                <w:sz w:val="11"/>
                <w:szCs w:val="11"/>
                <w:b w:val="1"/>
                <w:bCs w:val="1"/>
                <w:color w:val="00AAC6"/>
              </w:rPr>
              <w:t>Kansas City Area</w:t>
            </w:r>
          </w:p>
        </w:tc>
        <w:tc>
          <w:tcPr>
            <w:tcW w:w="1700" w:type="dxa"/>
            <w:vAlign w:val="bottom"/>
            <w:gridSpan w:val="2"/>
          </w:tcPr>
          <w:p>
            <w:pPr>
              <w:jc w:val="right"/>
              <w:ind w:right="20"/>
              <w:spacing w:after="0"/>
              <w:rPr>
                <w:sz w:val="20"/>
                <w:szCs w:val="20"/>
                <w:color w:val="auto"/>
              </w:rPr>
            </w:pPr>
            <w:r>
              <w:rPr>
                <w:rFonts w:ascii="Arial" w:cs="Arial" w:eastAsia="Arial" w:hAnsi="Arial"/>
                <w:sz w:val="11"/>
                <w:szCs w:val="11"/>
                <w:color w:val="auto"/>
              </w:rPr>
              <w:t>100%</w:t>
            </w:r>
          </w:p>
        </w:tc>
        <w:tc>
          <w:tcPr>
            <w:tcW w:w="1100" w:type="dxa"/>
            <w:vAlign w:val="bottom"/>
          </w:tcPr>
          <w:p>
            <w:pPr>
              <w:spacing w:after="0"/>
              <w:rPr>
                <w:sz w:val="11"/>
                <w:szCs w:val="11"/>
                <w:color w:val="auto"/>
              </w:rPr>
            </w:pPr>
          </w:p>
        </w:tc>
        <w:tc>
          <w:tcPr>
            <w:tcW w:w="960" w:type="dxa"/>
            <w:vAlign w:val="bottom"/>
            <w:gridSpan w:val="2"/>
          </w:tcPr>
          <w:p>
            <w:pPr>
              <w:ind w:left="760"/>
              <w:spacing w:after="0"/>
              <w:rPr>
                <w:sz w:val="20"/>
                <w:szCs w:val="20"/>
                <w:color w:val="auto"/>
              </w:rPr>
            </w:pPr>
            <w:r>
              <w:rPr>
                <w:rFonts w:ascii="Arial" w:cs="Arial" w:eastAsia="Arial" w:hAnsi="Arial"/>
                <w:sz w:val="11"/>
                <w:szCs w:val="11"/>
                <w:color w:val="auto"/>
              </w:rPr>
              <w:t>—</w:t>
            </w:r>
          </w:p>
        </w:tc>
      </w:tr>
      <w:tr>
        <w:trPr>
          <w:trHeight w:val="20"/>
        </w:trPr>
        <w:tc>
          <w:tcPr>
            <w:tcW w:w="7520" w:type="dxa"/>
            <w:vAlign w:val="bottom"/>
            <w:shd w:val="clear" w:color="auto" w:fill="A6A6A6"/>
          </w:tcPr>
          <w:p>
            <w:pPr>
              <w:spacing w:after="0" w:line="20" w:lineRule="exact"/>
              <w:rPr>
                <w:sz w:val="1"/>
                <w:szCs w:val="1"/>
                <w:color w:val="auto"/>
              </w:rPr>
            </w:pPr>
          </w:p>
        </w:tc>
        <w:tc>
          <w:tcPr>
            <w:tcW w:w="1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520" w:type="dxa"/>
            <w:vAlign w:val="bottom"/>
          </w:tcPr>
          <w:p>
            <w:pPr>
              <w:spacing w:after="0"/>
              <w:rPr>
                <w:sz w:val="20"/>
                <w:szCs w:val="20"/>
                <w:color w:val="auto"/>
              </w:rPr>
            </w:pPr>
            <w:r>
              <w:rPr>
                <w:rFonts w:ascii="Arial" w:cs="Arial" w:eastAsia="Arial" w:hAnsi="Arial"/>
                <w:sz w:val="11"/>
                <w:szCs w:val="11"/>
                <w:b w:val="1"/>
                <w:bCs w:val="1"/>
                <w:color w:val="00AAC6"/>
              </w:rPr>
              <w:t>Northern Nevada</w:t>
            </w:r>
          </w:p>
        </w:tc>
        <w:tc>
          <w:tcPr>
            <w:tcW w:w="1700" w:type="dxa"/>
            <w:vAlign w:val="bottom"/>
            <w:gridSpan w:val="2"/>
          </w:tcPr>
          <w:p>
            <w:pPr>
              <w:jc w:val="right"/>
              <w:ind w:right="20"/>
              <w:spacing w:after="0"/>
              <w:rPr>
                <w:sz w:val="20"/>
                <w:szCs w:val="20"/>
                <w:color w:val="auto"/>
              </w:rPr>
            </w:pPr>
            <w:r>
              <w:rPr>
                <w:rFonts w:ascii="Arial" w:cs="Arial" w:eastAsia="Arial" w:hAnsi="Arial"/>
                <w:sz w:val="11"/>
                <w:szCs w:val="11"/>
                <w:color w:val="auto"/>
              </w:rPr>
              <w:t>100%</w:t>
            </w:r>
          </w:p>
        </w:tc>
        <w:tc>
          <w:tcPr>
            <w:tcW w:w="1100" w:type="dxa"/>
            <w:vAlign w:val="bottom"/>
          </w:tcPr>
          <w:p>
            <w:pPr>
              <w:spacing w:after="0"/>
              <w:rPr>
                <w:sz w:val="11"/>
                <w:szCs w:val="11"/>
                <w:color w:val="auto"/>
              </w:rPr>
            </w:pPr>
          </w:p>
        </w:tc>
        <w:tc>
          <w:tcPr>
            <w:tcW w:w="960" w:type="dxa"/>
            <w:vAlign w:val="bottom"/>
            <w:gridSpan w:val="2"/>
          </w:tcPr>
          <w:p>
            <w:pPr>
              <w:ind w:left="760"/>
              <w:spacing w:after="0"/>
              <w:rPr>
                <w:sz w:val="20"/>
                <w:szCs w:val="20"/>
                <w:color w:val="auto"/>
              </w:rPr>
            </w:pPr>
            <w:r>
              <w:rPr>
                <w:rFonts w:ascii="Arial" w:cs="Arial" w:eastAsia="Arial" w:hAnsi="Arial"/>
                <w:sz w:val="11"/>
                <w:szCs w:val="11"/>
                <w:color w:val="auto"/>
                <w:w w:val="81"/>
              </w:rPr>
              <w:t>95%</w:t>
            </w:r>
          </w:p>
        </w:tc>
      </w:tr>
      <w:tr>
        <w:trPr>
          <w:trHeight w:val="216"/>
        </w:trPr>
        <w:tc>
          <w:tcPr>
            <w:tcW w:w="7520" w:type="dxa"/>
            <w:vAlign w:val="bottom"/>
            <w:tcBorders>
              <w:top w:val="single" w:sz="8" w:color="A6A6A6"/>
            </w:tcBorders>
          </w:tcPr>
          <w:p>
            <w:pPr>
              <w:spacing w:after="0"/>
              <w:rPr>
                <w:sz w:val="20"/>
                <w:szCs w:val="20"/>
                <w:color w:val="auto"/>
              </w:rPr>
            </w:pPr>
            <w:r>
              <w:rPr>
                <w:rFonts w:ascii="Arial" w:cs="Arial" w:eastAsia="Arial" w:hAnsi="Arial"/>
                <w:sz w:val="12"/>
                <w:szCs w:val="12"/>
                <w:color w:val="auto"/>
              </w:rPr>
              <w:t>We obtain the balance of our cement and aggregates requirements from multiple outside sources in each of these areas.</w:t>
            </w:r>
          </w:p>
        </w:tc>
        <w:tc>
          <w:tcPr>
            <w:tcW w:w="1600" w:type="dxa"/>
            <w:vAlign w:val="bottom"/>
            <w:tcBorders>
              <w:top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6A6A6"/>
            </w:tcBorders>
          </w:tcPr>
          <w:p>
            <w:pPr>
              <w:spacing w:after="0"/>
              <w:rPr>
                <w:sz w:val="18"/>
                <w:szCs w:val="18"/>
                <w:color w:val="auto"/>
              </w:rPr>
            </w:pPr>
          </w:p>
        </w:tc>
        <w:tc>
          <w:tcPr>
            <w:tcW w:w="860" w:type="dxa"/>
            <w:vAlign w:val="bottom"/>
            <w:tcBorders>
              <w:top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We mine and extract limestone, sand, and gravel, the principal raw materials used in the production of aggregates, from quarries owned or leased by us and located near our plants. On average, our aggregate reserves exceed 25 years based on normalized production levels and in many cases, much greater.</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00AAC6"/>
        </w:rPr>
        <w:t>Environmental Matters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 concrete and aggregates industry is subject to environmental regulations similar to those governing our Cement operations. (See pages 10-11).</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In fiscal 2021, we had $0.2 million of capital expenditures related to compliance with environmental regulations applicable to our Concrete and Aggregates operations. We anticipate spending $0.5 million during fiscal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u w:val="single" w:color="auto"/>
          <w:color w:val="51632C"/>
        </w:rPr>
        <w:t xml:space="preserve">Light </w:t>
      </w:r>
      <w:r>
        <w:rPr>
          <w:rFonts w:ascii="Arial" w:cs="Arial" w:eastAsia="Arial" w:hAnsi="Arial"/>
          <w:sz w:val="13"/>
          <w:szCs w:val="13"/>
          <w:b w:val="1"/>
          <w:bCs w:val="1"/>
          <w:u w:val="single" w:color="auto"/>
          <w:color w:val="51632C"/>
        </w:rPr>
        <w:t>Materials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Light Materials sector is comprised of the Gypsum Wallboard segment, which produces gypsum wallboard used in residential and commercial buildings, and the Recycled Paperboard segment, which produces paper primarily used in the manufacture of gypsum wallboard. Operations in this sector are concentrated in the Sun Belt of the United States, where the population is projected to grow approximately 26% between 2010 and 2040, according to the latest update in December 2019 by Moody’s Analytics. Population growth is a key long-term driver of demand for gypsum wallboard and recycled paperboard.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77943C"/>
        </w:rPr>
        <w:t>GYPSUM WALLBOARD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Gypsum wallboard is used to finish the interior walls and ceilings in residential, commercial, and industrial structures. Our gypsum wallboard products are marketed under the name American Gypsum.</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95885</wp:posOffset>
            </wp:positionV>
            <wp:extent cx="3423285" cy="1183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328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77943C"/>
        </w:rPr>
        <w:t>Gypsum Wallboard Plants</w:t>
      </w:r>
    </w:p>
    <w:p>
      <w:pPr>
        <w:spacing w:after="0" w:line="101"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We own and operate five gypsum wallboard plants, outlined in the table below. We anticipate running all of our facilities at the level required to meet customer demand, up to maximum capacity. Our gypsum wallboard is distributed in the geographic markets nearest to our production facilities.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55" w:right="319" w:bottom="1440" w:gutter="0" w:footer="0" w:header="0"/>
        </w:sectPr>
      </w:pPr>
    </w:p>
    <w:bookmarkStart w:id="16" w:name="page17"/>
    <w:bookmarkEnd w:id="16"/>
    <w:p>
      <w:pPr>
        <w:ind w:left="8"/>
        <w:spacing w:after="0"/>
        <w:rPr>
          <w:sz w:val="20"/>
          <w:szCs w:val="20"/>
          <w:color w:val="auto"/>
        </w:rPr>
      </w:pPr>
      <w:r>
        <w:rPr>
          <w:rFonts w:ascii="Arial" w:cs="Arial" w:eastAsia="Arial" w:hAnsi="Arial"/>
          <w:sz w:val="12"/>
          <w:szCs w:val="12"/>
          <w:color w:val="auto"/>
        </w:rPr>
        <w:t>The following table sets forth certain information regarding our gypsum wallboard plants: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3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80" w:type="dxa"/>
            <w:vAlign w:val="bottom"/>
          </w:tcPr>
          <w:p>
            <w:pPr>
              <w:jc w:val="right"/>
              <w:ind w:right="12"/>
              <w:spacing w:after="0"/>
              <w:rPr>
                <w:sz w:val="20"/>
                <w:szCs w:val="20"/>
                <w:color w:val="auto"/>
              </w:rPr>
            </w:pPr>
            <w:r>
              <w:rPr>
                <w:rFonts w:ascii="Arial" w:cs="Arial" w:eastAsia="Arial" w:hAnsi="Arial"/>
                <w:sz w:val="8"/>
                <w:szCs w:val="8"/>
                <w:b w:val="1"/>
                <w:bCs w:val="1"/>
                <w:color w:val="auto"/>
              </w:rPr>
              <w:t>Estimated</w:t>
            </w:r>
          </w:p>
        </w:tc>
        <w:tc>
          <w:tcPr>
            <w:tcW w:w="400" w:type="dxa"/>
            <w:vAlign w:val="bottom"/>
          </w:tcPr>
          <w:p>
            <w:pPr>
              <w:spacing w:after="0"/>
              <w:rPr>
                <w:sz w:val="7"/>
                <w:szCs w:val="7"/>
                <w:color w:val="auto"/>
              </w:rPr>
            </w:pPr>
          </w:p>
        </w:tc>
        <w:tc>
          <w:tcPr>
            <w:tcW w:w="960" w:type="dxa"/>
            <w:vAlign w:val="bottom"/>
          </w:tcPr>
          <w:p>
            <w:pPr>
              <w:jc w:val="right"/>
              <w:spacing w:after="0"/>
              <w:rPr>
                <w:sz w:val="20"/>
                <w:szCs w:val="20"/>
                <w:color w:val="auto"/>
              </w:rPr>
            </w:pPr>
            <w:r>
              <w:rPr>
                <w:rFonts w:ascii="Arial" w:cs="Arial" w:eastAsia="Arial" w:hAnsi="Arial"/>
                <w:sz w:val="8"/>
                <w:szCs w:val="8"/>
                <w:b w:val="1"/>
                <w:bCs w:val="1"/>
                <w:color w:val="auto"/>
              </w:rPr>
              <w:t>Estimated</w:t>
            </w: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90"/>
        </w:trPr>
        <w:tc>
          <w:tcPr>
            <w:tcW w:w="3440" w:type="dxa"/>
            <w:vAlign w:val="bottom"/>
          </w:tcPr>
          <w:p>
            <w:pPr>
              <w:spacing w:after="0"/>
              <w:rPr>
                <w:sz w:val="7"/>
                <w:szCs w:val="7"/>
                <w:color w:val="auto"/>
              </w:rPr>
            </w:pPr>
          </w:p>
        </w:tc>
        <w:tc>
          <w:tcPr>
            <w:tcW w:w="1740" w:type="dxa"/>
            <w:vAlign w:val="bottom"/>
          </w:tcPr>
          <w:p>
            <w:pPr>
              <w:jc w:val="right"/>
              <w:ind w:right="70"/>
              <w:spacing w:after="0" w:line="90" w:lineRule="exact"/>
              <w:rPr>
                <w:sz w:val="20"/>
                <w:szCs w:val="20"/>
                <w:color w:val="auto"/>
              </w:rPr>
            </w:pPr>
            <w:r>
              <w:rPr>
                <w:rFonts w:ascii="Arial" w:cs="Arial" w:eastAsia="Arial" w:hAnsi="Arial"/>
                <w:sz w:val="8"/>
                <w:szCs w:val="8"/>
                <w:b w:val="1"/>
                <w:bCs w:val="1"/>
                <w:color w:val="auto"/>
              </w:rPr>
              <w:t>Approximate Annual</w:t>
            </w: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80" w:type="dxa"/>
            <w:vAlign w:val="bottom"/>
          </w:tcPr>
          <w:p>
            <w:pPr>
              <w:jc w:val="right"/>
              <w:ind w:right="12"/>
              <w:spacing w:after="0" w:line="90" w:lineRule="exact"/>
              <w:rPr>
                <w:sz w:val="20"/>
                <w:szCs w:val="20"/>
                <w:color w:val="auto"/>
              </w:rPr>
            </w:pPr>
            <w:r>
              <w:rPr>
                <w:rFonts w:ascii="Arial" w:cs="Arial" w:eastAsia="Arial" w:hAnsi="Arial"/>
                <w:sz w:val="8"/>
                <w:szCs w:val="8"/>
                <w:b w:val="1"/>
                <w:bCs w:val="1"/>
                <w:color w:val="auto"/>
              </w:rPr>
              <w:t>Minimum Gypsum</w:t>
            </w:r>
          </w:p>
        </w:tc>
        <w:tc>
          <w:tcPr>
            <w:tcW w:w="400" w:type="dxa"/>
            <w:vAlign w:val="bottom"/>
          </w:tcPr>
          <w:p>
            <w:pPr>
              <w:spacing w:after="0"/>
              <w:rPr>
                <w:sz w:val="7"/>
                <w:szCs w:val="7"/>
                <w:color w:val="auto"/>
              </w:rPr>
            </w:pPr>
          </w:p>
        </w:tc>
        <w:tc>
          <w:tcPr>
            <w:tcW w:w="96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Minimum Gypsum</w:t>
            </w:r>
          </w:p>
        </w:tc>
        <w:tc>
          <w:tcPr>
            <w:tcW w:w="680" w:type="dxa"/>
            <w:vAlign w:val="bottom"/>
          </w:tcPr>
          <w:p>
            <w:pPr>
              <w:spacing w:after="0"/>
              <w:rPr>
                <w:sz w:val="7"/>
                <w:szCs w:val="7"/>
                <w:color w:val="auto"/>
              </w:rPr>
            </w:pPr>
          </w:p>
        </w:tc>
        <w:tc>
          <w:tcPr>
            <w:tcW w:w="1200" w:type="dxa"/>
            <w:vAlign w:val="bottom"/>
          </w:tcPr>
          <w:p>
            <w:pPr>
              <w:jc w:val="right"/>
              <w:ind w:right="51"/>
              <w:spacing w:after="0" w:line="90" w:lineRule="exact"/>
              <w:rPr>
                <w:sz w:val="20"/>
                <w:szCs w:val="20"/>
                <w:color w:val="auto"/>
              </w:rPr>
            </w:pPr>
            <w:r>
              <w:rPr>
                <w:rFonts w:ascii="Arial" w:cs="Arial" w:eastAsia="Arial" w:hAnsi="Arial"/>
                <w:sz w:val="8"/>
                <w:szCs w:val="8"/>
                <w:b w:val="1"/>
                <w:bCs w:val="1"/>
                <w:color w:val="auto"/>
              </w:rPr>
              <w:t>Fiscal 2021</w:t>
            </w:r>
          </w:p>
        </w:tc>
      </w:tr>
      <w:tr>
        <w:trPr>
          <w:trHeight w:val="90"/>
        </w:trPr>
        <w:tc>
          <w:tcPr>
            <w:tcW w:w="3440" w:type="dxa"/>
            <w:vAlign w:val="bottom"/>
          </w:tcPr>
          <w:p>
            <w:pPr>
              <w:spacing w:after="0"/>
              <w:rPr>
                <w:sz w:val="7"/>
                <w:szCs w:val="7"/>
                <w:color w:val="auto"/>
              </w:rPr>
            </w:pPr>
          </w:p>
        </w:tc>
        <w:tc>
          <w:tcPr>
            <w:tcW w:w="1740" w:type="dxa"/>
            <w:vAlign w:val="bottom"/>
          </w:tcPr>
          <w:p>
            <w:pPr>
              <w:jc w:val="right"/>
              <w:ind w:right="70"/>
              <w:spacing w:after="0" w:line="90" w:lineRule="exact"/>
              <w:rPr>
                <w:sz w:val="20"/>
                <w:szCs w:val="20"/>
                <w:color w:val="auto"/>
              </w:rPr>
            </w:pPr>
            <w:r>
              <w:rPr>
                <w:rFonts w:ascii="Arial" w:cs="Arial" w:eastAsia="Arial" w:hAnsi="Arial"/>
                <w:sz w:val="8"/>
                <w:szCs w:val="8"/>
                <w:b w:val="1"/>
                <w:bCs w:val="1"/>
                <w:color w:val="auto"/>
              </w:rPr>
              <w:t>Gypsum Wallboard</w:t>
            </w:r>
          </w:p>
        </w:tc>
        <w:tc>
          <w:tcPr>
            <w:tcW w:w="140" w:type="dxa"/>
            <w:vAlign w:val="bottom"/>
          </w:tcPr>
          <w:p>
            <w:pPr>
              <w:spacing w:after="0"/>
              <w:rPr>
                <w:sz w:val="7"/>
                <w:szCs w:val="7"/>
                <w:color w:val="auto"/>
              </w:rPr>
            </w:pPr>
          </w:p>
        </w:tc>
        <w:tc>
          <w:tcPr>
            <w:tcW w:w="1560" w:type="dxa"/>
            <w:vAlign w:val="bottom"/>
          </w:tcPr>
          <w:p>
            <w:pPr>
              <w:jc w:val="right"/>
              <w:ind w:right="370"/>
              <w:spacing w:after="0" w:line="90" w:lineRule="exact"/>
              <w:rPr>
                <w:sz w:val="20"/>
                <w:szCs w:val="20"/>
                <w:color w:val="auto"/>
              </w:rPr>
            </w:pPr>
            <w:r>
              <w:rPr>
                <w:rFonts w:ascii="Arial" w:cs="Arial" w:eastAsia="Arial" w:hAnsi="Arial"/>
                <w:sz w:val="8"/>
                <w:szCs w:val="8"/>
                <w:b w:val="1"/>
                <w:bCs w:val="1"/>
                <w:color w:val="auto"/>
              </w:rPr>
              <w:t>Owned or Leased</w:t>
            </w:r>
          </w:p>
        </w:tc>
        <w:tc>
          <w:tcPr>
            <w:tcW w:w="1180" w:type="dxa"/>
            <w:vAlign w:val="bottom"/>
          </w:tcPr>
          <w:p>
            <w:pPr>
              <w:jc w:val="right"/>
              <w:ind w:right="12"/>
              <w:spacing w:after="0" w:line="90" w:lineRule="exact"/>
              <w:rPr>
                <w:sz w:val="20"/>
                <w:szCs w:val="20"/>
                <w:color w:val="auto"/>
              </w:rPr>
            </w:pPr>
            <w:r>
              <w:rPr>
                <w:rFonts w:ascii="Arial" w:cs="Arial" w:eastAsia="Arial" w:hAnsi="Arial"/>
                <w:sz w:val="8"/>
                <w:szCs w:val="8"/>
                <w:b w:val="1"/>
                <w:bCs w:val="1"/>
                <w:color w:val="auto"/>
              </w:rPr>
              <w:t>Reserves</w:t>
            </w:r>
          </w:p>
        </w:tc>
        <w:tc>
          <w:tcPr>
            <w:tcW w:w="400" w:type="dxa"/>
            <w:vAlign w:val="bottom"/>
          </w:tcPr>
          <w:p>
            <w:pPr>
              <w:spacing w:after="0"/>
              <w:rPr>
                <w:sz w:val="7"/>
                <w:szCs w:val="7"/>
                <w:color w:val="auto"/>
              </w:rPr>
            </w:pPr>
          </w:p>
        </w:tc>
        <w:tc>
          <w:tcPr>
            <w:tcW w:w="96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Reserves</w:t>
            </w:r>
          </w:p>
        </w:tc>
        <w:tc>
          <w:tcPr>
            <w:tcW w:w="680" w:type="dxa"/>
            <w:vAlign w:val="bottom"/>
          </w:tcPr>
          <w:p>
            <w:pPr>
              <w:spacing w:after="0"/>
              <w:rPr>
                <w:sz w:val="7"/>
                <w:szCs w:val="7"/>
                <w:color w:val="auto"/>
              </w:rPr>
            </w:pPr>
          </w:p>
        </w:tc>
        <w:tc>
          <w:tcPr>
            <w:tcW w:w="1200" w:type="dxa"/>
            <w:vAlign w:val="bottom"/>
          </w:tcPr>
          <w:p>
            <w:pPr>
              <w:jc w:val="right"/>
              <w:ind w:right="51"/>
              <w:spacing w:after="0" w:line="90" w:lineRule="exact"/>
              <w:rPr>
                <w:sz w:val="20"/>
                <w:szCs w:val="20"/>
                <w:color w:val="auto"/>
              </w:rPr>
            </w:pPr>
            <w:r>
              <w:rPr>
                <w:rFonts w:ascii="Arial" w:cs="Arial" w:eastAsia="Arial" w:hAnsi="Arial"/>
                <w:sz w:val="8"/>
                <w:szCs w:val="8"/>
                <w:b w:val="1"/>
                <w:bCs w:val="1"/>
                <w:color w:val="auto"/>
              </w:rPr>
              <w:t>Tons Mined</w:t>
            </w:r>
          </w:p>
        </w:tc>
      </w:tr>
      <w:tr>
        <w:trPr>
          <w:trHeight w:val="101"/>
        </w:trPr>
        <w:tc>
          <w:tcPr>
            <w:tcW w:w="3440" w:type="dxa"/>
            <w:vAlign w:val="bottom"/>
            <w:tcBorders>
              <w:bottom w:val="single" w:sz="8" w:color="77943C"/>
            </w:tcBorders>
          </w:tcPr>
          <w:p>
            <w:pPr>
              <w:spacing w:after="0"/>
              <w:rPr>
                <w:sz w:val="20"/>
                <w:szCs w:val="20"/>
                <w:color w:val="auto"/>
              </w:rPr>
            </w:pPr>
            <w:r>
              <w:rPr>
                <w:rFonts w:ascii="Arial" w:cs="Arial" w:eastAsia="Arial" w:hAnsi="Arial"/>
                <w:sz w:val="8"/>
                <w:szCs w:val="8"/>
                <w:b w:val="1"/>
                <w:bCs w:val="1"/>
                <w:color w:val="auto"/>
              </w:rPr>
              <w:t>Location</w:t>
            </w:r>
          </w:p>
        </w:tc>
        <w:tc>
          <w:tcPr>
            <w:tcW w:w="1740" w:type="dxa"/>
            <w:vAlign w:val="bottom"/>
            <w:tcBorders>
              <w:bottom w:val="single" w:sz="8" w:color="77943C"/>
            </w:tcBorders>
          </w:tcPr>
          <w:p>
            <w:pPr>
              <w:jc w:val="right"/>
              <w:ind w:right="70"/>
              <w:spacing w:after="0"/>
              <w:rPr>
                <w:sz w:val="20"/>
                <w:szCs w:val="20"/>
                <w:color w:val="auto"/>
              </w:rPr>
            </w:pPr>
            <w:r>
              <w:rPr>
                <w:rFonts w:ascii="Arial" w:cs="Arial" w:eastAsia="Arial" w:hAnsi="Arial"/>
                <w:sz w:val="8"/>
                <w:szCs w:val="8"/>
                <w:b w:val="1"/>
                <w:bCs w:val="1"/>
                <w:color w:val="auto"/>
              </w:rPr>
              <w:t xml:space="preserve">Capacity (MMSF) </w:t>
            </w:r>
            <w:r>
              <w:rPr>
                <w:rFonts w:ascii="Arial" w:cs="Arial" w:eastAsia="Arial" w:hAnsi="Arial"/>
                <w:sz w:val="7"/>
                <w:szCs w:val="7"/>
                <w:b w:val="1"/>
                <w:bCs w:val="1"/>
                <w:color w:val="auto"/>
              </w:rPr>
              <w:t>(1)</w:t>
            </w:r>
          </w:p>
        </w:tc>
        <w:tc>
          <w:tcPr>
            <w:tcW w:w="140" w:type="dxa"/>
            <w:vAlign w:val="bottom"/>
            <w:tcBorders>
              <w:bottom w:val="single" w:sz="8" w:color="77943C"/>
            </w:tcBorders>
          </w:tcPr>
          <w:p>
            <w:pPr>
              <w:spacing w:after="0"/>
              <w:rPr>
                <w:sz w:val="8"/>
                <w:szCs w:val="8"/>
                <w:color w:val="auto"/>
              </w:rPr>
            </w:pPr>
          </w:p>
        </w:tc>
        <w:tc>
          <w:tcPr>
            <w:tcW w:w="1560" w:type="dxa"/>
            <w:vAlign w:val="bottom"/>
            <w:tcBorders>
              <w:bottom w:val="single" w:sz="8" w:color="77943C"/>
            </w:tcBorders>
          </w:tcPr>
          <w:p>
            <w:pPr>
              <w:jc w:val="right"/>
              <w:ind w:right="370"/>
              <w:spacing w:after="0"/>
              <w:rPr>
                <w:sz w:val="20"/>
                <w:szCs w:val="20"/>
                <w:color w:val="auto"/>
              </w:rPr>
            </w:pPr>
            <w:r>
              <w:rPr>
                <w:rFonts w:ascii="Arial" w:cs="Arial" w:eastAsia="Arial" w:hAnsi="Arial"/>
                <w:sz w:val="8"/>
                <w:szCs w:val="8"/>
                <w:b w:val="1"/>
                <w:bCs w:val="1"/>
                <w:color w:val="auto"/>
              </w:rPr>
              <w:t xml:space="preserve">Reserves </w:t>
            </w:r>
            <w:r>
              <w:rPr>
                <w:rFonts w:ascii="Arial" w:cs="Arial" w:eastAsia="Arial" w:hAnsi="Arial"/>
                <w:sz w:val="7"/>
                <w:szCs w:val="7"/>
                <w:b w:val="1"/>
                <w:bCs w:val="1"/>
                <w:color w:val="auto"/>
              </w:rPr>
              <w:t>(2)</w:t>
            </w:r>
          </w:p>
        </w:tc>
        <w:tc>
          <w:tcPr>
            <w:tcW w:w="1180" w:type="dxa"/>
            <w:vAlign w:val="bottom"/>
            <w:tcBorders>
              <w:bottom w:val="single" w:sz="8" w:color="77943C"/>
            </w:tcBorders>
          </w:tcPr>
          <w:p>
            <w:pPr>
              <w:jc w:val="right"/>
              <w:ind w:right="12"/>
              <w:spacing w:after="0"/>
              <w:rPr>
                <w:sz w:val="20"/>
                <w:szCs w:val="20"/>
                <w:color w:val="auto"/>
              </w:rPr>
            </w:pPr>
            <w:r>
              <w:rPr>
                <w:rFonts w:ascii="Arial" w:cs="Arial" w:eastAsia="Arial" w:hAnsi="Arial"/>
                <w:sz w:val="8"/>
                <w:szCs w:val="8"/>
                <w:b w:val="1"/>
                <w:bCs w:val="1"/>
                <w:color w:val="auto"/>
              </w:rPr>
              <w:t xml:space="preserve">(Thousand Tons) </w:t>
            </w:r>
            <w:r>
              <w:rPr>
                <w:rFonts w:ascii="Arial" w:cs="Arial" w:eastAsia="Arial" w:hAnsi="Arial"/>
                <w:sz w:val="7"/>
                <w:szCs w:val="7"/>
                <w:b w:val="1"/>
                <w:bCs w:val="1"/>
                <w:color w:val="auto"/>
              </w:rPr>
              <w:t>(3)</w:t>
            </w:r>
          </w:p>
        </w:tc>
        <w:tc>
          <w:tcPr>
            <w:tcW w:w="400" w:type="dxa"/>
            <w:vAlign w:val="bottom"/>
            <w:tcBorders>
              <w:bottom w:val="single" w:sz="8" w:color="77943C"/>
            </w:tcBorders>
          </w:tcPr>
          <w:p>
            <w:pPr>
              <w:spacing w:after="0"/>
              <w:rPr>
                <w:sz w:val="8"/>
                <w:szCs w:val="8"/>
                <w:color w:val="auto"/>
              </w:rPr>
            </w:pPr>
          </w:p>
        </w:tc>
        <w:tc>
          <w:tcPr>
            <w:tcW w:w="960" w:type="dxa"/>
            <w:vAlign w:val="bottom"/>
            <w:tcBorders>
              <w:bottom w:val="single" w:sz="8" w:color="77943C"/>
            </w:tcBorders>
          </w:tcPr>
          <w:p>
            <w:pPr>
              <w:jc w:val="right"/>
              <w:spacing w:after="0"/>
              <w:rPr>
                <w:sz w:val="20"/>
                <w:szCs w:val="20"/>
                <w:color w:val="auto"/>
              </w:rPr>
            </w:pPr>
            <w:r>
              <w:rPr>
                <w:rFonts w:ascii="Arial" w:cs="Arial" w:eastAsia="Arial" w:hAnsi="Arial"/>
                <w:sz w:val="8"/>
                <w:szCs w:val="8"/>
                <w:b w:val="1"/>
                <w:bCs w:val="1"/>
                <w:color w:val="auto"/>
              </w:rPr>
              <w:t xml:space="preserve">(Years) </w:t>
            </w:r>
            <w:r>
              <w:rPr>
                <w:rFonts w:ascii="Arial" w:cs="Arial" w:eastAsia="Arial" w:hAnsi="Arial"/>
                <w:sz w:val="7"/>
                <w:szCs w:val="7"/>
                <w:b w:val="1"/>
                <w:bCs w:val="1"/>
                <w:color w:val="auto"/>
              </w:rPr>
              <w:t>(4)</w:t>
            </w:r>
          </w:p>
        </w:tc>
        <w:tc>
          <w:tcPr>
            <w:tcW w:w="680" w:type="dxa"/>
            <w:vAlign w:val="bottom"/>
            <w:tcBorders>
              <w:bottom w:val="single" w:sz="8" w:color="77943C"/>
            </w:tcBorders>
          </w:tcPr>
          <w:p>
            <w:pPr>
              <w:spacing w:after="0"/>
              <w:rPr>
                <w:sz w:val="8"/>
                <w:szCs w:val="8"/>
                <w:color w:val="auto"/>
              </w:rPr>
            </w:pPr>
          </w:p>
        </w:tc>
        <w:tc>
          <w:tcPr>
            <w:tcW w:w="1200" w:type="dxa"/>
            <w:vAlign w:val="bottom"/>
            <w:tcBorders>
              <w:bottom w:val="single" w:sz="8" w:color="77943C"/>
            </w:tcBorders>
          </w:tcPr>
          <w:p>
            <w:pPr>
              <w:jc w:val="right"/>
              <w:ind w:right="51"/>
              <w:spacing w:after="0"/>
              <w:rPr>
                <w:sz w:val="20"/>
                <w:szCs w:val="20"/>
                <w:color w:val="auto"/>
              </w:rPr>
            </w:pPr>
            <w:r>
              <w:rPr>
                <w:rFonts w:ascii="Arial" w:cs="Arial" w:eastAsia="Arial" w:hAnsi="Arial"/>
                <w:sz w:val="8"/>
                <w:szCs w:val="8"/>
                <w:b w:val="1"/>
                <w:bCs w:val="1"/>
                <w:color w:val="auto"/>
              </w:rPr>
              <w:t>(Thousand Tons)</w:t>
            </w:r>
          </w:p>
        </w:tc>
      </w:tr>
      <w:tr>
        <w:trPr>
          <w:trHeight w:val="133"/>
        </w:trPr>
        <w:tc>
          <w:tcPr>
            <w:tcW w:w="3440" w:type="dxa"/>
            <w:vAlign w:val="bottom"/>
          </w:tcPr>
          <w:p>
            <w:pPr>
              <w:spacing w:after="0"/>
              <w:rPr>
                <w:sz w:val="20"/>
                <w:szCs w:val="20"/>
                <w:color w:val="auto"/>
              </w:rPr>
            </w:pPr>
            <w:r>
              <w:rPr>
                <w:rFonts w:ascii="Arial" w:cs="Arial" w:eastAsia="Arial" w:hAnsi="Arial"/>
                <w:sz w:val="11"/>
                <w:szCs w:val="11"/>
                <w:b w:val="1"/>
                <w:bCs w:val="1"/>
                <w:color w:val="77943C"/>
              </w:rPr>
              <w:t>Albuquerque, New Mexico</w:t>
            </w:r>
          </w:p>
        </w:tc>
        <w:tc>
          <w:tcPr>
            <w:tcW w:w="174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425</w:t>
            </w:r>
          </w:p>
        </w:tc>
        <w:tc>
          <w:tcPr>
            <w:tcW w:w="140" w:type="dxa"/>
            <w:vAlign w:val="bottom"/>
            <w:tcBorders>
              <w:bottom w:val="single" w:sz="8" w:color="A6A6A6"/>
            </w:tcBorders>
          </w:tcPr>
          <w:p>
            <w:pPr>
              <w:spacing w:after="0"/>
              <w:rPr>
                <w:sz w:val="11"/>
                <w:szCs w:val="11"/>
                <w:color w:val="auto"/>
              </w:rPr>
            </w:pPr>
          </w:p>
        </w:tc>
        <w:tc>
          <w:tcPr>
            <w:tcW w:w="1560" w:type="dxa"/>
            <w:vAlign w:val="bottom"/>
            <w:tcBorders>
              <w:bottom w:val="single" w:sz="8" w:color="A6A6A6"/>
            </w:tcBorders>
          </w:tcPr>
          <w:p>
            <w:pPr>
              <w:jc w:val="right"/>
              <w:ind w:right="370"/>
              <w:spacing w:after="0"/>
              <w:rPr>
                <w:sz w:val="20"/>
                <w:szCs w:val="20"/>
                <w:color w:val="auto"/>
              </w:rPr>
            </w:pPr>
            <w:r>
              <w:rPr>
                <w:rFonts w:ascii="Arial" w:cs="Arial" w:eastAsia="Arial" w:hAnsi="Arial"/>
                <w:sz w:val="11"/>
                <w:szCs w:val="11"/>
                <w:color w:val="auto"/>
              </w:rPr>
              <w:t>Owned</w:t>
            </w:r>
          </w:p>
        </w:tc>
        <w:tc>
          <w:tcPr>
            <w:tcW w:w="1180" w:type="dxa"/>
            <w:vAlign w:val="bottom"/>
            <w:tcBorders>
              <w:bottom w:val="single" w:sz="8" w:color="A6A6A6"/>
            </w:tcBorders>
          </w:tcPr>
          <w:p>
            <w:pPr>
              <w:jc w:val="right"/>
              <w:ind w:right="12"/>
              <w:spacing w:after="0"/>
              <w:rPr>
                <w:sz w:val="20"/>
                <w:szCs w:val="20"/>
                <w:color w:val="auto"/>
              </w:rPr>
            </w:pPr>
            <w:r>
              <w:rPr>
                <w:rFonts w:ascii="Arial" w:cs="Arial" w:eastAsia="Arial" w:hAnsi="Arial"/>
                <w:sz w:val="11"/>
                <w:szCs w:val="11"/>
                <w:color w:val="auto"/>
              </w:rPr>
              <w:t>10,490</w:t>
            </w:r>
          </w:p>
        </w:tc>
        <w:tc>
          <w:tcPr>
            <w:tcW w:w="400" w:type="dxa"/>
            <w:vAlign w:val="bottom"/>
            <w:tcBorders>
              <w:bottom w:val="single" w:sz="8" w:color="A6A6A6"/>
            </w:tcBorders>
          </w:tcPr>
          <w:p>
            <w:pPr>
              <w:jc w:val="right"/>
              <w:ind w:right="174"/>
              <w:spacing w:after="0"/>
              <w:rPr>
                <w:sz w:val="20"/>
                <w:szCs w:val="20"/>
                <w:color w:val="auto"/>
              </w:rPr>
            </w:pPr>
            <w:r>
              <w:rPr>
                <w:rFonts w:ascii="Arial" w:cs="Arial" w:eastAsia="Arial" w:hAnsi="Arial"/>
                <w:sz w:val="9"/>
                <w:szCs w:val="9"/>
                <w:color w:val="auto"/>
              </w:rPr>
              <w:t>(5)</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w:t>
            </w:r>
          </w:p>
        </w:tc>
        <w:tc>
          <w:tcPr>
            <w:tcW w:w="680" w:type="dxa"/>
            <w:vAlign w:val="bottom"/>
            <w:tcBorders>
              <w:bottom w:val="single" w:sz="8" w:color="A6A6A6"/>
            </w:tcBorders>
          </w:tcPr>
          <w:p>
            <w:pPr>
              <w:jc w:val="right"/>
              <w:ind w:right="454"/>
              <w:spacing w:after="0"/>
              <w:rPr>
                <w:sz w:val="20"/>
                <w:szCs w:val="20"/>
                <w:color w:val="auto"/>
              </w:rPr>
            </w:pPr>
            <w:r>
              <w:rPr>
                <w:rFonts w:ascii="Arial" w:cs="Arial" w:eastAsia="Arial" w:hAnsi="Arial"/>
                <w:sz w:val="9"/>
                <w:szCs w:val="9"/>
                <w:color w:val="auto"/>
              </w:rPr>
              <w:t>(5)</w:t>
            </w:r>
          </w:p>
        </w:tc>
        <w:tc>
          <w:tcPr>
            <w:tcW w:w="1200" w:type="dxa"/>
            <w:vAlign w:val="bottom"/>
            <w:tcBorders>
              <w:bottom w:val="single" w:sz="8" w:color="A6A6A6"/>
            </w:tcBorders>
          </w:tcPr>
          <w:p>
            <w:pPr>
              <w:jc w:val="right"/>
              <w:ind w:right="51"/>
              <w:spacing w:after="0"/>
              <w:rPr>
                <w:sz w:val="20"/>
                <w:szCs w:val="20"/>
                <w:color w:val="auto"/>
              </w:rPr>
            </w:pPr>
            <w:r>
              <w:rPr>
                <w:rFonts w:ascii="Arial" w:cs="Arial" w:eastAsia="Arial" w:hAnsi="Arial"/>
                <w:sz w:val="11"/>
                <w:szCs w:val="11"/>
                <w:color w:val="auto"/>
              </w:rPr>
              <w:t>520</w:t>
            </w:r>
          </w:p>
        </w:tc>
      </w:tr>
      <w:tr>
        <w:trPr>
          <w:trHeight w:val="133"/>
        </w:trPr>
        <w:tc>
          <w:tcPr>
            <w:tcW w:w="3440" w:type="dxa"/>
            <w:vAlign w:val="bottom"/>
            <w:tcBorders>
              <w:bottom w:val="single" w:sz="8" w:color="A6A6A6"/>
            </w:tcBorders>
          </w:tcPr>
          <w:p>
            <w:pPr>
              <w:spacing w:after="0"/>
              <w:rPr>
                <w:sz w:val="11"/>
                <w:szCs w:val="11"/>
                <w:color w:val="auto"/>
              </w:rPr>
            </w:pPr>
          </w:p>
        </w:tc>
        <w:tc>
          <w:tcPr>
            <w:tcW w:w="174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560" w:type="dxa"/>
            <w:vAlign w:val="bottom"/>
            <w:tcBorders>
              <w:bottom w:val="single" w:sz="8" w:color="A6A6A6"/>
            </w:tcBorders>
          </w:tcPr>
          <w:p>
            <w:pPr>
              <w:jc w:val="right"/>
              <w:ind w:right="370"/>
              <w:spacing w:after="0"/>
              <w:rPr>
                <w:sz w:val="20"/>
                <w:szCs w:val="20"/>
                <w:color w:val="auto"/>
              </w:rPr>
            </w:pPr>
            <w:r>
              <w:rPr>
                <w:rFonts w:ascii="Arial" w:cs="Arial" w:eastAsia="Arial" w:hAnsi="Arial"/>
                <w:sz w:val="11"/>
                <w:szCs w:val="11"/>
                <w:color w:val="auto"/>
              </w:rPr>
              <w:t>Leased</w:t>
            </w:r>
          </w:p>
        </w:tc>
        <w:tc>
          <w:tcPr>
            <w:tcW w:w="1180" w:type="dxa"/>
            <w:vAlign w:val="bottom"/>
            <w:tcBorders>
              <w:bottom w:val="single" w:sz="8" w:color="A6A6A6"/>
            </w:tcBorders>
          </w:tcPr>
          <w:p>
            <w:pPr>
              <w:jc w:val="right"/>
              <w:ind w:right="12"/>
              <w:spacing w:after="0"/>
              <w:rPr>
                <w:sz w:val="20"/>
                <w:szCs w:val="20"/>
                <w:color w:val="auto"/>
              </w:rPr>
            </w:pPr>
            <w:r>
              <w:rPr>
                <w:rFonts w:ascii="Arial" w:cs="Arial" w:eastAsia="Arial" w:hAnsi="Arial"/>
                <w:sz w:val="11"/>
                <w:szCs w:val="11"/>
                <w:color w:val="auto"/>
              </w:rPr>
              <w:t>53,690</w:t>
            </w:r>
          </w:p>
        </w:tc>
        <w:tc>
          <w:tcPr>
            <w:tcW w:w="400" w:type="dxa"/>
            <w:vAlign w:val="bottom"/>
            <w:tcBorders>
              <w:bottom w:val="single" w:sz="8" w:color="A6A6A6"/>
            </w:tcBorders>
          </w:tcPr>
          <w:p>
            <w:pPr>
              <w:jc w:val="right"/>
              <w:ind w:right="174"/>
              <w:spacing w:after="0"/>
              <w:rPr>
                <w:sz w:val="20"/>
                <w:szCs w:val="20"/>
                <w:color w:val="auto"/>
              </w:rPr>
            </w:pPr>
            <w:r>
              <w:rPr>
                <w:rFonts w:ascii="Arial" w:cs="Arial" w:eastAsia="Arial" w:hAnsi="Arial"/>
                <w:sz w:val="9"/>
                <w:szCs w:val="9"/>
                <w:color w:val="auto"/>
              </w:rPr>
              <w:t>(5)</w:t>
            </w:r>
          </w:p>
        </w:tc>
        <w:tc>
          <w:tcPr>
            <w:tcW w:w="9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spacing w:after="0"/>
              <w:rPr>
                <w:sz w:val="11"/>
                <w:szCs w:val="11"/>
                <w:color w:val="auto"/>
              </w:rPr>
            </w:pPr>
          </w:p>
        </w:tc>
      </w:tr>
      <w:tr>
        <w:trPr>
          <w:trHeight w:val="133"/>
        </w:trPr>
        <w:tc>
          <w:tcPr>
            <w:tcW w:w="34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77943C"/>
              </w:rPr>
              <w:t>Bernalillo, New Mexico</w:t>
            </w:r>
          </w:p>
        </w:tc>
        <w:tc>
          <w:tcPr>
            <w:tcW w:w="174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550</w:t>
            </w:r>
          </w:p>
        </w:tc>
        <w:tc>
          <w:tcPr>
            <w:tcW w:w="140" w:type="dxa"/>
            <w:vAlign w:val="bottom"/>
            <w:tcBorders>
              <w:bottom w:val="single" w:sz="8" w:color="A6A6A6"/>
            </w:tcBorders>
          </w:tcPr>
          <w:p>
            <w:pPr>
              <w:spacing w:after="0"/>
              <w:rPr>
                <w:sz w:val="11"/>
                <w:szCs w:val="11"/>
                <w:color w:val="auto"/>
              </w:rPr>
            </w:pPr>
          </w:p>
        </w:tc>
        <w:tc>
          <w:tcPr>
            <w:tcW w:w="156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jc w:val="right"/>
              <w:ind w:right="174"/>
              <w:spacing w:after="0"/>
              <w:rPr>
                <w:sz w:val="20"/>
                <w:szCs w:val="20"/>
                <w:color w:val="auto"/>
              </w:rPr>
            </w:pPr>
            <w:r>
              <w:rPr>
                <w:rFonts w:ascii="Arial" w:cs="Arial" w:eastAsia="Arial" w:hAnsi="Arial"/>
                <w:sz w:val="9"/>
                <w:szCs w:val="9"/>
                <w:color w:val="auto"/>
              </w:rPr>
              <w:t>(5)</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w:t>
            </w:r>
          </w:p>
        </w:tc>
        <w:tc>
          <w:tcPr>
            <w:tcW w:w="680" w:type="dxa"/>
            <w:vAlign w:val="bottom"/>
            <w:tcBorders>
              <w:bottom w:val="single" w:sz="8" w:color="A6A6A6"/>
            </w:tcBorders>
          </w:tcPr>
          <w:p>
            <w:pPr>
              <w:jc w:val="right"/>
              <w:ind w:right="454"/>
              <w:spacing w:after="0"/>
              <w:rPr>
                <w:sz w:val="20"/>
                <w:szCs w:val="20"/>
                <w:color w:val="auto"/>
              </w:rPr>
            </w:pPr>
            <w:r>
              <w:rPr>
                <w:rFonts w:ascii="Arial" w:cs="Arial" w:eastAsia="Arial" w:hAnsi="Arial"/>
                <w:sz w:val="9"/>
                <w:szCs w:val="9"/>
                <w:color w:val="auto"/>
              </w:rPr>
              <w:t>(5)</w:t>
            </w:r>
          </w:p>
        </w:tc>
        <w:tc>
          <w:tcPr>
            <w:tcW w:w="1200" w:type="dxa"/>
            <w:vAlign w:val="bottom"/>
            <w:tcBorders>
              <w:bottom w:val="single" w:sz="8" w:color="A6A6A6"/>
            </w:tcBorders>
          </w:tcPr>
          <w:p>
            <w:pPr>
              <w:spacing w:after="0"/>
              <w:rPr>
                <w:sz w:val="11"/>
                <w:szCs w:val="11"/>
                <w:color w:val="auto"/>
              </w:rPr>
            </w:pPr>
          </w:p>
        </w:tc>
      </w:tr>
      <w:tr>
        <w:trPr>
          <w:trHeight w:val="132"/>
        </w:trPr>
        <w:tc>
          <w:tcPr>
            <w:tcW w:w="34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77943C"/>
              </w:rPr>
              <w:t>Gypsum, Colorado</w:t>
            </w:r>
          </w:p>
        </w:tc>
        <w:tc>
          <w:tcPr>
            <w:tcW w:w="174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700</w:t>
            </w:r>
          </w:p>
        </w:tc>
        <w:tc>
          <w:tcPr>
            <w:tcW w:w="140" w:type="dxa"/>
            <w:vAlign w:val="bottom"/>
            <w:tcBorders>
              <w:bottom w:val="single" w:sz="8" w:color="A6A6A6"/>
            </w:tcBorders>
          </w:tcPr>
          <w:p>
            <w:pPr>
              <w:spacing w:after="0"/>
              <w:rPr>
                <w:sz w:val="11"/>
                <w:szCs w:val="11"/>
                <w:color w:val="auto"/>
              </w:rPr>
            </w:pPr>
          </w:p>
        </w:tc>
        <w:tc>
          <w:tcPr>
            <w:tcW w:w="1560" w:type="dxa"/>
            <w:vAlign w:val="bottom"/>
            <w:tcBorders>
              <w:bottom w:val="single" w:sz="8" w:color="A6A6A6"/>
            </w:tcBorders>
          </w:tcPr>
          <w:p>
            <w:pPr>
              <w:jc w:val="right"/>
              <w:ind w:right="370"/>
              <w:spacing w:after="0"/>
              <w:rPr>
                <w:sz w:val="20"/>
                <w:szCs w:val="20"/>
                <w:color w:val="auto"/>
              </w:rPr>
            </w:pPr>
            <w:r>
              <w:rPr>
                <w:rFonts w:ascii="Arial" w:cs="Arial" w:eastAsia="Arial" w:hAnsi="Arial"/>
                <w:sz w:val="11"/>
                <w:szCs w:val="11"/>
                <w:color w:val="auto"/>
              </w:rPr>
              <w:t>Owned</w:t>
            </w:r>
          </w:p>
        </w:tc>
        <w:tc>
          <w:tcPr>
            <w:tcW w:w="1180" w:type="dxa"/>
            <w:vAlign w:val="bottom"/>
            <w:tcBorders>
              <w:bottom w:val="single" w:sz="8" w:color="A6A6A6"/>
            </w:tcBorders>
          </w:tcPr>
          <w:p>
            <w:pPr>
              <w:jc w:val="right"/>
              <w:ind w:right="12"/>
              <w:spacing w:after="0"/>
              <w:rPr>
                <w:sz w:val="20"/>
                <w:szCs w:val="20"/>
                <w:color w:val="auto"/>
              </w:rPr>
            </w:pPr>
            <w:r>
              <w:rPr>
                <w:rFonts w:ascii="Arial" w:cs="Arial" w:eastAsia="Arial" w:hAnsi="Arial"/>
                <w:sz w:val="11"/>
                <w:szCs w:val="11"/>
                <w:color w:val="auto"/>
              </w:rPr>
              <w:t>30,100</w:t>
            </w:r>
          </w:p>
        </w:tc>
        <w:tc>
          <w:tcPr>
            <w:tcW w:w="4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w:t>
            </w:r>
          </w:p>
        </w:tc>
        <w:tc>
          <w:tcPr>
            <w:tcW w:w="68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ind w:right="51"/>
              <w:spacing w:after="0"/>
              <w:rPr>
                <w:sz w:val="20"/>
                <w:szCs w:val="20"/>
                <w:color w:val="auto"/>
              </w:rPr>
            </w:pPr>
            <w:r>
              <w:rPr>
                <w:rFonts w:ascii="Arial" w:cs="Arial" w:eastAsia="Arial" w:hAnsi="Arial"/>
                <w:sz w:val="11"/>
                <w:szCs w:val="11"/>
                <w:color w:val="auto"/>
              </w:rPr>
              <w:t>500</w:t>
            </w:r>
          </w:p>
        </w:tc>
      </w:tr>
      <w:tr>
        <w:trPr>
          <w:trHeight w:val="133"/>
        </w:trPr>
        <w:tc>
          <w:tcPr>
            <w:tcW w:w="34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77943C"/>
              </w:rPr>
              <w:t>Duke, Oklahoma</w:t>
            </w:r>
          </w:p>
        </w:tc>
        <w:tc>
          <w:tcPr>
            <w:tcW w:w="174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1,300</w:t>
            </w:r>
          </w:p>
        </w:tc>
        <w:tc>
          <w:tcPr>
            <w:tcW w:w="140" w:type="dxa"/>
            <w:vAlign w:val="bottom"/>
            <w:tcBorders>
              <w:bottom w:val="single" w:sz="8" w:color="A6A6A6"/>
            </w:tcBorders>
          </w:tcPr>
          <w:p>
            <w:pPr>
              <w:spacing w:after="0"/>
              <w:rPr>
                <w:sz w:val="11"/>
                <w:szCs w:val="11"/>
                <w:color w:val="auto"/>
              </w:rPr>
            </w:pPr>
          </w:p>
        </w:tc>
        <w:tc>
          <w:tcPr>
            <w:tcW w:w="1560" w:type="dxa"/>
            <w:vAlign w:val="bottom"/>
            <w:tcBorders>
              <w:bottom w:val="single" w:sz="8" w:color="A6A6A6"/>
            </w:tcBorders>
          </w:tcPr>
          <w:p>
            <w:pPr>
              <w:jc w:val="right"/>
              <w:ind w:right="370"/>
              <w:spacing w:after="0"/>
              <w:rPr>
                <w:sz w:val="20"/>
                <w:szCs w:val="20"/>
                <w:color w:val="auto"/>
              </w:rPr>
            </w:pPr>
            <w:r>
              <w:rPr>
                <w:rFonts w:ascii="Arial" w:cs="Arial" w:eastAsia="Arial" w:hAnsi="Arial"/>
                <w:sz w:val="11"/>
                <w:szCs w:val="11"/>
                <w:color w:val="auto"/>
              </w:rPr>
              <w:t>Owned</w:t>
            </w:r>
          </w:p>
        </w:tc>
        <w:tc>
          <w:tcPr>
            <w:tcW w:w="1180" w:type="dxa"/>
            <w:vAlign w:val="bottom"/>
            <w:tcBorders>
              <w:bottom w:val="single" w:sz="8" w:color="A6A6A6"/>
            </w:tcBorders>
          </w:tcPr>
          <w:p>
            <w:pPr>
              <w:jc w:val="right"/>
              <w:ind w:right="12"/>
              <w:spacing w:after="0"/>
              <w:rPr>
                <w:sz w:val="20"/>
                <w:szCs w:val="20"/>
                <w:color w:val="auto"/>
              </w:rPr>
            </w:pPr>
            <w:r>
              <w:rPr>
                <w:rFonts w:ascii="Arial" w:cs="Arial" w:eastAsia="Arial" w:hAnsi="Arial"/>
                <w:sz w:val="11"/>
                <w:szCs w:val="11"/>
                <w:color w:val="auto"/>
              </w:rPr>
              <w:t>63,800</w:t>
            </w:r>
          </w:p>
        </w:tc>
        <w:tc>
          <w:tcPr>
            <w:tcW w:w="4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w:t>
            </w:r>
          </w:p>
        </w:tc>
        <w:tc>
          <w:tcPr>
            <w:tcW w:w="68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ind w:right="51"/>
              <w:spacing w:after="0"/>
              <w:rPr>
                <w:sz w:val="20"/>
                <w:szCs w:val="20"/>
                <w:color w:val="auto"/>
              </w:rPr>
            </w:pPr>
            <w:r>
              <w:rPr>
                <w:rFonts w:ascii="Arial" w:cs="Arial" w:eastAsia="Arial" w:hAnsi="Arial"/>
                <w:sz w:val="11"/>
                <w:szCs w:val="11"/>
                <w:color w:val="auto"/>
              </w:rPr>
              <w:t>405</w:t>
            </w:r>
          </w:p>
        </w:tc>
      </w:tr>
      <w:tr>
        <w:trPr>
          <w:trHeight w:val="135"/>
        </w:trPr>
        <w:tc>
          <w:tcPr>
            <w:tcW w:w="3440" w:type="dxa"/>
            <w:vAlign w:val="bottom"/>
            <w:tcBorders>
              <w:bottom w:val="single" w:sz="8" w:color="A6A6A6"/>
            </w:tcBorders>
          </w:tcPr>
          <w:p>
            <w:pPr>
              <w:spacing w:after="0" w:line="135" w:lineRule="exact"/>
              <w:rPr>
                <w:sz w:val="20"/>
                <w:szCs w:val="20"/>
                <w:color w:val="auto"/>
              </w:rPr>
            </w:pPr>
            <w:r>
              <w:rPr>
                <w:rFonts w:ascii="Arial" w:cs="Arial" w:eastAsia="Arial" w:hAnsi="Arial"/>
                <w:sz w:val="9"/>
                <w:szCs w:val="9"/>
                <w:b w:val="1"/>
                <w:bCs w:val="1"/>
                <w:color w:val="77943C"/>
              </w:rPr>
              <w:t xml:space="preserve">Georgetown, South Carolina </w:t>
            </w:r>
            <w:r>
              <w:rPr>
                <w:rFonts w:ascii="Arial" w:cs="Arial" w:eastAsia="Arial" w:hAnsi="Arial"/>
                <w:sz w:val="15"/>
                <w:szCs w:val="15"/>
                <w:b w:val="1"/>
                <w:bCs w:val="1"/>
                <w:color w:val="77943C"/>
                <w:vertAlign w:val="superscript"/>
              </w:rPr>
              <w:t>(6)</w:t>
            </w:r>
          </w:p>
        </w:tc>
        <w:tc>
          <w:tcPr>
            <w:tcW w:w="1740" w:type="dxa"/>
            <w:vAlign w:val="bottom"/>
            <w:tcBorders>
              <w:bottom w:val="single" w:sz="8" w:color="77943C"/>
            </w:tcBorders>
          </w:tcPr>
          <w:p>
            <w:pPr>
              <w:jc w:val="right"/>
              <w:ind w:right="7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1"/>
                <w:szCs w:val="11"/>
                <w:color w:val="auto"/>
              </w:rPr>
            </w:pPr>
          </w:p>
        </w:tc>
        <w:tc>
          <w:tcPr>
            <w:tcW w:w="156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w:t>
            </w:r>
          </w:p>
        </w:tc>
        <w:tc>
          <w:tcPr>
            <w:tcW w:w="680" w:type="dxa"/>
            <w:vAlign w:val="bottom"/>
            <w:tcBorders>
              <w:bottom w:val="single" w:sz="8" w:color="A6A6A6"/>
            </w:tcBorders>
          </w:tcPr>
          <w:p>
            <w:pPr>
              <w:jc w:val="right"/>
              <w:ind w:right="454"/>
              <w:spacing w:after="0"/>
              <w:rPr>
                <w:sz w:val="20"/>
                <w:szCs w:val="20"/>
                <w:color w:val="auto"/>
              </w:rPr>
            </w:pPr>
            <w:r>
              <w:rPr>
                <w:rFonts w:ascii="Arial" w:cs="Arial" w:eastAsia="Arial" w:hAnsi="Arial"/>
                <w:sz w:val="9"/>
                <w:szCs w:val="9"/>
                <w:color w:val="auto"/>
              </w:rPr>
              <w:t>(6)</w:t>
            </w:r>
          </w:p>
        </w:tc>
        <w:tc>
          <w:tcPr>
            <w:tcW w:w="1200" w:type="dxa"/>
            <w:vAlign w:val="bottom"/>
            <w:tcBorders>
              <w:bottom w:val="single" w:sz="8" w:color="A6A6A6"/>
            </w:tcBorders>
          </w:tcPr>
          <w:p>
            <w:pPr>
              <w:jc w:val="right"/>
              <w:ind w:right="51"/>
              <w:spacing w:after="0"/>
              <w:rPr>
                <w:sz w:val="20"/>
                <w:szCs w:val="20"/>
                <w:color w:val="auto"/>
              </w:rPr>
            </w:pPr>
            <w:r>
              <w:rPr>
                <w:rFonts w:ascii="Arial" w:cs="Arial" w:eastAsia="Arial" w:hAnsi="Arial"/>
                <w:sz w:val="11"/>
                <w:szCs w:val="11"/>
                <w:color w:val="auto"/>
              </w:rPr>
              <w:t>—</w:t>
            </w:r>
          </w:p>
        </w:tc>
      </w:tr>
      <w:tr>
        <w:trPr>
          <w:trHeight w:val="140"/>
        </w:trPr>
        <w:tc>
          <w:tcPr>
            <w:tcW w:w="344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1740" w:type="dxa"/>
            <w:vAlign w:val="bottom"/>
            <w:tcBorders>
              <w:bottom w:val="single" w:sz="8" w:color="77943C"/>
            </w:tcBorders>
          </w:tcPr>
          <w:p>
            <w:pPr>
              <w:jc w:val="right"/>
              <w:ind w:right="70"/>
              <w:spacing w:after="0"/>
              <w:rPr>
                <w:sz w:val="20"/>
                <w:szCs w:val="20"/>
                <w:color w:val="auto"/>
              </w:rPr>
            </w:pPr>
            <w:r>
              <w:rPr>
                <w:rFonts w:ascii="Arial" w:cs="Arial" w:eastAsia="Arial" w:hAnsi="Arial"/>
                <w:sz w:val="11"/>
                <w:szCs w:val="11"/>
                <w:b w:val="1"/>
                <w:bCs w:val="1"/>
                <w:color w:val="auto"/>
              </w:rPr>
              <w:t>3,875</w:t>
            </w: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ind w:left="268" w:hanging="268"/>
        <w:spacing w:after="0"/>
        <w:tabs>
          <w:tab w:leader="none" w:pos="268"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Million Square Feet (MMSF) based on anticipated product mix.</w:t>
      </w:r>
    </w:p>
    <w:p>
      <w:pPr>
        <w:ind w:left="268" w:hanging="268"/>
        <w:spacing w:after="0" w:line="187" w:lineRule="auto"/>
        <w:tabs>
          <w:tab w:leader="none" w:pos="268" w:val="left"/>
        </w:tabs>
        <w:numPr>
          <w:ilvl w:val="0"/>
          <w:numId w:val="6"/>
        </w:numPr>
        <w:rPr>
          <w:rFonts w:ascii="Arial" w:cs="Arial" w:eastAsia="Arial" w:hAnsi="Arial"/>
          <w:sz w:val="12"/>
          <w:szCs w:val="12"/>
          <w:color w:val="auto"/>
          <w:vertAlign w:val="superscript"/>
        </w:rPr>
      </w:pPr>
      <w:r>
        <w:rPr>
          <w:rFonts w:ascii="Arial" w:cs="Arial" w:eastAsia="Arial" w:hAnsi="Arial"/>
          <w:sz w:val="8"/>
          <w:szCs w:val="8"/>
          <w:color w:val="auto"/>
        </w:rPr>
        <w:t>Owned reserves include mining claims.</w:t>
      </w:r>
    </w:p>
    <w:p>
      <w:pPr>
        <w:ind w:left="268" w:hanging="268"/>
        <w:spacing w:after="0" w:line="187" w:lineRule="auto"/>
        <w:tabs>
          <w:tab w:leader="none" w:pos="268" w:val="left"/>
        </w:tabs>
        <w:numPr>
          <w:ilvl w:val="0"/>
          <w:numId w:val="6"/>
        </w:numPr>
        <w:rPr>
          <w:rFonts w:ascii="Arial" w:cs="Arial" w:eastAsia="Arial" w:hAnsi="Arial"/>
          <w:sz w:val="12"/>
          <w:szCs w:val="12"/>
          <w:color w:val="auto"/>
          <w:vertAlign w:val="superscript"/>
        </w:rPr>
      </w:pPr>
      <w:r>
        <w:rPr>
          <w:rFonts w:ascii="Arial" w:cs="Arial" w:eastAsia="Arial" w:hAnsi="Arial"/>
          <w:sz w:val="8"/>
          <w:szCs w:val="8"/>
          <w:color w:val="auto"/>
        </w:rPr>
        <w:t>All gypsum tons are deemed probable under the definition provided by Industry Guide 7.</w:t>
      </w:r>
    </w:p>
    <w:p>
      <w:pPr>
        <w:ind w:left="268" w:hanging="268"/>
        <w:spacing w:after="0" w:line="187" w:lineRule="auto"/>
        <w:tabs>
          <w:tab w:leader="none" w:pos="268" w:val="left"/>
        </w:tabs>
        <w:numPr>
          <w:ilvl w:val="0"/>
          <w:numId w:val="6"/>
        </w:numPr>
        <w:rPr>
          <w:rFonts w:ascii="Arial" w:cs="Arial" w:eastAsia="Arial" w:hAnsi="Arial"/>
          <w:sz w:val="12"/>
          <w:szCs w:val="12"/>
          <w:color w:val="auto"/>
          <w:vertAlign w:val="superscript"/>
        </w:rPr>
      </w:pPr>
      <w:r>
        <w:rPr>
          <w:rFonts w:ascii="Arial" w:cs="Arial" w:eastAsia="Arial" w:hAnsi="Arial"/>
          <w:sz w:val="8"/>
          <w:szCs w:val="8"/>
          <w:color w:val="auto"/>
        </w:rPr>
        <w:t>At 100% capacity utilization.</w:t>
      </w:r>
    </w:p>
    <w:p>
      <w:pPr>
        <w:ind w:left="268" w:hanging="268"/>
        <w:spacing w:after="0" w:line="187" w:lineRule="auto"/>
        <w:tabs>
          <w:tab w:leader="none" w:pos="268" w:val="left"/>
        </w:tabs>
        <w:numPr>
          <w:ilvl w:val="0"/>
          <w:numId w:val="6"/>
        </w:numPr>
        <w:rPr>
          <w:rFonts w:ascii="Arial" w:cs="Arial" w:eastAsia="Arial" w:hAnsi="Arial"/>
          <w:sz w:val="12"/>
          <w:szCs w:val="12"/>
          <w:color w:val="auto"/>
          <w:vertAlign w:val="superscript"/>
        </w:rPr>
      </w:pPr>
      <w:r>
        <w:rPr>
          <w:rFonts w:ascii="Arial" w:cs="Arial" w:eastAsia="Arial" w:hAnsi="Arial"/>
          <w:sz w:val="8"/>
          <w:szCs w:val="8"/>
          <w:color w:val="auto"/>
        </w:rPr>
        <w:t>The same reserves serve both New Mexico plants.</w:t>
      </w:r>
    </w:p>
    <w:p>
      <w:pPr>
        <w:ind w:left="268" w:hanging="268"/>
        <w:spacing w:after="0" w:line="184" w:lineRule="auto"/>
        <w:tabs>
          <w:tab w:leader="none" w:pos="268" w:val="left"/>
        </w:tabs>
        <w:numPr>
          <w:ilvl w:val="0"/>
          <w:numId w:val="6"/>
        </w:numPr>
        <w:rPr>
          <w:rFonts w:ascii="Arial" w:cs="Arial" w:eastAsia="Arial" w:hAnsi="Arial"/>
          <w:sz w:val="13"/>
          <w:szCs w:val="13"/>
          <w:color w:val="auto"/>
          <w:vertAlign w:val="superscript"/>
        </w:rPr>
      </w:pPr>
      <w:r>
        <w:rPr>
          <w:rFonts w:ascii="Arial" w:cs="Arial" w:eastAsia="Arial" w:hAnsi="Arial"/>
          <w:sz w:val="8"/>
          <w:szCs w:val="8"/>
          <w:color w:val="auto"/>
        </w:rPr>
        <w:t>We signed a 60-year supply agreement in 2006 with Santee Cooper for synthetic gypsum that expires in 2068.</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Gypsum Wallboard production totaled 2,907 MMSF in fiscal 2021 and 2,706 MMSF in fiscal 2020. Total Gypsum Wallboard sales were 2,857 MMSF in fiscal 2021 and 2,694 MMSF in fiscal 2020.</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77943C"/>
        </w:rPr>
        <w:t>Demand, Sales, and Distribution</w:t>
      </w:r>
    </w:p>
    <w:p>
      <w:pPr>
        <w:spacing w:after="0" w:line="101" w:lineRule="exact"/>
        <w:rPr>
          <w:sz w:val="20"/>
          <w:szCs w:val="20"/>
          <w:color w:val="auto"/>
        </w:rPr>
      </w:pPr>
    </w:p>
    <w:p>
      <w:pPr>
        <w:ind w:left="8" w:right="20"/>
        <w:spacing w:after="0" w:line="271" w:lineRule="auto"/>
        <w:rPr>
          <w:sz w:val="20"/>
          <w:szCs w:val="20"/>
          <w:color w:val="auto"/>
        </w:rPr>
      </w:pPr>
      <w:r>
        <w:rPr>
          <w:rFonts w:ascii="Arial" w:cs="Arial" w:eastAsia="Arial" w:hAnsi="Arial"/>
          <w:sz w:val="12"/>
          <w:szCs w:val="12"/>
          <w:color w:val="auto"/>
        </w:rPr>
        <w:t>The principal sources of demand for gypsum wallboard are (i) residential construction, (ii) repair and remodeling, (iii) non-residential construction, and (iv) other markets such as manufactured housing. According to the Gypsum Association, industry shipments of gypsum wallboard were approximately 26.2 billion square feet in calendar 2020, compared to 25.9 billion square feet in calendar 2019. We estimate that residential and repair and remodel construction accounted for more than 80% of calendar 2020 industry sales.</w:t>
      </w:r>
    </w:p>
    <w:p>
      <w:pPr>
        <w:spacing w:after="0" w:line="64" w:lineRule="exact"/>
        <w:rPr>
          <w:sz w:val="20"/>
          <w:szCs w:val="20"/>
          <w:color w:val="auto"/>
        </w:rPr>
      </w:pPr>
    </w:p>
    <w:p>
      <w:pPr>
        <w:ind w:left="8" w:right="60"/>
        <w:spacing w:after="0" w:line="277" w:lineRule="auto"/>
        <w:rPr>
          <w:sz w:val="20"/>
          <w:szCs w:val="20"/>
          <w:color w:val="auto"/>
        </w:rPr>
      </w:pPr>
      <w:r>
        <w:rPr>
          <w:rFonts w:ascii="Arial" w:cs="Arial" w:eastAsia="Arial" w:hAnsi="Arial"/>
          <w:sz w:val="12"/>
          <w:szCs w:val="12"/>
          <w:color w:val="auto"/>
        </w:rPr>
        <w:t>Demand for gypsum wallboard remains highly cyclical and closely follows construction industry cycles, particularly housing construction. Demand for wallboard can be seasonal and is generally highest from spring through the middle of autumn.</w:t>
      </w:r>
    </w:p>
    <w:p>
      <w:pPr>
        <w:spacing w:after="0" w:line="59" w:lineRule="exact"/>
        <w:rPr>
          <w:sz w:val="20"/>
          <w:szCs w:val="20"/>
          <w:color w:val="auto"/>
        </w:rPr>
      </w:pPr>
    </w:p>
    <w:p>
      <w:pPr>
        <w:ind w:left="8" w:right="120"/>
        <w:spacing w:after="0" w:line="271" w:lineRule="auto"/>
        <w:rPr>
          <w:sz w:val="20"/>
          <w:szCs w:val="20"/>
          <w:color w:val="auto"/>
        </w:rPr>
      </w:pPr>
      <w:r>
        <w:rPr>
          <w:rFonts w:ascii="Arial" w:cs="Arial" w:eastAsia="Arial" w:hAnsi="Arial"/>
          <w:sz w:val="12"/>
          <w:szCs w:val="12"/>
          <w:color w:val="auto"/>
        </w:rPr>
        <w:t>We sell Gypsum Wallboard to numerous building-materials dealers, gypsum wallboard specialty distributors, lumber yards, home-center chains, and other customers located throughout the United States, with the exception of the Northeast. Gypsum wallboard is sold on a delivered basis, mostly by truck. We generally use third-party common carriers for deliveries. Three customers accounted for approximately 35% of our Gypsum Wallboard segment sales during fiscal 2021.</w:t>
      </w:r>
    </w:p>
    <w:p>
      <w:pPr>
        <w:spacing w:after="0" w:line="64" w:lineRule="exact"/>
        <w:rPr>
          <w:sz w:val="20"/>
          <w:szCs w:val="20"/>
          <w:color w:val="auto"/>
        </w:rPr>
      </w:pPr>
    </w:p>
    <w:p>
      <w:pPr>
        <w:ind w:left="8" w:right="60"/>
        <w:spacing w:after="0" w:line="271" w:lineRule="auto"/>
        <w:rPr>
          <w:sz w:val="20"/>
          <w:szCs w:val="20"/>
          <w:color w:val="auto"/>
        </w:rPr>
      </w:pPr>
      <w:r>
        <w:rPr>
          <w:rFonts w:ascii="Arial" w:cs="Arial" w:eastAsia="Arial" w:hAnsi="Arial"/>
          <w:sz w:val="12"/>
          <w:szCs w:val="12"/>
          <w:color w:val="auto"/>
        </w:rPr>
        <w:t>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10% of our Wallboard volume sold during fiscal 2021 was delivered via rail.</w:t>
      </w:r>
    </w:p>
    <w:p>
      <w:pPr>
        <w:spacing w:after="0" w:line="33" w:lineRule="exact"/>
        <w:rPr>
          <w:sz w:val="20"/>
          <w:szCs w:val="20"/>
          <w:color w:val="auto"/>
        </w:rPr>
      </w:pPr>
    </w:p>
    <w:p>
      <w:pPr>
        <w:ind w:left="8" w:right="300"/>
        <w:spacing w:after="0" w:line="298" w:lineRule="auto"/>
        <w:rPr>
          <w:sz w:val="20"/>
          <w:szCs w:val="20"/>
          <w:color w:val="auto"/>
        </w:rPr>
      </w:pPr>
      <w:r>
        <w:rPr>
          <w:rFonts w:ascii="Arial" w:cs="Arial" w:eastAsia="Arial" w:hAnsi="Arial"/>
          <w:sz w:val="12"/>
          <w:szCs w:val="12"/>
          <w:color w:val="auto"/>
        </w:rPr>
        <w:t>There are currently six manufacturers of gypsum wallboard in the U.S., operating a total of 60 plants with a total of 71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32.7 billion square feet per year.</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2"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77943C"/>
        </w:rPr>
        <w:t>Raw Materials and Fuel Supplies</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mine and extract natural gypsum, the principal raw material used in the manufacture of gypsum wallboard, from quarries owned, leased, or subject to mining claims owned by the Company and located near our plants. Certain of our New Mexico reserves are under lease with the Pueblo of Zia. Gypsum ore reserves at the Gypsum, Colorado plant are contained within a total of 115 placer claims encompassing 2,300 acres. Included in this are 94 unpatented mining claims, where mineral rights can be developed upon completion of permitting requirements. We are currently in the twelfth year of a 60-year supply agreement (original 20-year term with two 20-year extension options) with a public utility in South Carolina for synthetic gypsum, which we use at our Georgetown, South Carolina plant. If the utility is unable to generate the agreed-upon amount of gypsum, it is responsible for providing gypsum from a third party to fulfill its obligations.</w:t>
      </w:r>
    </w:p>
    <w:p>
      <w:pPr>
        <w:spacing w:after="0" w:line="67"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production cost. Paper costs are anticipated to increase in fiscal 2022, which is expected to increase our manufacturing cost. See Raw Materials and Fuel Supplies in the Recycled Paperboard section for more discussion.</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gypsum wallboard manufacturing operations use natural gas and electrical power. A significant portion of the Company’s natural gas requirements for our gypsum wallboard plants are currently provided by three gas producers under gas-supply agreements expiring in October 2021 for Colorado, and October 2022 for South Carolina and Oklahoma. If the agreements are not renewed, we anticipate being able to obtain our gas supplies from other suppliers at competitive prices. Electrical power is supplied to our New Mexico plants at standard industrial rates by a local utility. For our Albuquerque plant, we have an interruptible power supply agreement, which may expose it to some production interruptions during periods of power curtailment.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less than 10% of our production costs in fiscal 2021.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77943C"/>
        </w:rPr>
        <w:t>Environmental Matters</w:t>
      </w:r>
    </w:p>
    <w:p>
      <w:pPr>
        <w:spacing w:after="0" w:line="101"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gypsum wallboard industry is subject to numerous federal, state, and local laws and regulations pertaining to health, safety, and the environment. Some of these laws, such as the federal Clean Air Act and the federal Clean Water Act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is the subject of any local, state, or federal environmental proceedings. We do not, and have not, used asbestos in any of our gypsum wallboard products.</w:t>
      </w:r>
    </w:p>
    <w:p>
      <w:pPr>
        <w:spacing w:after="0" w:line="67"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On April 17, 2015, the EPA published its final rule addressing the storage, reuse, and disposal of coal combustion products, which include fly ash and flue gas desulfurization gypsum (synthetic gypsum). We use synthetic gypsum in wallboard manufactured at our Georgetown, South Carolina plant. The rule, which applies only to electric utilities and independent power producers, establishes standards for the management of coal combustion residuals (CCRs) under Subtitle D of the Resource Conservation and Recovery Act, (RCRA), which is the Subtitle that regulates non-hazardous wastes. The rule imposes requirements addressing CCR surface impoundments and landfills, including location restrictions, design,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18" w:name="page19"/>
    <w:bookmarkEnd w:id="18"/>
    <w:p>
      <w:pPr>
        <w:ind w:right="80"/>
        <w:spacing w:after="0" w:line="268" w:lineRule="auto"/>
        <w:rPr>
          <w:sz w:val="20"/>
          <w:szCs w:val="20"/>
          <w:color w:val="auto"/>
        </w:rPr>
      </w:pPr>
      <w:r>
        <w:rPr>
          <w:rFonts w:ascii="Arial" w:cs="Arial" w:eastAsia="Arial" w:hAnsi="Arial"/>
          <w:sz w:val="12"/>
          <w:szCs w:val="12"/>
          <w:color w:val="auto"/>
        </w:rPr>
        <w:t>and operating specifications; groundwater monitoring requirements; corrective action requirements; recordkeeping and reporting obligations; and closure requirements. Beneficial encapsulated uses of CCRs, including synthetic gypsum, are exempt from regulation. The rule became effective on October 19, 2015. Given the EPA’s decision to continue to allow CCR to be used in synthetic gypsum and to regulate CCR under the non-hazardous waste sections of RCRA, we do not expect the rule to materially affect our business, financial condition, and results of operations. Although the EPA proposed revisions to the final CCR rule in 2018, 2019, and 2020, material effects on our business, financial condition, and results of operations are unlikely because none of these proposed rules currently seek to overturn the management of CCR as non-hazardous waste or the regulatory exemption for beneficial encapsulated use of CCR.</w:t>
      </w:r>
    </w:p>
    <w:p>
      <w:pPr>
        <w:spacing w:after="0" w:line="67"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As discussed in greater detail in the “Environmental Matters” section for Cement, the EPA in October 2015 strengthened the NAAQS for ozone by lowering the primary and secondary standards from 75 parts per billion (ppb) to 70 ppb. The EPA completed its attainment/nonattainment designations for the revised standards for all areas of the United States in July 2018. In December 2020, the Trump Administration announced its decision to retain the 2015 ozone NAAQS without change. This December 2020 final action, however, is subject to legal challenge and is currently being reviewed by the EPA pursuant to President Biden’s executive order directing federal agencies to review certain environmental actions taken by the Trump Administration. The EPA has not announced whether it plans to uphold or revise the 2020 ozone NAAQS. Consequently, if areas in or surrounding our operations obtain nonattainment designations, or if EPA chooses to revise and lower the current ozone NAAQS, our consolidated financial results may be materially impacted.</w:t>
      </w:r>
    </w:p>
    <w:p>
      <w:pPr>
        <w:spacing w:after="0" w:line="65" w:lineRule="exact"/>
        <w:rPr>
          <w:sz w:val="20"/>
          <w:szCs w:val="20"/>
          <w:color w:val="auto"/>
        </w:rPr>
      </w:pPr>
    </w:p>
    <w:p>
      <w:pPr>
        <w:ind w:right="60"/>
        <w:spacing w:after="0" w:line="324" w:lineRule="auto"/>
        <w:rPr>
          <w:sz w:val="20"/>
          <w:szCs w:val="20"/>
          <w:color w:val="auto"/>
        </w:rPr>
      </w:pPr>
      <w:r>
        <w:rPr>
          <w:rFonts w:ascii="Arial" w:cs="Arial" w:eastAsia="Arial" w:hAnsi="Arial"/>
          <w:sz w:val="11"/>
          <w:szCs w:val="11"/>
          <w:color w:val="auto"/>
        </w:rPr>
        <w:t>Our gypsum wallboard manufacturing process combusts natural gas. It is possible that GHG emissions from our manufacturing could become subject to regulation under the CAA as the EPA begins issuing new regulations to achieve President Biden’s GHG emission reduction goals. For a more detailed discussion of this issue, see the “Environmental Matters” section of our Cement business description on pages 10-11.</w:t>
      </w:r>
    </w:p>
    <w:p>
      <w:pPr>
        <w:spacing w:after="0" w:line="36" w:lineRule="exact"/>
        <w:rPr>
          <w:sz w:val="20"/>
          <w:szCs w:val="20"/>
          <w:color w:val="auto"/>
        </w:rPr>
      </w:pPr>
    </w:p>
    <w:p>
      <w:pPr>
        <w:jc w:val="both"/>
        <w:ind w:right="140"/>
        <w:spacing w:after="0" w:line="271" w:lineRule="auto"/>
        <w:rPr>
          <w:sz w:val="20"/>
          <w:szCs w:val="20"/>
          <w:color w:val="auto"/>
        </w:rPr>
      </w:pPr>
      <w:r>
        <w:rPr>
          <w:rFonts w:ascii="Arial" w:cs="Arial" w:eastAsia="Arial" w:hAnsi="Arial"/>
          <w:sz w:val="12"/>
          <w:szCs w:val="12"/>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There were $0.2 million of capital expenditures related to compliance with environmental regulations applicable to our Gypsum Wallboard operations during fiscal 2021. We anticipate capital expenditures of approximately $2.0 million related to our Gypsum Wallboard operations during fiscal 2022.</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EB949"/>
        </w:rPr>
        <w:t>RECYCLED PAPERBOARD</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Our Recycled Paperboard manufacturing operation, which we refer to as Republic Paperboard Company, is located in Lawton, Oklahoma and has a technologically advanced paper machine designed primarily for gypsum liner production utilizing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Our paper machine allows the paperboard operation to manufacture high-strength gypsum liner that is approximately 10% to 15% lighter in basis weight than what is generally available in the U.S. The low-</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382" w:right="37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2"/>
          <w:szCs w:val="12"/>
          <w:color w:val="auto"/>
        </w:rPr>
        <w:t>basis weight product utilizes less recycled fiber to produce paper that, in turn, requires less energy (natural gas) to evaporate moisture from the board during the gypsum wallboard manufacturing process. The low-basis weight paper also reduces the overall finished board weight, providing our Wallboard operations with more competitive transportation costs for both the inbound and outbound segments.</w:t>
      </w:r>
    </w:p>
    <w:p>
      <w:pPr>
        <w:spacing w:after="0" w:line="59"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During 2020, we completed a project to enhance and expand our papermill, which has been sold out for several years. The project enabled us to increase line speeds and lower our operating costs, and increased the annual capacity at the paper mill to approximately 390,000 tons.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EB949"/>
        </w:rPr>
        <w:t>Demand, Sales, and Distribution</w:t>
      </w:r>
    </w:p>
    <w:p>
      <w:pPr>
        <w:spacing w:after="0" w:line="101" w:lineRule="exact"/>
        <w:rPr>
          <w:sz w:val="20"/>
          <w:szCs w:val="20"/>
          <w:color w:val="auto"/>
        </w:rPr>
      </w:pPr>
    </w:p>
    <w:p>
      <w:pPr>
        <w:ind w:right="180"/>
        <w:spacing w:after="0" w:line="269" w:lineRule="auto"/>
        <w:rPr>
          <w:sz w:val="20"/>
          <w:szCs w:val="20"/>
          <w:color w:val="auto"/>
        </w:rPr>
      </w:pPr>
      <w:r>
        <w:rPr>
          <w:rFonts w:ascii="Arial" w:cs="Arial" w:eastAsia="Arial" w:hAnsi="Arial"/>
          <w:sz w:val="12"/>
          <w:szCs w:val="12"/>
          <w:color w:val="auto"/>
        </w:rPr>
        <w:t>Our manufactured recycled paperboard products are sold to gypsum wallboard manufacturers and other industrial users. During fiscal 2021, approximately 40% of the recycled paperboard sold by our paper mill was consumed by the Company’s Gypsum Wallboard manufacturing operations. We have contracts with two other gypsum wallboard manufacturers that expire in the next three to four years, that represent approximately 50% of our total segment revenue, with the remaining volume shipped to other gypsum wallboard manufacturers. The loss of any of these contracts or a termination or reduction of their current production of gypsum wallboard, unless replaced by a commercially similar arrangement, could have a material adverse effect on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EB949"/>
        </w:rPr>
        <w:t>Raw Materials and Fuel Supplies</w:t>
      </w:r>
    </w:p>
    <w:p>
      <w:pPr>
        <w:spacing w:after="0" w:line="101" w:lineRule="exact"/>
        <w:rPr>
          <w:sz w:val="20"/>
          <w:szCs w:val="20"/>
          <w:color w:val="auto"/>
        </w:rPr>
      </w:pPr>
    </w:p>
    <w:p>
      <w:pPr>
        <w:jc w:val="both"/>
        <w:ind w:right="100"/>
        <w:spacing w:after="0" w:line="271" w:lineRule="auto"/>
        <w:rPr>
          <w:sz w:val="20"/>
          <w:szCs w:val="20"/>
          <w:color w:val="auto"/>
        </w:rPr>
      </w:pPr>
      <w:r>
        <w:rPr>
          <w:rFonts w:ascii="Arial" w:cs="Arial" w:eastAsia="Arial" w:hAnsi="Arial"/>
          <w:sz w:val="12"/>
          <w:szCs w:val="12"/>
          <w:color w:val="auto"/>
        </w:rPr>
        <w:t>The principal raw materials in recycled paperboard are recycled paper fiber (recovered waste paper), water, and specialty paper chemicals. The largest waste paper source used by the operation is old cardboard containers (known as OCC). A blend of high grades (white papers consisting of ink-free papers, such as news blank and unprinted papers) is used in the gypsum liner facing paper, white top linerboard, and white bag liner grades.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believe that an adequate supply of recycled paper fiber will continue to be available from sources located within a reasonable proximity of the paper mill. Although we have the capability to receive rail shipments, the vast majority of the recycled fiber purchased is delivered via truck. Prices are subject to market fluctuations based on generation of material (supply), demand, and the presence of the export market. Fiber pricing, on average, increased in fiscal 2021 compared with fiscal 2020. Most of the increase occurred in the fiscal first and fourth quarters, with the price declining slightly in the fiscal second and third quarters. We expect fiber prices to increase in the first quarter of fiscal 2022, then remain flat for the remainder of fiscal 2022. Current gypsum liner customer contracts include price escalators that partially offset and compensate for changes in raw material fiber prices. The chemicals used in the paper making operation, including size, retention aids, biocides, and bacteria controls, are readily available from several manufacturers at competitive prices.</w:t>
      </w:r>
    </w:p>
    <w:p>
      <w:pPr>
        <w:spacing w:after="0" w:line="65" w:lineRule="exact"/>
        <w:rPr>
          <w:sz w:val="20"/>
          <w:szCs w:val="20"/>
          <w:color w:val="auto"/>
        </w:rPr>
      </w:pPr>
    </w:p>
    <w:p>
      <w:pPr>
        <w:ind w:right="440"/>
        <w:spacing w:after="0" w:line="271" w:lineRule="auto"/>
        <w:rPr>
          <w:sz w:val="20"/>
          <w:szCs w:val="20"/>
          <w:color w:val="auto"/>
        </w:rPr>
      </w:pPr>
      <w:r>
        <w:rPr>
          <w:rFonts w:ascii="Arial" w:cs="Arial" w:eastAsia="Arial" w:hAnsi="Arial"/>
          <w:sz w:val="12"/>
          <w:szCs w:val="12"/>
          <w:color w:val="auto"/>
        </w:rPr>
        <w:t>The manufacture of recycled paperboard involves the use of a large volume of water in the production process. We have an agreement with the City of Lawton municipal services for supply of water to our manufacturing facility. Electricity, natural gas, and other utilities are available to us at either contracted rates or standard industrial rates in adequate supplies. These utilities are subject to standard industrial curtailment provisions.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Paperboard operations are generally large consumers of energy, mostly natural gas and electricity. Electricity is supplied to the paper mill by Public Service of Oklahoma (PSO) and they have requested a significant increase in rates for fiscal 2022. Oklahoma is a regulated state for electricity services, and all rate change requests must be presented to the Oklahoma Corporation Commission for review and approval before implementation. At this time, we are unable to estimate how much of the increase will be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20" w:name="page21"/>
    <w:bookmarkEnd w:id="20"/>
    <w:p>
      <w:pPr>
        <w:ind w:right="200"/>
        <w:spacing w:after="0" w:line="271" w:lineRule="auto"/>
        <w:rPr>
          <w:sz w:val="20"/>
          <w:szCs w:val="20"/>
          <w:color w:val="auto"/>
        </w:rPr>
      </w:pPr>
      <w:r>
        <w:rPr>
          <w:rFonts w:ascii="Arial" w:cs="Arial" w:eastAsia="Arial" w:hAnsi="Arial"/>
          <w:sz w:val="12"/>
          <w:szCs w:val="12"/>
          <w:color w:val="auto"/>
        </w:rPr>
        <w:t>granted by the Oklahoma Corporation Commission. This power company has been moving its fuel source dependency to natural gas, which could affect our electricity rates in future years. Natural gas costs in fiscal 2021 increased compared with fiscal 2020. Natural gas costs were trending lower in fiscal 2021 until Winter Storm Uri in February 2021, when the spike in natural gas prices increased the average cost for fiscal 2021 above the average cost for fiscal 2020.</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EB949"/>
        </w:rPr>
        <w:t>Environmental Matters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There were no capital expenditures related to compliance with environmental regulations applicable to our Recycled Paperboard operations during fiscal 2021, and none are expected in fiscal 2022.</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WHERE YOU CAN FIND MORE INFORMATION</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located at </w:t>
      </w:r>
      <w:r>
        <w:rPr>
          <w:rFonts w:ascii="Arial" w:cs="Arial" w:eastAsia="Arial" w:hAnsi="Arial"/>
          <w:sz w:val="12"/>
          <w:szCs w:val="12"/>
          <w:i w:val="1"/>
          <w:iCs w:val="1"/>
          <w:u w:val="single" w:color="auto"/>
          <w:color w:val="auto"/>
        </w:rPr>
        <w:t>www.eaglematerials.com</w:t>
      </w:r>
      <w:r>
        <w:rPr>
          <w:rFonts w:ascii="Arial" w:cs="Arial" w:eastAsia="Arial" w:hAnsi="Arial"/>
          <w:sz w:val="12"/>
          <w:szCs w:val="12"/>
          <w:color w:val="auto"/>
        </w:rPr>
        <w:t xml:space="preserve"> as soon as reasonably practicable after they are filed with or furnished to the Securities and Exchange Commission (SEC). This reference to our website is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268" w:right="339" w:bottom="1440" w:gutter="0" w:footer="0" w:header="0"/>
        </w:sectPr>
      </w:pP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together with other factors described elsewhere in this Report, have affected, or may in the future affect, our business, operations, financial condition and results of operations in a material and adverse manner.</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COVID-19 RISK FACTORS</w:t>
      </w:r>
    </w:p>
    <w:p>
      <w:pPr>
        <w:spacing w:after="0" w:line="80" w:lineRule="exact"/>
        <w:rPr>
          <w:sz w:val="20"/>
          <w:szCs w:val="20"/>
          <w:color w:val="auto"/>
        </w:rPr>
      </w:pPr>
    </w:p>
    <w:p>
      <w:pPr>
        <w:ind w:right="460"/>
        <w:spacing w:after="0" w:line="314" w:lineRule="auto"/>
        <w:rPr>
          <w:sz w:val="20"/>
          <w:szCs w:val="20"/>
          <w:color w:val="auto"/>
        </w:rPr>
      </w:pPr>
      <w:r>
        <w:rPr>
          <w:rFonts w:ascii="Arial" w:cs="Arial" w:eastAsia="Arial" w:hAnsi="Arial"/>
          <w:sz w:val="12"/>
          <w:szCs w:val="12"/>
          <w:i w:val="1"/>
          <w:iCs w:val="1"/>
          <w:color w:val="004483"/>
        </w:rPr>
        <w:t>The COVID-19 pandemic has caused severe disruptions in the U.S. and global economies. Although infection rates have recently improved in many areas of the United States, the extent of the impact of the pandemic continues to be highly uncertain. Accordingly, it is possible that the pandemic could have a material adverse effect on our business, operations, financial condition and results of operations.</w:t>
      </w:r>
    </w:p>
    <w:p>
      <w:pPr>
        <w:spacing w:after="0" w:line="3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On March 11, 2020, the World Health Organization declared the outbreak of COVID-19 to be a global pandemic and recommended containment and mitigation measures worldwide. On March 13, 2020, the United States declared a national emergency arising from the COVID-19 pandemic, and many states and municipalities declared public health emergencies. Since the time of these initial declarations, international, federal, state, and local public health and governmental authorities have taken extraordinary and wide-ranging measures to contain and combat the outbreak and spread of COVID-19, including quarantines, “shelter-in-place” orders, and mandates and recommendations for individuals to substantially restrict daily activities and for many businesses to curtail or cease normal operations. Some of these measures have now been lifted or modified, but others have been extended or remain in place.</w:t>
      </w:r>
    </w:p>
    <w:p>
      <w:pPr>
        <w:spacing w:after="0" w:line="67" w:lineRule="exact"/>
        <w:rPr>
          <w:sz w:val="20"/>
          <w:szCs w:val="20"/>
          <w:color w:val="auto"/>
        </w:rPr>
      </w:pPr>
    </w:p>
    <w:p>
      <w:pPr>
        <w:ind w:right="220"/>
        <w:spacing w:after="0" w:line="269" w:lineRule="auto"/>
        <w:rPr>
          <w:sz w:val="20"/>
          <w:szCs w:val="20"/>
          <w:color w:val="auto"/>
        </w:rPr>
      </w:pPr>
      <w:r>
        <w:rPr>
          <w:rFonts w:ascii="Arial" w:cs="Arial" w:eastAsia="Arial" w:hAnsi="Arial"/>
          <w:sz w:val="12"/>
          <w:szCs w:val="12"/>
          <w:color w:val="auto"/>
        </w:rPr>
        <w:t>To date, we have not been materially affected by governmental orders requiring businesses to curtail or cease normal operations. Throughout the pandemic, we have been able to continue to operate as an essential business in virtually all of the markets we serve. If, however, the pandemic worsens, whether as a result of the emergence of new virus strains or additional waves of infection, it is possible that new restrictions would be adopted that could limit or restrict the scope of our operations. In general, either a worsening of the COVID-19 pandemic or the implementation of new governmental measures designed to contain its spread and mitigate its public health effects could have a negative impact on several areas affecting our business, including the following:</w:t>
      </w:r>
    </w:p>
    <w:p>
      <w:pPr>
        <w:spacing w:after="0" w:line="65" w:lineRule="exact"/>
        <w:rPr>
          <w:sz w:val="20"/>
          <w:szCs w:val="20"/>
          <w:color w:val="auto"/>
        </w:rPr>
      </w:pPr>
    </w:p>
    <w:p>
      <w:pPr>
        <w:ind w:left="1280" w:hanging="424"/>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COVID-19 pandemic could result in adverse macroeconomic conditions affecting demand for our products in the principal markets in which we operate.</w:t>
      </w:r>
    </w:p>
    <w:p>
      <w:pPr>
        <w:spacing w:after="0" w:line="87" w:lineRule="exact"/>
        <w:rPr>
          <w:rFonts w:ascii="Arial" w:cs="Arial" w:eastAsia="Arial" w:hAnsi="Arial"/>
          <w:sz w:val="12"/>
          <w:szCs w:val="12"/>
          <w:color w:val="auto"/>
        </w:rPr>
      </w:pPr>
    </w:p>
    <w:p>
      <w:pPr>
        <w:ind w:left="1280" w:right="420" w:hanging="424"/>
        <w:spacing w:after="0" w:line="277"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pandemic may have an adverse effect on state and local government revenues and construction budgets, and could result in delays, cancellations or curtailment of construction projects.</w:t>
      </w:r>
    </w:p>
    <w:p>
      <w:pPr>
        <w:spacing w:after="0" w:line="59" w:lineRule="exact"/>
        <w:rPr>
          <w:rFonts w:ascii="Arial" w:cs="Arial" w:eastAsia="Arial" w:hAnsi="Arial"/>
          <w:sz w:val="12"/>
          <w:szCs w:val="12"/>
          <w:color w:val="auto"/>
        </w:rPr>
      </w:pPr>
    </w:p>
    <w:p>
      <w:pPr>
        <w:ind w:left="1280" w:hanging="424"/>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pandemic could result in delays in collecting on certain of our accounts receivable from certain of our customers.</w:t>
      </w:r>
    </w:p>
    <w:p>
      <w:pPr>
        <w:spacing w:after="0" w:line="87" w:lineRule="exact"/>
        <w:rPr>
          <w:rFonts w:ascii="Arial" w:cs="Arial" w:eastAsia="Arial" w:hAnsi="Arial"/>
          <w:sz w:val="12"/>
          <w:szCs w:val="12"/>
          <w:color w:val="auto"/>
        </w:rPr>
      </w:pPr>
    </w:p>
    <w:p>
      <w:pPr>
        <w:ind w:left="1280" w:right="120" w:hanging="424"/>
        <w:spacing w:after="0" w:line="277"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pandemic could result in increased costs associated with compliance with new healt and safety measures, which may affect our operations in one or more of the markets in which we operate.</w:t>
      </w:r>
    </w:p>
    <w:p>
      <w:pPr>
        <w:spacing w:after="0" w:line="59" w:lineRule="exact"/>
        <w:rPr>
          <w:rFonts w:ascii="Arial" w:cs="Arial" w:eastAsia="Arial" w:hAnsi="Arial"/>
          <w:sz w:val="12"/>
          <w:szCs w:val="12"/>
          <w:color w:val="auto"/>
        </w:rPr>
      </w:pPr>
    </w:p>
    <w:p>
      <w:pPr>
        <w:ind w:left="1280" w:right="140" w:hanging="424"/>
        <w:spacing w:after="0" w:line="277"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pandemic has resulted, and may continue to result, in fluctuations in equity market prices (including that of our Common Stock), interest rates and credit spreads, which may limit our ability to raise or deploy capital and implement our future plans.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68" w:right="339" w:bottom="1440" w:gutter="0" w:footer="0" w:header="0"/>
          <w:type w:val="continuous"/>
        </w:sectPr>
      </w:pPr>
    </w:p>
    <w:bookmarkStart w:id="22" w:name="page23"/>
    <w:bookmarkEnd w:id="22"/>
    <w:p>
      <w:pPr>
        <w:ind w:left="1280" w:right="280" w:hanging="424"/>
        <w:spacing w:after="0" w:line="277"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Finally, the pandemic could have other negative impacts on our operations, supply chain, transportation networks and customers, which we may not be able to anticipate or respond to effectively.</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future course of the COVID-19 pandemic is difficult to predict. Although significant progress has been made in the current vaccination campaign in the United States, new virus strains have emerged, some which may present different health risks or be as or more difficult to contain than the original strains that reached the United States in early 2020. We are continuing to monitor the COVID-19 pandemic and its likely effects. The timing of these effects is not expected to be uniform, with some effects having a short-term impact and others likely to be felt for a number of years. In general, the extent to which the COVID-19 pandemic will ultimately impact our business, operations, financial condition and results of operations will depend on numerous factors, which are highly uncertain, rapidly changing and cannot be predicted. These factors include:</w:t>
      </w:r>
    </w:p>
    <w:p>
      <w:pPr>
        <w:spacing w:after="0" w:line="67" w:lineRule="exact"/>
        <w:rPr>
          <w:sz w:val="20"/>
          <w:szCs w:val="20"/>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duration and scope of the outbreak;</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timing of, and progress made in the current vaccination campaign, including the effectiveness of the campaign in dealing with new virus strains;</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governmental, business and individual actions that have been and may be taken in response to the outbreak;</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effect of the outbreak on our customers, suppliers, supply chain, and other business partners;</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ability during the outbreak to continue to carry out our manufacturing operations in an efficient manner, while taking measures to protect the health and well-being of our employees;</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willingness and ability of our customers to order and pay for our products during and following the outbreak; and</w:t>
      </w:r>
    </w:p>
    <w:p>
      <w:pPr>
        <w:spacing w:after="0" w:line="87" w:lineRule="exact"/>
        <w:rPr>
          <w:rFonts w:ascii="Arial" w:cs="Arial" w:eastAsia="Arial" w:hAnsi="Arial"/>
          <w:sz w:val="12"/>
          <w:szCs w:val="12"/>
          <w:color w:val="auto"/>
        </w:rPr>
      </w:pPr>
    </w:p>
    <w:p>
      <w:pPr>
        <w:ind w:left="1280" w:hanging="424"/>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impact of the outbreak on the financial markets and economic activity generally.</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The above uncertainties surrounding the COVID-19 pandemic also make it more challenging for our management to estimate the future performance of our business and develop strategies to generate growth or achieve our objectives for fiscal 2022 and future periods.</w:t>
      </w:r>
    </w:p>
    <w:p>
      <w:pPr>
        <w:spacing w:after="0" w:line="59"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color w:val="auto"/>
        </w:rPr>
        <w:t>One key area we continue to closely monitor is the effect of the COVID-19 pandemic on our manufacturing operations. Although we are taking precautions to ensure the safety of our employees, we have experienced outbreaks at some of our facilities. In the event we suffer a serious outbreak at one of our manufacturing facilities, we may be forced to suspend operations at such facility until the health conditions improve. Any such reduction in our production capacity could render us unable to continue to produce our construction products or satisfy order placed by our customers.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INDUSTRY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We are affected by the level of demand in the construction industry.</w:t>
      </w:r>
    </w:p>
    <w:p>
      <w:pPr>
        <w:spacing w:after="0" w:line="94" w:lineRule="exact"/>
        <w:rPr>
          <w:sz w:val="20"/>
          <w:szCs w:val="20"/>
          <w:color w:val="auto"/>
        </w:rPr>
      </w:pPr>
    </w:p>
    <w:p>
      <w:pPr>
        <w:ind w:right="180"/>
        <w:spacing w:after="0" w:line="307" w:lineRule="auto"/>
        <w:rPr>
          <w:sz w:val="20"/>
          <w:szCs w:val="20"/>
          <w:color w:val="auto"/>
        </w:rPr>
      </w:pPr>
      <w:r>
        <w:rPr>
          <w:rFonts w:ascii="Arial" w:cs="Arial" w:eastAsia="Arial" w:hAnsi="Arial"/>
          <w:sz w:val="11"/>
          <w:szCs w:val="11"/>
          <w:color w:val="auto"/>
        </w:rPr>
        <w:t>Demand for our construction products and building materials is directly related to the level of activity in the construction industry, which includes residential, commercial and infrastructure construction. While the most recent downturn in residential and commercial construction, which began in calendar 2007, materially affected our business, certain economic fundamentals began improving in calendar 2012, and have generally continued to improve, particularly in recent periods; however, the rate and sustainability of such improvement remains uncertain, and the total impact of COVID-19 is not yet known. Although recent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382" w:right="359" w:bottom="1440" w:gutter="0" w:footer="0" w:header="0"/>
        </w:sectPr>
      </w:pPr>
    </w:p>
    <w:bookmarkStart w:id="23" w:name="page24"/>
    <w:bookmarkEnd w:id="23"/>
    <w:p>
      <w:pPr>
        <w:ind w:right="280"/>
        <w:spacing w:after="0" w:line="271" w:lineRule="auto"/>
        <w:rPr>
          <w:sz w:val="20"/>
          <w:szCs w:val="20"/>
          <w:color w:val="auto"/>
        </w:rPr>
      </w:pPr>
      <w:r>
        <w:rPr>
          <w:rFonts w:ascii="Arial" w:cs="Arial" w:eastAsia="Arial" w:hAnsi="Arial"/>
          <w:sz w:val="12"/>
          <w:szCs w:val="12"/>
          <w:color w:val="auto"/>
        </w:rPr>
        <w:t>proposals have been made to increase infrastructure spending by the federal and some state and local governments, infrastructure spending continues to be adversely affected by several factors, including the budget constraints currently being experienced by federal, state and local governments. Any decrease in the amount of government funds available for such projects or any decrease in construction activity in general (including any weakness in residential or commercial construction) could have a material adverse effect on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business is seasonal in nature, and this causes our quarterly results to vary significantly.</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A majority of our business is seasonal with peak revenue and profits occurring primarily in the months of April through November when the weather in our markets is more suitable for construction activity. Quarterly results have varied significantly in the past and are likely to vary significantly in the future. Such variations could have a negative impact on the price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We are subject to the risk of unfavorable weather conditions, particularly during peak construction periods, as well as other unexpected operational difficulties.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Unfavorable weather conditions, such as snow, cold weather, tornados, hurricanes, tropical storms, and heavy or sustained rainfall,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 Similarly, operational difficulties, such as business interruption due to required maintenance, capital improvement projects, or loss of power, can increase our costs and reduce our production. The effect of these risks is more pronounced during peak construction periods, such as months of April through November, during which any reduction in demand or production could adversely affect our sales and operating profits.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We and our customers participate in cyclical industries and regional markets, which are subject to industry downturns.</w:t>
      </w:r>
    </w:p>
    <w:p>
      <w:pPr>
        <w:spacing w:after="0" w:line="9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changes in interest rates, demographic and population shifts, levels of infrastructure spending,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Many of our products are commodities, which are subject to significant changes in supply and demand and price fluctuations.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or increases in cement imports tend to create an oversupply of such products leading to an imbalance between supply and demand, which can have a negative impact on product prices. Currently, there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2"/>
          <w:szCs w:val="12"/>
          <w:color w:val="auto"/>
        </w:rPr>
        <w:t>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ECONOMIC, POLITICAL, AND LEGAL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and our customers’ operations are subject to extensive governmental regulation, including environmental laws, which can be costly and burdensome.</w:t>
      </w:r>
    </w:p>
    <w:p>
      <w:pPr>
        <w:spacing w:after="0" w:line="94"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Our operations and those of our customers are subject to and affected by federal, state, and local laws and regulations with respect to such matters as land usage, street and highway usage, noise level, and health and safety and environmental matters. In many instances, various certificates, permits, or licenses are required in order for us or our customers to conduct business or carry out construction and related operations. For example, certain of our waste-burning cement kilns are subject to the Standards of Performance for New Sources and Emissions Guidelines for Existing Sources for Commercial/Industrial Solid Waste Incinerators (the CISWI Rule). Although we believe that we are in compliance in all material respects with applicable regulatory requirements, there can be no assurance that we will not incur material costs or liabilities in connection with regulatory requirements or that demand for our products will not be adversely affected by regulatory issues affecting our customers. In addition,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financial condition or results of operations. Further, out of the 16 states where we have operations, 10 states contain at least one “area” that was designated as being in nonattainment for the 2015 ozone National Ambient Air Quality Standards (NAAQS) (California, Colorado, Illinois, Kentucky, Missouri, Nevada, New Mexico, Ohio, Texas, Utah, and Wisconsin). We may be required to meet new control requirements in these states requiring significant capital expenditures for compliance.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Climate change and climate change legislation or regulations may adversely affect our business.</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2"/>
          <w:szCs w:val="12"/>
          <w:color w:val="auto"/>
        </w:rPr>
        <w:t>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addressing GHG emissions would likely have a negative impact on our business or results of operations, whether through the imposition of raw material or production limitations, fuel-use, or carbon taxes emission limitations or reductions, or otherwise. Notably, curbing GHG emissions and tackling climate change is a clear priority for President Biden’s administration.</w:t>
      </w:r>
    </w:p>
    <w:p>
      <w:pPr>
        <w:spacing w:after="0" w:line="61" w:lineRule="exact"/>
        <w:rPr>
          <w:sz w:val="20"/>
          <w:szCs w:val="20"/>
          <w:color w:val="auto"/>
        </w:rPr>
      </w:pPr>
    </w:p>
    <w:p>
      <w:pPr>
        <w:ind w:right="280"/>
        <w:spacing w:after="0" w:line="271" w:lineRule="auto"/>
        <w:rPr>
          <w:sz w:val="20"/>
          <w:szCs w:val="20"/>
          <w:color w:val="auto"/>
        </w:rPr>
      </w:pPr>
      <w:r>
        <w:rPr>
          <w:rFonts w:ascii="Arial" w:cs="Arial" w:eastAsia="Arial" w:hAnsi="Arial"/>
          <w:sz w:val="12"/>
          <w:szCs w:val="12"/>
          <w:color w:val="auto"/>
        </w:rPr>
        <w:t>Shortly after taking office in January 2021, President Biden issued a series of executive orders designed to address climate change and to require agencies to review environmental actions taken by the Trump administration, as well as a memorandum to departments and agencies to refrain from proposing or issuing rules until a departmental or agency head appointed or designated by the Biden administration has reviewed and approved the rule. These executive orders may result in the development of additional regulations or changes to existing regulations.</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Climate change legislation and regulation concerning GHGs if implemented could have a material adverse effect on our financial condition, results of operations, and liquidity. There is also a potential for climate change legislation and regulation to adversely affect the cost of purchased energy and electricity.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25" w:name="page26"/>
    <w:bookmarkEnd w:id="25"/>
    <w:p>
      <w:pPr>
        <w:ind w:right="140"/>
        <w:spacing w:after="0" w:line="271" w:lineRule="auto"/>
        <w:rPr>
          <w:sz w:val="20"/>
          <w:szCs w:val="20"/>
          <w:color w:val="auto"/>
        </w:rPr>
      </w:pPr>
      <w:r>
        <w:rPr>
          <w:rFonts w:ascii="Arial" w:cs="Arial" w:eastAsia="Arial" w:hAnsi="Arial"/>
          <w:sz w:val="12"/>
          <w:szCs w:val="12"/>
          <w:color w:val="auto"/>
        </w:rPr>
        <w:t>Other potential effects of climate change include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We may become subject to significant cleanup, remediation, reclamation, and other liabilities under applicable environmental laws.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Our operations are subject to state, federal, and local environmental laws and regulations, which impose liability for cleanup or remediation of environmental pollution and hazardous waste arising from past acts. These laws and regulations also require pollution control and prevention, site restoration, reclamation, and operating permits, and/or approvals to conduct certain of our operations or expand or modify our facilities.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64" w:lineRule="exact"/>
        <w:rPr>
          <w:sz w:val="20"/>
          <w:szCs w:val="20"/>
          <w:color w:val="auto"/>
        </w:rPr>
      </w:pPr>
    </w:p>
    <w:p>
      <w:pPr>
        <w:jc w:val="both"/>
        <w:ind w:right="120"/>
        <w:spacing w:after="0" w:line="271" w:lineRule="auto"/>
        <w:rPr>
          <w:sz w:val="20"/>
          <w:szCs w:val="20"/>
          <w:color w:val="auto"/>
        </w:rPr>
      </w:pPr>
      <w:r>
        <w:rPr>
          <w:rFonts w:ascii="Arial" w:cs="Arial" w:eastAsia="Arial" w:hAnsi="Arial"/>
          <w:sz w:val="12"/>
          <w:szCs w:val="12"/>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64"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In some instances, we have received access rights or easements from third parties, which allow for a more efficient operation than would exist without the access or easement. A third party could take action to suspend the access or easement, and any such action could be materially adverse to our results of operations or financial conditions.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We may incur significant costs in connection with pending and future litigation.</w:t>
      </w:r>
    </w:p>
    <w:p>
      <w:pPr>
        <w:spacing w:after="0" w:line="85" w:lineRule="exact"/>
        <w:rPr>
          <w:sz w:val="20"/>
          <w:szCs w:val="20"/>
          <w:color w:val="auto"/>
        </w:rPr>
      </w:pPr>
    </w:p>
    <w:p>
      <w:pPr>
        <w:jc w:val="both"/>
        <w:ind w:right="160"/>
        <w:spacing w:after="0"/>
        <w:rPr>
          <w:sz w:val="20"/>
          <w:szCs w:val="20"/>
          <w:color w:val="auto"/>
        </w:rPr>
      </w:pPr>
      <w:r>
        <w:rPr>
          <w:rFonts w:ascii="Arial" w:cs="Arial" w:eastAsia="Arial" w:hAnsi="Arial"/>
          <w:sz w:val="12"/>
          <w:szCs w:val="12"/>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material in amount. Developments in these proceedings can lead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26" w:name="page27"/>
    <w:bookmarkEnd w:id="26"/>
    <w:p>
      <w:pPr>
        <w:jc w:val="both"/>
        <w:ind w:right="40"/>
        <w:spacing w:after="0"/>
        <w:rPr>
          <w:sz w:val="20"/>
          <w:szCs w:val="20"/>
          <w:color w:val="auto"/>
        </w:rPr>
      </w:pPr>
      <w:r>
        <w:rPr>
          <w:rFonts w:ascii="Arial" w:cs="Arial" w:eastAsia="Arial" w:hAnsi="Arial"/>
          <w:sz w:val="12"/>
          <w:szCs w:val="12"/>
          <w:color w:val="auto"/>
        </w:rPr>
        <w:t>changes in management’s estimates of liabilities associated with these proceedings, including as a result of rulings or judgments by a judge, agency, or arbitrator, settlements, or changes in applicable law. A future adverse ruling, settlement, or unfavorable development could result in charges that could have a material adverse effect on our results of operations and cash flows in a particular period. In addition, the defense of these lawsuits, claims, investigations, and proceedings may divert our management’s attention, and we may incur significant costs in defending these matters.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bylaws include a forum selection clause, which could limit our stockholders’ ability to obtain a favorable judicial forum for disputes with us.</w:t>
      </w:r>
    </w:p>
    <w:p>
      <w:pPr>
        <w:spacing w:after="0" w:line="9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or (iv) any action asserting a claim arising pursuant to any provision of the DGCL, will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is deemed to have notice of and consented to the foregoing provisions. This forum selection provision in our bylaws may limit our stockholders’ ability to pursue claims in a judicial forum of their choosing for disputes with us or our directors, officers, or employees. It is also possible that, notwithstanding the forum selection clause included in our bylaws, a court could rule in specific circumstances that such a provision is inapplicable or unenforceable, which could require that we defend claims in other forums.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CYBER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A cyber-attack or data security breach affecting our information technology systems may negatively affect our businesses, financial condition, and operating results.</w:t>
      </w:r>
    </w:p>
    <w:p>
      <w:pPr>
        <w:spacing w:after="0" w:line="94" w:lineRule="exact"/>
        <w:rPr>
          <w:sz w:val="20"/>
          <w:szCs w:val="20"/>
          <w:color w:val="auto"/>
        </w:rPr>
      </w:pPr>
    </w:p>
    <w:p>
      <w:pPr>
        <w:jc w:val="both"/>
        <w:ind w:right="220"/>
        <w:spacing w:after="0" w:line="269" w:lineRule="auto"/>
        <w:rPr>
          <w:sz w:val="20"/>
          <w:szCs w:val="20"/>
          <w:color w:val="auto"/>
        </w:rPr>
      </w:pPr>
      <w:r>
        <w:rPr>
          <w:rFonts w:ascii="Arial" w:cs="Arial" w:eastAsia="Arial" w:hAnsi="Arial"/>
          <w:sz w:val="12"/>
          <w:szCs w:val="12"/>
          <w:color w:val="auto"/>
        </w:rPr>
        <w:t>We use information technology systems to collect, store, and transmit the data needed to operate our businesses, including our confidential and proprietary information. Although we endeavor to implement and maintain industry-standard security safeguards and policies to prevent unauthorized access or disclosure of such information, we cannot prevent all cyber-attacks or data security breaches. If such an attack or breach occurs, our businesses could be negatively affected, and we could incur additional costs in remediating the attack or breach and suffer reputational harm due to the theft or disclosure of our confidential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FINANCIAL AND OPERATIONAL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Cement business is capital intensive, resulting in significant fixed and semi-fixed costs. Therefore, our earnings are sensitive to changes in volume.</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our business. We believe that our current cash balance, along with our projected internal cash flows and our available financing resources will provide sufficient cash to support our currently anticipated operating and capital needs.</w:t>
      </w:r>
    </w:p>
    <w:p>
      <w:pPr>
        <w:ind w:right="360"/>
        <w:spacing w:after="0" w:line="277" w:lineRule="auto"/>
        <w:rPr>
          <w:sz w:val="20"/>
          <w:szCs w:val="20"/>
          <w:color w:val="auto"/>
        </w:rPr>
      </w:pPr>
      <w:r>
        <w:rPr>
          <w:rFonts w:ascii="Arial" w:cs="Arial" w:eastAsia="Arial" w:hAnsi="Arial"/>
          <w:sz w:val="12"/>
          <w:szCs w:val="12"/>
          <w:color w:val="auto"/>
        </w:rPr>
        <w:t>However, if we are unable to generate sufficient cash to purchase and maintain the property and machinery necessary to operate our cement business, we may be required to reduce or delay planned capital expenditures or incur additional debt.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i w:val="1"/>
          <w:iCs w:val="1"/>
          <w:color w:val="004483"/>
        </w:rPr>
        <w:t>Any material nonpayment or nonperformance by any of our key customers could have a material adverse effect on our business and results of operations.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Any material nonpayment or nonperformance by any of our key customers could have a material adverse effect on our revenue and cash flows. Our contracts with our customers provide for different potential remedies in the event a customer fails to purchase the minimum contracted amount of product in a given period.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in order to allow for us to preserve the relationship with that customer.</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Volatility and disruption of financial markets could affect access to credit.</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Difficult economic conditions can cause a contraction in the availability, and increase the cost, of credit in the marketplace.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results of operations are subject to significant changes in the cost and availability of fuel, energy and other raw materials.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 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Changes in the cost or availability of raw materials supplied by third parties may adversely affect our operating and financial performance.</w:t>
      </w:r>
    </w:p>
    <w:p>
      <w:pPr>
        <w:spacing w:after="0" w:line="94" w:lineRule="exact"/>
        <w:rPr>
          <w:sz w:val="20"/>
          <w:szCs w:val="20"/>
          <w:color w:val="auto"/>
        </w:rPr>
      </w:pPr>
    </w:p>
    <w:p>
      <w:pPr>
        <w:ind w:right="220"/>
        <w:spacing w:after="0" w:line="269" w:lineRule="auto"/>
        <w:rPr>
          <w:sz w:val="20"/>
          <w:szCs w:val="20"/>
          <w:color w:val="auto"/>
        </w:rPr>
      </w:pPr>
      <w:r>
        <w:rPr>
          <w:rFonts w:ascii="Arial" w:cs="Arial" w:eastAsia="Arial" w:hAnsi="Arial"/>
          <w:sz w:val="12"/>
          <w:szCs w:val="12"/>
          <w:color w:val="auto"/>
        </w:rPr>
        <w:t>We generally maintain our own reserves of limestone, gypsum, aggregates, and other materials that we use to manufacture our products. However, we obtain certain raw materials used to manufacture our products, such as synthetic gypsum and slag granules, from third parties who produce such materials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cease operations or reduce or eliminate production of these by-products, our costs to procure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63" w:right="319" w:bottom="1440" w:gutter="0" w:footer="0" w:header="0"/>
        </w:sectPr>
      </w:pPr>
    </w:p>
    <w:bookmarkStart w:id="28" w:name="page29"/>
    <w:bookmarkEnd w:id="28"/>
    <w:p>
      <w:pPr>
        <w:ind w:left="8" w:right="100"/>
        <w:spacing w:after="0" w:line="277" w:lineRule="auto"/>
        <w:rPr>
          <w:sz w:val="20"/>
          <w:szCs w:val="20"/>
          <w:color w:val="auto"/>
        </w:rPr>
      </w:pPr>
      <w:r>
        <w:rPr>
          <w:rFonts w:ascii="Arial" w:cs="Arial" w:eastAsia="Arial" w:hAnsi="Arial"/>
          <w:sz w:val="12"/>
          <w:szCs w:val="12"/>
          <w:color w:val="auto"/>
        </w:rPr>
        <w:t>these materials may increase significantly, or we may be obliged to procure alternatives to replace these materials, which may not be available on commercially reasonable terms or at all. Any such developments may adversely affect our operations and financial condition.</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004483"/>
        </w:rPr>
        <w:t>Our production facilities may experience unexpected equipment failures, catastrophic events, and scheduled maintenance.</w:t>
      </w:r>
    </w:p>
    <w:p>
      <w:pPr>
        <w:spacing w:after="0" w:line="94"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Our manufacturing processes are complex and dependent upon critical pieces of equipment and effective maintenance programs. Such equipment may, on occasion, be out of service as a result of unanticipated events such as fires, explosions, violent weather conditions, or unexpected operational difficulties. We also have periodically scheduled shut-downs to perform maintenance on our facilities.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004483"/>
        </w:rPr>
        <w:t>Significant changes in the cost and availability of transportation could adversely affect our business, financial condition, and results of operations.</w:t>
      </w:r>
    </w:p>
    <w:p>
      <w:pPr>
        <w:spacing w:after="0" w:line="94" w:lineRule="exact"/>
        <w:rPr>
          <w:sz w:val="20"/>
          <w:szCs w:val="20"/>
          <w:color w:val="auto"/>
        </w:rPr>
      </w:pPr>
    </w:p>
    <w:p>
      <w:pPr>
        <w:ind w:left="8" w:right="80"/>
        <w:spacing w:after="0" w:line="298" w:lineRule="auto"/>
        <w:rPr>
          <w:sz w:val="20"/>
          <w:szCs w:val="20"/>
          <w:color w:val="auto"/>
        </w:rPr>
      </w:pPr>
      <w:r>
        <w:rPr>
          <w:rFonts w:ascii="Arial" w:cs="Arial" w:eastAsia="Arial" w:hAnsi="Arial"/>
          <w:sz w:val="11"/>
          <w:szCs w:val="11"/>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106" w:lineRule="exact"/>
        <w:rPr>
          <w:sz w:val="20"/>
          <w:szCs w:val="20"/>
          <w:color w:val="auto"/>
        </w:rPr>
      </w:pPr>
    </w:p>
    <w:p>
      <w:pPr>
        <w:ind w:left="8" w:right="340"/>
        <w:spacing w:after="0" w:line="258" w:lineRule="auto"/>
        <w:rPr>
          <w:sz w:val="20"/>
          <w:szCs w:val="20"/>
          <w:color w:val="auto"/>
        </w:rPr>
      </w:pPr>
      <w:r>
        <w:rPr>
          <w:rFonts w:ascii="Arial" w:cs="Arial" w:eastAsia="Arial" w:hAnsi="Arial"/>
          <w:sz w:val="12"/>
          <w:szCs w:val="12"/>
          <w:color w:val="auto"/>
        </w:rPr>
        <w:t>Our Revolving Credit Facility, Senior Unsecured Notes, and Term Loan contain, among other things, covenants that limit our ability to finance future operations or capital needs or to engage in other business activities, including but not limited to our ability to:</w:t>
      </w:r>
    </w:p>
    <w:p>
      <w:pPr>
        <w:spacing w:after="0" w:line="9" w:lineRule="exact"/>
        <w:rPr>
          <w:sz w:val="20"/>
          <w:szCs w:val="20"/>
          <w:color w:val="auto"/>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incur additional indebtedness;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sell assets or make other fundamental changes;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engage in mergers and acquisitions;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pay dividends and make other restricted payments;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make investments, loans, advances or guarantees;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encumber our assets or those of our restricted subsidiaries;</w:t>
      </w:r>
    </w:p>
    <w:p>
      <w:pPr>
        <w:spacing w:after="0" w:line="24" w:lineRule="exact"/>
        <w:rPr>
          <w:rFonts w:ascii="Arial" w:cs="Arial" w:eastAsia="Arial" w:hAnsi="Arial"/>
          <w:sz w:val="12"/>
          <w:szCs w:val="12"/>
          <w:color w:val="004483"/>
        </w:rPr>
      </w:pPr>
    </w:p>
    <w:p>
      <w:pPr>
        <w:ind w:left="268" w:hanging="268"/>
        <w:spacing w:after="0"/>
        <w:tabs>
          <w:tab w:leader="none" w:pos="268" w:val="left"/>
        </w:tabs>
        <w:numPr>
          <w:ilvl w:val="0"/>
          <w:numId w:val="10"/>
        </w:numPr>
        <w:rPr>
          <w:rFonts w:ascii="Arial" w:cs="Arial" w:eastAsia="Arial" w:hAnsi="Arial"/>
          <w:sz w:val="12"/>
          <w:szCs w:val="12"/>
          <w:color w:val="004483"/>
        </w:rPr>
      </w:pPr>
      <w:r>
        <w:rPr>
          <w:rFonts w:ascii="Arial" w:cs="Arial" w:eastAsia="Arial" w:hAnsi="Arial"/>
          <w:sz w:val="12"/>
          <w:szCs w:val="12"/>
          <w:color w:val="auto"/>
        </w:rPr>
        <w:t>enter into transactions with our affiliates.</w:t>
      </w:r>
    </w:p>
    <w:p>
      <w:pPr>
        <w:spacing w:after="0" w:line="96" w:lineRule="exact"/>
        <w:rPr>
          <w:sz w:val="20"/>
          <w:szCs w:val="20"/>
          <w:color w:val="auto"/>
        </w:rPr>
      </w:pPr>
    </w:p>
    <w:p>
      <w:pPr>
        <w:ind w:left="8" w:right="120"/>
        <w:spacing w:after="0" w:line="277" w:lineRule="auto"/>
        <w:rPr>
          <w:sz w:val="20"/>
          <w:szCs w:val="20"/>
          <w:color w:val="auto"/>
        </w:rPr>
      </w:pPr>
      <w:r>
        <w:rPr>
          <w:rFonts w:ascii="Arial" w:cs="Arial" w:eastAsia="Arial" w:hAnsi="Arial"/>
          <w:sz w:val="12"/>
          <w:szCs w:val="12"/>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w:t>
      </w:r>
    </w:p>
    <w:p>
      <w:pPr>
        <w:spacing w:after="0" w:line="39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382" w:right="339" w:bottom="1440" w:gutter="0" w:footer="0" w:header="0"/>
        </w:sectPr>
      </w:pPr>
    </w:p>
    <w:bookmarkStart w:id="29" w:name="page30"/>
    <w:bookmarkEnd w:id="29"/>
    <w:p>
      <w:pPr>
        <w:ind w:left="8"/>
        <w:spacing w:after="0" w:line="269" w:lineRule="auto"/>
        <w:rPr>
          <w:sz w:val="20"/>
          <w:szCs w:val="20"/>
          <w:color w:val="auto"/>
        </w:rPr>
      </w:pPr>
      <w:r>
        <w:rPr>
          <w:rFonts w:ascii="Arial" w:cs="Arial" w:eastAsia="Arial" w:hAnsi="Arial"/>
          <w:sz w:val="12"/>
          <w:szCs w:val="12"/>
          <w:color w:val="auto"/>
        </w:rPr>
        <w:t>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004483"/>
        </w:rPr>
        <w:t>We have incurred or may incur substantial indebtedness, which could adversely affect our business, limit our ability to plan for or respond to changes in our business, and reduce our profitability.</w:t>
      </w:r>
    </w:p>
    <w:p>
      <w:pPr>
        <w:spacing w:after="0" w:line="94" w:lineRule="exact"/>
        <w:rPr>
          <w:sz w:val="20"/>
          <w:szCs w:val="20"/>
          <w:color w:val="auto"/>
        </w:rPr>
      </w:pPr>
    </w:p>
    <w:p>
      <w:pPr>
        <w:ind w:left="8"/>
        <w:spacing w:after="0" w:line="262" w:lineRule="auto"/>
        <w:rPr>
          <w:sz w:val="20"/>
          <w:szCs w:val="20"/>
          <w:color w:val="auto"/>
        </w:rPr>
      </w:pPr>
      <w:r>
        <w:rPr>
          <w:rFonts w:ascii="Arial" w:cs="Arial" w:eastAsia="Arial" w:hAnsi="Arial"/>
          <w:sz w:val="12"/>
          <w:szCs w:val="12"/>
          <w:color w:val="auto"/>
        </w:rPr>
        <w:t>In the past, we have incurred significant indebtedness in connection with acquisition transactions or otherwise to fund the growth and development of our business.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9" w:lineRule="exact"/>
        <w:rPr>
          <w:sz w:val="20"/>
          <w:szCs w:val="20"/>
          <w:color w:val="auto"/>
        </w:rPr>
      </w:pPr>
    </w:p>
    <w:p>
      <w:pPr>
        <w:ind w:left="268" w:right="460" w:hanging="268"/>
        <w:spacing w:after="0" w:line="258" w:lineRule="auto"/>
        <w:tabs>
          <w:tab w:leader="none" w:pos="268" w:val="left"/>
        </w:tabs>
        <w:numPr>
          <w:ilvl w:val="0"/>
          <w:numId w:val="11"/>
        </w:numPr>
        <w:rPr>
          <w:rFonts w:ascii="Arial" w:cs="Arial" w:eastAsia="Arial" w:hAnsi="Arial"/>
          <w:sz w:val="12"/>
          <w:szCs w:val="12"/>
          <w:color w:val="004483"/>
        </w:rPr>
      </w:pPr>
      <w:r>
        <w:rPr>
          <w:rFonts w:ascii="Arial" w:cs="Arial" w:eastAsia="Arial" w:hAnsi="Arial"/>
          <w:sz w:val="12"/>
          <w:szCs w:val="12"/>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9" w:lineRule="exact"/>
        <w:rPr>
          <w:rFonts w:ascii="Arial" w:cs="Arial" w:eastAsia="Arial" w:hAnsi="Arial"/>
          <w:sz w:val="12"/>
          <w:szCs w:val="12"/>
          <w:color w:val="004483"/>
        </w:rPr>
      </w:pPr>
    </w:p>
    <w:p>
      <w:pPr>
        <w:ind w:left="268" w:hanging="268"/>
        <w:spacing w:after="0" w:line="258" w:lineRule="auto"/>
        <w:tabs>
          <w:tab w:leader="none" w:pos="268" w:val="left"/>
        </w:tabs>
        <w:numPr>
          <w:ilvl w:val="0"/>
          <w:numId w:val="11"/>
        </w:numPr>
        <w:rPr>
          <w:rFonts w:ascii="Arial" w:cs="Arial" w:eastAsia="Arial" w:hAnsi="Arial"/>
          <w:sz w:val="12"/>
          <w:szCs w:val="12"/>
          <w:color w:val="004483"/>
        </w:rPr>
      </w:pPr>
      <w:r>
        <w:rPr>
          <w:rFonts w:ascii="Arial" w:cs="Arial" w:eastAsia="Arial" w:hAnsi="Arial"/>
          <w:sz w:val="12"/>
          <w:szCs w:val="12"/>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9" w:lineRule="exact"/>
        <w:rPr>
          <w:rFonts w:ascii="Arial" w:cs="Arial" w:eastAsia="Arial" w:hAnsi="Arial"/>
          <w:sz w:val="12"/>
          <w:szCs w:val="12"/>
          <w:color w:val="004483"/>
        </w:rPr>
      </w:pPr>
    </w:p>
    <w:p>
      <w:pPr>
        <w:ind w:left="268" w:right="300" w:hanging="268"/>
        <w:spacing w:after="0" w:line="258" w:lineRule="auto"/>
        <w:tabs>
          <w:tab w:leader="none" w:pos="268" w:val="left"/>
        </w:tabs>
        <w:numPr>
          <w:ilvl w:val="0"/>
          <w:numId w:val="11"/>
        </w:numPr>
        <w:rPr>
          <w:rFonts w:ascii="Arial" w:cs="Arial" w:eastAsia="Arial" w:hAnsi="Arial"/>
          <w:sz w:val="12"/>
          <w:szCs w:val="12"/>
          <w:color w:val="004483"/>
        </w:rPr>
      </w:pPr>
      <w:r>
        <w:rPr>
          <w:rFonts w:ascii="Arial" w:cs="Arial" w:eastAsia="Arial" w:hAnsi="Arial"/>
          <w:sz w:val="12"/>
          <w:szCs w:val="12"/>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9" w:lineRule="exact"/>
        <w:rPr>
          <w:rFonts w:ascii="Arial" w:cs="Arial" w:eastAsia="Arial" w:hAnsi="Arial"/>
          <w:sz w:val="12"/>
          <w:szCs w:val="12"/>
          <w:color w:val="004483"/>
        </w:rPr>
      </w:pPr>
    </w:p>
    <w:p>
      <w:pPr>
        <w:ind w:left="268" w:hanging="268"/>
        <w:spacing w:after="0"/>
        <w:tabs>
          <w:tab w:leader="none" w:pos="268" w:val="left"/>
        </w:tabs>
        <w:numPr>
          <w:ilvl w:val="0"/>
          <w:numId w:val="11"/>
        </w:numPr>
        <w:rPr>
          <w:rFonts w:ascii="Arial" w:cs="Arial" w:eastAsia="Arial" w:hAnsi="Arial"/>
          <w:sz w:val="12"/>
          <w:szCs w:val="12"/>
          <w:color w:val="004483"/>
        </w:rPr>
      </w:pPr>
      <w:r>
        <w:rPr>
          <w:rFonts w:ascii="Arial" w:cs="Arial" w:eastAsia="Arial" w:hAnsi="Arial"/>
          <w:sz w:val="12"/>
          <w:szCs w:val="12"/>
          <w:color w:val="auto"/>
        </w:rPr>
        <w:t>our flexibility in planning for, or reacting to, changes in our business and industry may be limited, thereby placing us at a competitive disadvantage compared with our competitors that have less indebtedness.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004483"/>
        </w:rPr>
        <w:t>Increases in interest rates and inflation could adversely affect our business and demand for our products, which would have a negative effect on our results of operations.</w:t>
      </w:r>
    </w:p>
    <w:p>
      <w:pPr>
        <w:spacing w:after="0" w:line="94" w:lineRule="exact"/>
        <w:rPr>
          <w:sz w:val="20"/>
          <w:szCs w:val="20"/>
          <w:color w:val="auto"/>
        </w:rPr>
      </w:pPr>
    </w:p>
    <w:p>
      <w:pPr>
        <w:ind w:left="8" w:right="40"/>
        <w:spacing w:after="0" w:line="268" w:lineRule="auto"/>
        <w:rPr>
          <w:sz w:val="20"/>
          <w:szCs w:val="20"/>
          <w:color w:val="auto"/>
        </w:rPr>
      </w:pPr>
      <w:r>
        <w:rPr>
          <w:rFonts w:ascii="Arial" w:cs="Arial" w:eastAsia="Arial" w:hAnsi="Arial"/>
          <w:sz w:val="12"/>
          <w:szCs w:val="12"/>
          <w:color w:val="auto"/>
        </w:rPr>
        <w:t>Our business is significantly affected by the movement of interest rates. Interest rates have a direct impact on the level of residential, commercial, and infrastructure construction activity by impacting the cost of borrowed funds to builders. Higher interest rates could result in decreased demand for our products, which would have a material adverse effect on our business and results of operations. In addition, increases in interest rates could result in higher interest expense related to borrowings under our borrowing facilities. Inflation can result in higher interest rates. With inflation, the costs of capital increase, and the purchasing power of our cash resources can decline. Current or future efforts by the government to stimulate the economy may increase the risk of significant inflation, which could have a direct and indirect adverse impact on our business and results of operations.</w:t>
      </w:r>
    </w:p>
    <w:p>
      <w:pPr>
        <w:spacing w:after="0" w:line="200" w:lineRule="exact"/>
        <w:rPr>
          <w:sz w:val="20"/>
          <w:szCs w:val="20"/>
          <w:color w:val="auto"/>
        </w:rPr>
      </w:pPr>
    </w:p>
    <w:p>
      <w:pPr>
        <w:spacing w:after="0" w:line="3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382" w:right="319" w:bottom="1440" w:gutter="0" w:footer="0" w:header="0"/>
        </w:sectPr>
      </w:pPr>
    </w:p>
    <w:bookmarkStart w:id="30" w:name="page31"/>
    <w:bookmarkEnd w:id="30"/>
    <w:p>
      <w:pPr>
        <w:ind w:left="8"/>
        <w:spacing w:after="0"/>
        <w:rPr>
          <w:sz w:val="20"/>
          <w:szCs w:val="20"/>
          <w:color w:val="auto"/>
        </w:rPr>
      </w:pPr>
      <w:r>
        <w:rPr>
          <w:rFonts w:ascii="Arial" w:cs="Arial" w:eastAsia="Arial" w:hAnsi="Arial"/>
          <w:sz w:val="13"/>
          <w:szCs w:val="13"/>
          <w:i w:val="1"/>
          <w:iCs w:val="1"/>
          <w:color w:val="004483"/>
        </w:rPr>
        <w:t>Increases in our effective income tax rate may harm our results of operations.</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color w:val="auto"/>
        </w:rPr>
        <w:t>A number of factors may increase our future effective income tax rate, including:</w:t>
      </w:r>
    </w:p>
    <w:p>
      <w:pPr>
        <w:spacing w:after="0" w:line="15" w:lineRule="exact"/>
        <w:rPr>
          <w:sz w:val="20"/>
          <w:szCs w:val="20"/>
          <w:color w:val="auto"/>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governmental authorities increasing taxes or eliminating deductions, particularly the depletion deduction;</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the mix of earnings from depletable versus non-depletable businesses;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the jurisdictions in which earnings are taxed;</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the resolution of issues arising from tax audits with various tax authorities;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changes in the valuation of our deferred tax assets and liabilities;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adjustments to estimated taxes upon finalization of various tax returns;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changes in available tax credits;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changes in stock-based compensation;</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other changes in tax laws; and</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2"/>
        </w:numPr>
        <w:rPr>
          <w:rFonts w:ascii="Arial" w:cs="Arial" w:eastAsia="Arial" w:hAnsi="Arial"/>
          <w:sz w:val="12"/>
          <w:szCs w:val="12"/>
          <w:color w:val="004483"/>
        </w:rPr>
      </w:pPr>
      <w:r>
        <w:rPr>
          <w:rFonts w:ascii="Arial" w:cs="Arial" w:eastAsia="Arial" w:hAnsi="Arial"/>
          <w:sz w:val="12"/>
          <w:szCs w:val="12"/>
          <w:color w:val="auto"/>
        </w:rPr>
        <w:t>the interpretation of tax laws and/or administrative practices.</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color w:val="auto"/>
        </w:rPr>
        <w:t>Any significant increase in our future effective income tax rate could reduce net earnings and free cash flow for future periods.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004483"/>
        </w:rPr>
        <w:t>Disruption of our business operations due to disputes with organized labor.</w:t>
      </w:r>
    </w:p>
    <w:p>
      <w:pPr>
        <w:spacing w:after="0" w:line="85" w:lineRule="exact"/>
        <w:rPr>
          <w:sz w:val="20"/>
          <w:szCs w:val="20"/>
          <w:color w:val="auto"/>
        </w:rPr>
      </w:pPr>
    </w:p>
    <w:p>
      <w:pPr>
        <w:ind w:left="8"/>
        <w:spacing w:after="0" w:line="246" w:lineRule="auto"/>
        <w:rPr>
          <w:sz w:val="20"/>
          <w:szCs w:val="20"/>
          <w:color w:val="auto"/>
        </w:rPr>
      </w:pPr>
      <w:r>
        <w:rPr>
          <w:rFonts w:ascii="Arial" w:cs="Arial" w:eastAsia="Arial" w:hAnsi="Arial"/>
          <w:sz w:val="12"/>
          <w:szCs w:val="12"/>
          <w:color w:val="auto"/>
        </w:rPr>
        <w:t>Approximately half of our hourly employees are covered by collective bargaining agreements. Disputes with trade unions or the inability to renew our labor agreements may lead to work stoppages or strikes that could disrupt our business operations and lead to higher costs and/or reduced revenue and operating earnings.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004483"/>
        </w:rPr>
        <w:t>OTHER RISK FACTORS</w:t>
      </w:r>
    </w:p>
    <w:p>
      <w:pPr>
        <w:spacing w:after="0" w:line="74" w:lineRule="exact"/>
        <w:rPr>
          <w:sz w:val="20"/>
          <w:szCs w:val="20"/>
          <w:color w:val="auto"/>
        </w:rPr>
      </w:pPr>
    </w:p>
    <w:p>
      <w:pPr>
        <w:ind w:left="8" w:right="140"/>
        <w:spacing w:after="0" w:line="271" w:lineRule="auto"/>
        <w:rPr>
          <w:sz w:val="20"/>
          <w:szCs w:val="20"/>
          <w:color w:val="auto"/>
        </w:rPr>
      </w:pPr>
      <w:r>
        <w:rPr>
          <w:rFonts w:ascii="Arial" w:cs="Arial" w:eastAsia="Arial" w:hAnsi="Arial"/>
          <w:sz w:val="13"/>
          <w:szCs w:val="13"/>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59"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9" w:lineRule="exact"/>
        <w:rPr>
          <w:sz w:val="20"/>
          <w:szCs w:val="20"/>
          <w:color w:val="auto"/>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the diversion of management’s attention from our existing businesses to integrate the operations and personnel of the acquired business or joint venture;</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possible adverse effects on our operating results during the integration process;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failure of the acquired business or joint venture to achieve expected operational, profitability, and investment return objectives;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the incurrence of significant charges, such as impairment of goodwill or intangible assets, asset devaluation, or restructuring charges;</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the assumption of unanticipated liabilities and costs for which indemnification is unavailable or inadequate;</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unforeseen difficulties encountered in operating in new geographic areas; and</w:t>
      </w:r>
    </w:p>
    <w:p>
      <w:pPr>
        <w:spacing w:after="0" w:line="15" w:lineRule="exact"/>
        <w:rPr>
          <w:rFonts w:ascii="Arial" w:cs="Arial" w:eastAsia="Arial" w:hAnsi="Arial"/>
          <w:sz w:val="12"/>
          <w:szCs w:val="12"/>
          <w:color w:val="004483"/>
        </w:rPr>
      </w:pPr>
    </w:p>
    <w:p>
      <w:pPr>
        <w:ind w:left="268" w:hanging="268"/>
        <w:spacing w:after="0"/>
        <w:tabs>
          <w:tab w:leader="none" w:pos="268" w:val="left"/>
        </w:tabs>
        <w:numPr>
          <w:ilvl w:val="0"/>
          <w:numId w:val="13"/>
        </w:numPr>
        <w:rPr>
          <w:rFonts w:ascii="Arial" w:cs="Arial" w:eastAsia="Arial" w:hAnsi="Arial"/>
          <w:sz w:val="12"/>
          <w:szCs w:val="12"/>
          <w:color w:val="004483"/>
        </w:rPr>
      </w:pPr>
      <w:r>
        <w:rPr>
          <w:rFonts w:ascii="Arial" w:cs="Arial" w:eastAsia="Arial" w:hAnsi="Arial"/>
          <w:sz w:val="12"/>
          <w:szCs w:val="12"/>
          <w:color w:val="auto"/>
        </w:rPr>
        <w:t>the inability to achieve other intended objectives of the transaction.</w:t>
      </w:r>
    </w:p>
    <w:p>
      <w:pPr>
        <w:spacing w:after="0" w:line="200" w:lineRule="exact"/>
        <w:rPr>
          <w:sz w:val="20"/>
          <w:szCs w:val="20"/>
          <w:color w:val="auto"/>
        </w:rPr>
      </w:pPr>
    </w:p>
    <w:p>
      <w:pPr>
        <w:spacing w:after="0" w:line="220" w:lineRule="exact"/>
        <w:rPr>
          <w:sz w:val="20"/>
          <w:szCs w:val="20"/>
          <w:color w:val="auto"/>
        </w:rPr>
      </w:pPr>
    </w:p>
    <w:p>
      <w:pPr>
        <w:jc w:val="center"/>
        <w:ind w:right="-18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8"/>
          </w:cols>
          <w:pgMar w:left="292" w:top="363" w:right="49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2"/>
          <w:szCs w:val="12"/>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Our Cement business has grown largely through acquisitions, and there is no assurance that we will be able to continue to acquire cement plans to support future growth.</w:t>
      </w:r>
    </w:p>
    <w:p>
      <w:pPr>
        <w:spacing w:after="0" w:line="94"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In prior years, we have been able to increase the size and scope of our Cement business in large part through acquisitions of cement plants from third parties. There are a limited number of companies operating cement plant in the United States, and plants typically become available for purchase only 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004483"/>
        </w:rPr>
        <w:t>We may pursue new business opportunities and, if we do so, these opportunities will be subject to the risks typically associated with the early stages of business development or product line expansion.</w:t>
      </w:r>
    </w:p>
    <w:p>
      <w:pPr>
        <w:spacing w:after="0" w:line="106"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We may from time to time pursue opportunities which are natural extensions of our existing core businesses and which allow us to leverage our core competencies, existing infrastructure, and customer relationships. Our likelihood of success in pursuing and realizing these opportunities must be considered in light of the expenses, difficulties, and delays frequently encountered in connection with the early phases of business development or product line expansion, including the difficulties involved in obtaining permits; planning and constructing new facilities; transporting and storing products; establishing, maintaining, or expanding customer relationships; as well as navigating the regulatory environment in which we operate. There can be no assurance that we will be successful in the pursuit and realization of these opportunities.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i w:val="1"/>
          <w:iCs w:val="1"/>
          <w:color w:val="004483"/>
        </w:rPr>
        <w:t>This report includes various forward-looking statements, which are not facts or guarantees of future performance and which are subject to significant risks and uncertainties.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This report and other materials we have filed or will file with the SEC, as well as information included in oral statements or other written statements made or to be made by us contain or may contain forward-looking statements within the meaning of Section 27A of the Securities Act of 1933, Section 21E of the Exchange Act of 1934, and the Private Securities Litigation Reform Act of 1995. You can identify these statements by the fact that they do not relate to matters of a strictly factual or historical nature and generally discuss or relate to forecasts, estimates, or other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w:t>
      </w:r>
    </w:p>
    <w:p>
      <w:pPr>
        <w:spacing w:after="0" w:line="65"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Forward-looking statements are not historical facts or guarantees of future performance but instead represent only our beliefs at the time the statements were made regarding future events, which are subject to significant risks, uncertainties, and other factors, many of which are outside of our control. Any or all of the forward-looking statements made by us may turn out to be materially inaccurate. This can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32" w:name="page33"/>
    <w:bookmarkEnd w:id="32"/>
    <w:p>
      <w:pPr>
        <w:spacing w:after="0" w:line="271" w:lineRule="auto"/>
        <w:rPr>
          <w:sz w:val="20"/>
          <w:szCs w:val="20"/>
          <w:color w:val="auto"/>
        </w:rPr>
      </w:pPr>
      <w:r>
        <w:rPr>
          <w:rFonts w:ascii="Arial" w:cs="Arial" w:eastAsia="Arial" w:hAnsi="Arial"/>
          <w:sz w:val="12"/>
          <w:szCs w:val="12"/>
          <w:color w:val="auto"/>
        </w:rPr>
        <w:t>occur as a result of incorrect assumptions, changes in facts and circumstances, or the effects of known risks and uncertainties. Many of the risks and uncertainties mentioned in this report or other reports filed by us with the SEC, including those discussed in the risk factor section of this report, will be important in determining whether these forward-looking statements prove to be accurate. Consequently, neither our stockholders nor any other person should place undue reliance on our forward-looking statements and should recognize that actual results may differ materially from those that may be anticipated by us.</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All forward-looking statements made in this report are made as of the date hereof, and the risk that actual results will differ materially from expectations expressed in this report will increase with the passage of time. We undertake no obligation, and disclaim any duty, to publicly update or revise any forward-looking statements, whether as a result of new information, future events, changes in our expectations, or otherwise.</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382" w:right="459" w:bottom="1440" w:gutter="0" w:footer="0" w:header="0"/>
        </w:sectPr>
      </w:pPr>
    </w:p>
    <w:bookmarkStart w:id="33" w:name="page34"/>
    <w:bookmarkEnd w:id="33"/>
    <w:p>
      <w:pPr>
        <w:ind w:left="8"/>
        <w:spacing w:after="0"/>
        <w:rPr>
          <w:sz w:val="20"/>
          <w:szCs w:val="20"/>
          <w:color w:val="auto"/>
        </w:rPr>
      </w:pPr>
      <w:r>
        <w:rPr>
          <w:rFonts w:ascii="Arial" w:cs="Arial" w:eastAsia="Arial" w:hAnsi="Arial"/>
          <w:sz w:val="16"/>
          <w:szCs w:val="16"/>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are no unresolved Staff comments.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81"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Our operating facilities span the U.S. They include cement plants, quarries, and related facilities; concrete and aggregate plants and quarries; gypsum wallboard plants; and a recycled paperboard mill; as well as distribution terminals and our headquarters in Dallas. All of our facilities are owned, with the exception of our headquarters in Dallas, which is leased through May 2029 and certain terminals, as discussed on page</w:t>
      </w:r>
    </w:p>
    <w:p>
      <w:pPr>
        <w:ind w:left="8" w:right="1400" w:hanging="8"/>
        <w:spacing w:after="0" w:line="402" w:lineRule="auto"/>
        <w:tabs>
          <w:tab w:leader="none" w:pos="141"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None of our facilities are pledged as security for any debts. Please see the Industry Segment Information section on pages 5-19 for more information about the location of our facilities. The following map shows the locations of our operating facilities at March 31, 2021, by type of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43815</wp:posOffset>
            </wp:positionV>
            <wp:extent cx="3423285" cy="2468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32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268"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additional information regarding claims and other contingent liabilities to which we may be subject, see Footnote (K) in the Audited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3"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601" w:right="3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483"/>
        </w:rPr>
        <w:t>PART II</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STOCK PRICES AND DIVIDENDS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As of May 18, 2021, there were approximately 1,200 holders of record of our Common Stock which trades on the New York Stock Exchange under the symbol EXP.</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SHARE REPURCHASES</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On April 18, 2019, the Board of Directors authorized us to repurchase an additional 10,000,000 shares. Including this latest authorization, our Board of Directors has approved the repurchase in the open market of a cumulative total of 48,393,305 shares of our Common Stock since we became publicly held in April 1994.</w:t>
      </w:r>
    </w:p>
    <w:p>
      <w:pPr>
        <w:spacing w:after="0" w:line="59"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During fiscal years 2020 and 2019, we repurchased 3,574,109 and 3,309,670 shares, respectively, at average prices of $87.82 and $82.18, respectively. We did not repurchase any shares in fiscal 2021. We have repurchased approximately 41.1 million shares from April 1994 through March 31, 2021.</w:t>
      </w:r>
    </w:p>
    <w:p>
      <w:pPr>
        <w:spacing w:after="0" w:line="59"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We did not have any sales of unregistered equity securities during fiscal 2021.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Equity Compensation Plan information set forth in Part III, Item 12 of this Form 10-K is hereby incorporated by reference into this Part II, Item 5.</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68" w:right="37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004483"/>
        </w:rPr>
        <w:t>PERFORMANCE GRAPH</w:t>
      </w:r>
    </w:p>
    <w:p>
      <w:pPr>
        <w:spacing w:after="0" w:line="101" w:lineRule="exact"/>
        <w:rPr>
          <w:sz w:val="20"/>
          <w:szCs w:val="20"/>
          <w:color w:val="auto"/>
        </w:rPr>
      </w:pPr>
    </w:p>
    <w:p>
      <w:pPr>
        <w:ind w:right="40"/>
        <w:spacing w:after="0" w:line="324" w:lineRule="auto"/>
        <w:rPr>
          <w:sz w:val="20"/>
          <w:szCs w:val="20"/>
          <w:color w:val="auto"/>
        </w:rPr>
      </w:pPr>
      <w:r>
        <w:rPr>
          <w:rFonts w:ascii="Arial" w:cs="Arial" w:eastAsia="Arial" w:hAnsi="Arial"/>
          <w:sz w:val="11"/>
          <w:szCs w:val="11"/>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of 1933 or the Securities Exchange Act of 1934, each as amended, except to the extent that the Company specifically incorporates it by reference into such filing.</w:t>
      </w:r>
    </w:p>
    <w:p>
      <w:pPr>
        <w:spacing w:after="0" w:line="36"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indices was $100 on March 31, 2016, and tracks it through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92075</wp:posOffset>
            </wp:positionV>
            <wp:extent cx="3560445" cy="296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0445" cy="296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3620" w:type="dxa"/>
            <w:vAlign w:val="bottom"/>
            <w:tcBorders>
              <w:bottom w:val="single" w:sz="8" w:color="004483"/>
            </w:tcBorders>
          </w:tcPr>
          <w:p>
            <w:pPr>
              <w:spacing w:after="0"/>
              <w:rPr>
                <w:sz w:val="8"/>
                <w:szCs w:val="8"/>
                <w:color w:val="auto"/>
              </w:rPr>
            </w:pPr>
          </w:p>
        </w:tc>
        <w:tc>
          <w:tcPr>
            <w:tcW w:w="2360" w:type="dxa"/>
            <w:vAlign w:val="bottom"/>
            <w:tcBorders>
              <w:bottom w:val="single" w:sz="8" w:color="004483"/>
            </w:tcBorders>
          </w:tcPr>
          <w:p>
            <w:pPr>
              <w:jc w:val="right"/>
              <w:ind w:right="369"/>
              <w:spacing w:after="0"/>
              <w:rPr>
                <w:sz w:val="20"/>
                <w:szCs w:val="20"/>
                <w:color w:val="auto"/>
              </w:rPr>
            </w:pPr>
            <w:r>
              <w:rPr>
                <w:rFonts w:ascii="Arial" w:cs="Arial" w:eastAsia="Arial" w:hAnsi="Arial"/>
                <w:sz w:val="8"/>
                <w:szCs w:val="8"/>
                <w:b w:val="1"/>
                <w:bCs w:val="1"/>
                <w:color w:val="auto"/>
              </w:rPr>
              <w:t>3/16</w:t>
            </w:r>
          </w:p>
        </w:tc>
        <w:tc>
          <w:tcPr>
            <w:tcW w:w="1100" w:type="dxa"/>
            <w:vAlign w:val="bottom"/>
            <w:tcBorders>
              <w:bottom w:val="single" w:sz="8" w:color="004483"/>
            </w:tcBorders>
          </w:tcPr>
          <w:p>
            <w:pPr>
              <w:jc w:val="right"/>
              <w:ind w:right="349"/>
              <w:spacing w:after="0"/>
              <w:rPr>
                <w:sz w:val="20"/>
                <w:szCs w:val="20"/>
                <w:color w:val="auto"/>
              </w:rPr>
            </w:pPr>
            <w:r>
              <w:rPr>
                <w:rFonts w:ascii="Arial" w:cs="Arial" w:eastAsia="Arial" w:hAnsi="Arial"/>
                <w:sz w:val="8"/>
                <w:szCs w:val="8"/>
                <w:b w:val="1"/>
                <w:bCs w:val="1"/>
                <w:color w:val="auto"/>
              </w:rPr>
              <w:t>3/17</w:t>
            </w:r>
          </w:p>
        </w:tc>
        <w:tc>
          <w:tcPr>
            <w:tcW w:w="1120" w:type="dxa"/>
            <w:vAlign w:val="bottom"/>
            <w:tcBorders>
              <w:bottom w:val="single" w:sz="8" w:color="004483"/>
            </w:tcBorders>
          </w:tcPr>
          <w:p>
            <w:pPr>
              <w:jc w:val="right"/>
              <w:ind w:right="349"/>
              <w:spacing w:after="0"/>
              <w:rPr>
                <w:sz w:val="20"/>
                <w:szCs w:val="20"/>
                <w:color w:val="auto"/>
              </w:rPr>
            </w:pPr>
            <w:r>
              <w:rPr>
                <w:rFonts w:ascii="Arial" w:cs="Arial" w:eastAsia="Arial" w:hAnsi="Arial"/>
                <w:sz w:val="8"/>
                <w:szCs w:val="8"/>
                <w:b w:val="1"/>
                <w:bCs w:val="1"/>
                <w:color w:val="auto"/>
              </w:rPr>
              <w:t>3/18</w:t>
            </w:r>
          </w:p>
        </w:tc>
        <w:tc>
          <w:tcPr>
            <w:tcW w:w="1120" w:type="dxa"/>
            <w:vAlign w:val="bottom"/>
            <w:tcBorders>
              <w:bottom w:val="single" w:sz="8" w:color="004483"/>
            </w:tcBorders>
          </w:tcPr>
          <w:p>
            <w:pPr>
              <w:jc w:val="right"/>
              <w:ind w:right="349"/>
              <w:spacing w:after="0"/>
              <w:rPr>
                <w:sz w:val="20"/>
                <w:szCs w:val="20"/>
                <w:color w:val="auto"/>
              </w:rPr>
            </w:pPr>
            <w:r>
              <w:rPr>
                <w:rFonts w:ascii="Arial" w:cs="Arial" w:eastAsia="Arial" w:hAnsi="Arial"/>
                <w:sz w:val="8"/>
                <w:szCs w:val="8"/>
                <w:b w:val="1"/>
                <w:bCs w:val="1"/>
                <w:color w:val="auto"/>
              </w:rPr>
              <w:t>3/19</w:t>
            </w:r>
          </w:p>
        </w:tc>
        <w:tc>
          <w:tcPr>
            <w:tcW w:w="1140" w:type="dxa"/>
            <w:vAlign w:val="bottom"/>
            <w:tcBorders>
              <w:bottom w:val="single" w:sz="8" w:color="004483"/>
            </w:tcBorders>
          </w:tcPr>
          <w:p>
            <w:pPr>
              <w:jc w:val="right"/>
              <w:ind w:right="369"/>
              <w:spacing w:after="0"/>
              <w:rPr>
                <w:sz w:val="20"/>
                <w:szCs w:val="20"/>
                <w:color w:val="auto"/>
              </w:rPr>
            </w:pPr>
            <w:r>
              <w:rPr>
                <w:rFonts w:ascii="Arial" w:cs="Arial" w:eastAsia="Arial" w:hAnsi="Arial"/>
                <w:sz w:val="8"/>
                <w:szCs w:val="8"/>
                <w:b w:val="1"/>
                <w:bCs w:val="1"/>
                <w:color w:val="auto"/>
              </w:rPr>
              <w:t>3/20</w:t>
            </w:r>
          </w:p>
        </w:tc>
        <w:tc>
          <w:tcPr>
            <w:tcW w:w="840" w:type="dxa"/>
            <w:vAlign w:val="bottom"/>
            <w:tcBorders>
              <w:bottom w:val="single" w:sz="8" w:color="004483"/>
            </w:tcBorders>
          </w:tcPr>
          <w:p>
            <w:pPr>
              <w:jc w:val="right"/>
              <w:ind w:right="69"/>
              <w:spacing w:after="0"/>
              <w:rPr>
                <w:sz w:val="20"/>
                <w:szCs w:val="20"/>
                <w:color w:val="auto"/>
              </w:rPr>
            </w:pPr>
            <w:r>
              <w:rPr>
                <w:rFonts w:ascii="Arial" w:cs="Arial" w:eastAsia="Arial" w:hAnsi="Arial"/>
                <w:sz w:val="8"/>
                <w:szCs w:val="8"/>
                <w:b w:val="1"/>
                <w:bCs w:val="1"/>
                <w:color w:val="auto"/>
              </w:rPr>
              <w:t>3/21</w:t>
            </w:r>
          </w:p>
        </w:tc>
      </w:tr>
      <w:tr>
        <w:trPr>
          <w:trHeight w:val="131"/>
        </w:trPr>
        <w:tc>
          <w:tcPr>
            <w:tcW w:w="362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Eagle Materials Inc.</w:t>
            </w:r>
          </w:p>
        </w:tc>
        <w:tc>
          <w:tcPr>
            <w:tcW w:w="236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100.00</w:t>
            </w:r>
          </w:p>
        </w:tc>
        <w:tc>
          <w:tcPr>
            <w:tcW w:w="110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139.25</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148.30</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121.90</w:t>
            </w:r>
          </w:p>
        </w:tc>
        <w:tc>
          <w:tcPr>
            <w:tcW w:w="114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84.86</w:t>
            </w:r>
          </w:p>
        </w:tc>
        <w:tc>
          <w:tcPr>
            <w:tcW w:w="8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195.54</w:t>
            </w:r>
          </w:p>
        </w:tc>
      </w:tr>
      <w:tr>
        <w:trPr>
          <w:trHeight w:val="133"/>
        </w:trPr>
        <w:tc>
          <w:tcPr>
            <w:tcW w:w="362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Russell 1000</w:t>
            </w:r>
          </w:p>
        </w:tc>
        <w:tc>
          <w:tcPr>
            <w:tcW w:w="236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100.00</w:t>
            </w:r>
          </w:p>
        </w:tc>
        <w:tc>
          <w:tcPr>
            <w:tcW w:w="110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117.43</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133.84</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146.29</w:t>
            </w:r>
          </w:p>
        </w:tc>
        <w:tc>
          <w:tcPr>
            <w:tcW w:w="114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134.55</w:t>
            </w:r>
          </w:p>
        </w:tc>
        <w:tc>
          <w:tcPr>
            <w:tcW w:w="8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216.07</w:t>
            </w:r>
          </w:p>
        </w:tc>
      </w:tr>
      <w:tr>
        <w:trPr>
          <w:trHeight w:val="133"/>
        </w:trPr>
        <w:tc>
          <w:tcPr>
            <w:tcW w:w="362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Dow Jones US Building Materials &amp; Fixtures</w:t>
            </w:r>
          </w:p>
        </w:tc>
        <w:tc>
          <w:tcPr>
            <w:tcW w:w="236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100.00</w:t>
            </w:r>
          </w:p>
        </w:tc>
        <w:tc>
          <w:tcPr>
            <w:tcW w:w="110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115.17</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121.77</w:t>
            </w:r>
          </w:p>
        </w:tc>
        <w:tc>
          <w:tcPr>
            <w:tcW w:w="1120" w:type="dxa"/>
            <w:vAlign w:val="bottom"/>
            <w:tcBorders>
              <w:bottom w:val="single" w:sz="8" w:color="A6A6A6"/>
            </w:tcBorders>
          </w:tcPr>
          <w:p>
            <w:pPr>
              <w:jc w:val="right"/>
              <w:ind w:right="349"/>
              <w:spacing w:after="0"/>
              <w:rPr>
                <w:sz w:val="20"/>
                <w:szCs w:val="20"/>
                <w:color w:val="auto"/>
              </w:rPr>
            </w:pPr>
            <w:r>
              <w:rPr>
                <w:rFonts w:ascii="Arial" w:cs="Arial" w:eastAsia="Arial" w:hAnsi="Arial"/>
                <w:sz w:val="11"/>
                <w:szCs w:val="11"/>
                <w:color w:val="auto"/>
              </w:rPr>
              <w:t>119.99</w:t>
            </w:r>
          </w:p>
        </w:tc>
        <w:tc>
          <w:tcPr>
            <w:tcW w:w="1140" w:type="dxa"/>
            <w:vAlign w:val="bottom"/>
            <w:tcBorders>
              <w:bottom w:val="single" w:sz="8" w:color="A6A6A6"/>
            </w:tcBorders>
          </w:tcPr>
          <w:p>
            <w:pPr>
              <w:jc w:val="right"/>
              <w:ind w:right="369"/>
              <w:spacing w:after="0"/>
              <w:rPr>
                <w:sz w:val="20"/>
                <w:szCs w:val="20"/>
                <w:color w:val="auto"/>
              </w:rPr>
            </w:pPr>
            <w:r>
              <w:rPr>
                <w:rFonts w:ascii="Arial" w:cs="Arial" w:eastAsia="Arial" w:hAnsi="Arial"/>
                <w:sz w:val="11"/>
                <w:szCs w:val="11"/>
                <w:color w:val="auto"/>
              </w:rPr>
              <w:t>110.34</w:t>
            </w:r>
          </w:p>
        </w:tc>
        <w:tc>
          <w:tcPr>
            <w:tcW w:w="8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214.37</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SEC Release No. 33-10890 eliminated the requirement of selected financial data previously required by Item 301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EXECUTIVE SUMMARY</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65"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On September 18, 2020, we sold our Oil and Gas Proppants business, which had previously been reported as a separate operating segment, for a purchase price of $2.0 million, which was paid in Smart Sand common stock. For financial reporting purposes, the sale resulted in a gain of approximately $9.2 million. Because the sale of the Oil and Gas Proppants business was determined to meet the accounting criteria for discontinued operations, this segment is no longer separately reported in our reportable segment footnote for any of the periods presented. See Footnotes (C) and (I) in the Audited Consolidated Financial Statements for more information about the sale of the Oil and Gas Proppants business.</w:t>
      </w:r>
    </w:p>
    <w:p>
      <w:pPr>
        <w:spacing w:after="0" w:line="65" w:lineRule="exact"/>
        <w:rPr>
          <w:sz w:val="20"/>
          <w:szCs w:val="20"/>
          <w:color w:val="auto"/>
        </w:rPr>
      </w:pPr>
    </w:p>
    <w:p>
      <w:pPr>
        <w:ind w:right="260"/>
        <w:spacing w:after="0" w:line="271" w:lineRule="auto"/>
        <w:rPr>
          <w:sz w:val="20"/>
          <w:szCs w:val="20"/>
          <w:color w:val="auto"/>
        </w:rPr>
      </w:pPr>
      <w:r>
        <w:rPr>
          <w:rFonts w:ascii="Arial" w:cs="Arial" w:eastAsia="Arial" w:hAnsi="Arial"/>
          <w:sz w:val="12"/>
          <w:szCs w:val="12"/>
          <w:color w:val="auto"/>
        </w:rPr>
        <w:t>Our current businesses are organized into two sectors: Heavy Materials, which includes the Cement and Concrete and Aggregates segments; and Light Materials, which includes the Gypsum Wallboard and Recycled Paperboard segments. Financial results and other information for the fiscal years ended March 31, 2021 and 2020, are presented on a consolidated basis and by these business segments – Cement, Concrete and Aggregates, Gypsum Wallboard, and Recycled Paperboard.</w:t>
      </w:r>
    </w:p>
    <w:p>
      <w:pPr>
        <w:spacing w:after="0" w:line="64" w:lineRule="exact"/>
        <w:rPr>
          <w:sz w:val="20"/>
          <w:szCs w:val="20"/>
          <w:color w:val="auto"/>
        </w:rPr>
      </w:pPr>
    </w:p>
    <w:p>
      <w:pPr>
        <w:jc w:val="both"/>
        <w:ind w:right="100"/>
        <w:spacing w:after="0" w:line="271" w:lineRule="auto"/>
        <w:rPr>
          <w:sz w:val="20"/>
          <w:szCs w:val="20"/>
          <w:color w:val="auto"/>
        </w:rPr>
      </w:pPr>
      <w:r>
        <w:rPr>
          <w:rFonts w:ascii="Arial" w:cs="Arial" w:eastAsia="Arial" w:hAnsi="Arial"/>
          <w:sz w:val="12"/>
          <w:szCs w:val="12"/>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4" w:lineRule="exact"/>
        <w:rPr>
          <w:sz w:val="20"/>
          <w:szCs w:val="20"/>
          <w:color w:val="auto"/>
        </w:rPr>
      </w:pPr>
    </w:p>
    <w:p>
      <w:pPr>
        <w:ind w:right="200"/>
        <w:spacing w:after="0" w:line="324" w:lineRule="auto"/>
        <w:rPr>
          <w:sz w:val="20"/>
          <w:szCs w:val="20"/>
          <w:color w:val="auto"/>
        </w:rPr>
      </w:pPr>
      <w:r>
        <w:rPr>
          <w:rFonts w:ascii="Arial" w:cs="Arial" w:eastAsia="Arial" w:hAnsi="Arial"/>
          <w:sz w:val="11"/>
          <w:szCs w:val="11"/>
          <w:color w:val="auto"/>
        </w:rPr>
        <w:t>On August 2, 2019, we acquired the assets of a readymix concrete and aggregates business in northern Nevada (the ConAgg Acquisition). The purchase price (Purchase Price) of the ConAgg Acquisition was approximately $30.4 million. The Purchase Price and expenses incurred in connection with the ConAgg Acquisition were funded through operating cash flows and borrowings under our Revolving Credit Facility.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The ConAgg Acquisition’s assets and operating results are included in our Concrete and Aggregates segment reporting from August 2, 2019 through March 31, 2020, and for all of fiscal 2021.</w:t>
      </w:r>
    </w:p>
    <w:p>
      <w:pPr>
        <w:spacing w:after="0" w:line="8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On March 6, 2020, we completed the acquisition (the Kosmos Acquisition) of the assets of Kosmos Cement Company (a joint venture between CEMEX S.A.B. de C.V. and Buzzi Unicem S.p.A.) (Kosmos), which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for a purchase price of approximately $669 million. We also assumed certain liabilities and obligations of Kosmos relating to the Kosmos Business, including contractual obligations, reclamation obligations, and various other liabilities and obligations arising out of or relating to the Kosmos Business after the closing of the transaction. We funded the payment of the purchase price and expenses incurred in connection with the transaction through a combination of cash on hand and a syndicated term loan facility. The Kosmos Business’ assets and operating results are included in our Cement segment reporting from March 6, 2020 through March 31, 2020, and for all of fiscal 2021.</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fiscal 2020 and 2019, and from April 1, 2020 through April 17, 2020.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MARKET CONDITIONS AND OUTLOOK</w:t>
      </w:r>
    </w:p>
    <w:p>
      <w:pPr>
        <w:spacing w:after="0" w:line="101"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Our financial results in fiscal 2021 were not materially affected by the extraordinary and wide-ranging actions taken by international, federal, state, and local public health and governmental authorities to contain and combat the spread of COVID-19. Nevertheless, the future course of the COVID-19 pandemic is difficult to predict, and the extent to which the COVID-19 pandemic will ultimately impact our business, operations, financial condition and results of operations will depend on numerous factors, which are highly uncertain, rapidly changing and cannot be predicted.</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Our fiscal 2021 results were strong, with increased operating earnings in all segments except Recycled Paperboard. Our end markets remained resilient despite the uncertainty related to COVID-19. Our regional construction markets continued to generally outperform the national average, and sales volume in both major business lines remained strong – our Gypsum Wallboard shipments were up 6%, and our organic Cement sales volume increased 1%.</w:t>
      </w:r>
    </w:p>
    <w:p>
      <w:pPr>
        <w:spacing w:after="0" w:line="64" w:lineRule="exact"/>
        <w:rPr>
          <w:sz w:val="20"/>
          <w:szCs w:val="20"/>
          <w:color w:val="auto"/>
        </w:rPr>
      </w:pPr>
    </w:p>
    <w:p>
      <w:pPr>
        <w:ind w:right="320"/>
        <w:spacing w:after="0" w:line="271" w:lineRule="auto"/>
        <w:rPr>
          <w:sz w:val="20"/>
          <w:szCs w:val="20"/>
          <w:color w:val="auto"/>
        </w:rPr>
      </w:pPr>
      <w:r>
        <w:rPr>
          <w:rFonts w:ascii="Arial" w:cs="Arial" w:eastAsia="Arial" w:hAnsi="Arial"/>
          <w:sz w:val="12"/>
          <w:szCs w:val="12"/>
          <w:color w:val="auto"/>
        </w:rPr>
        <w:t>We are well positioned to manage our cost structure and meet our customers’ needs during the upcoming fiscal year. Our substantial raw material reserves support our low-cost producer position and the integration of the Kosmos Acquisition during fiscal 2021 expanded our Cement sales footprint in the central part of the United States. We expect our cost of freight will increase in fiscal 2022, as the continued demand for construction and construction products increases.</w:t>
      </w:r>
    </w:p>
    <w:p>
      <w:pPr>
        <w:spacing w:after="0" w:line="64" w:lineRule="exact"/>
        <w:rPr>
          <w:sz w:val="20"/>
          <w:szCs w:val="20"/>
          <w:color w:val="auto"/>
        </w:rPr>
      </w:pPr>
    </w:p>
    <w:p>
      <w:pPr>
        <w:ind w:right="780"/>
        <w:spacing w:after="0" w:line="277" w:lineRule="auto"/>
        <w:rPr>
          <w:sz w:val="20"/>
          <w:szCs w:val="20"/>
          <w:color w:val="auto"/>
        </w:rPr>
      </w:pPr>
      <w:r>
        <w:rPr>
          <w:rFonts w:ascii="Arial" w:cs="Arial" w:eastAsia="Arial" w:hAnsi="Arial"/>
          <w:sz w:val="12"/>
          <w:szCs w:val="12"/>
          <w:color w:val="auto"/>
        </w:rPr>
        <w:t>On the demand side, the passage of the latest stimulus bill in March 2021 provided states with additional funds to compensate for lower tax collections due to COVID-related shutdowns, and the new administration’s proposed new infrastructure program, if passed, will increase investment in roads, bridges and other infrastructure throughout the country.</w:t>
      </w:r>
    </w:p>
    <w:p>
      <w:pPr>
        <w:spacing w:after="0" w:line="59"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Our integrated cement sales network stretches across the U.S. heartland and is operating at high utilization levels; therefore, organic cement sales volume growth will be limited. The PCA is estimating cement consumption will increase in calendar 2021 over 2020 by approximately 2%. In addition 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weather, cement and concrete and aggregates markets are affected by infrastructure spending, residential construction, and industrial construction activity.</w:t>
      </w:r>
    </w:p>
    <w:p>
      <w:pPr>
        <w:spacing w:after="0" w:line="87" w:lineRule="exact"/>
        <w:rPr>
          <w:sz w:val="20"/>
          <w:szCs w:val="20"/>
          <w:color w:val="auto"/>
        </w:rPr>
      </w:pPr>
    </w:p>
    <w:p>
      <w:pPr>
        <w:ind w:right="440"/>
        <w:spacing w:after="0" w:line="324" w:lineRule="auto"/>
        <w:rPr>
          <w:sz w:val="20"/>
          <w:szCs w:val="20"/>
          <w:color w:val="auto"/>
        </w:rPr>
      </w:pPr>
      <w:r>
        <w:rPr>
          <w:rFonts w:ascii="Arial" w:cs="Arial" w:eastAsia="Arial" w:hAnsi="Arial"/>
          <w:sz w:val="11"/>
          <w:szCs w:val="11"/>
          <w:color w:val="auto"/>
        </w:rPr>
        <w:t>Our primary Gypsum Wallboard sales network stretches across the southern half of the United States, consistent with our facility network. Wallboard demand is heavily influenced by new residential housing construction, as well as repair and remodeling activity. Residential housing starts increased 7% in calendar 2020 from 2019, and are expected to remain strong throughout the remainder of calendar 2021.</w:t>
      </w:r>
    </w:p>
    <w:p>
      <w:pPr>
        <w:spacing w:after="0" w:line="36"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Our Recycled Paperboard business primarily sells paper into the gypsum wallboard market, and demand for paper generally follows the demand for gypsum wallboard. The primary raw material used to produce paperboard is OCC. We expect OCC prices to increase during the fiscal first quarter of 2022, then remain consistent for the rest of the fiscal year. Additionally, the PSO has requested an increase in electric rates that, if approved, would significantly increase our power costs in fiscal 2022. Although current gypsum liner customer contracts include price escalators that partially offset and compensate for changes in raw material fiber prices, these increases likely will adversely affect our Gypsum Wallboard operations by increasing the cost of paper.</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During February 2021, Winter Storm Uri adversely affected the operations of several of our cement plants, as well as our Gypsum Wallboard and Recycled Paperboard businesses. The impact of the storm increased costs, principally for natural gas and electric power, in the affected businesses during the fourth quarter of fiscal 2021. In addition, in regions affected by the storm, construction activities experienced significant reductions for the duration of the storm. We are engaged in discussions with contractual counterparties regarding the responsibility for certain charges and obligations arising as a result of the storm, and therefore it is not possible at the present time to make a final determination of the storm’s impact on our financial results, or potential impact on costs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2021 COMPARED WITH FISCAL YEAR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1780" w:type="dxa"/>
            <w:vAlign w:val="bottom"/>
            <w:gridSpan w:val="3"/>
            <w:shd w:val="clear" w:color="auto" w:fill="004483"/>
          </w:tcPr>
          <w:p>
            <w:pPr>
              <w:jc w:val="right"/>
              <w:ind w:right="171"/>
              <w:spacing w:after="0"/>
              <w:rPr>
                <w:sz w:val="20"/>
                <w:szCs w:val="20"/>
                <w:color w:val="auto"/>
              </w:rPr>
            </w:pPr>
            <w:r>
              <w:rPr>
                <w:rFonts w:ascii="Arial" w:cs="Arial" w:eastAsia="Arial" w:hAnsi="Arial"/>
                <w:sz w:val="8"/>
                <w:szCs w:val="8"/>
                <w:b w:val="1"/>
                <w:bCs w:val="1"/>
                <w:color w:val="FFFFFF"/>
              </w:rPr>
              <w:t>For the Years Ended March 31,</w:t>
            </w:r>
          </w:p>
        </w:tc>
        <w:tc>
          <w:tcPr>
            <w:tcW w:w="780" w:type="dxa"/>
            <w:vAlign w:val="bottom"/>
            <w:shd w:val="clear" w:color="auto" w:fill="004483"/>
          </w:tcPr>
          <w:p>
            <w:pPr>
              <w:spacing w:after="0"/>
              <w:rPr>
                <w:sz w:val="13"/>
                <w:szCs w:val="13"/>
                <w:color w:val="auto"/>
              </w:rPr>
            </w:pPr>
          </w:p>
        </w:tc>
        <w:tc>
          <w:tcPr>
            <w:tcW w:w="1640" w:type="dxa"/>
            <w:vAlign w:val="bottom"/>
            <w:vMerge w:val="restart"/>
          </w:tcPr>
          <w:p>
            <w:pPr>
              <w:jc w:val="right"/>
              <w:ind w:right="87"/>
              <w:spacing w:after="0"/>
              <w:rPr>
                <w:sz w:val="20"/>
                <w:szCs w:val="20"/>
                <w:color w:val="auto"/>
              </w:rPr>
            </w:pPr>
            <w:r>
              <w:rPr>
                <w:rFonts w:ascii="Arial" w:cs="Arial" w:eastAsia="Arial" w:hAnsi="Arial"/>
                <w:sz w:val="8"/>
                <w:szCs w:val="8"/>
                <w:b w:val="1"/>
                <w:bCs w:val="1"/>
                <w:color w:val="auto"/>
              </w:rPr>
              <w:t>Percentage Change</w:t>
            </w: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jc w:val="right"/>
              <w:ind w:right="47"/>
              <w:spacing w:after="0"/>
              <w:rPr>
                <w:sz w:val="20"/>
                <w:szCs w:val="20"/>
                <w:color w:val="auto"/>
              </w:rPr>
            </w:pPr>
            <w:r>
              <w:rPr>
                <w:rFonts w:ascii="Arial" w:cs="Arial" w:eastAsia="Arial" w:hAnsi="Arial"/>
                <w:sz w:val="8"/>
                <w:szCs w:val="8"/>
                <w:b w:val="1"/>
                <w:bCs w:val="1"/>
                <w:color w:val="auto"/>
              </w:rPr>
              <w:t>2020</w:t>
            </w: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4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1780" w:type="dxa"/>
            <w:vAlign w:val="bottom"/>
            <w:tcBorders>
              <w:bottom w:val="single" w:sz="8" w:color="004483"/>
            </w:tcBorders>
            <w:gridSpan w:val="3"/>
          </w:tcPr>
          <w:p>
            <w:pPr>
              <w:jc w:val="right"/>
              <w:ind w:right="211"/>
              <w:spacing w:after="0"/>
              <w:rPr>
                <w:sz w:val="20"/>
                <w:szCs w:val="20"/>
                <w:color w:val="auto"/>
              </w:rPr>
            </w:pPr>
            <w:r>
              <w:rPr>
                <w:rFonts w:ascii="Arial" w:cs="Arial" w:eastAsia="Arial" w:hAnsi="Arial"/>
                <w:sz w:val="8"/>
                <w:szCs w:val="8"/>
                <w:color w:val="auto"/>
              </w:rPr>
              <w:t>(in thousands, except per share)</w:t>
            </w:r>
          </w:p>
        </w:tc>
        <w:tc>
          <w:tcPr>
            <w:tcW w:w="780" w:type="dxa"/>
            <w:vAlign w:val="bottom"/>
            <w:tcBorders>
              <w:bottom w:val="single" w:sz="8" w:color="004483"/>
            </w:tcBorders>
          </w:tcPr>
          <w:p>
            <w:pPr>
              <w:spacing w:after="0"/>
              <w:rPr>
                <w:sz w:val="8"/>
                <w:szCs w:val="8"/>
                <w:color w:val="auto"/>
              </w:rPr>
            </w:pPr>
          </w:p>
        </w:tc>
        <w:tc>
          <w:tcPr>
            <w:tcW w:w="1640" w:type="dxa"/>
            <w:vAlign w:val="bottom"/>
            <w:tcBorders>
              <w:bottom w:val="single" w:sz="8" w:color="004483"/>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Revenue</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1,622,642</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1,404,033</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Cost of Goods Sold</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(1,214,287)</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ind w:right="7"/>
              <w:spacing w:after="0"/>
              <w:rPr>
                <w:sz w:val="20"/>
                <w:szCs w:val="20"/>
                <w:color w:val="auto"/>
              </w:rPr>
            </w:pPr>
            <w:r>
              <w:rPr>
                <w:rFonts w:ascii="Arial" w:cs="Arial" w:eastAsia="Arial" w:hAnsi="Arial"/>
                <w:sz w:val="11"/>
                <w:szCs w:val="11"/>
                <w:color w:val="auto"/>
              </w:rPr>
              <w:t>(1,061,367)</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Gross Profit</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408,355</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342,666</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Equity in Earnings of Unconsolidated Joint Venture</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37,441</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42,585</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Corporate General and Administrative</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(49,511)</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7"/>
              <w:spacing w:after="0"/>
              <w:rPr>
                <w:sz w:val="20"/>
                <w:szCs w:val="20"/>
                <w:color w:val="auto"/>
              </w:rPr>
            </w:pPr>
            <w:r>
              <w:rPr>
                <w:rFonts w:ascii="Arial" w:cs="Arial" w:eastAsia="Arial" w:hAnsi="Arial"/>
                <w:sz w:val="11"/>
                <w:szCs w:val="11"/>
                <w:color w:val="auto"/>
              </w:rPr>
              <w:t>(65,410)</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Gain on Sale of Businesses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51,973</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w:t>
            </w:r>
          </w:p>
        </w:tc>
        <w:tc>
          <w:tcPr>
            <w:tcW w:w="1640" w:type="dxa"/>
            <w:vAlign w:val="bottom"/>
            <w:tcBorders>
              <w:bottom w:val="single" w:sz="8" w:color="A6A6A6"/>
            </w:tcBorders>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Impairment Losses</w:t>
            </w:r>
          </w:p>
        </w:tc>
        <w:tc>
          <w:tcPr>
            <w:tcW w:w="46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7"/>
              <w:spacing w:after="0"/>
              <w:rPr>
                <w:sz w:val="20"/>
                <w:szCs w:val="20"/>
                <w:color w:val="auto"/>
              </w:rPr>
            </w:pPr>
            <w:r>
              <w:rPr>
                <w:rFonts w:ascii="Arial" w:cs="Arial" w:eastAsia="Arial" w:hAnsi="Arial"/>
                <w:sz w:val="11"/>
                <w:szCs w:val="11"/>
                <w:color w:val="auto"/>
              </w:rPr>
              <w:t>(25,131)</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Other Non-Operating Income (Loss)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20,274</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7"/>
              <w:spacing w:after="0"/>
              <w:rPr>
                <w:sz w:val="20"/>
                <w:szCs w:val="20"/>
                <w:color w:val="auto"/>
              </w:rPr>
            </w:pPr>
            <w:r>
              <w:rPr>
                <w:rFonts w:ascii="Arial" w:cs="Arial" w:eastAsia="Arial" w:hAnsi="Arial"/>
                <w:sz w:val="11"/>
                <w:szCs w:val="11"/>
                <w:color w:val="auto"/>
              </w:rPr>
              <w:t>(594)</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(3513)%</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Interest Expense, net</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(44,420)</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ind w:right="7"/>
              <w:spacing w:after="0"/>
              <w:rPr>
                <w:sz w:val="20"/>
                <w:szCs w:val="20"/>
                <w:color w:val="auto"/>
              </w:rPr>
            </w:pPr>
            <w:r>
              <w:rPr>
                <w:rFonts w:ascii="Arial" w:cs="Arial" w:eastAsia="Arial" w:hAnsi="Arial"/>
                <w:sz w:val="11"/>
                <w:szCs w:val="11"/>
                <w:color w:val="auto"/>
              </w:rPr>
              <w:t>(38,421)</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Earnings from Continuing Operations Before Income Taxes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424,112</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255,695</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Income Tax Expense</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(89,946)</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ind w:right="7"/>
              <w:spacing w:after="0"/>
              <w:rPr>
                <w:sz w:val="20"/>
                <w:szCs w:val="20"/>
                <w:color w:val="auto"/>
              </w:rPr>
            </w:pPr>
            <w:r>
              <w:rPr>
                <w:rFonts w:ascii="Arial" w:cs="Arial" w:eastAsia="Arial" w:hAnsi="Arial"/>
                <w:sz w:val="11"/>
                <w:szCs w:val="11"/>
                <w:color w:val="auto"/>
              </w:rPr>
              <w:t>(24,504)</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Earnings From Continuing Operations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334,166</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231,191</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 (Loss) from Discontinued Operations</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5,278</w:t>
            </w:r>
          </w:p>
        </w:tc>
        <w:tc>
          <w:tcPr>
            <w:tcW w:w="16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ind w:right="7"/>
              <w:spacing w:after="0"/>
              <w:rPr>
                <w:sz w:val="20"/>
                <w:szCs w:val="20"/>
                <w:color w:val="auto"/>
              </w:rPr>
            </w:pPr>
            <w:r>
              <w:rPr>
                <w:rFonts w:ascii="Arial" w:cs="Arial" w:eastAsia="Arial" w:hAnsi="Arial"/>
                <w:sz w:val="11"/>
                <w:szCs w:val="11"/>
                <w:color w:val="auto"/>
              </w:rPr>
              <w:t>(160,297)</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Earnings</w:t>
            </w: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339,444</w:t>
            </w:r>
          </w:p>
        </w:tc>
        <w:tc>
          <w:tcPr>
            <w:tcW w:w="160" w:type="dxa"/>
            <w:vAlign w:val="bottom"/>
            <w:tcBorders>
              <w:bottom w:val="single" w:sz="8" w:color="A6A6A6"/>
            </w:tcBorders>
          </w:tcPr>
          <w:p>
            <w:pPr>
              <w:spacing w:after="0"/>
              <w:rPr>
                <w:sz w:val="13"/>
                <w:szCs w:val="13"/>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ind w:right="47"/>
              <w:spacing w:after="0"/>
              <w:rPr>
                <w:sz w:val="20"/>
                <w:szCs w:val="20"/>
                <w:color w:val="auto"/>
              </w:rPr>
            </w:pPr>
            <w:r>
              <w:rPr>
                <w:rFonts w:ascii="Arial" w:cs="Arial" w:eastAsia="Arial" w:hAnsi="Arial"/>
                <w:sz w:val="11"/>
                <w:szCs w:val="11"/>
                <w:b w:val="1"/>
                <w:bCs w:val="1"/>
                <w:color w:val="auto"/>
              </w:rPr>
              <w:t>70,894</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379%</w:t>
            </w:r>
          </w:p>
        </w:tc>
        <w:tc>
          <w:tcPr>
            <w:tcW w:w="0" w:type="dxa"/>
            <w:vAlign w:val="bottom"/>
          </w:tcPr>
          <w:p>
            <w:pPr>
              <w:spacing w:after="0"/>
              <w:rPr>
                <w:sz w:val="1"/>
                <w:szCs w:val="1"/>
                <w:color w:val="auto"/>
              </w:rPr>
            </w:pPr>
          </w:p>
        </w:tc>
      </w:tr>
      <w:tr>
        <w:trPr>
          <w:trHeight w:val="138"/>
        </w:trPr>
        <w:tc>
          <w:tcPr>
            <w:tcW w:w="66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004483"/>
              </w:rPr>
              <w:t>Diluted Earnings per Share from Continuing Operations</w:t>
            </w: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7.99</w:t>
            </w:r>
          </w:p>
        </w:tc>
        <w:tc>
          <w:tcPr>
            <w:tcW w:w="160" w:type="dxa"/>
            <w:vAlign w:val="bottom"/>
            <w:tcBorders>
              <w:bottom w:val="single" w:sz="8" w:color="A6A6A6"/>
            </w:tcBorders>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ind w:right="47"/>
              <w:spacing w:after="0"/>
              <w:rPr>
                <w:sz w:val="20"/>
                <w:szCs w:val="20"/>
                <w:color w:val="auto"/>
              </w:rPr>
            </w:pPr>
            <w:r>
              <w:rPr>
                <w:rFonts w:ascii="Arial" w:cs="Arial" w:eastAsia="Arial" w:hAnsi="Arial"/>
                <w:sz w:val="11"/>
                <w:szCs w:val="11"/>
                <w:b w:val="1"/>
                <w:bCs w:val="1"/>
                <w:color w:val="auto"/>
              </w:rPr>
              <w:t>5.47</w:t>
            </w:r>
          </w:p>
        </w:tc>
        <w:tc>
          <w:tcPr>
            <w:tcW w:w="1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004483"/>
        </w:rPr>
        <w:t>REVENUE</w:t>
      </w:r>
    </w:p>
    <w:p>
      <w:pPr>
        <w:spacing w:after="0" w:line="101"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Revenue increased in fiscal 2021 by $218.6 million, or 16%, to $1,622.6 million. The Kosmos and ConAgg Acquisitions contributed approximately $177.7 million of Revenue in fiscal 2021, while Western and Mathews contributed approximately $30.7 million of Revenue in fiscal 2020. Excluding the acquisitions and dispositions, Revenue increased approximately $71.6 million, or 5%, primarily due to higher gross sales prices and Sales Volume of approximately $45.3 million and $26.3 million, respectively. All of our segments contributed to the higher gross sales prices, while the increase in Sales Volume primarily related to the Cement and Gypsum Wallboard segments. See individual segment disclosure on pages 42-45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COST OF GOODS SOLD</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Cost of Goods Sold increased by $152.9 million, or 14%, to $1,214.3 million in fiscal 2021. The Kosmos and ConAgg Acquisitions contributed $136.1 million of Cost of Goods Sold for fiscal 2021, while Western and Mathews contributed approximately $27.3 million of Cost of Goods Sold in fiscal 2020. Excluding the acquisitions and dispositions, Cost of Goods Sold increased by $44.1 million, or 4%. The increase in Cost of Goods Sold was due to higher Sales Volume and operating costs of $28.5 million and $15.6 million, respectively. The increase in the operating costs related primarily to our Cement and Recycled Paperboard segments and is discussed further on pages 42-45.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GROSS PROFIT</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Gross Profit increased by 19% to $408.4 million in fiscal 2021. Excluding the acquisitions and dispositions, Gross Profit increased by $27.5 million, or 9%. The increase in Gross Profit was mainly because of higher gross sales prices and Sales Volume, partially offset by higher operating costs, as noted above. The gross margin increased to 25% in fiscal 2021 from 24% in fiscal 2020.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EQUITY IN EARNINGS OF UNCONSOLIDATED JOINT VENTURE</w:t>
      </w:r>
    </w:p>
    <w:p>
      <w:pPr>
        <w:spacing w:after="0" w:line="101" w:lineRule="exact"/>
        <w:rPr>
          <w:sz w:val="20"/>
          <w:szCs w:val="20"/>
          <w:color w:val="auto"/>
        </w:rPr>
      </w:pPr>
    </w:p>
    <w:p>
      <w:pPr>
        <w:ind w:right="300"/>
        <w:spacing w:after="0" w:line="271" w:lineRule="auto"/>
        <w:rPr>
          <w:sz w:val="20"/>
          <w:szCs w:val="20"/>
          <w:color w:val="auto"/>
        </w:rPr>
      </w:pPr>
      <w:r>
        <w:rPr>
          <w:rFonts w:ascii="Arial" w:cs="Arial" w:eastAsia="Arial" w:hAnsi="Arial"/>
          <w:sz w:val="12"/>
          <w:szCs w:val="12"/>
          <w:color w:val="auto"/>
        </w:rPr>
        <w:t>Equity in Earnings of Unconsolidated Joint Venture decreased by $5.2 million, or 12%. The decline was mostly due to lower gross sales prices and Sales Volume of approximately $0.3 million and $3.3 million, respectively, as well as increased operating costs of $1.6 million. The increase in operating costs was due primarily to maintenance and fuel, which increased by approximately $0.9 million and $0.4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CORPORATE GENERAL AND ADMINISTRATIVE</w:t>
      </w:r>
    </w:p>
    <w:p>
      <w:pPr>
        <w:spacing w:after="0" w:line="101"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Corporate General and Administrative expenses decreased by approximately $15.9 million, or 24%, to $49.5 million in fiscal 2021. The decrease was due primarily to a reduction of legal and professional fees, acquisition-related expenses, and stock compensation costs, which contributed approximately $9.5 million, $2.8 million, and $4.9 million, respectively. The lower legal and professional fees related to higher amounts spent in the prior fiscal year in connection with our strategic portfolio review, while the lower acquisition-related expenses were due to expenses incurred in fiscal 2020 related to the Kosmos and ConAgg Acquisitions, partially offset by amounts incurred in fiscal 2021 related to the sales of Western, Mathews and our Oil and Gas Proppants businesses. The decline in stock compensation costs was due to the acceleration of stock compensation costs of $5.3 million upon the retirement of our Chief Executive Officer in the first quarter of fiscal 2020, which was partially offset by higher salary and incentive compensation expense of approximately $0.8 million in fiscal 2021.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004483"/>
        </w:rPr>
        <w:t>GAIN ON SALE OF BUSINESSES</w:t>
      </w:r>
    </w:p>
    <w:p>
      <w:pPr>
        <w:spacing w:after="0" w:line="101"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On April 17, 2020, we sold Western and Mathews for approximately $93.5 million, resulting in a gain on sale of approximately $52.0 million. See Footnote (C) to the Audited Consolidated Financial Statements for more information regarding this sale.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IMPAIRMENT LOSSES</w:t>
      </w:r>
    </w:p>
    <w:p>
      <w:pPr>
        <w:spacing w:after="0" w:line="101" w:lineRule="exact"/>
        <w:rPr>
          <w:sz w:val="20"/>
          <w:szCs w:val="20"/>
          <w:color w:val="auto"/>
        </w:rPr>
      </w:pPr>
    </w:p>
    <w:p>
      <w:pPr>
        <w:ind w:right="420"/>
        <w:spacing w:after="0" w:line="277" w:lineRule="auto"/>
        <w:rPr>
          <w:sz w:val="20"/>
          <w:szCs w:val="20"/>
          <w:color w:val="auto"/>
        </w:rPr>
      </w:pPr>
      <w:r>
        <w:rPr>
          <w:rFonts w:ascii="Arial" w:cs="Arial" w:eastAsia="Arial" w:hAnsi="Arial"/>
          <w:sz w:val="12"/>
          <w:szCs w:val="12"/>
          <w:color w:val="auto"/>
        </w:rPr>
        <w:t>Impairment Losses in fiscal 2020 related to certain assets of the Oil and Gas Proppants business that were impaired, but were not included in the sale of the business in September 2020. These impairment charges related primarily to real estate and lease right-of-use assets.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OTHER NON-OPERATING INCOME (LOSS)</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Other Non-Operating Income was $20.3 million in fiscal 2021, compared with Other Non-Operating Loss of $0.6 million in fiscal 2020. Other Non-Operating Income (Loss) consists of a variety of items that are non-segment operating in nature, including lease and rental income, investment income, non-inventoried Aggregates income, asset sales, and other miscellaneous income and cost items, such as large non-routine sales of excess raw materials or energy.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INTEREST EXPENSE, NET</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Interest Expense, net increased by approximately $6.0 million, or 16%, during fiscal 2021. The increase in Interest Expense, net was mostly due to higher interest on borrowings under our Term Loan of approximately $15.3 million and amortization of related debt issuance costs of $2.4 million. These increases were partially offset by lower interest on our Revolving Credit Facility of approximately $10.5 million and our Unsecured Private Placement Notes of $1.1 million, which were paid in full in fiscal 2020. The higher debt issuance costs were related to the issuance of the Term Loan in March 2020 and the amendments of both the Revolving Credit Facility in April 2020 and the Term Loan March 2021. The lower interest expense on our Revolving Credit Facility was due to reducing the balance throughout the first two quarters of fiscal 2021, before repaying the remaining balance in November 2020.</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EARNINGS FROM CONTINUING OPERATIONS BEFORE INCOME TAXES</w:t>
      </w:r>
    </w:p>
    <w:p>
      <w:pPr>
        <w:spacing w:after="0" w:line="101"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Earnings from Continuing Operations Before Income Taxes increased to $424.1 million during fiscal 2021, primarily due to higher Gross Profit and Gain on Sale of Businesses, and lower Corporate General and Administrative Expense. This was partially offset by lower Equity in Earnings of Unconsolidated Joint Venture and increased 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INCOME TAX EXPENSE</w:t>
      </w:r>
    </w:p>
    <w:p>
      <w:pPr>
        <w:spacing w:after="0" w:line="101"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Income Tax Expense for fiscal 2021 increased to $89.9 million from $24.5 million for fiscal 2020. The effective tax rate increased to 21% from 10% in the prior-year period. The increase in the effective tax rate was mainly due to the enactment of the Coronavirus Aid, Relief, and Economic Security (CARES) Act, which allowed a five-year carryback of net operating losses generated between 2018 and 2021. In March 2020 we recorded a one-time discrete benefit of $31.7 million related to the carryback and utilization of net operating losses in prior years at a higher rate than the current statutory rate.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004483"/>
        </w:rPr>
        <w:t>NET EARNINGS FROM CONTINUING OPERATIONS AND DILUTED EARNINGS PER SHARE FROM CONTINUING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Net Earnings from Continuing Operations increased 45% in fiscal 2021 to $334.2 million. Diluted Earnings per Share in fiscal 2021 were $7.99, compared with $5.47 for fiscal 2020.</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NET EARNINGS (LOSS) FROM DISCONTINUED OPERATIONS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Net Earnings (Loss) from Discontinued Operations increased to $5.3 million during fiscal 2021, compared with a Net Loss from Discontinued Operations of $160.3 million for fiscal 2020. The improvement was due primarily to the impairment of the operating facilities, quarries and certain lease right-of-use assets of the Oil and Gas Proppants business during fiscal 2020, as well as the recording of a $9.2 million gain on sale of the business in September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NET EARNINGS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Net Earnings increased 379% to $339.4 million for fiscal 2021, primarily due to the reasons discussed above.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sectPr>
      </w:pPr>
    </w:p>
    <w:bookmarkStart w:id="43" w:name="page44"/>
    <w:bookmarkEnd w:id="43"/>
    <w:p>
      <w:pPr>
        <w:ind w:left="8"/>
        <w:spacing w:after="0"/>
        <w:rPr>
          <w:sz w:val="20"/>
          <w:szCs w:val="20"/>
          <w:color w:val="auto"/>
        </w:rPr>
      </w:pPr>
      <w:r>
        <w:rPr>
          <w:rFonts w:ascii="Arial" w:cs="Arial" w:eastAsia="Arial" w:hAnsi="Arial"/>
          <w:sz w:val="12"/>
          <w:szCs w:val="12"/>
          <w:b w:val="1"/>
          <w:bCs w:val="1"/>
          <w:color w:val="auto"/>
        </w:rPr>
        <w:t>FISCAL YEAR 2021 vs FISCAL YEAR 2020 RESULTS BY SEGMENT</w:t>
      </w:r>
    </w:p>
    <w:p>
      <w:pPr>
        <w:spacing w:after="0" w:line="101" w:lineRule="exact"/>
        <w:rPr>
          <w:sz w:val="20"/>
          <w:szCs w:val="20"/>
          <w:color w:val="auto"/>
        </w:rPr>
      </w:pPr>
    </w:p>
    <w:p>
      <w:pPr>
        <w:ind w:left="8" w:right="320"/>
        <w:spacing w:after="0" w:line="277" w:lineRule="auto"/>
        <w:rPr>
          <w:sz w:val="20"/>
          <w:szCs w:val="20"/>
          <w:color w:val="auto"/>
        </w:rPr>
      </w:pPr>
      <w:r>
        <w:rPr>
          <w:rFonts w:ascii="Arial" w:cs="Arial" w:eastAsia="Arial" w:hAnsi="Arial"/>
          <w:sz w:val="12"/>
          <w:szCs w:val="12"/>
          <w:color w:val="auto"/>
        </w:rPr>
        <w:t>The following presents results within our two business sectors in fiscal 2021 and fiscal 2020. Revenue and operating results are organized by sector and discussed by individual business segment within each respective business sector.</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386191"/>
        </w:rPr>
        <w:t>Heavy Materials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277EBF"/>
        </w:rPr>
        <w:t xml:space="preserve">CEMENT </w:t>
      </w:r>
      <w:r>
        <w:rPr>
          <w:rFonts w:ascii="Arial" w:cs="Arial" w:eastAsia="Arial" w:hAnsi="Arial"/>
          <w:sz w:val="20"/>
          <w:szCs w:val="20"/>
          <w:b w:val="1"/>
          <w:bCs w:val="1"/>
          <w:color w:val="277EBF"/>
          <w:vertAlign w:val="superscript"/>
        </w:rPr>
        <w:t>(1)</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40" w:type="dxa"/>
            <w:vAlign w:val="bottom"/>
            <w:tcBorders>
              <w:bottom w:val="single" w:sz="8" w:color="auto"/>
            </w:tcBorders>
            <w:gridSpan w:val="4"/>
            <w:shd w:val="clear" w:color="auto" w:fill="004483"/>
          </w:tcPr>
          <w:p>
            <w:pPr>
              <w:jc w:val="right"/>
              <w:ind w:right="320"/>
              <w:spacing w:after="0"/>
              <w:rPr>
                <w:sz w:val="20"/>
                <w:szCs w:val="20"/>
                <w:color w:val="auto"/>
              </w:rPr>
            </w:pPr>
            <w:r>
              <w:rPr>
                <w:rFonts w:ascii="Arial" w:cs="Arial" w:eastAsia="Arial" w:hAnsi="Arial"/>
                <w:sz w:val="8"/>
                <w:szCs w:val="8"/>
                <w:b w:val="1"/>
                <w:bCs w:val="1"/>
                <w:color w:val="FFFFFF"/>
              </w:rPr>
              <w:t>For the Years Ended March 31,</w:t>
            </w:r>
          </w:p>
        </w:tc>
        <w:tc>
          <w:tcPr>
            <w:tcW w:w="58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40" w:type="dxa"/>
            <w:vAlign w:val="bottom"/>
            <w:tcBorders>
              <w:bottom w:val="single" w:sz="8" w:color="17385E"/>
            </w:tcBorders>
            <w:gridSpan w:val="4"/>
          </w:tcPr>
          <w:p>
            <w:pPr>
              <w:jc w:val="right"/>
              <w:ind w:right="180"/>
              <w:spacing w:after="0"/>
              <w:rPr>
                <w:sz w:val="20"/>
                <w:szCs w:val="20"/>
                <w:color w:val="auto"/>
              </w:rPr>
            </w:pPr>
            <w:r>
              <w:rPr>
                <w:rFonts w:ascii="Arial" w:cs="Arial" w:eastAsia="Arial" w:hAnsi="Arial"/>
                <w:sz w:val="8"/>
                <w:szCs w:val="8"/>
                <w:color w:val="auto"/>
              </w:rPr>
              <w:t>(in thousands, except per ton information)</w:t>
            </w:r>
          </w:p>
        </w:tc>
        <w:tc>
          <w:tcPr>
            <w:tcW w:w="58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277EBF"/>
              </w:rPr>
              <w:t>Gross Revenue, including Intersegment and Joint Venture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944,556</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752,002</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26%</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Less Intersegment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(20,862)</w:t>
            </w: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(21,499)</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Less Joint Venture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(105,191)</w:t>
            </w: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(113,536)</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818,503</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616,967</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33%</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(68,725)</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(47,009)</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46%</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749,778</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569,958</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32%</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40" w:type="dxa"/>
            <w:vAlign w:val="bottom"/>
            <w:tcBorders>
              <w:top w:val="single" w:sz="8" w:color="A6A6A6"/>
              <w:bottom w:val="single" w:sz="8" w:color="A6A6A6"/>
            </w:tcBorders>
          </w:tcPr>
          <w:p>
            <w:pPr>
              <w:spacing w:after="0"/>
              <w:rPr>
                <w:sz w:val="11"/>
                <w:szCs w:val="11"/>
                <w:color w:val="auto"/>
              </w:rPr>
            </w:pPr>
          </w:p>
        </w:tc>
        <w:tc>
          <w:tcPr>
            <w:tcW w:w="58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277EBF"/>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7,466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5,931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26%</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277EBF"/>
              </w:rPr>
              <w:t xml:space="preserve">Average Net Sales Price, per ton </w:t>
            </w:r>
            <w:r>
              <w:rPr>
                <w:rFonts w:ascii="Arial" w:cs="Arial" w:eastAsia="Arial" w:hAnsi="Arial"/>
                <w:sz w:val="15"/>
                <w:szCs w:val="15"/>
                <w:color w:val="277EBF"/>
                <w:vertAlign w:val="superscript"/>
              </w:rPr>
              <w:t>(2)</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111.19</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109.96</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277EBF"/>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31.34</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30.57</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277EBF"/>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233,957</w:t>
            </w:r>
          </w:p>
        </w:tc>
        <w:tc>
          <w:tcPr>
            <w:tcW w:w="120" w:type="dxa"/>
            <w:vAlign w:val="bottom"/>
          </w:tcPr>
          <w:p>
            <w:pPr>
              <w:spacing w:after="0"/>
              <w:rPr>
                <w:sz w:val="11"/>
                <w:szCs w:val="11"/>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181,330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29%</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0"/>
          <w:szCs w:val="10"/>
          <w:color w:val="auto"/>
        </w:rPr>
      </w:pPr>
      <w:r>
        <w:rPr>
          <w:rFonts w:ascii="Arial" w:cs="Arial" w:eastAsia="Arial" w:hAnsi="Arial"/>
          <w:sz w:val="10"/>
          <w:szCs w:val="10"/>
          <w:color w:val="auto"/>
        </w:rPr>
        <w:t>Total of wholly owned subsidiaries and proportionately consolidated 50% interest of the Joint Venture’s results.</w:t>
      </w:r>
    </w:p>
    <w:p>
      <w:pPr>
        <w:spacing w:after="0" w:line="2" w:lineRule="exact"/>
        <w:rPr>
          <w:rFonts w:ascii="Arial" w:cs="Arial" w:eastAsia="Arial" w:hAnsi="Arial"/>
          <w:sz w:val="10"/>
          <w:szCs w:val="10"/>
          <w:color w:val="auto"/>
        </w:rPr>
      </w:pPr>
    </w:p>
    <w:p>
      <w:pPr>
        <w:ind w:left="428" w:hanging="428"/>
        <w:spacing w:after="0"/>
        <w:tabs>
          <w:tab w:leader="none" w:pos="428" w:val="left"/>
        </w:tabs>
        <w:numPr>
          <w:ilvl w:val="0"/>
          <w:numId w:val="15"/>
        </w:numPr>
        <w:rPr>
          <w:rFonts w:ascii="Arial" w:cs="Arial" w:eastAsia="Arial" w:hAnsi="Arial"/>
          <w:sz w:val="10"/>
          <w:szCs w:val="10"/>
          <w:color w:val="auto"/>
        </w:rPr>
      </w:pPr>
      <w:r>
        <w:rPr>
          <w:rFonts w:ascii="Arial" w:cs="Arial" w:eastAsia="Arial" w:hAnsi="Arial"/>
          <w:sz w:val="10"/>
          <w:szCs w:val="10"/>
          <w:color w:val="auto"/>
        </w:rPr>
        <w:t>Net of freight per ton, including the Joint Venture.</w:t>
      </w:r>
    </w:p>
    <w:p>
      <w:pPr>
        <w:spacing w:after="0" w:line="85" w:lineRule="exact"/>
        <w:rPr>
          <w:sz w:val="20"/>
          <w:szCs w:val="20"/>
          <w:color w:val="auto"/>
        </w:rPr>
      </w:pPr>
    </w:p>
    <w:p>
      <w:pPr>
        <w:ind w:left="8" w:right="20"/>
        <w:spacing w:after="0" w:line="277" w:lineRule="auto"/>
        <w:rPr>
          <w:sz w:val="20"/>
          <w:szCs w:val="20"/>
          <w:color w:val="auto"/>
        </w:rPr>
      </w:pPr>
      <w:r>
        <w:rPr>
          <w:rFonts w:ascii="Arial" w:cs="Arial" w:eastAsia="Arial" w:hAnsi="Arial"/>
          <w:sz w:val="12"/>
          <w:szCs w:val="12"/>
          <w:color w:val="auto"/>
        </w:rPr>
        <w:t>Cement Revenue was $944.6 million for fiscal 2021, a 26% increase over fiscal 2020. Organic Cement Revenue increased approximately $25.6 million, primarily due to higher gross sales prices and Sales Volume, which improved Cement Revenue by approximately $19.6 million and $6.0 million, respectively.</w:t>
      </w:r>
    </w:p>
    <w:p>
      <w:pPr>
        <w:spacing w:after="0" w:line="59" w:lineRule="exact"/>
        <w:rPr>
          <w:sz w:val="20"/>
          <w:szCs w:val="20"/>
          <w:color w:val="auto"/>
        </w:rPr>
      </w:pPr>
    </w:p>
    <w:p>
      <w:pPr>
        <w:ind w:left="8" w:right="240"/>
        <w:spacing w:after="0" w:line="269" w:lineRule="auto"/>
        <w:rPr>
          <w:sz w:val="20"/>
          <w:szCs w:val="20"/>
          <w:color w:val="auto"/>
        </w:rPr>
      </w:pPr>
      <w:r>
        <w:rPr>
          <w:rFonts w:ascii="Arial" w:cs="Arial" w:eastAsia="Arial" w:hAnsi="Arial"/>
          <w:sz w:val="12"/>
          <w:szCs w:val="12"/>
          <w:color w:val="auto"/>
        </w:rPr>
        <w:t>Cement Operating Earnings increased 29% to $234.0 million for fiscal 2021. Excluding the Kosmos Acquisition, Operating Earnings increased $11.8 million, or 6%. The increase was due to higher gross sales prices and Sales Volume, which positively affected Operating Earnings by approximately $19.6 million and $0.4 million, respectively. This was partially offset by higher operating costs, which reduced Operating Earnings by $8.2 million. The increase in operating costs was mostly due to increased lease and rental expense and purchased raw materials of approximately $2.7 million and $5.2 million, respectively. The Operating Margin increased to 25% from 24%, primarily because of higher gross sales prices.</w:t>
      </w:r>
    </w:p>
    <w:p>
      <w:pPr>
        <w:spacing w:after="0" w:line="65" w:lineRule="exact"/>
        <w:rPr>
          <w:sz w:val="20"/>
          <w:szCs w:val="20"/>
          <w:color w:val="auto"/>
        </w:rPr>
      </w:pPr>
    </w:p>
    <w:p>
      <w:pPr>
        <w:jc w:val="both"/>
        <w:ind w:left="8" w:right="240"/>
        <w:spacing w:after="0" w:line="271" w:lineRule="auto"/>
        <w:rPr>
          <w:sz w:val="20"/>
          <w:szCs w:val="20"/>
          <w:color w:val="auto"/>
        </w:rPr>
      </w:pPr>
      <w:r>
        <w:rPr>
          <w:rFonts w:ascii="Arial" w:cs="Arial" w:eastAsia="Arial" w:hAnsi="Arial"/>
          <w:sz w:val="12"/>
          <w:szCs w:val="12"/>
          <w:color w:val="auto"/>
        </w:rPr>
        <w:t>Operating Earnings during the fourth quarter were adversely affected by a severe winter storm during February 2021. This storm had a significant impact on Texas and the broader southern United States. Our cement facilities in Texas, Missouri and Oklahoma were forced to curtail production and energy prices spiked during this time period. We estimate the storm’s impact was approximately $6.0 million in additional cement costs during the fiscal fourth quarter.</w:t>
      </w: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40" w:right="3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00AAC6"/>
        </w:rPr>
        <w:t>CONCRETE AND AGGREGATES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40" w:type="dxa"/>
            <w:vAlign w:val="bottom"/>
            <w:tcBorders>
              <w:bottom w:val="single" w:sz="8" w:color="auto"/>
            </w:tcBorders>
            <w:shd w:val="clear" w:color="auto" w:fill="004483"/>
          </w:tcPr>
          <w:p>
            <w:pPr>
              <w:spacing w:after="0"/>
              <w:rPr>
                <w:sz w:val="13"/>
                <w:szCs w:val="13"/>
                <w:color w:val="auto"/>
              </w:rPr>
            </w:pPr>
          </w:p>
        </w:tc>
        <w:tc>
          <w:tcPr>
            <w:tcW w:w="1880" w:type="dxa"/>
            <w:vAlign w:val="bottom"/>
            <w:tcBorders>
              <w:bottom w:val="single" w:sz="8" w:color="auto"/>
            </w:tcBorders>
            <w:gridSpan w:val="4"/>
            <w:shd w:val="clear" w:color="auto" w:fill="004483"/>
          </w:tcPr>
          <w:p>
            <w:pPr>
              <w:jc w:val="right"/>
              <w:ind w:right="300"/>
              <w:spacing w:after="0"/>
              <w:rPr>
                <w:sz w:val="20"/>
                <w:szCs w:val="20"/>
                <w:color w:val="auto"/>
              </w:rPr>
            </w:pPr>
            <w:r>
              <w:rPr>
                <w:rFonts w:ascii="Arial" w:cs="Arial" w:eastAsia="Arial" w:hAnsi="Arial"/>
                <w:sz w:val="8"/>
                <w:szCs w:val="8"/>
                <w:b w:val="1"/>
                <w:bCs w:val="1"/>
                <w:color w:val="FFFFFF"/>
              </w:rPr>
              <w:t>For the Years Ended March 31,</w:t>
            </w:r>
          </w:p>
        </w:tc>
        <w:tc>
          <w:tcPr>
            <w:tcW w:w="60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40" w:type="dxa"/>
            <w:vAlign w:val="bottom"/>
            <w:tcBorders>
              <w:bottom w:val="single" w:sz="8" w:color="17385E"/>
            </w:tcBorders>
          </w:tcPr>
          <w:p>
            <w:pPr>
              <w:spacing w:after="0"/>
              <w:rPr>
                <w:sz w:val="8"/>
                <w:szCs w:val="8"/>
                <w:color w:val="auto"/>
              </w:rPr>
            </w:pPr>
          </w:p>
        </w:tc>
        <w:tc>
          <w:tcPr>
            <w:tcW w:w="1880" w:type="dxa"/>
            <w:vAlign w:val="bottom"/>
            <w:tcBorders>
              <w:bottom w:val="single" w:sz="8" w:color="17385E"/>
            </w:tcBorders>
            <w:gridSpan w:val="4"/>
          </w:tcPr>
          <w:p>
            <w:pPr>
              <w:jc w:val="right"/>
              <w:ind w:right="220"/>
              <w:spacing w:after="0"/>
              <w:rPr>
                <w:sz w:val="20"/>
                <w:szCs w:val="20"/>
                <w:color w:val="auto"/>
              </w:rPr>
            </w:pPr>
            <w:r>
              <w:rPr>
                <w:rFonts w:ascii="Arial" w:cs="Arial" w:eastAsia="Arial" w:hAnsi="Arial"/>
                <w:sz w:val="8"/>
                <w:szCs w:val="8"/>
                <w:color w:val="auto"/>
              </w:rPr>
              <w:t>(in thousands, except net sales prices)</w:t>
            </w:r>
          </w:p>
        </w:tc>
        <w:tc>
          <w:tcPr>
            <w:tcW w:w="60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00AAC6"/>
              </w:rPr>
              <w:t>Gross Revenue, including Intersegment</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168,829</w:t>
            </w:r>
          </w:p>
        </w:tc>
        <w:tc>
          <w:tcPr>
            <w:tcW w:w="120" w:type="dxa"/>
            <w:vAlign w:val="bottom"/>
          </w:tcPr>
          <w:p>
            <w:pPr>
              <w:spacing w:after="0"/>
              <w:rPr>
                <w:sz w:val="11"/>
                <w:szCs w:val="11"/>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182,775</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(8)%</w:t>
            </w:r>
          </w:p>
        </w:tc>
      </w:tr>
      <w:tr>
        <w:trPr>
          <w:trHeight w:val="20"/>
        </w:trPr>
        <w:tc>
          <w:tcPr>
            <w:tcW w:w="664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00AAC6"/>
              </w:rPr>
              <w:t>Less Intersegment Revenue</w:t>
            </w:r>
          </w:p>
        </w:tc>
        <w:tc>
          <w:tcPr>
            <w:tcW w:w="440" w:type="dxa"/>
            <w:vAlign w:val="bottom"/>
          </w:tcPr>
          <w:p>
            <w:pPr>
              <w:spacing w:after="0"/>
              <w:rPr>
                <w:sz w:val="11"/>
                <w:szCs w:val="1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1"/>
                <w:szCs w:val="11"/>
                <w:color w:val="auto"/>
              </w:rPr>
              <w:t>(106)</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(1,502)</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(93)%</w:t>
            </w:r>
          </w:p>
        </w:tc>
      </w:tr>
      <w:tr>
        <w:trPr>
          <w:trHeight w:val="20"/>
        </w:trPr>
        <w:tc>
          <w:tcPr>
            <w:tcW w:w="6640" w:type="dxa"/>
            <w:vAlign w:val="bottom"/>
            <w:shd w:val="clear" w:color="auto" w:fill="A6A6A6"/>
          </w:tcPr>
          <w:p>
            <w:pPr>
              <w:spacing w:after="0" w:line="20" w:lineRule="exact"/>
              <w:rPr>
                <w:sz w:val="1"/>
                <w:szCs w:val="1"/>
                <w:color w:val="auto"/>
              </w:rPr>
            </w:pPr>
          </w:p>
        </w:tc>
        <w:tc>
          <w:tcPr>
            <w:tcW w:w="440" w:type="dxa"/>
            <w:vAlign w:val="bottom"/>
            <w:shd w:val="clear" w:color="auto" w:fill="004483"/>
          </w:tcPr>
          <w:p>
            <w:pPr>
              <w:spacing w:after="0" w:line="20" w:lineRule="exact"/>
              <w:rPr>
                <w:sz w:val="1"/>
                <w:szCs w:val="1"/>
                <w:color w:val="auto"/>
              </w:rPr>
            </w:pPr>
          </w:p>
        </w:tc>
        <w:tc>
          <w:tcPr>
            <w:tcW w:w="8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60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00AAC6"/>
              </w:rPr>
              <w:t>Gross Revenue, as reported</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168,723</w:t>
            </w:r>
          </w:p>
        </w:tc>
        <w:tc>
          <w:tcPr>
            <w:tcW w:w="120" w:type="dxa"/>
            <w:vAlign w:val="bottom"/>
          </w:tcPr>
          <w:p>
            <w:pPr>
              <w:spacing w:after="0"/>
              <w:rPr>
                <w:sz w:val="11"/>
                <w:szCs w:val="11"/>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181,273</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(7)%</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4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20" w:type="dxa"/>
            <w:vAlign w:val="bottom"/>
            <w:tcBorders>
              <w:top w:val="single" w:sz="8" w:color="A6A6A6"/>
              <w:bottom w:val="single" w:sz="8" w:color="A6A6A6"/>
            </w:tcBorders>
          </w:tcPr>
          <w:p>
            <w:pPr>
              <w:spacing w:after="0"/>
              <w:rPr>
                <w:sz w:val="11"/>
                <w:szCs w:val="11"/>
                <w:color w:val="auto"/>
              </w:rPr>
            </w:pPr>
          </w:p>
        </w:tc>
        <w:tc>
          <w:tcPr>
            <w:tcW w:w="60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00AAC6"/>
              </w:rPr>
              <w:t>Sales Volume -</w:t>
            </w:r>
          </w:p>
        </w:tc>
        <w:tc>
          <w:tcPr>
            <w:tcW w:w="44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00AAC6"/>
              </w:rPr>
              <w:t>M Cubic Yards of Concrete</w:t>
            </w:r>
          </w:p>
        </w:tc>
        <w:tc>
          <w:tcPr>
            <w:tcW w:w="4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1,388</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00AAC6"/>
              </w:rPr>
              <w:t>M Tons of Aggregate</w:t>
            </w:r>
          </w:p>
        </w:tc>
        <w:tc>
          <w:tcPr>
            <w:tcW w:w="4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3,313</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133"/>
        </w:trPr>
        <w:tc>
          <w:tcPr>
            <w:tcW w:w="6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00AAC6"/>
              </w:rPr>
              <w:t>Average Net Sales Price -</w:t>
            </w:r>
          </w:p>
        </w:tc>
        <w:tc>
          <w:tcPr>
            <w:tcW w:w="44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20" w:type="dxa"/>
            <w:vAlign w:val="bottom"/>
            <w:tcBorders>
              <w:top w:val="single" w:sz="8" w:color="A6A6A6"/>
              <w:bottom w:val="single" w:sz="8" w:color="A6A6A6"/>
            </w:tcBorders>
          </w:tcPr>
          <w:p>
            <w:pPr>
              <w:spacing w:after="0"/>
              <w:rPr>
                <w:sz w:val="11"/>
                <w:szCs w:val="11"/>
                <w:color w:val="auto"/>
              </w:rPr>
            </w:pPr>
          </w:p>
        </w:tc>
        <w:tc>
          <w:tcPr>
            <w:tcW w:w="60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00AAC6"/>
              </w:rPr>
              <w:t>Concrete - Per Cubic Yard</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115.59</w:t>
            </w:r>
          </w:p>
        </w:tc>
        <w:tc>
          <w:tcPr>
            <w:tcW w:w="120" w:type="dxa"/>
            <w:vAlign w:val="bottom"/>
          </w:tcPr>
          <w:p>
            <w:pPr>
              <w:spacing w:after="0"/>
              <w:rPr>
                <w:sz w:val="11"/>
                <w:szCs w:val="11"/>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109.28</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00AAC6"/>
              </w:rPr>
              <w:t>Aggregates - Per Ton</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9.51</w:t>
            </w:r>
          </w:p>
        </w:tc>
        <w:tc>
          <w:tcPr>
            <w:tcW w:w="120" w:type="dxa"/>
            <w:vAlign w:val="bottom"/>
          </w:tcPr>
          <w:p>
            <w:pPr>
              <w:spacing w:after="0"/>
              <w:rPr>
                <w:sz w:val="11"/>
                <w:szCs w:val="11"/>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9.39</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r>
      <w:tr>
        <w:trPr>
          <w:trHeight w:val="144"/>
        </w:trPr>
        <w:tc>
          <w:tcPr>
            <w:tcW w:w="6640" w:type="dxa"/>
            <w:vAlign w:val="bottom"/>
            <w:tcBorders>
              <w:top w:val="single" w:sz="8" w:color="A6A6A6"/>
              <w:bottom w:val="single" w:sz="8" w:color="A6A6A6"/>
            </w:tcBorders>
          </w:tcPr>
          <w:p>
            <w:pPr>
              <w:spacing w:after="0"/>
              <w:rPr>
                <w:sz w:val="12"/>
                <w:szCs w:val="12"/>
                <w:color w:val="auto"/>
              </w:rPr>
            </w:pPr>
          </w:p>
        </w:tc>
        <w:tc>
          <w:tcPr>
            <w:tcW w:w="440" w:type="dxa"/>
            <w:vAlign w:val="bottom"/>
            <w:tcBorders>
              <w:top w:val="single" w:sz="8" w:color="A6A6A6"/>
              <w:bottom w:val="single" w:sz="8" w:color="A6A6A6"/>
            </w:tcBorders>
          </w:tcPr>
          <w:p>
            <w:pPr>
              <w:spacing w:after="0"/>
              <w:rPr>
                <w:sz w:val="12"/>
                <w:szCs w:val="12"/>
                <w:color w:val="auto"/>
              </w:rPr>
            </w:pPr>
          </w:p>
        </w:tc>
        <w:tc>
          <w:tcPr>
            <w:tcW w:w="88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spacing w:after="0"/>
              <w:rPr>
                <w:sz w:val="12"/>
                <w:szCs w:val="12"/>
                <w:color w:val="auto"/>
              </w:rPr>
            </w:pPr>
          </w:p>
        </w:tc>
        <w:tc>
          <w:tcPr>
            <w:tcW w:w="600" w:type="dxa"/>
            <w:vAlign w:val="bottom"/>
            <w:tcBorders>
              <w:top w:val="single" w:sz="8" w:color="A6A6A6"/>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00AAC6"/>
              </w:rPr>
              <w:t>Operating Earnings</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19,054</w:t>
            </w:r>
          </w:p>
        </w:tc>
        <w:tc>
          <w:tcPr>
            <w:tcW w:w="120" w:type="dxa"/>
            <w:vAlign w:val="bottom"/>
          </w:tcPr>
          <w:p>
            <w:pPr>
              <w:spacing w:after="0"/>
              <w:rPr>
                <w:sz w:val="11"/>
                <w:szCs w:val="11"/>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17,558</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9%</w:t>
            </w:r>
          </w:p>
        </w:tc>
      </w:tr>
      <w:tr>
        <w:trPr>
          <w:trHeight w:val="20"/>
        </w:trPr>
        <w:tc>
          <w:tcPr>
            <w:tcW w:w="664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Concrete and Aggregates Revenue decreased 8% to $168.8 million for fiscal 2021. Excluding Revenue related to the ConAgg Acquisition and Western and Mathews for the first quarter of fiscal 2021, as well as Western and Mathews in fiscal 2020, Revenue increased $8.0 million, or 5%. The increase in Revenue was primarily related to higher gross sales prices, which positively affected Revenue by $8.7 million. This was partially offset by lower Sales Volume in Concrete, which reduced Revenue by $0.7 million.</w:t>
      </w:r>
    </w:p>
    <w:p>
      <w:pPr>
        <w:spacing w:after="0" w:line="64" w:lineRule="exact"/>
        <w:rPr>
          <w:sz w:val="20"/>
          <w:szCs w:val="20"/>
          <w:color w:val="auto"/>
        </w:rPr>
      </w:pPr>
    </w:p>
    <w:p>
      <w:pPr>
        <w:jc w:val="both"/>
        <w:ind w:right="180"/>
        <w:spacing w:after="0" w:line="271" w:lineRule="auto"/>
        <w:rPr>
          <w:sz w:val="20"/>
          <w:szCs w:val="20"/>
          <w:color w:val="auto"/>
        </w:rPr>
      </w:pPr>
      <w:r>
        <w:rPr>
          <w:rFonts w:ascii="Arial" w:cs="Arial" w:eastAsia="Arial" w:hAnsi="Arial"/>
          <w:sz w:val="12"/>
          <w:szCs w:val="12"/>
          <w:color w:val="auto"/>
        </w:rPr>
        <w:t>Operating Earnings increased 9% to approximately $19.1 million. Excluding Operating Earnings related to the ConAgg Acquisition and Western and Mathews for the first quarter of fiscal 2021, and Western and Mathews in fiscal 2020, Operating Earnings increased $4.1 million, or 29%. The improvement was due to higher gross sales prices, which positively affected Operating Earnings by $8.7 million, partially offset by higher operating costs, which negatively affected Operating Earnings by approximately $4.6 million. The increase in operating costs was primarily due to higher cost of materials of approximately $3.5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45" w:name="page46"/>
    <w:bookmarkEnd w:id="45"/>
    <w:p>
      <w:pPr>
        <w:ind w:left="8"/>
        <w:spacing w:after="0"/>
        <w:rPr>
          <w:sz w:val="20"/>
          <w:szCs w:val="20"/>
          <w:color w:val="auto"/>
        </w:rPr>
      </w:pPr>
      <w:r>
        <w:rPr>
          <w:rFonts w:ascii="Arial" w:cs="Arial" w:eastAsia="Arial" w:hAnsi="Arial"/>
          <w:sz w:val="13"/>
          <w:szCs w:val="13"/>
          <w:b w:val="1"/>
          <w:bCs w:val="1"/>
          <w:u w:val="single" w:color="auto"/>
          <w:color w:val="51632C"/>
        </w:rPr>
        <w:t>Light Materials</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77943C"/>
        </w:rPr>
        <w:t>GYPSUM WALLBOARD</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360" w:type="dxa"/>
            <w:vAlign w:val="bottom"/>
            <w:tcBorders>
              <w:bottom w:val="single" w:sz="8" w:color="auto"/>
            </w:tcBorders>
            <w:shd w:val="clear" w:color="auto" w:fill="004483"/>
          </w:tcPr>
          <w:p>
            <w:pPr>
              <w:spacing w:after="0"/>
              <w:rPr>
                <w:sz w:val="13"/>
                <w:szCs w:val="13"/>
                <w:color w:val="auto"/>
              </w:rPr>
            </w:pPr>
          </w:p>
        </w:tc>
        <w:tc>
          <w:tcPr>
            <w:tcW w:w="2020" w:type="dxa"/>
            <w:vAlign w:val="bottom"/>
            <w:tcBorders>
              <w:bottom w:val="single" w:sz="8" w:color="auto"/>
            </w:tcBorders>
            <w:gridSpan w:val="4"/>
            <w:shd w:val="clear" w:color="auto" w:fill="004483"/>
          </w:tcPr>
          <w:p>
            <w:pPr>
              <w:jc w:val="right"/>
              <w:ind w:right="360"/>
              <w:spacing w:after="0"/>
              <w:rPr>
                <w:sz w:val="20"/>
                <w:szCs w:val="20"/>
                <w:color w:val="auto"/>
              </w:rPr>
            </w:pPr>
            <w:r>
              <w:rPr>
                <w:rFonts w:ascii="Arial" w:cs="Arial" w:eastAsia="Arial" w:hAnsi="Arial"/>
                <w:sz w:val="8"/>
                <w:szCs w:val="8"/>
                <w:b w:val="1"/>
                <w:bCs w:val="1"/>
                <w:color w:val="FFFFFF"/>
              </w:rPr>
              <w:t>For the Years Ended March 31,</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360" w:type="dxa"/>
            <w:vAlign w:val="bottom"/>
            <w:tcBorders>
              <w:bottom w:val="single" w:sz="8" w:color="17385E"/>
            </w:tcBorders>
          </w:tcPr>
          <w:p>
            <w:pPr>
              <w:spacing w:after="0"/>
              <w:rPr>
                <w:sz w:val="8"/>
                <w:szCs w:val="8"/>
                <w:color w:val="auto"/>
              </w:rPr>
            </w:pPr>
          </w:p>
        </w:tc>
        <w:tc>
          <w:tcPr>
            <w:tcW w:w="2020" w:type="dxa"/>
            <w:vAlign w:val="bottom"/>
            <w:tcBorders>
              <w:bottom w:val="single" w:sz="8" w:color="17385E"/>
            </w:tcBorders>
            <w:gridSpan w:val="4"/>
          </w:tcPr>
          <w:p>
            <w:pPr>
              <w:jc w:val="right"/>
              <w:ind w:right="140"/>
              <w:spacing w:after="0"/>
              <w:rPr>
                <w:sz w:val="20"/>
                <w:szCs w:val="20"/>
                <w:color w:val="auto"/>
              </w:rPr>
            </w:pPr>
            <w:r>
              <w:rPr>
                <w:rFonts w:ascii="Arial" w:cs="Arial" w:eastAsia="Arial" w:hAnsi="Arial"/>
                <w:sz w:val="8"/>
                <w:szCs w:val="8"/>
                <w:color w:val="auto"/>
              </w:rPr>
              <w:t>(in thousands, except per MMSF information)</w:t>
            </w:r>
          </w:p>
        </w:tc>
        <w:tc>
          <w:tcPr>
            <w:tcW w:w="54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77943C"/>
              </w:rPr>
              <w:t>Gross Revenue, as reported</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539,009</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508,145</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77943C"/>
              </w:rPr>
              <w:t>Freight and Delivery Costs billed to Customers</w:t>
            </w:r>
          </w:p>
        </w:tc>
        <w:tc>
          <w:tcPr>
            <w:tcW w:w="360" w:type="dxa"/>
            <w:vAlign w:val="bottom"/>
          </w:tcPr>
          <w:p>
            <w:pPr>
              <w:spacing w:after="0"/>
              <w:rPr>
                <w:sz w:val="11"/>
                <w:szCs w:val="1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1"/>
                <w:szCs w:val="11"/>
                <w:color w:val="auto"/>
              </w:rPr>
              <w:t>(111,537)</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(109,400)</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9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77943C"/>
              </w:rPr>
              <w:t>Net Revenue</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427,472</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398,745</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360" w:type="dxa"/>
            <w:vAlign w:val="bottom"/>
            <w:tcBorders>
              <w:top w:val="single" w:sz="8" w:color="A6A6A6"/>
              <w:bottom w:val="single" w:sz="8" w:color="A6A6A6"/>
            </w:tcBorders>
          </w:tcPr>
          <w:p>
            <w:pPr>
              <w:spacing w:after="0"/>
              <w:rPr>
                <w:sz w:val="11"/>
                <w:szCs w:val="11"/>
                <w:color w:val="auto"/>
              </w:rPr>
            </w:pPr>
          </w:p>
        </w:tc>
        <w:tc>
          <w:tcPr>
            <w:tcW w:w="96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77943C"/>
              </w:rPr>
              <w:t>Sales Volume (MMSF)</w:t>
            </w:r>
          </w:p>
        </w:tc>
        <w:tc>
          <w:tcPr>
            <w:tcW w:w="3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2,857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2,694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77943C"/>
              </w:rPr>
              <w:t xml:space="preserve">Average Net Sales Price, per MMSF </w:t>
            </w:r>
            <w:r>
              <w:rPr>
                <w:rFonts w:ascii="Arial" w:cs="Arial" w:eastAsia="Arial" w:hAnsi="Arial"/>
                <w:sz w:val="15"/>
                <w:szCs w:val="15"/>
                <w:color w:val="77943C"/>
                <w:vertAlign w:val="superscript"/>
              </w:rPr>
              <w:t>(1)</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149.62</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148.03</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77943C"/>
              </w:rPr>
              <w:t>Freight, per MMSF</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39.04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40.61</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(4)%</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77943C"/>
              </w:rPr>
              <w:t>Operating Margin, per MMSF</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58.57</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57.39</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77943C"/>
              </w:rPr>
              <w:t>Operating Earnings</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167,336</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154,614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8%</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0"/>
          <w:szCs w:val="10"/>
          <w:color w:val="auto"/>
        </w:rPr>
      </w:pPr>
      <w:r>
        <w:rPr>
          <w:rFonts w:ascii="Arial" w:cs="Arial" w:eastAsia="Arial" w:hAnsi="Arial"/>
          <w:sz w:val="10"/>
          <w:szCs w:val="10"/>
          <w:color w:val="auto"/>
        </w:rPr>
        <w:t>Net of freight per MSF</w:t>
      </w:r>
    </w:p>
    <w:p>
      <w:pPr>
        <w:spacing w:after="0" w:line="85" w:lineRule="exact"/>
        <w:rPr>
          <w:sz w:val="20"/>
          <w:szCs w:val="20"/>
          <w:color w:val="auto"/>
        </w:rPr>
      </w:pPr>
    </w:p>
    <w:p>
      <w:pPr>
        <w:ind w:left="8" w:right="100"/>
        <w:spacing w:after="0" w:line="277" w:lineRule="auto"/>
        <w:rPr>
          <w:sz w:val="20"/>
          <w:szCs w:val="20"/>
          <w:color w:val="auto"/>
        </w:rPr>
      </w:pPr>
      <w:r>
        <w:rPr>
          <w:rFonts w:ascii="Arial" w:cs="Arial" w:eastAsia="Arial" w:hAnsi="Arial"/>
          <w:sz w:val="12"/>
          <w:szCs w:val="12"/>
          <w:color w:val="auto"/>
        </w:rPr>
        <w:t>Gypsum Wallboard Revenue increased 6% to $539.0 million in fiscal 2021, primarily because of a 6% increase in Sales Volume. The increase in Sales Volume positively affected Revenue by approximately $30.8 million, while gross sales prices were relatively flat year over year. Our market share increased 60 basis points in fiscal 2021 because our regional markets outperformed the national average.</w:t>
      </w:r>
    </w:p>
    <w:p>
      <w:pPr>
        <w:spacing w:after="0" w:line="59" w:lineRule="exact"/>
        <w:rPr>
          <w:sz w:val="20"/>
          <w:szCs w:val="20"/>
          <w:color w:val="auto"/>
        </w:rPr>
      </w:pPr>
    </w:p>
    <w:p>
      <w:pPr>
        <w:ind w:left="8" w:right="20"/>
        <w:spacing w:after="0" w:line="269" w:lineRule="auto"/>
        <w:rPr>
          <w:sz w:val="20"/>
          <w:szCs w:val="20"/>
          <w:color w:val="auto"/>
        </w:rPr>
      </w:pPr>
      <w:r>
        <w:rPr>
          <w:rFonts w:ascii="Arial" w:cs="Arial" w:eastAsia="Arial" w:hAnsi="Arial"/>
          <w:sz w:val="12"/>
          <w:szCs w:val="12"/>
          <w:color w:val="auto"/>
        </w:rPr>
        <w:t>Operating Earnings increased 8% to $167.3 million for fiscal 2021. This increase was primarily due to higher Sales Volume and lower operating costs of approximately $9.4 million and $3.2 million, respectively. The lower operating costs were primarily related to lower freight costs of approximately $4.5 million, which was partially offset by higher paper costs of approximately $2.0 million. During fiscal 2021, Gypsum Wallboard Operating Margin increased to 31% from 30% in fiscal 2020, primarily because of lower operating costs. Fixed costs are not a significant part of the overall cost of wallboard; therefore, changes in volume have a relatively minor impact on our operating cost per unit.</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color w:val="auto"/>
        </w:rPr>
        <w:t>Operating Earnings during the fourth quarter were adversely affected by a severe winter storm during February 2021. Shipments of gypsum wallboard were significantly affected by the extreme winter conditions.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estimate that the storm negatively impacted fourth quarter gypsum wallboard operating earnings by approximately $2.8 million, primarily due to lower sales volume.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36" w:right="319" w:bottom="1440" w:gutter="0" w:footer="0" w:header="0"/>
        </w:sectPr>
      </w:pPr>
    </w:p>
    <w:bookmarkStart w:id="46" w:name="page47"/>
    <w:bookmarkEnd w:id="46"/>
    <w:p>
      <w:pPr>
        <w:ind w:left="8"/>
        <w:spacing w:after="0"/>
        <w:rPr>
          <w:sz w:val="20"/>
          <w:szCs w:val="20"/>
          <w:color w:val="auto"/>
        </w:rPr>
      </w:pPr>
      <w:r>
        <w:rPr>
          <w:rFonts w:ascii="Arial" w:cs="Arial" w:eastAsia="Arial" w:hAnsi="Arial"/>
          <w:sz w:val="12"/>
          <w:szCs w:val="12"/>
          <w:b w:val="1"/>
          <w:bCs w:val="1"/>
          <w:color w:val="AEB949"/>
        </w:rPr>
        <w:t>RECYCLED PAPERBOARD</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4"/>
            <w:shd w:val="clear" w:color="auto" w:fill="004483"/>
          </w:tcPr>
          <w:p>
            <w:pPr>
              <w:jc w:val="right"/>
              <w:ind w:right="340"/>
              <w:spacing w:after="0"/>
              <w:rPr>
                <w:sz w:val="20"/>
                <w:szCs w:val="20"/>
                <w:color w:val="auto"/>
              </w:rPr>
            </w:pPr>
            <w:r>
              <w:rPr>
                <w:rFonts w:ascii="Arial" w:cs="Arial" w:eastAsia="Arial" w:hAnsi="Arial"/>
                <w:sz w:val="8"/>
                <w:szCs w:val="8"/>
                <w:b w:val="1"/>
                <w:bCs w:val="1"/>
                <w:color w:val="FFFFFF"/>
              </w:rPr>
              <w:t>For the Years Ended March 31,</w:t>
            </w:r>
          </w:p>
        </w:tc>
        <w:tc>
          <w:tcPr>
            <w:tcW w:w="5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4"/>
          </w:tcPr>
          <w:p>
            <w:pPr>
              <w:jc w:val="right"/>
              <w:ind w:right="200"/>
              <w:spacing w:after="0"/>
              <w:rPr>
                <w:sz w:val="20"/>
                <w:szCs w:val="20"/>
                <w:color w:val="auto"/>
              </w:rPr>
            </w:pPr>
            <w:r>
              <w:rPr>
                <w:rFonts w:ascii="Arial" w:cs="Arial" w:eastAsia="Arial" w:hAnsi="Arial"/>
                <w:sz w:val="8"/>
                <w:szCs w:val="8"/>
                <w:color w:val="auto"/>
              </w:rPr>
              <w:t>(in thousands, except per ton information)</w:t>
            </w:r>
          </w:p>
        </w:tc>
        <w:tc>
          <w:tcPr>
            <w:tcW w:w="56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EB949"/>
              </w:rPr>
              <w:t>Gross Revenue, including Intersegment</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163,507</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159,963</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Less intersegment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(67,100)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(62,315)</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8%</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96,407</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97,648</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(5,534)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(4,665)</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19%</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90,873</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92,983</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60" w:type="dxa"/>
            <w:vAlign w:val="bottom"/>
            <w:tcBorders>
              <w:top w:val="single" w:sz="8" w:color="A6A6A6"/>
              <w:bottom w:val="single" w:sz="8" w:color="A6A6A6"/>
            </w:tcBorders>
          </w:tcPr>
          <w:p>
            <w:pPr>
              <w:spacing w:after="0"/>
              <w:rPr>
                <w:sz w:val="11"/>
                <w:szCs w:val="11"/>
                <w:color w:val="auto"/>
              </w:rPr>
            </w:pPr>
          </w:p>
        </w:tc>
        <w:tc>
          <w:tcPr>
            <w:tcW w:w="56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EB949"/>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(0)%</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EB949"/>
              </w:rPr>
              <w:t xml:space="preserve">Average Net Sales Price, per ton </w:t>
            </w:r>
            <w:r>
              <w:rPr>
                <w:rFonts w:ascii="Arial" w:cs="Arial" w:eastAsia="Arial" w:hAnsi="Arial"/>
                <w:sz w:val="15"/>
                <w:szCs w:val="15"/>
                <w:color w:val="AEB949"/>
                <w:vertAlign w:val="superscript"/>
              </w:rPr>
              <w:t>(1)</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486.15</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476.20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EB949"/>
              </w:rPr>
              <w:t>Freight,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17.03</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14.31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19%</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78.30</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107.30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EB949"/>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25,449</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34,979</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ind w:left="428" w:hanging="428"/>
        <w:spacing w:after="0"/>
        <w:tabs>
          <w:tab w:leader="none" w:pos="428" w:val="left"/>
        </w:tabs>
        <w:numPr>
          <w:ilvl w:val="0"/>
          <w:numId w:val="17"/>
        </w:numPr>
        <w:rPr>
          <w:rFonts w:ascii="Arial" w:cs="Arial" w:eastAsia="Arial" w:hAnsi="Arial"/>
          <w:sz w:val="10"/>
          <w:szCs w:val="10"/>
          <w:color w:val="auto"/>
        </w:rPr>
      </w:pPr>
      <w:r>
        <w:rPr>
          <w:rFonts w:ascii="Arial" w:cs="Arial" w:eastAsia="Arial" w:hAnsi="Arial"/>
          <w:sz w:val="10"/>
          <w:szCs w:val="10"/>
          <w:color w:val="auto"/>
        </w:rPr>
        <w:t>Net of freight per ton.</w:t>
      </w:r>
    </w:p>
    <w:p>
      <w:pPr>
        <w:spacing w:after="0" w:line="85" w:lineRule="exact"/>
        <w:rPr>
          <w:sz w:val="20"/>
          <w:szCs w:val="20"/>
          <w:color w:val="auto"/>
        </w:rPr>
      </w:pPr>
    </w:p>
    <w:p>
      <w:pPr>
        <w:ind w:left="8" w:right="80"/>
        <w:spacing w:after="0" w:line="277" w:lineRule="auto"/>
        <w:rPr>
          <w:sz w:val="20"/>
          <w:szCs w:val="20"/>
          <w:color w:val="auto"/>
        </w:rPr>
      </w:pPr>
      <w:r>
        <w:rPr>
          <w:rFonts w:ascii="Arial" w:cs="Arial" w:eastAsia="Arial" w:hAnsi="Arial"/>
          <w:sz w:val="12"/>
          <w:szCs w:val="12"/>
          <w:color w:val="auto"/>
        </w:rPr>
        <w:t>Recycled Paperboard Revenue increased 2% to $163.5 million for fiscal 2021 as higher gross sales prices positively affected Revenue by approximately $4.1 million. The increase in gross sales prices, which was due to the price-adjustment provisions in our long-term sales agreements, was partially offset by lower Sales Volume that reduced Revenue by $0.6 million.</w:t>
      </w:r>
    </w:p>
    <w:p>
      <w:pPr>
        <w:spacing w:after="0" w:line="59"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Operating Earnings decreased 27% to $25.4 million for fiscal 2021, primarily due to an increase in operating costs, which adversely affected Operating Earnings by approximately $13.5 million, but partially offset by increased gross sales prices of approximately $4.1 million. The increase in operating costs was primarily due to operating inefficiencies throughout the year related to the start-up of the paper mill after the completion of the project to enhance and expand the papermill’s capacity, and the difficulty of having contractors on site during the COVID-19 pandemic. These inefficiencies reduced Operating Earnings by approximately $2.1 million. Also contributing to the in operating costs were higher input costs, namely fiber and higher depreciation, which reduced Operating Earnings by $8.8 million and $5.0 million, respectively. The cost increases were partially offset by lower repair and maintenance expenses of $1.5 million and lower energy expenses of $0.6 million. During fiscal 2021, Operating Margin decreased to 16% from 22% in fiscal 2020, primarily due to the higher operating costs, partially offset by increased gross sales prices.</w:t>
      </w:r>
    </w:p>
    <w:p>
      <w:pPr>
        <w:spacing w:after="0" w:line="65" w:lineRule="exact"/>
        <w:rPr>
          <w:sz w:val="20"/>
          <w:szCs w:val="20"/>
          <w:color w:val="auto"/>
        </w:rPr>
      </w:pPr>
    </w:p>
    <w:p>
      <w:pPr>
        <w:ind w:left="8" w:right="80"/>
        <w:spacing w:after="0" w:line="324" w:lineRule="auto"/>
        <w:rPr>
          <w:sz w:val="20"/>
          <w:szCs w:val="20"/>
          <w:color w:val="auto"/>
        </w:rPr>
      </w:pPr>
      <w:r>
        <w:rPr>
          <w:rFonts w:ascii="Arial" w:cs="Arial" w:eastAsia="Arial" w:hAnsi="Arial"/>
          <w:sz w:val="11"/>
          <w:szCs w:val="11"/>
          <w:color w:val="auto"/>
        </w:rPr>
        <w:t>Operating Earnings during the fourth quarter were adversely affected by a severe winter storm during February 2021. Our papermill was forced to curtail production during the week of the storm, and also experienced higher energy costs during the shutdown. We estimate that the storm impacted fourth quarter operating earnings by approximately $3.2 million, mostly due to higher costs and lower production levels.</w:t>
      </w: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96" w:right="3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FISCAL YEAR 2020 COMPARED WITH FISCAL YEAR 2019</w:t>
      </w:r>
    </w:p>
    <w:p>
      <w:pPr>
        <w:spacing w:after="0" w:line="101"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 xml:space="preserve">Please see our Form 10-K for fiscal year 2020 for the discussion of our Results of Operations and results of Revenue and Operating Earnings by segment for fiscal 2020 compared with fiscal 2019. Our 2020 Form 10-K can be found on the investor page of our website, at </w:t>
      </w:r>
      <w:r>
        <w:rPr>
          <w:rFonts w:ascii="Arial" w:cs="Arial" w:eastAsia="Arial" w:hAnsi="Arial"/>
          <w:sz w:val="12"/>
          <w:szCs w:val="12"/>
          <w:i w:val="1"/>
          <w:iCs w:val="1"/>
          <w:u w:val="single" w:color="auto"/>
          <w:color w:val="auto"/>
        </w:rPr>
        <w:t>www.eaglematerials.com</w:t>
      </w:r>
      <w:r>
        <w:rPr>
          <w:rFonts w:ascii="Arial" w:cs="Arial" w:eastAsia="Arial" w:hAnsi="Arial"/>
          <w:sz w:val="12"/>
          <w:szCs w:val="12"/>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CRITICAL ACCOUNTING POLICIES</w:t>
      </w:r>
    </w:p>
    <w:p>
      <w:pPr>
        <w:spacing w:after="0" w:line="101" w:lineRule="exact"/>
        <w:rPr>
          <w:sz w:val="20"/>
          <w:szCs w:val="20"/>
          <w:color w:val="auto"/>
        </w:rPr>
      </w:pPr>
    </w:p>
    <w:p>
      <w:pPr>
        <w:ind w:right="300"/>
        <w:spacing w:after="0" w:line="271" w:lineRule="auto"/>
        <w:rPr>
          <w:sz w:val="20"/>
          <w:szCs w:val="20"/>
          <w:color w:val="auto"/>
        </w:rPr>
      </w:pPr>
      <w:r>
        <w:rPr>
          <w:rFonts w:ascii="Arial" w:cs="Arial" w:eastAsia="Arial" w:hAnsi="Arial"/>
          <w:sz w:val="12"/>
          <w:szCs w:val="12"/>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Impairment of Long-Lived Assets</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Goodwill</w:t>
      </w:r>
    </w:p>
    <w:p>
      <w:pPr>
        <w:spacing w:after="0" w:line="102"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We annually assess Goodwill for impairment in the fourth quarter of our fiscal year, or more frequently when indicators of impairment exist. Impairment testing for Goodwill is done at the reporting unit, which is consistent with our reportable segments.</w:t>
      </w:r>
    </w:p>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Goodwill is considered impaired if the carrying value of the reporting unit exceeds its fair value. Prior to performing the Step 1 quantitative analysis, we may, at our discretion, perform an optional qualitative analysis, or we may choose to proceed directly to the Step 1 quantitative analysis.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analysis is not required. If we are unable to conclude that it is more likely than not that the fair value of the reporting unit exceeds its carrying value, then we proceed to the quantitative Step 1 analysis.</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analysis, and the carrying value of the reporting unit exceeds its fair value, then an impairment charge equal to the difference, not to exceed the total amount of Goodwill, is recorded.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48" w:name="page49"/>
    <w:bookmarkEnd w:id="48"/>
    <w:p>
      <w:pPr>
        <w:ind w:right="40"/>
        <w:spacing w:after="0" w:line="269" w:lineRule="auto"/>
        <w:rPr>
          <w:sz w:val="20"/>
          <w:szCs w:val="20"/>
          <w:color w:val="auto"/>
        </w:rPr>
      </w:pPr>
      <w:r>
        <w:rPr>
          <w:rFonts w:ascii="Arial" w:cs="Arial" w:eastAsia="Arial" w:hAnsi="Arial"/>
          <w:sz w:val="12"/>
          <w:szCs w:val="12"/>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included estimated average net sales prices, sales volumes, and the estimated weighted average cost of capital specific to each industry. We also perform an overall comparison of all reporting units to our market capitalization in order to test the reasonableness of our fair value calculations.</w:t>
      </w:r>
    </w:p>
    <w:p>
      <w:pPr>
        <w:spacing w:after="0" w:line="65"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the COVID-19 pandemic,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 segment breakdown of Goodwill at March 31, 2021 and 2020,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380" w:type="dxa"/>
            <w:vAlign w:val="bottom"/>
            <w:tcBorders>
              <w:bottom w:val="single" w:sz="8" w:color="auto"/>
            </w:tcBorders>
            <w:shd w:val="clear" w:color="auto" w:fill="004483"/>
          </w:tcPr>
          <w:p>
            <w:pPr>
              <w:spacing w:after="0"/>
              <w:rPr>
                <w:sz w:val="13"/>
                <w:szCs w:val="13"/>
                <w:color w:val="auto"/>
              </w:rPr>
            </w:pPr>
          </w:p>
        </w:tc>
        <w:tc>
          <w:tcPr>
            <w:tcW w:w="2060" w:type="dxa"/>
            <w:vAlign w:val="bottom"/>
            <w:tcBorders>
              <w:bottom w:val="single" w:sz="8" w:color="auto"/>
            </w:tcBorders>
            <w:gridSpan w:val="3"/>
            <w:shd w:val="clear" w:color="auto" w:fill="004483"/>
          </w:tcPr>
          <w:p>
            <w:pPr>
              <w:jc w:val="center"/>
              <w:ind w:left="571"/>
              <w:spacing w:after="0"/>
              <w:rPr>
                <w:sz w:val="20"/>
                <w:szCs w:val="20"/>
                <w:color w:val="auto"/>
              </w:rPr>
            </w:pPr>
            <w:r>
              <w:rPr>
                <w:rFonts w:ascii="Arial" w:cs="Arial" w:eastAsia="Arial" w:hAnsi="Arial"/>
                <w:sz w:val="8"/>
                <w:szCs w:val="8"/>
                <w:b w:val="1"/>
                <w:bCs w:val="1"/>
                <w:color w:val="FFFFFF"/>
                <w:w w:val="95"/>
              </w:rPr>
              <w:t>For the Years Ended March 31,</w:t>
            </w:r>
          </w:p>
        </w:tc>
        <w:tc>
          <w:tcPr>
            <w:tcW w:w="1120" w:type="dxa"/>
            <w:vAlign w:val="bottom"/>
            <w:tcBorders>
              <w:bottom w:val="single" w:sz="8" w:color="auto"/>
            </w:tcBorders>
            <w:shd w:val="clear" w:color="auto" w:fill="004483"/>
          </w:tcPr>
          <w:p>
            <w:pPr>
              <w:spacing w:after="0"/>
              <w:rPr>
                <w:sz w:val="13"/>
                <w:szCs w:val="13"/>
                <w:color w:val="auto"/>
              </w:rPr>
            </w:pPr>
          </w:p>
        </w:tc>
      </w:tr>
      <w:tr>
        <w:trPr>
          <w:trHeight w:val="88"/>
        </w:trPr>
        <w:tc>
          <w:tcPr>
            <w:tcW w:w="7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jc w:val="right"/>
              <w:ind w:right="751"/>
              <w:spacing w:after="0" w:line="89" w:lineRule="exact"/>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jc w:val="right"/>
              <w:ind w:right="768"/>
              <w:spacing w:after="0" w:line="89" w:lineRule="exact"/>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380" w:type="dxa"/>
            <w:vAlign w:val="bottom"/>
            <w:tcBorders>
              <w:bottom w:val="single" w:sz="8" w:color="004483"/>
            </w:tcBorders>
          </w:tcPr>
          <w:p>
            <w:pPr>
              <w:spacing w:after="0"/>
              <w:rPr>
                <w:sz w:val="8"/>
                <w:szCs w:val="8"/>
                <w:color w:val="auto"/>
              </w:rPr>
            </w:pPr>
          </w:p>
        </w:tc>
        <w:tc>
          <w:tcPr>
            <w:tcW w:w="2060" w:type="dxa"/>
            <w:vAlign w:val="bottom"/>
            <w:tcBorders>
              <w:bottom w:val="single" w:sz="8" w:color="004483"/>
            </w:tcBorders>
            <w:gridSpan w:val="3"/>
          </w:tcPr>
          <w:p>
            <w:pPr>
              <w:jc w:val="center"/>
              <w:ind w:left="571"/>
              <w:spacing w:after="0"/>
              <w:rPr>
                <w:sz w:val="20"/>
                <w:szCs w:val="20"/>
                <w:color w:val="auto"/>
              </w:rPr>
            </w:pPr>
            <w:r>
              <w:rPr>
                <w:rFonts w:ascii="Arial" w:cs="Arial" w:eastAsia="Arial" w:hAnsi="Arial"/>
                <w:sz w:val="8"/>
                <w:szCs w:val="8"/>
                <w:color w:val="auto"/>
                <w:w w:val="94"/>
              </w:rPr>
              <w:t>(dollars in thousands)</w:t>
            </w:r>
          </w:p>
        </w:tc>
        <w:tc>
          <w:tcPr>
            <w:tcW w:w="11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17387C"/>
              </w:rPr>
              <w:t>Cement</w:t>
            </w:r>
          </w:p>
        </w:tc>
        <w:tc>
          <w:tcPr>
            <w:tcW w:w="380" w:type="dxa"/>
            <w:vAlign w:val="bottom"/>
            <w:tcBorders>
              <w:bottom w:val="single" w:sz="8" w:color="A6A6A6"/>
            </w:tcBorders>
          </w:tcPr>
          <w:p>
            <w:pPr>
              <w:jc w:val="right"/>
              <w:ind w:right="2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203,342</w:t>
            </w:r>
          </w:p>
        </w:tc>
        <w:tc>
          <w:tcPr>
            <w:tcW w:w="20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jc w:val="right"/>
              <w:ind w:right="493"/>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205,797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AAC6"/>
              </w:rPr>
              <w:t>Concrete and Aggregates</w:t>
            </w:r>
          </w:p>
        </w:tc>
        <w:tc>
          <w:tcPr>
            <w:tcW w:w="380" w:type="dxa"/>
            <w:vAlign w:val="bottom"/>
            <w:tcBorders>
              <w:bottom w:val="single" w:sz="8" w:color="A6A6A6"/>
            </w:tcBorders>
          </w:tcPr>
          <w:p>
            <w:pPr>
              <w:spacing w:after="0"/>
              <w:rPr>
                <w:sz w:val="11"/>
                <w:szCs w:val="11"/>
                <w:color w:val="auto"/>
              </w:rPr>
            </w:pPr>
          </w:p>
        </w:tc>
        <w:tc>
          <w:tcPr>
            <w:tcW w:w="13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1,639</w:t>
            </w:r>
          </w:p>
        </w:tc>
        <w:tc>
          <w:tcPr>
            <w:tcW w:w="20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1,639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77943C"/>
              </w:rPr>
              <w:t>Gypsum Wallboard</w:t>
            </w:r>
          </w:p>
        </w:tc>
        <w:tc>
          <w:tcPr>
            <w:tcW w:w="380" w:type="dxa"/>
            <w:vAlign w:val="bottom"/>
            <w:tcBorders>
              <w:bottom w:val="single" w:sz="8" w:color="A6A6A6"/>
            </w:tcBorders>
          </w:tcPr>
          <w:p>
            <w:pPr>
              <w:spacing w:after="0"/>
              <w:rPr>
                <w:sz w:val="11"/>
                <w:szCs w:val="11"/>
                <w:color w:val="auto"/>
              </w:rPr>
            </w:pPr>
          </w:p>
        </w:tc>
        <w:tc>
          <w:tcPr>
            <w:tcW w:w="13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116,618</w:t>
            </w:r>
          </w:p>
        </w:tc>
        <w:tc>
          <w:tcPr>
            <w:tcW w:w="20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116,618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EB949"/>
              </w:rPr>
              <w:t>Paperboard</w:t>
            </w:r>
          </w:p>
        </w:tc>
        <w:tc>
          <w:tcPr>
            <w:tcW w:w="380" w:type="dxa"/>
            <w:vAlign w:val="bottom"/>
            <w:tcBorders>
              <w:bottom w:val="single" w:sz="8" w:color="004483"/>
            </w:tcBorders>
          </w:tcPr>
          <w:p>
            <w:pPr>
              <w:spacing w:after="0"/>
              <w:rPr>
                <w:sz w:val="11"/>
                <w:szCs w:val="11"/>
                <w:color w:val="auto"/>
              </w:rPr>
            </w:pPr>
          </w:p>
        </w:tc>
        <w:tc>
          <w:tcPr>
            <w:tcW w:w="13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7,538</w:t>
            </w:r>
          </w:p>
        </w:tc>
        <w:tc>
          <w:tcPr>
            <w:tcW w:w="200" w:type="dxa"/>
            <w:vAlign w:val="bottom"/>
            <w:tcBorders>
              <w:bottom w:val="single" w:sz="8" w:color="A6A6A6"/>
            </w:tcBorders>
          </w:tcPr>
          <w:p>
            <w:pPr>
              <w:spacing w:after="0"/>
              <w:rPr>
                <w:sz w:val="11"/>
                <w:szCs w:val="11"/>
                <w:color w:val="auto"/>
              </w:rPr>
            </w:pPr>
          </w:p>
        </w:tc>
        <w:tc>
          <w:tcPr>
            <w:tcW w:w="560" w:type="dxa"/>
            <w:vAlign w:val="bottom"/>
            <w:tcBorders>
              <w:bottom w:val="single" w:sz="8" w:color="004483"/>
            </w:tcBorders>
          </w:tcPr>
          <w:p>
            <w:pPr>
              <w:spacing w:after="0"/>
              <w:rPr>
                <w:sz w:val="11"/>
                <w:szCs w:val="11"/>
                <w:color w:val="auto"/>
              </w:rPr>
            </w:pPr>
          </w:p>
        </w:tc>
        <w:tc>
          <w:tcPr>
            <w:tcW w:w="112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7,538</w:t>
            </w:r>
          </w:p>
        </w:tc>
      </w:tr>
      <w:tr>
        <w:trPr>
          <w:trHeight w:val="151"/>
        </w:trPr>
        <w:tc>
          <w:tcPr>
            <w:tcW w:w="7740" w:type="dxa"/>
            <w:vAlign w:val="bottom"/>
          </w:tcPr>
          <w:p>
            <w:pPr>
              <w:spacing w:after="0"/>
              <w:rPr>
                <w:sz w:val="13"/>
                <w:szCs w:val="13"/>
                <w:color w:val="auto"/>
              </w:rPr>
            </w:pPr>
          </w:p>
        </w:tc>
        <w:tc>
          <w:tcPr>
            <w:tcW w:w="380" w:type="dxa"/>
            <w:vAlign w:val="bottom"/>
            <w:tcBorders>
              <w:bottom w:val="single" w:sz="8" w:color="004483"/>
            </w:tcBorders>
          </w:tcPr>
          <w:p>
            <w:pPr>
              <w:spacing w:after="0"/>
              <w:rPr>
                <w:sz w:val="13"/>
                <w:szCs w:val="13"/>
                <w:color w:val="auto"/>
              </w:rPr>
            </w:pPr>
          </w:p>
        </w:tc>
        <w:tc>
          <w:tcPr>
            <w:tcW w:w="13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329,137</w:t>
            </w:r>
          </w:p>
        </w:tc>
        <w:tc>
          <w:tcPr>
            <w:tcW w:w="200" w:type="dxa"/>
            <w:vAlign w:val="bottom"/>
          </w:tcPr>
          <w:p>
            <w:pPr>
              <w:spacing w:after="0"/>
              <w:rPr>
                <w:sz w:val="13"/>
                <w:szCs w:val="13"/>
                <w:color w:val="auto"/>
              </w:rPr>
            </w:pPr>
          </w:p>
        </w:tc>
        <w:tc>
          <w:tcPr>
            <w:tcW w:w="560" w:type="dxa"/>
            <w:vAlign w:val="bottom"/>
            <w:tcBorders>
              <w:bottom w:val="single" w:sz="8" w:color="004483"/>
            </w:tcBorders>
          </w:tcPr>
          <w:p>
            <w:pPr>
              <w:spacing w:after="0"/>
              <w:rPr>
                <w:sz w:val="13"/>
                <w:szCs w:val="13"/>
                <w:color w:val="auto"/>
              </w:rPr>
            </w:pPr>
          </w:p>
        </w:tc>
        <w:tc>
          <w:tcPr>
            <w:tcW w:w="112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331,592</w:t>
            </w: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The reduction in Goodwill in our Cement segment during fiscal 2021 was due to finalizing the purchase price allocation related to the Kosmos Acquisition during fiscal 2021. See Footnote (B) in the Consolidated Audited Financial Statements for more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Business Combinations</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65"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legally permissible, and financially feasible at the measurement date. We assign the highest level of fair value available to assets acquired and liabilities assumed based on the following options: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Level 1 </w:t>
      </w:r>
      <w:r>
        <w:rPr>
          <w:rFonts w:ascii="Arial" w:cs="Arial" w:eastAsia="Arial" w:hAnsi="Arial"/>
          <w:sz w:val="12"/>
          <w:szCs w:val="12"/>
          <w:color w:val="auto"/>
        </w:rPr>
        <w:t>– Quoted prices in active markets for identical assets and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Level 2 </w:t>
      </w:r>
      <w:r>
        <w:rPr>
          <w:rFonts w:ascii="Arial" w:cs="Arial" w:eastAsia="Arial" w:hAnsi="Arial"/>
          <w:sz w:val="12"/>
          <w:szCs w:val="12"/>
          <w:color w:val="auto"/>
        </w:rPr>
        <w:t>– Observable inputs, other than quoted prices, for similar assets or liabilities in active markets.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Level 3 </w:t>
      </w:r>
      <w:r>
        <w:rPr>
          <w:rFonts w:ascii="Arial" w:cs="Arial" w:eastAsia="Arial" w:hAnsi="Arial"/>
          <w:sz w:val="12"/>
          <w:szCs w:val="12"/>
          <w:color w:val="auto"/>
        </w:rPr>
        <w:t>– Unobservable inputs, which includes the use of valuation models.</w:t>
      </w:r>
    </w:p>
    <w:p>
      <w:pPr>
        <w:spacing w:after="0" w:line="101"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Level 3 inputs are used to estimate the fair value of acquired mineral reserves, mineral interests and separately identifiable intangible assets.</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to our Consolidated Statements of Earnings.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LIQUIDITY AND CAPITAL RESOURCES</w:t>
      </w:r>
    </w:p>
    <w:p>
      <w:pPr>
        <w:spacing w:after="0" w:line="182" w:lineRule="exact"/>
        <w:rPr>
          <w:sz w:val="20"/>
          <w:szCs w:val="20"/>
          <w:color w:val="auto"/>
        </w:rPr>
      </w:pPr>
    </w:p>
    <w:p>
      <w:pPr>
        <w:ind w:right="140"/>
        <w:spacing w:after="0" w:line="269" w:lineRule="auto"/>
        <w:rPr>
          <w:sz w:val="20"/>
          <w:szCs w:val="20"/>
          <w:color w:val="auto"/>
        </w:rPr>
      </w:pPr>
      <w:r>
        <w:rPr>
          <w:rFonts w:ascii="Arial" w:cs="Arial" w:eastAsia="Arial" w:hAnsi="Arial"/>
          <w:sz w:val="12"/>
          <w:szCs w:val="12"/>
          <w:color w:val="auto"/>
        </w:rPr>
        <w:t>We believe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COVID-19 outbreaks, or similar disruptions on the economy, and on our operations, as well as any other economic impacts related to changing fiscal policy or economic conditions. Please see the Debt Financing Activities section for a discussion of our credit facility and the amount of borrowings available to us in the next twelve-month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4483"/>
        </w:rPr>
        <w:t>Cash Flow</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our Cash Flows: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tcBorders>
              <w:bottom w:val="single" w:sz="8" w:color="auto"/>
            </w:tcBorders>
            <w:shd w:val="clear" w:color="auto" w:fill="004483"/>
          </w:tcPr>
          <w:p>
            <w:pPr>
              <w:spacing w:after="0"/>
              <w:rPr>
                <w:sz w:val="13"/>
                <w:szCs w:val="13"/>
                <w:color w:val="auto"/>
              </w:rPr>
            </w:pPr>
          </w:p>
        </w:tc>
        <w:tc>
          <w:tcPr>
            <w:tcW w:w="2160" w:type="dxa"/>
            <w:vAlign w:val="bottom"/>
            <w:tcBorders>
              <w:bottom w:val="single" w:sz="8" w:color="auto"/>
            </w:tcBorders>
            <w:gridSpan w:val="3"/>
            <w:shd w:val="clear" w:color="auto" w:fill="004483"/>
          </w:tcPr>
          <w:p>
            <w:pPr>
              <w:jc w:val="right"/>
              <w:ind w:right="293"/>
              <w:spacing w:after="0"/>
              <w:rPr>
                <w:sz w:val="20"/>
                <w:szCs w:val="20"/>
                <w:color w:val="auto"/>
              </w:rPr>
            </w:pPr>
            <w:r>
              <w:rPr>
                <w:rFonts w:ascii="Arial" w:cs="Arial" w:eastAsia="Arial" w:hAnsi="Arial"/>
                <w:sz w:val="8"/>
                <w:szCs w:val="8"/>
                <w:b w:val="1"/>
                <w:bCs w:val="1"/>
                <w:color w:val="FFFFFF"/>
              </w:rPr>
              <w:t>For the Fiscal Years Ended March 31,</w:t>
            </w:r>
          </w:p>
        </w:tc>
        <w:tc>
          <w:tcPr>
            <w:tcW w:w="840" w:type="dxa"/>
            <w:vAlign w:val="bottom"/>
            <w:tcBorders>
              <w:bottom w:val="single" w:sz="8" w:color="auto"/>
            </w:tcBorders>
            <w:shd w:val="clear" w:color="auto" w:fill="004483"/>
          </w:tcPr>
          <w:p>
            <w:pPr>
              <w:spacing w:after="0"/>
              <w:rPr>
                <w:sz w:val="13"/>
                <w:szCs w:val="13"/>
                <w:color w:val="auto"/>
              </w:rPr>
            </w:pPr>
          </w:p>
        </w:tc>
      </w:tr>
      <w:tr>
        <w:trPr>
          <w:trHeight w:val="88"/>
        </w:trPr>
        <w:tc>
          <w:tcPr>
            <w:tcW w:w="7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jc w:val="right"/>
              <w:ind w:right="68"/>
              <w:spacing w:after="0" w:line="89" w:lineRule="exact"/>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jc w:val="right"/>
              <w:ind w:right="67"/>
              <w:spacing w:after="0" w:line="89" w:lineRule="exact"/>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60" w:type="dxa"/>
            <w:vAlign w:val="bottom"/>
            <w:tcBorders>
              <w:bottom w:val="single" w:sz="8" w:color="004483"/>
            </w:tcBorders>
            <w:gridSpan w:val="3"/>
          </w:tcPr>
          <w:p>
            <w:pPr>
              <w:jc w:val="right"/>
              <w:ind w:right="613"/>
              <w:spacing w:after="0"/>
              <w:rPr>
                <w:sz w:val="20"/>
                <w:szCs w:val="20"/>
                <w:color w:val="auto"/>
              </w:rPr>
            </w:pPr>
            <w:r>
              <w:rPr>
                <w:rFonts w:ascii="Arial" w:cs="Arial" w:eastAsia="Arial" w:hAnsi="Arial"/>
                <w:sz w:val="8"/>
                <w:szCs w:val="8"/>
                <w:color w:val="auto"/>
              </w:rPr>
              <w:t>(dollars in thousands)</w:t>
            </w:r>
          </w:p>
        </w:tc>
        <w:tc>
          <w:tcPr>
            <w:tcW w:w="8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Cash Provided by Operating Activities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b w:val="1"/>
                <w:bCs w:val="1"/>
                <w:color w:val="auto"/>
              </w:rPr>
              <w:t>643,073</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73"/>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b w:val="1"/>
                <w:bCs w:val="1"/>
                <w:color w:val="auto"/>
              </w:rPr>
              <w:t>399,301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Investing Activities: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Additions to Property, Plant, and Equipment</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(53,933)</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(132,119)</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Acquisition Spending</w:t>
            </w:r>
          </w:p>
        </w:tc>
        <w:tc>
          <w:tcPr>
            <w:tcW w:w="560" w:type="dxa"/>
            <w:vAlign w:val="bottom"/>
            <w:tcBorders>
              <w:bottom w:val="single" w:sz="8" w:color="A6A6A6"/>
            </w:tcBorders>
          </w:tcPr>
          <w:p>
            <w:pPr>
              <w:spacing w:after="0"/>
              <w:rPr>
                <w:sz w:val="11"/>
                <w:szCs w:val="11"/>
                <w:color w:val="auto"/>
              </w:rPr>
            </w:pPr>
          </w:p>
        </w:tc>
        <w:tc>
          <w:tcPr>
            <w:tcW w:w="132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(699,361)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Proceeds from Sale of Businesses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91,022</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004483"/>
              </w:rPr>
              <w:t>Proceeds from Sales of Property, Plant, and Equipment</w:t>
            </w:r>
          </w:p>
        </w:tc>
        <w:tc>
          <w:tcPr>
            <w:tcW w:w="560" w:type="dxa"/>
            <w:vAlign w:val="bottom"/>
          </w:tcPr>
          <w:p>
            <w:pPr>
              <w:spacing w:after="0"/>
              <w:rPr>
                <w:sz w:val="11"/>
                <w:szCs w:val="1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400</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004483"/>
              </w:rPr>
              <w:t>Net Cash Provided by (Used in) Investing Activities</w:t>
            </w:r>
          </w:p>
        </w:tc>
        <w:tc>
          <w:tcPr>
            <w:tcW w:w="560" w:type="dxa"/>
            <w:vAlign w:val="bottom"/>
            <w:tcBorders>
              <w:top w:val="single" w:sz="8" w:color="004483"/>
              <w:bottom w:val="single" w:sz="8" w:color="004483"/>
            </w:tcBorders>
          </w:tcPr>
          <w:p>
            <w:pPr>
              <w:spacing w:after="0"/>
              <w:rPr>
                <w:sz w:val="11"/>
                <w:szCs w:val="11"/>
                <w:color w:val="auto"/>
              </w:rPr>
            </w:pPr>
          </w:p>
        </w:tc>
        <w:tc>
          <w:tcPr>
            <w:tcW w:w="112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37,089</w:t>
            </w:r>
          </w:p>
        </w:tc>
        <w:tc>
          <w:tcPr>
            <w:tcW w:w="20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004483"/>
              <w:bottom w:val="single" w:sz="8" w:color="004483"/>
            </w:tcBorders>
          </w:tcPr>
          <w:p>
            <w:pPr>
              <w:spacing w:after="0"/>
              <w:rPr>
                <w:sz w:val="11"/>
                <w:szCs w:val="11"/>
                <w:color w:val="auto"/>
              </w:rPr>
            </w:pPr>
          </w:p>
        </w:tc>
        <w:tc>
          <w:tcPr>
            <w:tcW w:w="840" w:type="dxa"/>
            <w:vAlign w:val="bottom"/>
            <w:tcBorders>
              <w:top w:val="single" w:sz="8" w:color="004483"/>
              <w:bottom w:val="single" w:sz="8" w:color="004483"/>
            </w:tcBorders>
          </w:tcPr>
          <w:p>
            <w:pPr>
              <w:jc w:val="right"/>
              <w:ind w:right="27"/>
              <w:spacing w:after="0"/>
              <w:rPr>
                <w:sz w:val="20"/>
                <w:szCs w:val="20"/>
                <w:color w:val="auto"/>
              </w:rPr>
            </w:pPr>
            <w:r>
              <w:rPr>
                <w:rFonts w:ascii="Arial" w:cs="Arial" w:eastAsia="Arial" w:hAnsi="Arial"/>
                <w:sz w:val="11"/>
                <w:szCs w:val="11"/>
                <w:b w:val="1"/>
                <w:bCs w:val="1"/>
                <w:color w:val="auto"/>
              </w:rPr>
              <w:t>(831,080)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Financing Activities: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Increase (Decrease) in Revolving Credit Facility</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(560,000)</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250,000</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Repayment of Private Placement Senior Unsecured Notes</w:t>
            </w:r>
          </w:p>
        </w:tc>
        <w:tc>
          <w:tcPr>
            <w:tcW w:w="560" w:type="dxa"/>
            <w:vAlign w:val="bottom"/>
            <w:tcBorders>
              <w:bottom w:val="single" w:sz="8" w:color="A6A6A6"/>
            </w:tcBorders>
          </w:tcPr>
          <w:p>
            <w:pPr>
              <w:spacing w:after="0"/>
              <w:rPr>
                <w:sz w:val="11"/>
                <w:szCs w:val="11"/>
                <w:color w:val="auto"/>
              </w:rPr>
            </w:pPr>
          </w:p>
        </w:tc>
        <w:tc>
          <w:tcPr>
            <w:tcW w:w="132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(36,500)</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Issuance of Term Loan</w:t>
            </w:r>
          </w:p>
        </w:tc>
        <w:tc>
          <w:tcPr>
            <w:tcW w:w="560" w:type="dxa"/>
            <w:vAlign w:val="bottom"/>
            <w:tcBorders>
              <w:bottom w:val="single" w:sz="8" w:color="A6A6A6"/>
            </w:tcBorders>
          </w:tcPr>
          <w:p>
            <w:pPr>
              <w:spacing w:after="0"/>
              <w:rPr>
                <w:sz w:val="11"/>
                <w:szCs w:val="11"/>
                <w:color w:val="auto"/>
              </w:rPr>
            </w:pPr>
          </w:p>
        </w:tc>
        <w:tc>
          <w:tcPr>
            <w:tcW w:w="132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665,000</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Dividends Paid to Stockholders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(4,163)</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(17,142)</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Purchase and Retirement of Common Stock</w:t>
            </w:r>
          </w:p>
        </w:tc>
        <w:tc>
          <w:tcPr>
            <w:tcW w:w="560" w:type="dxa"/>
            <w:vAlign w:val="bottom"/>
            <w:tcBorders>
              <w:bottom w:val="single" w:sz="8" w:color="A6A6A6"/>
            </w:tcBorders>
          </w:tcPr>
          <w:p>
            <w:pPr>
              <w:spacing w:after="0"/>
              <w:rPr>
                <w:sz w:val="11"/>
                <w:szCs w:val="11"/>
                <w:color w:val="auto"/>
              </w:rPr>
            </w:pPr>
          </w:p>
        </w:tc>
        <w:tc>
          <w:tcPr>
            <w:tcW w:w="132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(313,887)</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Proceeds from Stock Option Exercises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40,455</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3,298</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Shares Redeemed to Settle Employee Taxes on Stock Compensation</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(4,186)</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(4,063)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Payment of Debt Issuance Costs</w:t>
            </w:r>
          </w:p>
        </w:tc>
        <w:tc>
          <w:tcPr>
            <w:tcW w:w="560" w:type="dxa"/>
            <w:vAlign w:val="bottom"/>
            <w:tcBorders>
              <w:bottom w:val="single" w:sz="8" w:color="004483"/>
            </w:tcBorders>
          </w:tcPr>
          <w:p>
            <w:pPr>
              <w:spacing w:after="0"/>
              <w:rPr>
                <w:sz w:val="11"/>
                <w:szCs w:val="11"/>
                <w:color w:val="auto"/>
              </w:rPr>
            </w:pPr>
          </w:p>
        </w:tc>
        <w:tc>
          <w:tcPr>
            <w:tcW w:w="112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(2,396)</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(4,880)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Cash Provided by (Used in) Financing Activities</w:t>
            </w:r>
          </w:p>
        </w:tc>
        <w:tc>
          <w:tcPr>
            <w:tcW w:w="560" w:type="dxa"/>
            <w:vAlign w:val="bottom"/>
            <w:tcBorders>
              <w:bottom w:val="single" w:sz="8" w:color="004483"/>
            </w:tcBorders>
          </w:tcPr>
          <w:p>
            <w:pPr>
              <w:spacing w:after="0"/>
              <w:rPr>
                <w:sz w:val="11"/>
                <w:szCs w:val="11"/>
                <w:color w:val="auto"/>
              </w:rPr>
            </w:pPr>
          </w:p>
        </w:tc>
        <w:tc>
          <w:tcPr>
            <w:tcW w:w="112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b w:val="1"/>
                <w:bCs w:val="1"/>
                <w:color w:val="auto"/>
              </w:rPr>
              <w:t>(530,290)</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541,826</w:t>
            </w: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004483"/>
              </w:rPr>
              <w:t>Net Increase in Cash, Cash Equivalents and Restricted Cash</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149,872</w:t>
            </w:r>
          </w:p>
        </w:tc>
        <w:tc>
          <w:tcPr>
            <w:tcW w:w="200" w:type="dxa"/>
            <w:vAlign w:val="bottom"/>
          </w:tcPr>
          <w:p>
            <w:pPr>
              <w:spacing w:after="0"/>
              <w:rPr>
                <w:sz w:val="12"/>
                <w:szCs w:val="12"/>
                <w:color w:val="auto"/>
              </w:rPr>
            </w:pPr>
          </w:p>
        </w:tc>
        <w:tc>
          <w:tcPr>
            <w:tcW w:w="840" w:type="dxa"/>
            <w:vAlign w:val="bottom"/>
            <w:tcBorders>
              <w:bottom w:val="single" w:sz="8" w:color="004483"/>
            </w:tcBorders>
          </w:tcPr>
          <w:p>
            <w:pPr>
              <w:jc w:val="right"/>
              <w:ind w:right="773"/>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110,047</w:t>
            </w:r>
          </w:p>
        </w:tc>
      </w:tr>
    </w:tbl>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Cash Flows from Operating Activities increased by $243.8 million to $643.1 million for fiscal 2021. The increase was largely attributable to higher dividends from our Joint Venture and an increase of cash flows from the change in working capital of approximately $2.5 million and $258.7 million, respectively. This was partially offset by the decrease in Net Earnings after adjustment for non-cash charges and Gain on Sale of Business, of $17.4 million. The change in working capital was primarily due to receiving income tax refunds of $125.6 million and a $30.0 million reduction in inventory in fiscal 2021. Net Cash Provided by Operating Activities was also positively affected by $45 million from the reduction of deferred tax liabilities related to the sale of the Oil and Gas Proppants business.</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Working capital decreased by $16.2 million to $492.3 million at March 31, 2021, primarily because of lower Inventories and Income Tax Receivable of $36.4 million and $125.6 million, respectively, as well as higher Accounts Payable and Accrued Liabilities of $8.4 million. This was partially offset by higher Cash and Restricted Cash of $144.9 million and $5.0 million, respectively. The decrease in Income Tax Receivable was due to our income tax refund received in July 2020.</w:t>
      </w:r>
    </w:p>
    <w:p>
      <w:pPr>
        <w:spacing w:after="0" w:line="64"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 decrease in Accounts and Notes Receivable at March 31, 2021, was primarily due to improved collection efforts that reduced our overall days outstanding. As a percentage of quarterly sales generated in the fiscal fourth quarters, Accounts Receivable was 43% at March 31, 2021, and 48% at March 31, 2020.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2021. Notes Receivable are monitored on an individual basis, and no significant deterioration in the collectability of Notes Receivable was identified at March 31, 2021. We are closely monitoring the impact of COVID-19, and other related impacts, on our customers’ ability to pay their outstanding balances.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sectPr>
      </w:pPr>
    </w:p>
    <w:bookmarkStart w:id="51" w:name="page52"/>
    <w:bookmarkEnd w:id="51"/>
    <w:p>
      <w:pPr>
        <w:spacing w:after="0" w:line="268" w:lineRule="auto"/>
        <w:rPr>
          <w:sz w:val="20"/>
          <w:szCs w:val="20"/>
          <w:color w:val="auto"/>
        </w:rPr>
      </w:pPr>
      <w:r>
        <w:rPr>
          <w:rFonts w:ascii="Arial" w:cs="Arial" w:eastAsia="Arial" w:hAnsi="Arial"/>
          <w:sz w:val="12"/>
          <w:szCs w:val="12"/>
          <w:color w:val="auto"/>
        </w:rPr>
        <w:t>Our inventory balance declined by approximately $36.4 million, or 13%, at March 31, 2021. Within Inventories, raw materials and materials in process, finished cement, and aggregates decreased by approximately $17.9 million, $9.1 million, and $5.5 million, respectively. The decreases in raw materials and materials in process and finished cement were mostly due to timing, as well as some disruption in production during Winter Storm Uri in February 2021. The reduction in aggregates inventory was due primarily to the sale of Western, which had approximately $5.1 million of aggregate inventory at the date of sale.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 the need to stock a high level of repair parts inventory. We believe all of these repair parts are necessary, and we perform semi-annual analyses to identify obsolete parts.</w:t>
      </w:r>
    </w:p>
    <w:p>
      <w:pPr>
        <w:spacing w:after="0" w:line="65"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Net Cash Provided by Investing Activities during fiscal 2021 was approximately $37.1 million, compared with Net Cash Used in Investing Activities of $831.1 million in fiscal 2020, an increase of approximately $868.2 million. The increase was primarily due to the $91.0 million of cash received for the sale of businesses, and reductions in capital spending and acquisition spending of $78.2 million and $699.4 million, respectively. The decrease in capital spending was due to our focus on limiting capital expenditures to critical maintenance and safety and regulatory projects as we managed our cash flow in response to COVID-19, while the reduction in acquisition spending was due to the ConAgg and Kosmos Acquisitions in fiscal 2020.</w:t>
      </w:r>
    </w:p>
    <w:p>
      <w:pPr>
        <w:spacing w:after="0" w:line="65"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Net Cash Used in Financing Activities was approximately $530.3 million during fiscal 2021, compared with Net Cash Provided by Financing Activities of $541.8 million in fiscal 2020. The $1,072.1 million increase was primarily related to the $560.0 million reduction in the Revolving Credit Facility in fiscal 2021, compared with the $878.5 million increase in net borrowings in fiscal 2020, as well as a $313.9 million reduction in repurchase and retirement of common stock in fiscal 2021. This was partially offset by an increase of $37.2 million of proceeds from stock option exercises.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Our debt-to-capitalization ratio and net-debt-to-capitalization ratio was 42.8% and 35.6%, respectively, at March 31, 2021, compared with 61.7% and 60.0%, respectively, at March 31, 2020.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4483"/>
        </w:rPr>
        <w:t>Debt Financing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Below is a summary of the Company’s debt maturities at March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6060" w:type="dxa"/>
            <w:vAlign w:val="bottom"/>
            <w:tcBorders>
              <w:bottom w:val="single" w:sz="8" w:color="004483"/>
            </w:tcBorders>
          </w:tcPr>
          <w:p>
            <w:pPr>
              <w:spacing w:after="0"/>
              <w:rPr>
                <w:sz w:val="8"/>
                <w:szCs w:val="8"/>
                <w:color w:val="auto"/>
              </w:rPr>
            </w:pPr>
          </w:p>
        </w:tc>
        <w:tc>
          <w:tcPr>
            <w:tcW w:w="52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Maturity</w:t>
            </w:r>
          </w:p>
        </w:tc>
      </w:tr>
      <w:tr>
        <w:trPr>
          <w:trHeight w:val="131"/>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Revolving Credit Facility</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2023</w:t>
            </w:r>
          </w:p>
        </w:tc>
      </w:tr>
      <w:tr>
        <w:trPr>
          <w:trHeight w:val="133"/>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4.500% Senior Unsecured Notes</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2026</w:t>
            </w:r>
          </w:p>
        </w:tc>
      </w:tr>
      <w:tr>
        <w:trPr>
          <w:trHeight w:val="133"/>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Term Loan</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2023</w:t>
            </w:r>
          </w:p>
        </w:tc>
      </w:tr>
    </w:tbl>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The borrowing capacity or our Revolving Credit Facility is $750.0 million. The Revolving Credit Facility also includes a swingline loan sublimit of $25.0 million, and a $40.0 million letter of credit facility. At March 31, 2021, we had $4.3 million of outstanding letters of credit. We are contingently liable for performance under $24.3 million in performance bonds relating primarily to our mining operations. We do not have any off-balance-sheet debt or any outstanding debt guarantees.</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We did not have any borrowings outstanding under the Revolving Credit Facility at March 31, 2021. We had $745.7 million of available borrowings under the Revolving Credit Facility, net of outstanding letters of credit, at March 31, 2021, all of which was available for future borrowings based on our current Leverage Ratio.</w:t>
      </w:r>
    </w:p>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2"/>
          <w:szCs w:val="12"/>
          <w:color w:val="auto"/>
        </w:rPr>
        <w:t>In addition to the Revolving Credit Facility, we had $263.5 million of cash on hand at March 31, 2021, giving us total liquidity of approximately $1,009.2 million (cash on hand plus Revolving Credit Facility availability).</w:t>
      </w:r>
    </w:p>
    <w:p>
      <w:pPr>
        <w:spacing w:after="0" w:line="59" w:lineRule="exact"/>
        <w:rPr>
          <w:sz w:val="20"/>
          <w:szCs w:val="20"/>
          <w:color w:val="auto"/>
        </w:rPr>
      </w:pPr>
    </w:p>
    <w:p>
      <w:pPr>
        <w:jc w:val="both"/>
        <w:ind w:right="260"/>
        <w:spacing w:after="0" w:line="271" w:lineRule="auto"/>
        <w:rPr>
          <w:sz w:val="20"/>
          <w:szCs w:val="20"/>
          <w:color w:val="auto"/>
        </w:rPr>
      </w:pPr>
      <w:r>
        <w:rPr>
          <w:rFonts w:ascii="Arial" w:cs="Arial" w:eastAsia="Arial" w:hAnsi="Arial"/>
          <w:sz w:val="12"/>
          <w:szCs w:val="12"/>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 Our Revolving Credit Facility is not rated by the rating agencies.</w:t>
      </w:r>
    </w:p>
    <w:p>
      <w:pPr>
        <w:spacing w:after="0" w:line="6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new economic challenges due to potential future COVID-19 outbreaks.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67"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As market conditions warrant, the Company may from time to time seek to purchase or repay its outstanding debt securities or loans, including the Term Loan, 4.500%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2"/>
          <w:szCs w:val="12"/>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020" w:type="dxa"/>
            <w:vAlign w:val="bottom"/>
            <w:tcBorders>
              <w:bottom w:val="single" w:sz="8" w:color="004483"/>
            </w:tcBorders>
          </w:tcPr>
          <w:p>
            <w:pPr>
              <w:spacing w:after="0"/>
              <w:rPr>
                <w:sz w:val="8"/>
                <w:szCs w:val="8"/>
                <w:color w:val="auto"/>
              </w:rPr>
            </w:pPr>
          </w:p>
        </w:tc>
        <w:tc>
          <w:tcPr>
            <w:tcW w:w="5120" w:type="dxa"/>
            <w:vAlign w:val="bottom"/>
            <w:tcBorders>
              <w:bottom w:val="single" w:sz="8" w:color="004483"/>
            </w:tcBorders>
          </w:tcPr>
          <w:p>
            <w:pPr>
              <w:jc w:val="right"/>
              <w:ind w:right="668"/>
              <w:spacing w:after="0"/>
              <w:rPr>
                <w:sz w:val="20"/>
                <w:szCs w:val="20"/>
                <w:color w:val="auto"/>
              </w:rPr>
            </w:pPr>
            <w:r>
              <w:rPr>
                <w:rFonts w:ascii="Arial" w:cs="Arial" w:eastAsia="Arial" w:hAnsi="Arial"/>
                <w:sz w:val="8"/>
                <w:szCs w:val="8"/>
                <w:b w:val="1"/>
                <w:bCs w:val="1"/>
                <w:color w:val="auto"/>
              </w:rPr>
              <w:t>Moody's</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S&amp;P</w:t>
            </w:r>
          </w:p>
        </w:tc>
      </w:tr>
      <w:tr>
        <w:trPr>
          <w:trHeight w:val="131"/>
        </w:trPr>
        <w:tc>
          <w:tcPr>
            <w:tcW w:w="50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Corporate/Family Rating</w:t>
            </w:r>
          </w:p>
        </w:tc>
        <w:tc>
          <w:tcPr>
            <w:tcW w:w="5120" w:type="dxa"/>
            <w:vAlign w:val="bottom"/>
            <w:tcBorders>
              <w:bottom w:val="single" w:sz="8" w:color="A6A6A6"/>
            </w:tcBorders>
          </w:tcPr>
          <w:p>
            <w:pPr>
              <w:jc w:val="right"/>
              <w:ind w:right="668"/>
              <w:spacing w:after="0"/>
              <w:rPr>
                <w:sz w:val="20"/>
                <w:szCs w:val="20"/>
                <w:color w:val="auto"/>
              </w:rPr>
            </w:pPr>
            <w:r>
              <w:rPr>
                <w:rFonts w:ascii="Arial" w:cs="Arial" w:eastAsia="Arial" w:hAnsi="Arial"/>
                <w:sz w:val="11"/>
                <w:szCs w:val="11"/>
                <w:color w:val="auto"/>
              </w:rPr>
              <w:t>Baa2</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BBB-</w:t>
            </w:r>
          </w:p>
        </w:tc>
      </w:tr>
      <w:tr>
        <w:trPr>
          <w:trHeight w:val="133"/>
        </w:trPr>
        <w:tc>
          <w:tcPr>
            <w:tcW w:w="50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Outlook</w:t>
            </w:r>
          </w:p>
        </w:tc>
        <w:tc>
          <w:tcPr>
            <w:tcW w:w="5120" w:type="dxa"/>
            <w:vAlign w:val="bottom"/>
            <w:tcBorders>
              <w:bottom w:val="single" w:sz="8" w:color="A6A6A6"/>
            </w:tcBorders>
          </w:tcPr>
          <w:p>
            <w:pPr>
              <w:jc w:val="right"/>
              <w:ind w:right="668"/>
              <w:spacing w:after="0"/>
              <w:rPr>
                <w:sz w:val="20"/>
                <w:szCs w:val="20"/>
                <w:color w:val="auto"/>
              </w:rPr>
            </w:pPr>
            <w:r>
              <w:rPr>
                <w:rFonts w:ascii="Arial" w:cs="Arial" w:eastAsia="Arial" w:hAnsi="Arial"/>
                <w:sz w:val="11"/>
                <w:szCs w:val="11"/>
                <w:color w:val="auto"/>
              </w:rPr>
              <w:t>Stable</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Negative</w:t>
            </w:r>
          </w:p>
        </w:tc>
      </w:tr>
      <w:tr>
        <w:trPr>
          <w:trHeight w:val="133"/>
        </w:trPr>
        <w:tc>
          <w:tcPr>
            <w:tcW w:w="50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Guaranteed Senior Notes</w:t>
            </w:r>
          </w:p>
        </w:tc>
        <w:tc>
          <w:tcPr>
            <w:tcW w:w="5120" w:type="dxa"/>
            <w:vAlign w:val="bottom"/>
            <w:tcBorders>
              <w:bottom w:val="single" w:sz="8" w:color="A6A6A6"/>
            </w:tcBorders>
          </w:tcPr>
          <w:p>
            <w:pPr>
              <w:jc w:val="right"/>
              <w:ind w:right="668"/>
              <w:spacing w:after="0"/>
              <w:rPr>
                <w:sz w:val="20"/>
                <w:szCs w:val="20"/>
                <w:color w:val="auto"/>
              </w:rPr>
            </w:pPr>
            <w:r>
              <w:rPr>
                <w:rFonts w:ascii="Arial" w:cs="Arial" w:eastAsia="Arial" w:hAnsi="Arial"/>
                <w:sz w:val="11"/>
                <w:szCs w:val="11"/>
                <w:color w:val="auto"/>
              </w:rPr>
              <w:t>Baa2</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BBB-</w:t>
            </w:r>
          </w:p>
        </w:tc>
      </w:tr>
      <w:tr>
        <w:trPr>
          <w:trHeight w:val="133"/>
        </w:trPr>
        <w:tc>
          <w:tcPr>
            <w:tcW w:w="50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Date of Latest Report</w:t>
            </w:r>
          </w:p>
        </w:tc>
        <w:tc>
          <w:tcPr>
            <w:tcW w:w="5120" w:type="dxa"/>
            <w:vAlign w:val="bottom"/>
            <w:tcBorders>
              <w:bottom w:val="single" w:sz="8" w:color="A6A6A6"/>
            </w:tcBorders>
          </w:tcPr>
          <w:p>
            <w:pPr>
              <w:jc w:val="right"/>
              <w:ind w:right="668"/>
              <w:spacing w:after="0"/>
              <w:rPr>
                <w:sz w:val="20"/>
                <w:szCs w:val="20"/>
                <w:color w:val="auto"/>
              </w:rPr>
            </w:pPr>
            <w:r>
              <w:rPr>
                <w:rFonts w:ascii="Arial" w:cs="Arial" w:eastAsia="Arial" w:hAnsi="Arial"/>
                <w:sz w:val="11"/>
                <w:szCs w:val="11"/>
                <w:color w:val="auto"/>
              </w:rPr>
              <w:t>August 2020</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June 2020</w:t>
            </w:r>
          </w:p>
        </w:tc>
      </w:tr>
    </w:tbl>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During December 2020, we exercised our option and purchased the cement plant at Sugar Creek for a nominal amount. We also have approximately $40.8 million of lease liabilities at March 31, 2021, that have an average remaining life of approximately 10.5 years.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Cash Used for Share Repurchases and Stock Repurchase Program</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See table under Item 5. “Market for Registrant’s Common Equity, Related Stockholder Matters and Issuer Purchases of Equity Securities” for additional information.</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On April 18, 2019, the Board of Directors authorized the Company to repurchase up to an additional 10,000,000 shares, for a total outstanding authorization, as of that date, of 10,724,758 shares. During fiscal years 2020 and 2019, we spent approximately $313.9 million and $272.0 million, respectively, on share repurchases. We did not repurchase any shares during fiscal 2021. At March 31, 2021, we have authorization to repurchase an additional 7,305,649 shares.</w:t>
      </w:r>
    </w:p>
    <w:p>
      <w:pPr>
        <w:spacing w:after="0" w:line="64"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Capital Expenditures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Capital Expenditures in fiscal years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3"/>
            <w:shd w:val="clear" w:color="auto" w:fill="004483"/>
          </w:tcPr>
          <w:p>
            <w:pPr>
              <w:jc w:val="right"/>
              <w:ind w:right="313"/>
              <w:spacing w:after="0"/>
              <w:rPr>
                <w:sz w:val="20"/>
                <w:szCs w:val="20"/>
                <w:color w:val="auto"/>
              </w:rPr>
            </w:pPr>
            <w:r>
              <w:rPr>
                <w:rFonts w:ascii="Arial" w:cs="Arial" w:eastAsia="Arial" w:hAnsi="Arial"/>
                <w:sz w:val="8"/>
                <w:szCs w:val="8"/>
                <w:b w:val="1"/>
                <w:bCs w:val="1"/>
                <w:color w:val="FFFFFF"/>
              </w:rPr>
              <w:t>For the Fiscal Years Ended March 31,</w:t>
            </w:r>
          </w:p>
        </w:tc>
        <w:tc>
          <w:tcPr>
            <w:tcW w:w="8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jc w:val="right"/>
              <w:ind w:right="71"/>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3"/>
          </w:tcPr>
          <w:p>
            <w:pPr>
              <w:jc w:val="right"/>
              <w:ind w:right="633"/>
              <w:spacing w:after="0"/>
              <w:rPr>
                <w:sz w:val="20"/>
                <w:szCs w:val="20"/>
                <w:color w:val="auto"/>
              </w:rPr>
            </w:pPr>
            <w:r>
              <w:rPr>
                <w:rFonts w:ascii="Arial" w:cs="Arial" w:eastAsia="Arial" w:hAnsi="Arial"/>
                <w:sz w:val="8"/>
                <w:szCs w:val="8"/>
                <w:color w:val="auto"/>
              </w:rPr>
              <w:t>(dollars in thousands)</w:t>
            </w:r>
          </w:p>
        </w:tc>
        <w:tc>
          <w:tcPr>
            <w:tcW w:w="8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Land and Quarries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5,353</w:t>
            </w: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93"/>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9,940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Plants</w:t>
            </w:r>
          </w:p>
        </w:tc>
        <w:tc>
          <w:tcPr>
            <w:tcW w:w="560" w:type="dxa"/>
            <w:vAlign w:val="bottom"/>
            <w:tcBorders>
              <w:bottom w:val="single" w:sz="8" w:color="A6A6A6"/>
            </w:tcBorders>
          </w:tcPr>
          <w:p>
            <w:pPr>
              <w:spacing w:after="0"/>
              <w:rPr>
                <w:sz w:val="11"/>
                <w:szCs w:val="11"/>
                <w:color w:val="auto"/>
              </w:rPr>
            </w:pPr>
          </w:p>
        </w:tc>
        <w:tc>
          <w:tcPr>
            <w:tcW w:w="11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38,768</w:t>
            </w: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98,948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Buildings, Machinery and Equipment</w:t>
            </w:r>
          </w:p>
        </w:tc>
        <w:tc>
          <w:tcPr>
            <w:tcW w:w="560" w:type="dxa"/>
            <w:vAlign w:val="bottom"/>
            <w:tcBorders>
              <w:bottom w:val="single" w:sz="8" w:color="004483"/>
            </w:tcBorders>
          </w:tcPr>
          <w:p>
            <w:pPr>
              <w:spacing w:after="0"/>
              <w:rPr>
                <w:sz w:val="11"/>
                <w:szCs w:val="11"/>
                <w:color w:val="auto"/>
              </w:rPr>
            </w:pPr>
          </w:p>
        </w:tc>
        <w:tc>
          <w:tcPr>
            <w:tcW w:w="112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9,812</w:t>
            </w: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23,231</w:t>
            </w:r>
          </w:p>
        </w:tc>
      </w:tr>
      <w:tr>
        <w:trPr>
          <w:trHeight w:val="142"/>
        </w:trPr>
        <w:tc>
          <w:tcPr>
            <w:tcW w:w="7740" w:type="dxa"/>
            <w:vAlign w:val="bottom"/>
          </w:tcPr>
          <w:p>
            <w:pPr>
              <w:ind w:left="80"/>
              <w:spacing w:after="0"/>
              <w:rPr>
                <w:sz w:val="20"/>
                <w:szCs w:val="20"/>
                <w:color w:val="auto"/>
              </w:rPr>
            </w:pPr>
            <w:r>
              <w:rPr>
                <w:rFonts w:ascii="Arial" w:cs="Arial" w:eastAsia="Arial" w:hAnsi="Arial"/>
                <w:sz w:val="11"/>
                <w:szCs w:val="11"/>
                <w:b w:val="1"/>
                <w:bCs w:val="1"/>
                <w:color w:val="auto"/>
              </w:rPr>
              <w:t>Total Capital Expenditures</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53,933</w:t>
            </w:r>
          </w:p>
        </w:tc>
        <w:tc>
          <w:tcPr>
            <w:tcW w:w="200" w:type="dxa"/>
            <w:vAlign w:val="bottom"/>
          </w:tcPr>
          <w:p>
            <w:pPr>
              <w:spacing w:after="0"/>
              <w:rPr>
                <w:sz w:val="12"/>
                <w:szCs w:val="12"/>
                <w:color w:val="auto"/>
              </w:rPr>
            </w:pPr>
          </w:p>
        </w:tc>
        <w:tc>
          <w:tcPr>
            <w:tcW w:w="860" w:type="dxa"/>
            <w:vAlign w:val="bottom"/>
            <w:tcBorders>
              <w:bottom w:val="single" w:sz="8" w:color="004483"/>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132,119</w:t>
            </w:r>
          </w:p>
        </w:tc>
      </w:tr>
    </w:tbl>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Capital expenditures for fiscal 2022 are expected to range from $80 million to $100 million and to be allocated across the Heavy Materials and Light Materials sectors. These estimated capital expenditures will include maintenance capital expenditures and improvements, as well as other safety and regulatory projects.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Contractual and Other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We have certain Contractual Obligations arising from indebtedness, operating leases, and purchase obligations. Future payments due, aggregated by type of contractual obligation, are set forth as follows: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54" w:name="page55"/>
    <w:bookmarkEnd w:id="54"/>
    <w:tbl>
      <w:tblPr>
        <w:tblLayout w:type="fixed"/>
        <w:tblInd w:w="8" w:type="dxa"/>
        <w:tblCellMar>
          <w:top w:w="0" w:type="dxa"/>
          <w:left w:w="0" w:type="dxa"/>
          <w:bottom w:w="0" w:type="dxa"/>
          <w:right w:w="0" w:type="dxa"/>
        </w:tblCellMar>
      </w:tblPr>
      <w:tr>
        <w:trPr>
          <w:trHeight w:val="153"/>
        </w:trPr>
        <w:tc>
          <w:tcPr>
            <w:tcW w:w="5200" w:type="dxa"/>
            <w:vAlign w:val="bottom"/>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c>
          <w:tcPr>
            <w:tcW w:w="140" w:type="dxa"/>
            <w:vAlign w:val="bottom"/>
            <w:shd w:val="clear" w:color="auto" w:fill="004483"/>
          </w:tcPr>
          <w:p>
            <w:pPr>
              <w:spacing w:after="0"/>
              <w:rPr>
                <w:sz w:val="13"/>
                <w:szCs w:val="13"/>
                <w:color w:val="auto"/>
              </w:rPr>
            </w:pPr>
          </w:p>
        </w:tc>
        <w:tc>
          <w:tcPr>
            <w:tcW w:w="360" w:type="dxa"/>
            <w:vAlign w:val="bottom"/>
            <w:shd w:val="clear" w:color="auto" w:fill="004483"/>
          </w:tcPr>
          <w:p>
            <w:pPr>
              <w:spacing w:after="0"/>
              <w:rPr>
                <w:sz w:val="13"/>
                <w:szCs w:val="13"/>
                <w:color w:val="auto"/>
              </w:rPr>
            </w:pPr>
          </w:p>
        </w:tc>
        <w:tc>
          <w:tcPr>
            <w:tcW w:w="7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60" w:type="dxa"/>
            <w:vAlign w:val="bottom"/>
            <w:shd w:val="clear" w:color="auto" w:fill="004483"/>
          </w:tcPr>
          <w:p>
            <w:pPr>
              <w:spacing w:after="0"/>
              <w:rPr>
                <w:sz w:val="13"/>
                <w:szCs w:val="13"/>
                <w:color w:val="auto"/>
              </w:rPr>
            </w:pPr>
          </w:p>
        </w:tc>
        <w:tc>
          <w:tcPr>
            <w:tcW w:w="1180" w:type="dxa"/>
            <w:vAlign w:val="bottom"/>
            <w:gridSpan w:val="2"/>
            <w:shd w:val="clear" w:color="auto" w:fill="004483"/>
          </w:tcPr>
          <w:p>
            <w:pPr>
              <w:jc w:val="center"/>
              <w:ind w:right="300"/>
              <w:spacing w:after="0"/>
              <w:rPr>
                <w:sz w:val="20"/>
                <w:szCs w:val="20"/>
                <w:color w:val="auto"/>
              </w:rPr>
            </w:pPr>
            <w:r>
              <w:rPr>
                <w:rFonts w:ascii="Arial" w:cs="Arial" w:eastAsia="Arial" w:hAnsi="Arial"/>
                <w:sz w:val="8"/>
                <w:szCs w:val="8"/>
                <w:b w:val="1"/>
                <w:bCs w:val="1"/>
                <w:color w:val="FFFFFF"/>
                <w:w w:val="93"/>
              </w:rPr>
              <w:t>Payments Due by Period</w:t>
            </w:r>
          </w:p>
        </w:tc>
        <w:tc>
          <w:tcPr>
            <w:tcW w:w="360" w:type="dxa"/>
            <w:vAlign w:val="bottom"/>
            <w:shd w:val="clear" w:color="auto" w:fill="004483"/>
          </w:tcPr>
          <w:p>
            <w:pPr>
              <w:spacing w:after="0"/>
              <w:rPr>
                <w:sz w:val="13"/>
                <w:szCs w:val="13"/>
                <w:color w:val="auto"/>
              </w:rPr>
            </w:pPr>
          </w:p>
        </w:tc>
        <w:tc>
          <w:tcPr>
            <w:tcW w:w="7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34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r>
      <w:tr>
        <w:trPr>
          <w:trHeight w:val="88"/>
        </w:trPr>
        <w:tc>
          <w:tcPr>
            <w:tcW w:w="5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gridSpan w:val="2"/>
          </w:tcPr>
          <w:p>
            <w:pPr>
              <w:jc w:val="right"/>
              <w:ind w:right="240"/>
              <w:spacing w:after="0" w:line="89" w:lineRule="exact"/>
              <w:rPr>
                <w:sz w:val="20"/>
                <w:szCs w:val="20"/>
                <w:color w:val="auto"/>
              </w:rPr>
            </w:pPr>
            <w:r>
              <w:rPr>
                <w:rFonts w:ascii="Arial" w:cs="Arial" w:eastAsia="Arial" w:hAnsi="Arial"/>
                <w:sz w:val="8"/>
                <w:szCs w:val="8"/>
                <w:b w:val="1"/>
                <w:bCs w:val="1"/>
                <w:color w:val="auto"/>
              </w:rPr>
              <w:t>Less than</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jc w:val="right"/>
              <w:ind w:right="68"/>
              <w:spacing w:after="0" w:line="89" w:lineRule="exact"/>
              <w:rPr>
                <w:sz w:val="20"/>
                <w:szCs w:val="20"/>
                <w:color w:val="auto"/>
              </w:rPr>
            </w:pPr>
            <w:r>
              <w:rPr>
                <w:rFonts w:ascii="Arial" w:cs="Arial" w:eastAsia="Arial" w:hAnsi="Arial"/>
                <w:sz w:val="8"/>
                <w:szCs w:val="8"/>
                <w:b w:val="1"/>
                <w:bCs w:val="1"/>
                <w:color w:val="auto"/>
              </w:rPr>
              <w:t>More than</w:t>
            </w:r>
          </w:p>
        </w:tc>
      </w:tr>
      <w:tr>
        <w:trPr>
          <w:trHeight w:val="101"/>
        </w:trPr>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gridSpan w:val="2"/>
          </w:tcPr>
          <w:p>
            <w:pPr>
              <w:ind w:left="500"/>
              <w:spacing w:after="0"/>
              <w:rPr>
                <w:sz w:val="20"/>
                <w:szCs w:val="20"/>
                <w:color w:val="auto"/>
              </w:rPr>
            </w:pPr>
            <w:r>
              <w:rPr>
                <w:rFonts w:ascii="Arial" w:cs="Arial" w:eastAsia="Arial" w:hAnsi="Arial"/>
                <w:sz w:val="8"/>
                <w:szCs w:val="8"/>
                <w:b w:val="1"/>
                <w:bCs w:val="1"/>
                <w:color w:val="auto"/>
              </w:rPr>
              <w:t>Total</w:t>
            </w:r>
          </w:p>
        </w:tc>
        <w:tc>
          <w:tcPr>
            <w:tcW w:w="360" w:type="dxa"/>
            <w:vAlign w:val="bottom"/>
          </w:tcPr>
          <w:p>
            <w:pPr>
              <w:spacing w:after="0"/>
              <w:rPr>
                <w:sz w:val="8"/>
                <w:szCs w:val="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1 year</w:t>
            </w:r>
          </w:p>
        </w:tc>
        <w:tc>
          <w:tcPr>
            <w:tcW w:w="60" w:type="dxa"/>
            <w:vAlign w:val="bottom"/>
          </w:tcPr>
          <w:p>
            <w:pPr>
              <w:spacing w:after="0"/>
              <w:rPr>
                <w:sz w:val="8"/>
                <w:szCs w:val="8"/>
                <w:color w:val="auto"/>
              </w:rPr>
            </w:pPr>
          </w:p>
        </w:tc>
        <w:tc>
          <w:tcPr>
            <w:tcW w:w="1180" w:type="dxa"/>
            <w:vAlign w:val="bottom"/>
            <w:gridSpan w:val="2"/>
          </w:tcPr>
          <w:p>
            <w:pPr>
              <w:ind w:left="620"/>
              <w:spacing w:after="0"/>
              <w:rPr>
                <w:sz w:val="20"/>
                <w:szCs w:val="20"/>
                <w:color w:val="auto"/>
              </w:rPr>
            </w:pPr>
            <w:r>
              <w:rPr>
                <w:rFonts w:ascii="Arial" w:cs="Arial" w:eastAsia="Arial" w:hAnsi="Arial"/>
                <w:sz w:val="8"/>
                <w:szCs w:val="8"/>
                <w:b w:val="1"/>
                <w:bCs w:val="1"/>
                <w:color w:val="auto"/>
              </w:rPr>
              <w:t>1-3 years</w:t>
            </w:r>
          </w:p>
        </w:tc>
        <w:tc>
          <w:tcPr>
            <w:tcW w:w="360" w:type="dxa"/>
            <w:vAlign w:val="bottom"/>
          </w:tcPr>
          <w:p>
            <w:pPr>
              <w:spacing w:after="0"/>
              <w:rPr>
                <w:sz w:val="8"/>
                <w:szCs w:val="8"/>
                <w:color w:val="auto"/>
              </w:rPr>
            </w:pPr>
          </w:p>
        </w:tc>
        <w:tc>
          <w:tcPr>
            <w:tcW w:w="880" w:type="dxa"/>
            <w:vAlign w:val="bottom"/>
            <w:gridSpan w:val="2"/>
          </w:tcPr>
          <w:p>
            <w:pPr>
              <w:ind w:left="320"/>
              <w:spacing w:after="0"/>
              <w:rPr>
                <w:sz w:val="20"/>
                <w:szCs w:val="20"/>
                <w:color w:val="auto"/>
              </w:rPr>
            </w:pPr>
            <w:r>
              <w:rPr>
                <w:rFonts w:ascii="Arial" w:cs="Arial" w:eastAsia="Arial" w:hAnsi="Arial"/>
                <w:sz w:val="8"/>
                <w:szCs w:val="8"/>
                <w:b w:val="1"/>
                <w:bCs w:val="1"/>
                <w:color w:val="auto"/>
              </w:rPr>
              <w:t>3-5 years</w:t>
            </w:r>
          </w:p>
        </w:tc>
        <w:tc>
          <w:tcPr>
            <w:tcW w:w="340" w:type="dxa"/>
            <w:vAlign w:val="bottom"/>
          </w:tcPr>
          <w:p>
            <w:pPr>
              <w:spacing w:after="0"/>
              <w:rPr>
                <w:sz w:val="8"/>
                <w:szCs w:val="8"/>
                <w:color w:val="auto"/>
              </w:rPr>
            </w:pPr>
          </w:p>
        </w:tc>
        <w:tc>
          <w:tcPr>
            <w:tcW w:w="800" w:type="dxa"/>
            <w:vAlign w:val="bottom"/>
          </w:tcPr>
          <w:p>
            <w:pPr>
              <w:jc w:val="right"/>
              <w:ind w:right="68"/>
              <w:spacing w:after="0"/>
              <w:rPr>
                <w:sz w:val="20"/>
                <w:szCs w:val="20"/>
                <w:color w:val="auto"/>
              </w:rPr>
            </w:pPr>
            <w:r>
              <w:rPr>
                <w:rFonts w:ascii="Arial" w:cs="Arial" w:eastAsia="Arial" w:hAnsi="Arial"/>
                <w:sz w:val="8"/>
                <w:szCs w:val="8"/>
                <w:b w:val="1"/>
                <w:bCs w:val="1"/>
                <w:color w:val="auto"/>
              </w:rPr>
              <w:t>5 years</w:t>
            </w:r>
          </w:p>
        </w:tc>
      </w:tr>
      <w:tr>
        <w:trPr>
          <w:trHeight w:val="99"/>
        </w:trPr>
        <w:tc>
          <w:tcPr>
            <w:tcW w:w="5200" w:type="dxa"/>
            <w:vAlign w:val="bottom"/>
            <w:tcBorders>
              <w:bottom w:val="single" w:sz="8" w:color="004483"/>
            </w:tcBorders>
          </w:tcPr>
          <w:p>
            <w:pPr>
              <w:spacing w:after="0"/>
              <w:rPr>
                <w:sz w:val="8"/>
                <w:szCs w:val="8"/>
                <w:color w:val="auto"/>
              </w:rPr>
            </w:pPr>
          </w:p>
        </w:tc>
        <w:tc>
          <w:tcPr>
            <w:tcW w:w="3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6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60" w:type="dxa"/>
            <w:vAlign w:val="bottom"/>
            <w:tcBorders>
              <w:bottom w:val="single" w:sz="8" w:color="004483"/>
            </w:tcBorders>
          </w:tcPr>
          <w:p>
            <w:pPr>
              <w:spacing w:after="0"/>
              <w:rPr>
                <w:sz w:val="8"/>
                <w:szCs w:val="8"/>
                <w:color w:val="auto"/>
              </w:rPr>
            </w:pPr>
          </w:p>
        </w:tc>
        <w:tc>
          <w:tcPr>
            <w:tcW w:w="1180" w:type="dxa"/>
            <w:vAlign w:val="bottom"/>
            <w:tcBorders>
              <w:bottom w:val="single" w:sz="8" w:color="004483"/>
            </w:tcBorders>
            <w:gridSpan w:val="2"/>
          </w:tcPr>
          <w:p>
            <w:pPr>
              <w:jc w:val="center"/>
              <w:ind w:right="280"/>
              <w:spacing w:after="0"/>
              <w:rPr>
                <w:sz w:val="20"/>
                <w:szCs w:val="20"/>
                <w:color w:val="auto"/>
              </w:rPr>
            </w:pPr>
            <w:r>
              <w:rPr>
                <w:rFonts w:ascii="Arial" w:cs="Arial" w:eastAsia="Arial" w:hAnsi="Arial"/>
                <w:sz w:val="8"/>
                <w:szCs w:val="8"/>
                <w:color w:val="auto"/>
                <w:w w:val="96"/>
              </w:rPr>
              <w:t>(dollars in thousands)</w:t>
            </w:r>
          </w:p>
        </w:tc>
        <w:tc>
          <w:tcPr>
            <w:tcW w:w="36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r>
      <w:tr>
        <w:trPr>
          <w:trHeight w:val="133"/>
        </w:trPr>
        <w:tc>
          <w:tcPr>
            <w:tcW w:w="5200" w:type="dxa"/>
            <w:vAlign w:val="bottom"/>
            <w:tcBorders>
              <w:bottom w:val="single" w:sz="8" w:color="A6A6A6"/>
            </w:tcBorders>
          </w:tcPr>
          <w:p>
            <w:pPr>
              <w:spacing w:after="0" w:line="133" w:lineRule="exact"/>
              <w:rPr>
                <w:sz w:val="20"/>
                <w:szCs w:val="20"/>
                <w:color w:val="auto"/>
              </w:rPr>
            </w:pPr>
            <w:r>
              <w:rPr>
                <w:rFonts w:ascii="Arial" w:cs="Arial" w:eastAsia="Arial" w:hAnsi="Arial"/>
                <w:sz w:val="9"/>
                <w:szCs w:val="9"/>
                <w:color w:val="auto"/>
              </w:rPr>
              <w:t xml:space="preserve">Revolving Credit Facility </w:t>
            </w:r>
            <w:r>
              <w:rPr>
                <w:rFonts w:ascii="Arial" w:cs="Arial" w:eastAsia="Arial" w:hAnsi="Arial"/>
                <w:sz w:val="15"/>
                <w:szCs w:val="15"/>
                <w:color w:val="auto"/>
                <w:vertAlign w:val="superscript"/>
              </w:rPr>
              <w:t>(1)</w:t>
            </w:r>
          </w:p>
        </w:tc>
        <w:tc>
          <w:tcPr>
            <w:tcW w:w="300" w:type="dxa"/>
            <w:vAlign w:val="bottom"/>
            <w:tcBorders>
              <w:bottom w:val="single" w:sz="8" w:color="A6A6A6"/>
            </w:tcBorders>
          </w:tcPr>
          <w:p>
            <w:pPr>
              <w:jc w:val="right"/>
              <w:ind w:right="23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6A6A6"/>
            </w:tcBorders>
          </w:tcPr>
          <w:p>
            <w:pPr>
              <w:jc w:val="right"/>
              <w:ind w:right="23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Senior Unsecured Notes</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350,000</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350,000</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Term Loan</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665,000</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665,000</w:t>
            </w: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5"/>
        </w:trPr>
        <w:tc>
          <w:tcPr>
            <w:tcW w:w="5200" w:type="dxa"/>
            <w:vAlign w:val="bottom"/>
            <w:tcBorders>
              <w:bottom w:val="single" w:sz="8" w:color="A6A6A6"/>
            </w:tcBorders>
          </w:tcPr>
          <w:p>
            <w:pPr>
              <w:spacing w:after="0" w:line="135" w:lineRule="exact"/>
              <w:rPr>
                <w:sz w:val="20"/>
                <w:szCs w:val="20"/>
                <w:color w:val="auto"/>
              </w:rPr>
            </w:pPr>
            <w:r>
              <w:rPr>
                <w:rFonts w:ascii="Arial" w:cs="Arial" w:eastAsia="Arial" w:hAnsi="Arial"/>
                <w:sz w:val="9"/>
                <w:szCs w:val="9"/>
                <w:color w:val="auto"/>
              </w:rPr>
              <w:t xml:space="preserve">Commitment Fees on Revolving Credit Facility </w:t>
            </w:r>
            <w:r>
              <w:rPr>
                <w:rFonts w:ascii="Arial" w:cs="Arial" w:eastAsia="Arial" w:hAnsi="Arial"/>
                <w:sz w:val="15"/>
                <w:szCs w:val="15"/>
                <w:color w:val="auto"/>
                <w:vertAlign w:val="superscript"/>
              </w:rPr>
              <w:t>(2)</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2,610</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1,119</w:t>
            </w:r>
          </w:p>
        </w:tc>
        <w:tc>
          <w:tcPr>
            <w:tcW w:w="1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1,491</w:t>
            </w: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Interest on Senior Unsecured Notes</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84,000</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15,750</w:t>
            </w:r>
          </w:p>
        </w:tc>
        <w:tc>
          <w:tcPr>
            <w:tcW w:w="1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31,500</w:t>
            </w: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31,500</w:t>
            </w:r>
          </w:p>
        </w:tc>
        <w:tc>
          <w:tcPr>
            <w:tcW w:w="12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5,250</w:t>
            </w:r>
          </w:p>
        </w:tc>
      </w:tr>
      <w:tr>
        <w:trPr>
          <w:trHeight w:val="135"/>
        </w:trPr>
        <w:tc>
          <w:tcPr>
            <w:tcW w:w="5200" w:type="dxa"/>
            <w:vAlign w:val="bottom"/>
            <w:tcBorders>
              <w:bottom w:val="single" w:sz="8" w:color="A6A6A6"/>
            </w:tcBorders>
          </w:tcPr>
          <w:p>
            <w:pPr>
              <w:spacing w:after="0" w:line="135" w:lineRule="exact"/>
              <w:rPr>
                <w:sz w:val="20"/>
                <w:szCs w:val="20"/>
                <w:color w:val="auto"/>
              </w:rPr>
            </w:pPr>
            <w:r>
              <w:rPr>
                <w:rFonts w:ascii="Arial" w:cs="Arial" w:eastAsia="Arial" w:hAnsi="Arial"/>
                <w:sz w:val="9"/>
                <w:szCs w:val="9"/>
                <w:color w:val="auto"/>
              </w:rPr>
              <w:t xml:space="preserve">Interest on Term Loan </w:t>
            </w:r>
            <w:r>
              <w:rPr>
                <w:rFonts w:ascii="Arial" w:cs="Arial" w:eastAsia="Arial" w:hAnsi="Arial"/>
                <w:sz w:val="15"/>
                <w:szCs w:val="15"/>
                <w:color w:val="auto"/>
                <w:vertAlign w:val="superscript"/>
              </w:rPr>
              <w:t>(3)</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21,650</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9,150</w:t>
            </w:r>
          </w:p>
        </w:tc>
        <w:tc>
          <w:tcPr>
            <w:tcW w:w="1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12,500</w:t>
            </w: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Operating Leases</w:t>
            </w:r>
          </w:p>
        </w:tc>
        <w:tc>
          <w:tcPr>
            <w:tcW w:w="3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47"/>
              <w:spacing w:after="0"/>
              <w:rPr>
                <w:sz w:val="20"/>
                <w:szCs w:val="20"/>
                <w:color w:val="auto"/>
              </w:rPr>
            </w:pPr>
            <w:r>
              <w:rPr>
                <w:rFonts w:ascii="Arial" w:cs="Arial" w:eastAsia="Arial" w:hAnsi="Arial"/>
                <w:sz w:val="11"/>
                <w:szCs w:val="11"/>
                <w:color w:val="auto"/>
              </w:rPr>
              <w:t>50,769</w:t>
            </w:r>
          </w:p>
        </w:tc>
        <w:tc>
          <w:tcPr>
            <w:tcW w:w="1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7,556</w:t>
            </w:r>
          </w:p>
        </w:tc>
        <w:tc>
          <w:tcPr>
            <w:tcW w:w="1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12,976</w:t>
            </w: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9,821</w:t>
            </w:r>
          </w:p>
        </w:tc>
        <w:tc>
          <w:tcPr>
            <w:tcW w:w="12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20,416</w:t>
            </w:r>
          </w:p>
        </w:tc>
      </w:tr>
      <w:tr>
        <w:trPr>
          <w:trHeight w:val="135"/>
        </w:trPr>
        <w:tc>
          <w:tcPr>
            <w:tcW w:w="5200" w:type="dxa"/>
            <w:vAlign w:val="bottom"/>
          </w:tcPr>
          <w:p>
            <w:pPr>
              <w:spacing w:after="0" w:line="135" w:lineRule="exact"/>
              <w:rPr>
                <w:sz w:val="20"/>
                <w:szCs w:val="20"/>
                <w:color w:val="auto"/>
              </w:rPr>
            </w:pPr>
            <w:r>
              <w:rPr>
                <w:rFonts w:ascii="Arial" w:cs="Arial" w:eastAsia="Arial" w:hAnsi="Arial"/>
                <w:sz w:val="9"/>
                <w:szCs w:val="9"/>
                <w:color w:val="auto"/>
              </w:rPr>
              <w:t xml:space="preserve">Purchase Obligations </w:t>
            </w:r>
            <w:r>
              <w:rPr>
                <w:rFonts w:ascii="Arial" w:cs="Arial" w:eastAsia="Arial" w:hAnsi="Arial"/>
                <w:sz w:val="15"/>
                <w:szCs w:val="15"/>
                <w:color w:val="auto"/>
                <w:vertAlign w:val="superscript"/>
              </w:rPr>
              <w:t>(4)</w:t>
            </w:r>
          </w:p>
        </w:tc>
        <w:tc>
          <w:tcPr>
            <w:tcW w:w="300" w:type="dxa"/>
            <w:vAlign w:val="bottom"/>
          </w:tcPr>
          <w:p>
            <w:pPr>
              <w:spacing w:after="0"/>
              <w:rPr>
                <w:sz w:val="11"/>
                <w:szCs w:val="11"/>
                <w:color w:val="auto"/>
              </w:rPr>
            </w:pP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84,601</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Arial" w:cs="Arial" w:eastAsia="Arial" w:hAnsi="Arial"/>
                <w:sz w:val="11"/>
                <w:szCs w:val="11"/>
                <w:color w:val="auto"/>
              </w:rPr>
              <w:t>61,140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ind w:right="69"/>
              <w:spacing w:after="0"/>
              <w:rPr>
                <w:sz w:val="20"/>
                <w:szCs w:val="20"/>
                <w:color w:val="auto"/>
              </w:rPr>
            </w:pPr>
            <w:r>
              <w:rPr>
                <w:rFonts w:ascii="Arial" w:cs="Arial" w:eastAsia="Arial" w:hAnsi="Arial"/>
                <w:sz w:val="11"/>
                <w:szCs w:val="11"/>
                <w:color w:val="auto"/>
              </w:rPr>
              <w:t>23,461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140"/>
        </w:trPr>
        <w:tc>
          <w:tcPr>
            <w:tcW w:w="520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w:t>
            </w:r>
          </w:p>
        </w:tc>
        <w:tc>
          <w:tcPr>
            <w:tcW w:w="300" w:type="dxa"/>
            <w:vAlign w:val="bottom"/>
            <w:tcBorders>
              <w:top w:val="single" w:sz="8" w:color="004483"/>
              <w:bottom w:val="single" w:sz="8" w:color="004483"/>
            </w:tcBorders>
          </w:tcPr>
          <w:p>
            <w:pPr>
              <w:jc w:val="right"/>
              <w:ind w:right="233"/>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004483"/>
              <w:bottom w:val="single" w:sz="8" w:color="004483"/>
            </w:tcBorders>
          </w:tcPr>
          <w:p>
            <w:pPr>
              <w:jc w:val="right"/>
              <w:ind w:right="47"/>
              <w:spacing w:after="0"/>
              <w:rPr>
                <w:sz w:val="20"/>
                <w:szCs w:val="20"/>
                <w:color w:val="auto"/>
              </w:rPr>
            </w:pPr>
            <w:r>
              <w:rPr>
                <w:rFonts w:ascii="Arial" w:cs="Arial" w:eastAsia="Arial" w:hAnsi="Arial"/>
                <w:sz w:val="11"/>
                <w:szCs w:val="11"/>
                <w:b w:val="1"/>
                <w:bCs w:val="1"/>
                <w:color w:val="auto"/>
              </w:rPr>
              <w:t>1,258,630</w:t>
            </w:r>
          </w:p>
        </w:tc>
        <w:tc>
          <w:tcPr>
            <w:tcW w:w="140" w:type="dxa"/>
            <w:vAlign w:val="bottom"/>
            <w:tcBorders>
              <w:top w:val="single" w:sz="8" w:color="A6A6A6"/>
            </w:tcBorders>
          </w:tcPr>
          <w:p>
            <w:pPr>
              <w:spacing w:after="0"/>
              <w:rPr>
                <w:sz w:val="12"/>
                <w:szCs w:val="12"/>
                <w:color w:val="auto"/>
              </w:rPr>
            </w:pPr>
          </w:p>
        </w:tc>
        <w:tc>
          <w:tcPr>
            <w:tcW w:w="360" w:type="dxa"/>
            <w:vAlign w:val="bottom"/>
            <w:tcBorders>
              <w:top w:val="single" w:sz="8" w:color="004483"/>
              <w:bottom w:val="single" w:sz="8" w:color="004483"/>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94,715</w:t>
            </w:r>
          </w:p>
        </w:tc>
        <w:tc>
          <w:tcPr>
            <w:tcW w:w="120" w:type="dxa"/>
            <w:vAlign w:val="bottom"/>
            <w:tcBorders>
              <w:top w:val="single" w:sz="8" w:color="A6A6A6"/>
            </w:tcBorders>
          </w:tcPr>
          <w:p>
            <w:pPr>
              <w:spacing w:after="0"/>
              <w:rPr>
                <w:sz w:val="12"/>
                <w:szCs w:val="12"/>
                <w:color w:val="auto"/>
              </w:rPr>
            </w:pPr>
          </w:p>
        </w:tc>
        <w:tc>
          <w:tcPr>
            <w:tcW w:w="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004483"/>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746,928</w:t>
            </w:r>
          </w:p>
        </w:tc>
        <w:tc>
          <w:tcPr>
            <w:tcW w:w="120" w:type="dxa"/>
            <w:vAlign w:val="bottom"/>
            <w:tcBorders>
              <w:top w:val="single" w:sz="8" w:color="A6A6A6"/>
            </w:tcBorders>
          </w:tcPr>
          <w:p>
            <w:pPr>
              <w:spacing w:after="0"/>
              <w:rPr>
                <w:sz w:val="12"/>
                <w:szCs w:val="12"/>
                <w:color w:val="auto"/>
              </w:rPr>
            </w:pPr>
          </w:p>
        </w:tc>
        <w:tc>
          <w:tcPr>
            <w:tcW w:w="360" w:type="dxa"/>
            <w:vAlign w:val="bottom"/>
            <w:tcBorders>
              <w:top w:val="single" w:sz="8" w:color="004483"/>
              <w:bottom w:val="single" w:sz="8" w:color="004483"/>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41,321</w:t>
            </w:r>
          </w:p>
        </w:tc>
        <w:tc>
          <w:tcPr>
            <w:tcW w:w="120" w:type="dxa"/>
            <w:vAlign w:val="bottom"/>
            <w:tcBorders>
              <w:top w:val="single" w:sz="8" w:color="A6A6A6"/>
            </w:tcBorders>
          </w:tcPr>
          <w:p>
            <w:pPr>
              <w:spacing w:after="0"/>
              <w:rPr>
                <w:sz w:val="12"/>
                <w:szCs w:val="12"/>
                <w:color w:val="auto"/>
              </w:rPr>
            </w:pPr>
          </w:p>
        </w:tc>
        <w:tc>
          <w:tcPr>
            <w:tcW w:w="340" w:type="dxa"/>
            <w:vAlign w:val="bottom"/>
            <w:tcBorders>
              <w:top w:val="single" w:sz="8" w:color="004483"/>
              <w:bottom w:val="single" w:sz="8" w:color="004483"/>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375,666</w:t>
            </w:r>
          </w:p>
        </w:tc>
      </w:tr>
    </w:tbl>
    <w:p>
      <w:pPr>
        <w:spacing w:after="0" w:line="114" w:lineRule="exact"/>
        <w:rPr>
          <w:sz w:val="20"/>
          <w:szCs w:val="20"/>
          <w:color w:val="auto"/>
        </w:rPr>
      </w:pPr>
    </w:p>
    <w:p>
      <w:pPr>
        <w:ind w:left="428" w:hanging="428"/>
        <w:spacing w:after="0"/>
        <w:tabs>
          <w:tab w:leader="none" w:pos="428" w:val="left"/>
        </w:tabs>
        <w:numPr>
          <w:ilvl w:val="0"/>
          <w:numId w:val="18"/>
        </w:numPr>
        <w:rPr>
          <w:rFonts w:ascii="Arial" w:cs="Arial" w:eastAsia="Arial" w:hAnsi="Arial"/>
          <w:sz w:val="16"/>
          <w:szCs w:val="16"/>
          <w:color w:val="auto"/>
          <w:vertAlign w:val="superscript"/>
        </w:rPr>
      </w:pPr>
      <w:r>
        <w:rPr>
          <w:rFonts w:ascii="Arial" w:cs="Arial" w:eastAsia="Arial" w:hAnsi="Arial"/>
          <w:sz w:val="10"/>
          <w:szCs w:val="10"/>
          <w:color w:val="auto"/>
        </w:rPr>
        <w:t>The Revolving Credit Facility expires in August 2023. There were no borrowings outstanding at March 31, 2021.</w:t>
      </w:r>
    </w:p>
    <w:p>
      <w:pPr>
        <w:spacing w:after="0" w:line="2" w:lineRule="exact"/>
        <w:rPr>
          <w:rFonts w:ascii="Arial" w:cs="Arial" w:eastAsia="Arial" w:hAnsi="Arial"/>
          <w:sz w:val="16"/>
          <w:szCs w:val="16"/>
          <w:color w:val="auto"/>
          <w:vertAlign w:val="superscript"/>
        </w:rPr>
      </w:pPr>
    </w:p>
    <w:p>
      <w:pPr>
        <w:ind w:left="428" w:hanging="428"/>
        <w:spacing w:after="0" w:line="187" w:lineRule="auto"/>
        <w:tabs>
          <w:tab w:leader="none" w:pos="428" w:val="left"/>
        </w:tabs>
        <w:numPr>
          <w:ilvl w:val="0"/>
          <w:numId w:val="18"/>
        </w:numPr>
        <w:rPr>
          <w:rFonts w:ascii="Arial" w:cs="Arial" w:eastAsia="Arial" w:hAnsi="Arial"/>
          <w:sz w:val="12"/>
          <w:szCs w:val="12"/>
          <w:color w:val="auto"/>
          <w:vertAlign w:val="superscript"/>
        </w:rPr>
      </w:pPr>
      <w:r>
        <w:rPr>
          <w:rFonts w:ascii="Arial" w:cs="Arial" w:eastAsia="Arial" w:hAnsi="Arial"/>
          <w:sz w:val="8"/>
          <w:szCs w:val="8"/>
          <w:color w:val="auto"/>
        </w:rPr>
        <w:t>The commitment fee is calculated at .15% of the total available borrowings under the Revolving Credit Facility.</w:t>
      </w:r>
    </w:p>
    <w:p>
      <w:pPr>
        <w:ind w:left="428" w:hanging="428"/>
        <w:spacing w:after="0" w:line="187" w:lineRule="auto"/>
        <w:tabs>
          <w:tab w:leader="none" w:pos="428" w:val="left"/>
        </w:tabs>
        <w:numPr>
          <w:ilvl w:val="0"/>
          <w:numId w:val="18"/>
        </w:numPr>
        <w:rPr>
          <w:rFonts w:ascii="Arial" w:cs="Arial" w:eastAsia="Arial" w:hAnsi="Arial"/>
          <w:sz w:val="12"/>
          <w:szCs w:val="12"/>
          <w:color w:val="auto"/>
          <w:vertAlign w:val="superscript"/>
        </w:rPr>
      </w:pPr>
      <w:r>
        <w:rPr>
          <w:rFonts w:ascii="Arial" w:cs="Arial" w:eastAsia="Arial" w:hAnsi="Arial"/>
          <w:sz w:val="8"/>
          <w:szCs w:val="8"/>
          <w:color w:val="auto"/>
        </w:rPr>
        <w:t>Interest is estimated by using the rate at March 31, 2021 of 1.375%, assuming no payments will be made until the Term Loan matures on August 2, 2023.</w:t>
      </w:r>
    </w:p>
    <w:p>
      <w:pPr>
        <w:ind w:left="428" w:hanging="428"/>
        <w:spacing w:after="0" w:line="184" w:lineRule="auto"/>
        <w:tabs>
          <w:tab w:leader="none" w:pos="428" w:val="left"/>
        </w:tabs>
        <w:numPr>
          <w:ilvl w:val="0"/>
          <w:numId w:val="18"/>
        </w:numPr>
        <w:rPr>
          <w:rFonts w:ascii="Arial" w:cs="Arial" w:eastAsia="Arial" w:hAnsi="Arial"/>
          <w:sz w:val="13"/>
          <w:szCs w:val="13"/>
          <w:color w:val="auto"/>
          <w:vertAlign w:val="superscript"/>
        </w:rPr>
      </w:pPr>
      <w:r>
        <w:rPr>
          <w:rFonts w:ascii="Arial" w:cs="Arial" w:eastAsia="Arial" w:hAnsi="Arial"/>
          <w:sz w:val="8"/>
          <w:szCs w:val="8"/>
          <w:color w:val="auto"/>
        </w:rPr>
        <w:t>Purchase obligations are non-cancelable agreements to purchase coal, natural gas, slag, and synthetic gypsum; to pay royalty amounts; and to fund capital expenditure commitments.</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color w:val="auto"/>
        </w:rPr>
        <w:t>Based on our current actuarial estimates, we do not anticipate making contributions to our defined benefit plans for fiscal year 2022.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Dividends</w:t>
      </w:r>
    </w:p>
    <w:p>
      <w:pPr>
        <w:spacing w:after="0" w:line="102" w:lineRule="exact"/>
        <w:rPr>
          <w:sz w:val="20"/>
          <w:szCs w:val="20"/>
          <w:color w:val="auto"/>
        </w:rPr>
      </w:pPr>
    </w:p>
    <w:p>
      <w:pPr>
        <w:ind w:left="8" w:right="80"/>
        <w:spacing w:after="0" w:line="277" w:lineRule="auto"/>
        <w:rPr>
          <w:sz w:val="20"/>
          <w:szCs w:val="20"/>
          <w:color w:val="auto"/>
        </w:rPr>
      </w:pPr>
      <w:r>
        <w:rPr>
          <w:rFonts w:ascii="Arial" w:cs="Arial" w:eastAsia="Arial" w:hAnsi="Arial"/>
          <w:sz w:val="12"/>
          <w:szCs w:val="12"/>
          <w:color w:val="auto"/>
        </w:rPr>
        <w:t>Dividends paid in fiscal years 2021 and 2020 were $4.2 million and $17.1 million, respectively. After payment of the dividend in May 2020, the Company suspended future dividends. On May 19, 2021, the Board of Directors announced the reinstatement of our quarterly dividend, and declared a $0.25 dividend to shareholders, to be paid July 2021.</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Inflation and Changing Prices</w:t>
      </w:r>
    </w:p>
    <w:p>
      <w:pPr>
        <w:spacing w:after="0" w:line="102" w:lineRule="exact"/>
        <w:rPr>
          <w:sz w:val="20"/>
          <w:szCs w:val="20"/>
          <w:color w:val="auto"/>
        </w:rPr>
      </w:pPr>
    </w:p>
    <w:p>
      <w:pPr>
        <w:ind w:left="8" w:right="40"/>
        <w:spacing w:after="0" w:line="268" w:lineRule="auto"/>
        <w:rPr>
          <w:sz w:val="20"/>
          <w:szCs w:val="20"/>
          <w:color w:val="auto"/>
        </w:rPr>
      </w:pPr>
      <w:r>
        <w:rPr>
          <w:rFonts w:ascii="Arial" w:cs="Arial" w:eastAsia="Arial" w:hAnsi="Arial"/>
          <w:sz w:val="12"/>
          <w:szCs w:val="12"/>
          <w:color w:val="auto"/>
        </w:rPr>
        <w:t>The Consumer Price Index rose approximately 1.4% in calendar 2020, 2.3% in 2019, and 1.9% in 2018. Prices of materials and services, with the exception of energy and transportation freight, have remained relatively stable over the three-year period. During calendar 2020, the Consumer Price Index for electricity and natural gas increased approximately 2.2% and 4.1%, respectively, while the Consumer Price Index for transportation decreased approximately 3.5%. The increase in energy prices did not have a material effect on our manufacturing businesses for the fiscal year, but they had more of an impact on our fiscal fourth quarter due to increases related to Winter Storm Uri. Freight costs were relatively stable in fiscal 2021, but are expected to increase approximately 5% in fiscal 2022. The ability to increase sales prices to cover future increases varies with the level of activity in the construction industry: the number, size, and strength of competitors; and the availability of products to supply a local market.</w:t>
      </w:r>
    </w:p>
    <w:p>
      <w:pPr>
        <w:spacing w:after="0" w:line="200" w:lineRule="exact"/>
        <w:rPr>
          <w:sz w:val="20"/>
          <w:szCs w:val="20"/>
          <w:color w:val="auto"/>
        </w:rPr>
      </w:pPr>
    </w:p>
    <w:p>
      <w:pPr>
        <w:spacing w:after="0" w:line="3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55" w:right="29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004483"/>
        </w:rPr>
        <w:t>GENERAL OUTLOOK</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See “Market Conditions and Outlook” within Item 7, Management’s Discussion and Analysis of Financial Condition and Results of Operations on pages 37-38.</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RECENT ACCOUNTING PRONOUNCEMENTS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Refer to Footnote (A) to the Audited Consolidated Financial Statements for information regarding recently issued accounting pronouncements that may affect our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FORWARD-LOOKING STATEMENTS</w:t>
      </w:r>
    </w:p>
    <w:p>
      <w:pPr>
        <w:spacing w:after="0" w:line="101"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Certain information included in this report or in other materials we have filed or will file with the SEC (including our periodic reports on Forms 10-K, 10-Q, and 8-K), as well as information included in oral statements or other written statements made or to be made by us (including press releases and presentations and statements made on our web site and in other material released to the public), contains or may contain forward-looking statements within the meaning of Section 27A of the Securities Act of 1933, Section 21E of the Securities Exchange Act of 1934, and the Private Litigation Reform Act of 1995. Forward-looking statements may be identified by the fact that they do not relate to matters of a strictly factual or historical nature and generally discuss or relate to forecasts, estimates, or other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 We specifically disclaim any duty to update any of the information set forth in this report, including any forward-looking statements. Forward-looking statements are made based on our current expectations and beliefs concerning future events and, therefore, involve a number of risks and uncertainties. Management cautions that forward-looking statements are not guarantees, and our actual results could differ materially from those expressed or implied in the forward-looking statements. See Item 1A. – Risk Factors for a more detailed discussion of specific risks and uncertainties that could cause future events to differ from our current expectations and beliefs.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We have a $750.0 million Revolving Credit Facility with no amounts outstanding, and a $665.0 million Term Loan at March 31, 2021, under which borrowings bear interest at a variable rate. A hypothetical 100 basis point increase in interest rates on the $665.0 million of borrowings under the Term Loan at March 31, 2021 would increase our interest expense by $6.7 million on an annual basis. We do not presently utilize derivative financial instruments.</w:t>
      </w:r>
    </w:p>
    <w:p>
      <w:pPr>
        <w:spacing w:after="0" w:line="65"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We are subject to commodity risk with respect to price changes principally in coal, coke, natural gas, and power. We attempt to limit our exposure to changes in commodity prices by entering into contracts or increasing use of alternative fuels.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INDEX TO FINANCIAL STATEMENTS AND RELATED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940" w:type="dxa"/>
            <w:vAlign w:val="bottom"/>
          </w:tcPr>
          <w:p>
            <w:pPr>
              <w:jc w:val="right"/>
              <w:spacing w:after="0"/>
              <w:rPr>
                <w:sz w:val="20"/>
                <w:szCs w:val="20"/>
                <w:color w:val="auto"/>
              </w:rPr>
            </w:pPr>
            <w:r>
              <w:rPr>
                <w:rFonts w:ascii="Arial" w:cs="Arial" w:eastAsia="Arial" w:hAnsi="Arial"/>
                <w:sz w:val="10"/>
                <w:szCs w:val="10"/>
                <w:color w:val="auto"/>
              </w:rPr>
              <w:t>PAGE</w:t>
            </w:r>
          </w:p>
        </w:tc>
      </w:tr>
      <w:tr>
        <w:trPr>
          <w:trHeight w:val="242"/>
        </w:trPr>
        <w:tc>
          <w:tcPr>
            <w:tcW w:w="8360" w:type="dxa"/>
            <w:vAlign w:val="bottom"/>
            <w:gridSpan w:val="14"/>
          </w:tcPr>
          <w:p>
            <w:pPr>
              <w:spacing w:after="0"/>
              <w:rPr>
                <w:sz w:val="20"/>
                <w:szCs w:val="20"/>
                <w:color w:val="auto"/>
              </w:rPr>
            </w:pPr>
            <w:r>
              <w:rPr>
                <w:rFonts w:ascii="Arial" w:cs="Arial" w:eastAsia="Arial" w:hAnsi="Arial"/>
                <w:sz w:val="12"/>
                <w:szCs w:val="12"/>
                <w:b w:val="1"/>
                <w:bCs w:val="1"/>
                <w:color w:val="auto"/>
              </w:rPr>
              <w:t>Eagle Materials Inc.:</w:t>
            </w:r>
          </w:p>
        </w:tc>
        <w:tc>
          <w:tcPr>
            <w:tcW w:w="2940" w:type="dxa"/>
            <w:vAlign w:val="bottom"/>
          </w:tcPr>
          <w:p>
            <w:pPr>
              <w:spacing w:after="0"/>
              <w:rPr>
                <w:sz w:val="21"/>
                <w:szCs w:val="21"/>
                <w:color w:val="auto"/>
              </w:rPr>
            </w:pPr>
          </w:p>
        </w:tc>
      </w:tr>
      <w:tr>
        <w:trPr>
          <w:trHeight w:val="198"/>
        </w:trPr>
        <w:tc>
          <w:tcPr>
            <w:tcW w:w="8360" w:type="dxa"/>
            <w:vAlign w:val="bottom"/>
            <w:gridSpan w:val="14"/>
          </w:tcPr>
          <w:p>
            <w:pPr>
              <w:spacing w:after="0"/>
              <w:rPr>
                <w:rFonts w:ascii="Arial" w:cs="Arial" w:eastAsia="Arial" w:hAnsi="Arial"/>
                <w:sz w:val="12"/>
                <w:szCs w:val="12"/>
                <w:color w:val="0000EE"/>
              </w:rPr>
            </w:pPr>
            <w:hyperlink w:anchor="page58">
              <w:r>
                <w:rPr>
                  <w:rFonts w:ascii="Arial" w:cs="Arial" w:eastAsia="Arial" w:hAnsi="Arial"/>
                  <w:sz w:val="12"/>
                  <w:szCs w:val="12"/>
                  <w:color w:val="0000EE"/>
                </w:rPr>
                <w:t>Consolidated Statements of Earnings for the Years Ended March 31, 2021, 2020, and 2019</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0"/>
        </w:trPr>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05"/>
        </w:trPr>
        <w:tc>
          <w:tcPr>
            <w:tcW w:w="8360" w:type="dxa"/>
            <w:vAlign w:val="bottom"/>
            <w:gridSpan w:val="14"/>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Consolidated Statements of Comprehensive Earnings for the Years Ended March 31, 2021, 2020, and 2019</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05"/>
        </w:trPr>
        <w:tc>
          <w:tcPr>
            <w:tcW w:w="3260" w:type="dxa"/>
            <w:vAlign w:val="bottom"/>
            <w:tcBorders>
              <w:top w:val="single" w:sz="8" w:color="0000EE"/>
              <w:bottom w:val="single" w:sz="8" w:color="0000EE"/>
            </w:tcBorders>
            <w:gridSpan w:val="5"/>
          </w:tcPr>
          <w:p>
            <w:pPr>
              <w:spacing w:after="0"/>
              <w:rPr>
                <w:rFonts w:ascii="Arial" w:cs="Arial" w:eastAsia="Arial" w:hAnsi="Arial"/>
                <w:sz w:val="12"/>
                <w:szCs w:val="12"/>
                <w:color w:val="0000EE"/>
                <w:w w:val="99"/>
              </w:rPr>
            </w:pPr>
            <w:hyperlink w:anchor="page60">
              <w:r>
                <w:rPr>
                  <w:rFonts w:ascii="Arial" w:cs="Arial" w:eastAsia="Arial" w:hAnsi="Arial"/>
                  <w:sz w:val="12"/>
                  <w:szCs w:val="12"/>
                  <w:color w:val="0000EE"/>
                  <w:w w:val="99"/>
                </w:rPr>
                <w:t>Consolidated Balance Sheets as of March 31, 2021 and 2020</w:t>
              </w:r>
            </w:hyperlink>
          </w:p>
        </w:tc>
        <w:tc>
          <w:tcPr>
            <w:tcW w:w="2440" w:type="dxa"/>
            <w:vAlign w:val="bottom"/>
            <w:tcBorders>
              <w:top w:val="single" w:sz="8" w:color="0000EE"/>
            </w:tcBorders>
            <w:gridSpan w:val="8"/>
          </w:tcPr>
          <w:p>
            <w:pPr>
              <w:spacing w:after="0"/>
              <w:rPr>
                <w:sz w:val="17"/>
                <w:szCs w:val="17"/>
                <w:color w:val="auto"/>
              </w:rPr>
            </w:pPr>
          </w:p>
        </w:tc>
        <w:tc>
          <w:tcPr>
            <w:tcW w:w="266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05"/>
        </w:trPr>
        <w:tc>
          <w:tcPr>
            <w:tcW w:w="8360" w:type="dxa"/>
            <w:vAlign w:val="bottom"/>
            <w:gridSpan w:val="14"/>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Consolidated Statements of Cash Flows for the Years Ended March 31, 2021, 2020, and 2019</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20"/>
        </w:trPr>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05"/>
        </w:trPr>
        <w:tc>
          <w:tcPr>
            <w:tcW w:w="8360" w:type="dxa"/>
            <w:vAlign w:val="bottom"/>
            <w:gridSpan w:val="14"/>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Consolidated Statements of Stockholders’ Equity for the Years Ended March 31, 2021, 2020, and 2019</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05"/>
        </w:trPr>
        <w:tc>
          <w:tcPr>
            <w:tcW w:w="5440" w:type="dxa"/>
            <w:vAlign w:val="bottom"/>
            <w:tcBorders>
              <w:top w:val="single" w:sz="8" w:color="0000EE"/>
            </w:tcBorders>
            <w:gridSpan w:val="12"/>
          </w:tcPr>
          <w:p>
            <w:pPr>
              <w:spacing w:after="0"/>
              <w:rPr>
                <w:rFonts w:ascii="Arial" w:cs="Arial" w:eastAsia="Arial" w:hAnsi="Arial"/>
                <w:sz w:val="12"/>
                <w:szCs w:val="12"/>
                <w:color w:val="0000EE"/>
              </w:rPr>
            </w:pPr>
            <w:hyperlink w:anchor="page63">
              <w:r>
                <w:rPr>
                  <w:rFonts w:ascii="Arial" w:cs="Arial" w:eastAsia="Arial" w:hAnsi="Arial"/>
                  <w:sz w:val="12"/>
                  <w:szCs w:val="12"/>
                  <w:color w:val="0000EE"/>
                </w:rPr>
                <w:t>Notes to Consolidated Financial Statements</w:t>
              </w:r>
            </w:hyperlink>
          </w:p>
        </w:tc>
        <w:tc>
          <w:tcPr>
            <w:tcW w:w="2920" w:type="dxa"/>
            <w:vAlign w:val="bottom"/>
            <w:gridSpan w:val="2"/>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0"/>
        </w:trPr>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05"/>
        </w:trPr>
        <w:tc>
          <w:tcPr>
            <w:tcW w:w="3060" w:type="dxa"/>
            <w:vAlign w:val="bottom"/>
            <w:tcBorders>
              <w:bottom w:val="single" w:sz="8" w:color="0000EE"/>
            </w:tcBorders>
            <w:gridSpan w:val="4"/>
          </w:tcPr>
          <w:p>
            <w:pPr>
              <w:spacing w:after="0"/>
              <w:rPr>
                <w:rFonts w:ascii="Arial" w:cs="Arial" w:eastAsia="Arial" w:hAnsi="Arial"/>
                <w:sz w:val="12"/>
                <w:szCs w:val="12"/>
                <w:color w:val="0000EE"/>
                <w:w w:val="99"/>
              </w:rPr>
            </w:pPr>
            <w:hyperlink w:anchor="page98">
              <w:r>
                <w:rPr>
                  <w:rFonts w:ascii="Arial" w:cs="Arial" w:eastAsia="Arial" w:hAnsi="Arial"/>
                  <w:sz w:val="12"/>
                  <w:szCs w:val="12"/>
                  <w:color w:val="0000EE"/>
                  <w:w w:val="99"/>
                </w:rPr>
                <w:t>Report of Independent Registered Public Accounting Firm</w:t>
              </w:r>
            </w:hyperlink>
          </w:p>
        </w:tc>
        <w:tc>
          <w:tcPr>
            <w:tcW w:w="5300" w:type="dxa"/>
            <w:vAlign w:val="bottom"/>
            <w:gridSpan w:val="10"/>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457"/>
        </w:trPr>
        <w:tc>
          <w:tcPr>
            <w:tcW w:w="8360" w:type="dxa"/>
            <w:vAlign w:val="bottom"/>
            <w:gridSpan w:val="14"/>
          </w:tcPr>
          <w:p>
            <w:pPr>
              <w:spacing w:after="0"/>
              <w:rPr>
                <w:sz w:val="20"/>
                <w:szCs w:val="20"/>
                <w:color w:val="auto"/>
              </w:rPr>
            </w:pPr>
            <w:r>
              <w:rPr>
                <w:rFonts w:ascii="Arial" w:cs="Arial" w:eastAsia="Arial" w:hAnsi="Arial"/>
                <w:sz w:val="12"/>
                <w:szCs w:val="12"/>
                <w:b w:val="1"/>
                <w:bCs w:val="1"/>
                <w:color w:val="auto"/>
              </w:rPr>
              <w:t>Texas Lehigh Cement Company LP:</w:t>
            </w:r>
          </w:p>
        </w:tc>
        <w:tc>
          <w:tcPr>
            <w:tcW w:w="2940" w:type="dxa"/>
            <w:vAlign w:val="bottom"/>
          </w:tcPr>
          <w:p>
            <w:pPr>
              <w:spacing w:after="0"/>
              <w:rPr>
                <w:sz w:val="24"/>
                <w:szCs w:val="24"/>
                <w:color w:val="auto"/>
              </w:rPr>
            </w:pPr>
          </w:p>
        </w:tc>
      </w:tr>
      <w:tr>
        <w:trPr>
          <w:trHeight w:val="198"/>
        </w:trPr>
        <w:tc>
          <w:tcPr>
            <w:tcW w:w="4320" w:type="dxa"/>
            <w:vAlign w:val="bottom"/>
            <w:tcBorders>
              <w:bottom w:val="single" w:sz="8" w:color="0000EE"/>
            </w:tcBorders>
            <w:gridSpan w:val="6"/>
          </w:tcPr>
          <w:p>
            <w:pPr>
              <w:spacing w:after="0"/>
              <w:rPr>
                <w:rFonts w:ascii="Arial" w:cs="Arial" w:eastAsia="Arial" w:hAnsi="Arial"/>
                <w:sz w:val="12"/>
                <w:szCs w:val="12"/>
                <w:color w:val="0000EE"/>
                <w:w w:val="99"/>
              </w:rPr>
            </w:pPr>
            <w:hyperlink w:anchor="page101">
              <w:r>
                <w:rPr>
                  <w:rFonts w:ascii="Arial" w:cs="Arial" w:eastAsia="Arial" w:hAnsi="Arial"/>
                  <w:sz w:val="12"/>
                  <w:szCs w:val="12"/>
                  <w:color w:val="0000EE"/>
                  <w:w w:val="99"/>
                </w:rPr>
                <w:t>Statements of Earnings for the Years Ended December 31, 2020, 2019, and 2018</w:t>
              </w:r>
            </w:hyperlink>
          </w:p>
        </w:tc>
        <w:tc>
          <w:tcPr>
            <w:tcW w:w="4040" w:type="dxa"/>
            <w:vAlign w:val="bottom"/>
            <w:gridSpan w:val="8"/>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205"/>
        </w:trPr>
        <w:tc>
          <w:tcPr>
            <w:tcW w:w="8360" w:type="dxa"/>
            <w:vAlign w:val="bottom"/>
            <w:gridSpan w:val="14"/>
          </w:tcPr>
          <w:p>
            <w:pPr>
              <w:spacing w:after="0"/>
              <w:rPr>
                <w:rFonts w:ascii="Arial" w:cs="Arial" w:eastAsia="Arial" w:hAnsi="Arial"/>
                <w:sz w:val="12"/>
                <w:szCs w:val="12"/>
                <w:color w:val="0000EE"/>
              </w:rPr>
            </w:pPr>
            <w:hyperlink w:anchor="page102">
              <w:r>
                <w:rPr>
                  <w:rFonts w:ascii="Arial" w:cs="Arial" w:eastAsia="Arial" w:hAnsi="Arial"/>
                  <w:sz w:val="12"/>
                  <w:szCs w:val="12"/>
                  <w:color w:val="0000EE"/>
                </w:rPr>
                <w:t>Statements of Comprehensive Earnings for the Years Ended December 31, 2020, 2019, and 2018</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05"/>
        </w:trPr>
        <w:tc>
          <w:tcPr>
            <w:tcW w:w="5180" w:type="dxa"/>
            <w:vAlign w:val="bottom"/>
            <w:tcBorders>
              <w:top w:val="single" w:sz="8" w:color="0000EE"/>
            </w:tcBorders>
            <w:gridSpan w:val="10"/>
          </w:tcPr>
          <w:p>
            <w:pPr>
              <w:spacing w:after="0"/>
              <w:rPr>
                <w:rFonts w:ascii="Arial" w:cs="Arial" w:eastAsia="Arial" w:hAnsi="Arial"/>
                <w:sz w:val="12"/>
                <w:szCs w:val="12"/>
                <w:color w:val="0000EE"/>
              </w:rPr>
            </w:pPr>
            <w:hyperlink w:anchor="page103">
              <w:r>
                <w:rPr>
                  <w:rFonts w:ascii="Arial" w:cs="Arial" w:eastAsia="Arial" w:hAnsi="Arial"/>
                  <w:sz w:val="12"/>
                  <w:szCs w:val="12"/>
                  <w:color w:val="0000EE"/>
                </w:rPr>
                <w:t>Balance Sheets as of December 31, 2020 and 2019</w:t>
              </w:r>
            </w:hyperlink>
          </w:p>
        </w:tc>
        <w:tc>
          <w:tcPr>
            <w:tcW w:w="3180" w:type="dxa"/>
            <w:vAlign w:val="bottom"/>
            <w:gridSpan w:val="4"/>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20"/>
        </w:trPr>
        <w:tc>
          <w:tcPr>
            <w:tcW w:w="1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05"/>
        </w:trPr>
        <w:tc>
          <w:tcPr>
            <w:tcW w:w="8360" w:type="dxa"/>
            <w:vAlign w:val="bottom"/>
            <w:gridSpan w:val="14"/>
          </w:tcPr>
          <w:p>
            <w:pPr>
              <w:spacing w:after="0"/>
              <w:rPr>
                <w:rFonts w:ascii="Arial" w:cs="Arial" w:eastAsia="Arial" w:hAnsi="Arial"/>
                <w:sz w:val="12"/>
                <w:szCs w:val="12"/>
                <w:color w:val="0000EE"/>
              </w:rPr>
            </w:pPr>
            <w:hyperlink w:anchor="page104">
              <w:r>
                <w:rPr>
                  <w:rFonts w:ascii="Arial" w:cs="Arial" w:eastAsia="Arial" w:hAnsi="Arial"/>
                  <w:sz w:val="12"/>
                  <w:szCs w:val="12"/>
                  <w:color w:val="0000EE"/>
                </w:rPr>
                <w:t>Statements of Changes in Partners’ Capital for the Years Ended December 31, 2020, 2019, and 2018</w:t>
              </w:r>
            </w:hyperlink>
          </w:p>
        </w:tc>
        <w:tc>
          <w:tcPr>
            <w:tcW w:w="294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05"/>
        </w:trPr>
        <w:tc>
          <w:tcPr>
            <w:tcW w:w="5360" w:type="dxa"/>
            <w:vAlign w:val="bottom"/>
            <w:tcBorders>
              <w:top w:val="single" w:sz="8" w:color="0000EE"/>
            </w:tcBorders>
            <w:gridSpan w:val="11"/>
          </w:tcPr>
          <w:p>
            <w:pPr>
              <w:spacing w:after="0"/>
              <w:rPr>
                <w:rFonts w:ascii="Arial" w:cs="Arial" w:eastAsia="Arial" w:hAnsi="Arial"/>
                <w:sz w:val="12"/>
                <w:szCs w:val="12"/>
                <w:color w:val="0000EE"/>
              </w:rPr>
            </w:pPr>
            <w:hyperlink w:anchor="page105">
              <w:r>
                <w:rPr>
                  <w:rFonts w:ascii="Arial" w:cs="Arial" w:eastAsia="Arial" w:hAnsi="Arial"/>
                  <w:sz w:val="12"/>
                  <w:szCs w:val="12"/>
                  <w:color w:val="0000EE"/>
                </w:rPr>
                <w:t>Statements of Cash Flows for the Years Ended December 31, 2020, 2019, and 2018</w:t>
              </w:r>
            </w:hyperlink>
          </w:p>
        </w:tc>
        <w:tc>
          <w:tcPr>
            <w:tcW w:w="3000" w:type="dxa"/>
            <w:vAlign w:val="bottom"/>
            <w:gridSpan w:val="3"/>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05"/>
        </w:trPr>
        <w:tc>
          <w:tcPr>
            <w:tcW w:w="1600" w:type="dxa"/>
            <w:vAlign w:val="bottom"/>
            <w:tcBorders>
              <w:top w:val="single" w:sz="8" w:color="0000EE"/>
              <w:bottom w:val="single" w:sz="8" w:color="0000EE"/>
            </w:tcBorders>
          </w:tcPr>
          <w:p>
            <w:pPr>
              <w:spacing w:after="0"/>
              <w:rPr>
                <w:rFonts w:ascii="Arial" w:cs="Arial" w:eastAsia="Arial" w:hAnsi="Arial"/>
                <w:sz w:val="12"/>
                <w:szCs w:val="12"/>
                <w:color w:val="0000EE"/>
                <w:w w:val="98"/>
              </w:rPr>
            </w:pPr>
            <w:hyperlink w:anchor="page106">
              <w:r>
                <w:rPr>
                  <w:rFonts w:ascii="Arial" w:cs="Arial" w:eastAsia="Arial" w:hAnsi="Arial"/>
                  <w:sz w:val="12"/>
                  <w:szCs w:val="12"/>
                  <w:color w:val="0000EE"/>
                  <w:w w:val="98"/>
                </w:rPr>
                <w:t>Notes to Financial Statements</w:t>
              </w:r>
            </w:hyperlink>
          </w:p>
        </w:tc>
        <w:tc>
          <w:tcPr>
            <w:tcW w:w="2860" w:type="dxa"/>
            <w:vAlign w:val="bottom"/>
            <w:tcBorders>
              <w:top w:val="single" w:sz="8" w:color="0000EE"/>
            </w:tcBorders>
            <w:gridSpan w:val="6"/>
          </w:tcPr>
          <w:p>
            <w:pPr>
              <w:spacing w:after="0"/>
              <w:rPr>
                <w:sz w:val="17"/>
                <w:szCs w:val="17"/>
                <w:color w:val="auto"/>
              </w:rPr>
            </w:pPr>
          </w:p>
        </w:tc>
        <w:tc>
          <w:tcPr>
            <w:tcW w:w="3900" w:type="dxa"/>
            <w:vAlign w:val="bottom"/>
            <w:gridSpan w:val="7"/>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05"/>
        </w:trPr>
        <w:tc>
          <w:tcPr>
            <w:tcW w:w="3060" w:type="dxa"/>
            <w:vAlign w:val="bottom"/>
            <w:tcBorders>
              <w:bottom w:val="single" w:sz="8" w:color="0000EE"/>
            </w:tcBorders>
            <w:gridSpan w:val="4"/>
          </w:tcPr>
          <w:p>
            <w:pPr>
              <w:spacing w:after="0"/>
              <w:rPr>
                <w:rFonts w:ascii="Arial" w:cs="Arial" w:eastAsia="Arial" w:hAnsi="Arial"/>
                <w:sz w:val="12"/>
                <w:szCs w:val="12"/>
                <w:color w:val="0000EE"/>
                <w:w w:val="99"/>
              </w:rPr>
            </w:pPr>
            <w:hyperlink w:anchor="page115">
              <w:r>
                <w:rPr>
                  <w:rFonts w:ascii="Arial" w:cs="Arial" w:eastAsia="Arial" w:hAnsi="Arial"/>
                  <w:sz w:val="12"/>
                  <w:szCs w:val="12"/>
                  <w:color w:val="0000EE"/>
                  <w:w w:val="99"/>
                </w:rPr>
                <w:t>Report of Independent Registered Public Accounting Firm</w:t>
              </w:r>
            </w:hyperlink>
          </w:p>
        </w:tc>
        <w:tc>
          <w:tcPr>
            <w:tcW w:w="5300" w:type="dxa"/>
            <w:vAlign w:val="bottom"/>
            <w:gridSpan w:val="10"/>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2"/>
                <w:szCs w:val="12"/>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68"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EAGLE MATERIALS INC. AND SUBSIDIARIES CONSOLIDATED STATEMENTS OF EARNINGS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100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440" w:type="dxa"/>
            <w:vAlign w:val="bottom"/>
            <w:shd w:val="clear" w:color="auto" w:fill="004483"/>
          </w:tcPr>
          <w:p>
            <w:pPr>
              <w:spacing w:after="0"/>
              <w:rPr>
                <w:sz w:val="13"/>
                <w:szCs w:val="13"/>
                <w:color w:val="auto"/>
              </w:rPr>
            </w:pPr>
          </w:p>
        </w:tc>
        <w:tc>
          <w:tcPr>
            <w:tcW w:w="100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jc w:val="right"/>
              <w:ind w:right="66"/>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440" w:type="dxa"/>
            <w:vAlign w:val="bottom"/>
            <w:tcBorders>
              <w:bottom w:val="single" w:sz="8" w:color="004483"/>
            </w:tcBorders>
          </w:tcPr>
          <w:p>
            <w:pPr>
              <w:spacing w:after="0"/>
              <w:rPr>
                <w:sz w:val="8"/>
                <w:szCs w:val="8"/>
                <w:color w:val="auto"/>
              </w:rPr>
            </w:pPr>
          </w:p>
        </w:tc>
        <w:tc>
          <w:tcPr>
            <w:tcW w:w="2760" w:type="dxa"/>
            <w:vAlign w:val="bottom"/>
            <w:tcBorders>
              <w:bottom w:val="single" w:sz="8" w:color="004483"/>
            </w:tcBorders>
            <w:gridSpan w:val="5"/>
          </w:tcPr>
          <w:p>
            <w:pPr>
              <w:jc w:val="center"/>
              <w:ind w:left="827"/>
              <w:spacing w:after="0"/>
              <w:rPr>
                <w:sz w:val="20"/>
                <w:szCs w:val="20"/>
                <w:color w:val="auto"/>
              </w:rPr>
            </w:pPr>
            <w:r>
              <w:rPr>
                <w:rFonts w:ascii="Arial" w:cs="Arial" w:eastAsia="Arial" w:hAnsi="Arial"/>
                <w:sz w:val="8"/>
                <w:szCs w:val="8"/>
                <w:color w:val="auto"/>
                <w:w w:val="91"/>
              </w:rPr>
              <w:t>(dollars in thousands, except share and per share data)</w:t>
            </w:r>
          </w:p>
        </w:tc>
        <w:tc>
          <w:tcPr>
            <w:tcW w:w="440" w:type="dxa"/>
            <w:vAlign w:val="bottom"/>
            <w:tcBorders>
              <w:bottom w:val="single" w:sz="8" w:color="004483"/>
            </w:tcBorders>
          </w:tcPr>
          <w:p>
            <w:pPr>
              <w:spacing w:after="0"/>
              <w:rPr>
                <w:sz w:val="8"/>
                <w:szCs w:val="8"/>
                <w:color w:val="auto"/>
              </w:rPr>
            </w:pPr>
          </w:p>
        </w:tc>
        <w:tc>
          <w:tcPr>
            <w:tcW w:w="10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Revenue</w:t>
            </w: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1,622,642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1,404,033</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1,310,254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Cost of Goods Sold</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1,214,287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1,061,367</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962,152</w:t>
            </w:r>
          </w:p>
        </w:tc>
      </w:tr>
      <w:tr>
        <w:trPr>
          <w:trHeight w:val="133"/>
        </w:trPr>
        <w:tc>
          <w:tcPr>
            <w:tcW w:w="666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17385E"/>
              </w:rPr>
              <w:t>Gross Profit</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408,355</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342,666</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348,102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Equity in Earnings of Unconsolidated Joint Venture</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37,441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42,585</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38,565</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Corporate General and Administrative Expense</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(49,511)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(65,410)</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(37,371)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Gain on Sale of Businesses</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51,973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5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Impairment Losses</w:t>
            </w:r>
          </w:p>
        </w:tc>
        <w:tc>
          <w:tcPr>
            <w:tcW w:w="440" w:type="dxa"/>
            <w:vAlign w:val="bottom"/>
            <w:tcBorders>
              <w:bottom w:val="single" w:sz="8" w:color="A6A6A6"/>
            </w:tcBorders>
          </w:tcPr>
          <w:p>
            <w:pPr>
              <w:spacing w:after="0"/>
              <w:rPr>
                <w:sz w:val="11"/>
                <w:szCs w:val="11"/>
                <w:color w:val="auto"/>
              </w:rPr>
            </w:pPr>
          </w:p>
        </w:tc>
        <w:tc>
          <w:tcPr>
            <w:tcW w:w="116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(25,131)</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(37,179)</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Litigation Settlements and Losses</w:t>
            </w:r>
          </w:p>
        </w:tc>
        <w:tc>
          <w:tcPr>
            <w:tcW w:w="440" w:type="dxa"/>
            <w:vAlign w:val="bottom"/>
            <w:tcBorders>
              <w:bottom w:val="single" w:sz="8" w:color="A6A6A6"/>
            </w:tcBorders>
          </w:tcPr>
          <w:p>
            <w:pPr>
              <w:spacing w:after="0"/>
              <w:rPr>
                <w:sz w:val="11"/>
                <w:szCs w:val="11"/>
                <w:color w:val="auto"/>
              </w:rPr>
            </w:pPr>
          </w:p>
        </w:tc>
        <w:tc>
          <w:tcPr>
            <w:tcW w:w="116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5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(1,800)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Other Non-Operating Income (Loss)</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20,274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(594)</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1,835</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Interest Expense, net</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(44,420)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(38,421)</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(28,374)</w:t>
            </w:r>
          </w:p>
        </w:tc>
      </w:tr>
      <w:tr>
        <w:trPr>
          <w:trHeight w:val="133"/>
        </w:trPr>
        <w:tc>
          <w:tcPr>
            <w:tcW w:w="666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17385E"/>
              </w:rPr>
              <w:t>Earnings from Continuing Operations Before Income Taxes</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424,112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255,695</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283,778</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Income Taxes</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(89,946)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(24,504)</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(60,272)</w:t>
            </w:r>
          </w:p>
        </w:tc>
      </w:tr>
      <w:tr>
        <w:trPr>
          <w:trHeight w:val="133"/>
        </w:trPr>
        <w:tc>
          <w:tcPr>
            <w:tcW w:w="666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17385E"/>
              </w:rPr>
              <w:t>Earnings from Continuing Operations</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334,166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231,191</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223,506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Earnings (Loss) from Discontinued Operations, net of Income Taxes</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5,278</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(160,297)</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(154,646)</w:t>
            </w:r>
          </w:p>
        </w:tc>
      </w:tr>
      <w:tr>
        <w:trPr>
          <w:trHeight w:val="142"/>
        </w:trPr>
        <w:tc>
          <w:tcPr>
            <w:tcW w:w="6660" w:type="dxa"/>
            <w:vAlign w:val="bottom"/>
            <w:tcBorders>
              <w:bottom w:val="single" w:sz="8" w:color="A6A6A6"/>
            </w:tcBorders>
          </w:tcPr>
          <w:p>
            <w:pPr>
              <w:ind w:left="320"/>
              <w:spacing w:after="0"/>
              <w:rPr>
                <w:sz w:val="20"/>
                <w:szCs w:val="20"/>
                <w:color w:val="auto"/>
              </w:rPr>
            </w:pPr>
            <w:r>
              <w:rPr>
                <w:rFonts w:ascii="Arial" w:cs="Arial" w:eastAsia="Arial" w:hAnsi="Arial"/>
                <w:sz w:val="11"/>
                <w:szCs w:val="11"/>
                <w:b w:val="1"/>
                <w:bCs w:val="1"/>
                <w:color w:val="17385E"/>
              </w:rPr>
              <w:t>Net Earnings</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339,444</w:t>
            </w: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70,894</w:t>
            </w:r>
          </w:p>
        </w:tc>
        <w:tc>
          <w:tcPr>
            <w:tcW w:w="160" w:type="dxa"/>
            <w:vAlign w:val="bottom"/>
            <w:tcBorders>
              <w:bottom w:val="single" w:sz="8" w:color="A6A6A6"/>
            </w:tcBorders>
          </w:tcPr>
          <w:p>
            <w:pPr>
              <w:spacing w:after="0"/>
              <w:rPr>
                <w:sz w:val="12"/>
                <w:szCs w:val="12"/>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68,860</w:t>
            </w:r>
          </w:p>
        </w:tc>
      </w:tr>
      <w:tr>
        <w:trPr>
          <w:trHeight w:val="144"/>
        </w:trPr>
        <w:tc>
          <w:tcPr>
            <w:tcW w:w="6660" w:type="dxa"/>
            <w:vAlign w:val="bottom"/>
            <w:tcBorders>
              <w:bottom w:val="single" w:sz="8" w:color="A6A6A6"/>
            </w:tcBorders>
          </w:tcPr>
          <w:p>
            <w:pPr>
              <w:spacing w:after="0"/>
              <w:rPr>
                <w:sz w:val="12"/>
                <w:szCs w:val="12"/>
                <w:color w:val="auto"/>
              </w:rPr>
            </w:pPr>
          </w:p>
        </w:tc>
        <w:tc>
          <w:tcPr>
            <w:tcW w:w="440" w:type="dxa"/>
            <w:vAlign w:val="bottom"/>
            <w:tcBorders>
              <w:bottom w:val="single" w:sz="8" w:color="A6A6A6"/>
            </w:tcBorders>
          </w:tcPr>
          <w:p>
            <w:pPr>
              <w:spacing w:after="0"/>
              <w:rPr>
                <w:sz w:val="12"/>
                <w:szCs w:val="12"/>
                <w:color w:val="auto"/>
              </w:rPr>
            </w:pPr>
          </w:p>
        </w:tc>
        <w:tc>
          <w:tcPr>
            <w:tcW w:w="100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A6A6A6"/>
            </w:tcBorders>
          </w:tcPr>
          <w:p>
            <w:pPr>
              <w:spacing w:after="0"/>
              <w:rPr>
                <w:sz w:val="12"/>
                <w:szCs w:val="12"/>
                <w:color w:val="auto"/>
              </w:rPr>
            </w:pPr>
          </w:p>
        </w:tc>
        <w:tc>
          <w:tcPr>
            <w:tcW w:w="136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440" w:type="dxa"/>
            <w:vAlign w:val="bottom"/>
            <w:tcBorders>
              <w:bottom w:val="single" w:sz="8" w:color="A6A6A6"/>
            </w:tcBorders>
          </w:tcPr>
          <w:p>
            <w:pPr>
              <w:spacing w:after="0"/>
              <w:rPr>
                <w:sz w:val="12"/>
                <w:szCs w:val="12"/>
                <w:color w:val="auto"/>
              </w:rPr>
            </w:pPr>
          </w:p>
        </w:tc>
        <w:tc>
          <w:tcPr>
            <w:tcW w:w="1000" w:type="dxa"/>
            <w:vAlign w:val="bottom"/>
            <w:tcBorders>
              <w:bottom w:val="single" w:sz="8" w:color="A6A6A6"/>
            </w:tcBorders>
          </w:tcPr>
          <w:p>
            <w:pPr>
              <w:spacing w:after="0"/>
              <w:rPr>
                <w:sz w:val="12"/>
                <w:szCs w:val="12"/>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BASIC EARNINGS (LOSS) PER SHARE</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Continuing Operations</w:t>
            </w: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8.04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5.50</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4.79</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Discontinued Operations</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0.13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(3.81)</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(3.32)</w:t>
            </w:r>
          </w:p>
        </w:tc>
      </w:tr>
      <w:tr>
        <w:trPr>
          <w:trHeight w:val="15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Net Earnings</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8.17</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1.69</w:t>
            </w:r>
          </w:p>
        </w:tc>
        <w:tc>
          <w:tcPr>
            <w:tcW w:w="160" w:type="dxa"/>
            <w:vAlign w:val="bottom"/>
            <w:tcBorders>
              <w:bottom w:val="single" w:sz="8" w:color="A6A6A6"/>
            </w:tcBorders>
          </w:tcPr>
          <w:p>
            <w:pPr>
              <w:spacing w:after="0"/>
              <w:rPr>
                <w:sz w:val="13"/>
                <w:szCs w:val="13"/>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1.48</w:t>
            </w:r>
          </w:p>
        </w:tc>
      </w:tr>
      <w:tr>
        <w:trPr>
          <w:trHeight w:val="127"/>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DILUTED EARNINGS (LOSS) PER SHARE</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r>
      <w:tr>
        <w:trPr>
          <w:trHeight w:val="137"/>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Continuing Operations</w:t>
            </w: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7.99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5.47</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4.76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Discontinued Operations</w:t>
            </w: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0.13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(3.79)</w:t>
            </w: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(3.30)</w:t>
            </w:r>
          </w:p>
        </w:tc>
      </w:tr>
      <w:tr>
        <w:trPr>
          <w:trHeight w:val="15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Net Earnings</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8.12</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1.68</w:t>
            </w:r>
          </w:p>
        </w:tc>
        <w:tc>
          <w:tcPr>
            <w:tcW w:w="160" w:type="dxa"/>
            <w:vAlign w:val="bottom"/>
            <w:tcBorders>
              <w:bottom w:val="single" w:sz="8" w:color="A6A6A6"/>
            </w:tcBorders>
          </w:tcPr>
          <w:p>
            <w:pPr>
              <w:spacing w:after="0"/>
              <w:rPr>
                <w:sz w:val="13"/>
                <w:szCs w:val="13"/>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1.47</w:t>
            </w:r>
          </w:p>
        </w:tc>
      </w:tr>
      <w:tr>
        <w:trPr>
          <w:trHeight w:val="127"/>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AVERAGE SHARES OUTSTANDING</w:t>
            </w: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r>
      <w:tr>
        <w:trPr>
          <w:trHeight w:val="157"/>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17385E"/>
              </w:rPr>
              <w:t>Basic</w:t>
            </w:r>
          </w:p>
        </w:tc>
        <w:tc>
          <w:tcPr>
            <w:tcW w:w="440" w:type="dxa"/>
            <w:vAlign w:val="bottom"/>
            <w:tcBorders>
              <w:bottom w:val="single" w:sz="8" w:color="004483"/>
            </w:tcBorders>
          </w:tcPr>
          <w:p>
            <w:pPr>
              <w:spacing w:after="0"/>
              <w:rPr>
                <w:sz w:val="13"/>
                <w:szCs w:val="13"/>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41,543,067</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spacing w:after="0"/>
              <w:rPr>
                <w:sz w:val="13"/>
                <w:szCs w:val="13"/>
                <w:color w:val="auto"/>
              </w:rPr>
            </w:pP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42,021,892</w:t>
            </w:r>
          </w:p>
        </w:tc>
        <w:tc>
          <w:tcPr>
            <w:tcW w:w="160" w:type="dxa"/>
            <w:vAlign w:val="bottom"/>
            <w:tcBorders>
              <w:bottom w:val="single" w:sz="8" w:color="A6A6A6"/>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46,620,894</w:t>
            </w:r>
          </w:p>
        </w:tc>
      </w:tr>
      <w:tr>
        <w:trPr>
          <w:trHeight w:val="151"/>
        </w:trPr>
        <w:tc>
          <w:tcPr>
            <w:tcW w:w="6660" w:type="dxa"/>
            <w:vAlign w:val="bottom"/>
            <w:tcBorders>
              <w:bottom w:val="single" w:sz="8" w:color="A6A6A6"/>
            </w:tcBorders>
          </w:tcPr>
          <w:p>
            <w:pPr>
              <w:ind w:left="160"/>
              <w:spacing w:after="0" w:line="120" w:lineRule="exact"/>
              <w:rPr>
                <w:sz w:val="20"/>
                <w:szCs w:val="20"/>
                <w:color w:val="auto"/>
              </w:rPr>
            </w:pPr>
            <w:r>
              <w:rPr>
                <w:rFonts w:ascii="Arial" w:cs="Arial" w:eastAsia="Arial" w:hAnsi="Arial"/>
                <w:sz w:val="11"/>
                <w:szCs w:val="11"/>
                <w:color w:val="17385E"/>
              </w:rPr>
              <w:t>Diluted</w:t>
            </w:r>
          </w:p>
        </w:tc>
        <w:tc>
          <w:tcPr>
            <w:tcW w:w="440" w:type="dxa"/>
            <w:vAlign w:val="bottom"/>
            <w:tcBorders>
              <w:bottom w:val="single" w:sz="8" w:color="004483"/>
            </w:tcBorders>
          </w:tcPr>
          <w:p>
            <w:pPr>
              <w:spacing w:after="0"/>
              <w:rPr>
                <w:sz w:val="13"/>
                <w:szCs w:val="13"/>
                <w:color w:val="auto"/>
              </w:rPr>
            </w:pP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41,826,709</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spacing w:after="0"/>
              <w:rPr>
                <w:sz w:val="13"/>
                <w:szCs w:val="13"/>
                <w:color w:val="auto"/>
              </w:rPr>
            </w:pP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42,285,343</w:t>
            </w:r>
          </w:p>
        </w:tc>
        <w:tc>
          <w:tcPr>
            <w:tcW w:w="160" w:type="dxa"/>
            <w:vAlign w:val="bottom"/>
            <w:tcBorders>
              <w:bottom w:val="single" w:sz="8" w:color="A6A6A6"/>
            </w:tcBorders>
          </w:tcPr>
          <w:p>
            <w:pPr>
              <w:spacing w:after="0"/>
              <w:rPr>
                <w:sz w:val="13"/>
                <w:szCs w:val="13"/>
                <w:color w:val="auto"/>
              </w:rPr>
            </w:pPr>
          </w:p>
        </w:tc>
        <w:tc>
          <w:tcPr>
            <w:tcW w:w="440" w:type="dxa"/>
            <w:vAlign w:val="bottom"/>
            <w:tcBorders>
              <w:bottom w:val="single" w:sz="8" w:color="004483"/>
            </w:tcBorders>
          </w:tcPr>
          <w:p>
            <w:pPr>
              <w:spacing w:after="0"/>
              <w:rPr>
                <w:sz w:val="13"/>
                <w:szCs w:val="13"/>
                <w:color w:val="auto"/>
              </w:rPr>
            </w:pP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46,932,380</w:t>
            </w:r>
          </w:p>
        </w:tc>
      </w:tr>
      <w:tr>
        <w:trPr>
          <w:trHeight w:val="140"/>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CASH DIVIDENDS PER SHARE</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0.10</w:t>
            </w: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0.40</w:t>
            </w:r>
          </w:p>
        </w:tc>
        <w:tc>
          <w:tcPr>
            <w:tcW w:w="160" w:type="dxa"/>
            <w:vAlign w:val="bottom"/>
            <w:tcBorders>
              <w:bottom w:val="single" w:sz="8" w:color="A6A6A6"/>
            </w:tcBorders>
          </w:tcPr>
          <w:p>
            <w:pPr>
              <w:spacing w:after="0"/>
              <w:rPr>
                <w:sz w:val="12"/>
                <w:szCs w:val="12"/>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0.40</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auto"/>
        </w:rPr>
        <w:t>EAGLE MATERIALS INC. AND SUBSIDIARIES CONSOLIDATED STATEMENTS OF COMPREHENSIVE EARNINGS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71"/>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w:t>
            </w: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339,444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70,894</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68,860</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Actuarial Change in Defined Benefit Plans:</w:t>
            </w: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r>
      <w:tr>
        <w:trPr>
          <w:trHeight w:val="130"/>
        </w:trPr>
        <w:tc>
          <w:tcPr>
            <w:tcW w:w="6660" w:type="dxa"/>
            <w:vAlign w:val="bottom"/>
          </w:tcPr>
          <w:p>
            <w:pPr>
              <w:ind w:left="160"/>
              <w:spacing w:after="0"/>
              <w:rPr>
                <w:sz w:val="20"/>
                <w:szCs w:val="20"/>
                <w:color w:val="auto"/>
              </w:rPr>
            </w:pPr>
            <w:r>
              <w:rPr>
                <w:rFonts w:ascii="Arial" w:cs="Arial" w:eastAsia="Arial" w:hAnsi="Arial"/>
                <w:sz w:val="11"/>
                <w:szCs w:val="11"/>
                <w:color w:val="004483"/>
              </w:rPr>
              <w:t>Unrealized Gain During the Period, net of tax expense</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8"/>
        </w:trPr>
        <w:tc>
          <w:tcPr>
            <w:tcW w:w="6660" w:type="dxa"/>
            <w:vAlign w:val="bottom"/>
            <w:tcBorders>
              <w:bottom w:val="single" w:sz="8" w:color="A6A6A6"/>
            </w:tcBorders>
          </w:tcPr>
          <w:p>
            <w:pPr>
              <w:ind w:left="240"/>
              <w:spacing w:after="0"/>
              <w:rPr>
                <w:sz w:val="20"/>
                <w:szCs w:val="20"/>
                <w:color w:val="auto"/>
              </w:rPr>
            </w:pPr>
            <w:r>
              <w:rPr>
                <w:rFonts w:ascii="Arial" w:cs="Arial" w:eastAsia="Arial" w:hAnsi="Arial"/>
                <w:sz w:val="11"/>
                <w:szCs w:val="11"/>
                <w:color w:val="004483"/>
              </w:rPr>
              <w:t>of $33, $41 and $68</w:t>
            </w:r>
          </w:p>
        </w:tc>
        <w:tc>
          <w:tcPr>
            <w:tcW w:w="500" w:type="dxa"/>
            <w:vAlign w:val="bottom"/>
            <w:tcBorders>
              <w:bottom w:val="single" w:sz="8" w:color="A6A6A6"/>
            </w:tcBorders>
          </w:tcPr>
          <w:p>
            <w:pPr>
              <w:spacing w:after="0"/>
              <w:rPr>
                <w:sz w:val="12"/>
                <w:szCs w:val="12"/>
                <w:color w:val="auto"/>
              </w:rPr>
            </w:pPr>
          </w:p>
        </w:tc>
        <w:tc>
          <w:tcPr>
            <w:tcW w:w="9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101</w:t>
            </w: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A6A6A6"/>
            </w:tcBorders>
          </w:tcPr>
          <w:p>
            <w:pPr>
              <w:spacing w:after="0"/>
              <w:rPr>
                <w:sz w:val="12"/>
                <w:szCs w:val="12"/>
                <w:color w:val="auto"/>
              </w:rPr>
            </w:pPr>
          </w:p>
        </w:tc>
        <w:tc>
          <w:tcPr>
            <w:tcW w:w="13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131</w:t>
            </w:r>
          </w:p>
        </w:tc>
        <w:tc>
          <w:tcPr>
            <w:tcW w:w="160" w:type="dxa"/>
            <w:vAlign w:val="bottom"/>
            <w:tcBorders>
              <w:bottom w:val="single" w:sz="8" w:color="A6A6A6"/>
            </w:tcBorders>
          </w:tcPr>
          <w:p>
            <w:pPr>
              <w:spacing w:after="0"/>
              <w:rPr>
                <w:sz w:val="12"/>
                <w:szCs w:val="12"/>
                <w:color w:val="auto"/>
              </w:rPr>
            </w:pPr>
          </w:p>
        </w:tc>
        <w:tc>
          <w:tcPr>
            <w:tcW w:w="540" w:type="dxa"/>
            <w:vAlign w:val="bottom"/>
            <w:tcBorders>
              <w:bottom w:val="single" w:sz="8" w:color="A6A6A6"/>
            </w:tcBorders>
          </w:tcPr>
          <w:p>
            <w:pPr>
              <w:spacing w:after="0"/>
              <w:rPr>
                <w:sz w:val="12"/>
                <w:szCs w:val="12"/>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224</w:t>
            </w:r>
          </w:p>
        </w:tc>
      </w:tr>
      <w:tr>
        <w:trPr>
          <w:trHeight w:val="130"/>
        </w:trPr>
        <w:tc>
          <w:tcPr>
            <w:tcW w:w="6660" w:type="dxa"/>
            <w:vAlign w:val="bottom"/>
          </w:tcPr>
          <w:p>
            <w:pPr>
              <w:ind w:left="160"/>
              <w:spacing w:after="0"/>
              <w:rPr>
                <w:sz w:val="20"/>
                <w:szCs w:val="20"/>
                <w:color w:val="auto"/>
              </w:rPr>
            </w:pPr>
            <w:r>
              <w:rPr>
                <w:rFonts w:ascii="Arial" w:cs="Arial" w:eastAsia="Arial" w:hAnsi="Arial"/>
                <w:sz w:val="11"/>
                <w:szCs w:val="11"/>
                <w:color w:val="004483"/>
              </w:rPr>
              <w:t>Amortization of Net Actuarial Loss, net of tax (expense) benefit of ($49),</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8"/>
        </w:trPr>
        <w:tc>
          <w:tcPr>
            <w:tcW w:w="6660" w:type="dxa"/>
            <w:vAlign w:val="bottom"/>
            <w:tcBorders>
              <w:bottom w:val="single" w:sz="8" w:color="A6A6A6"/>
            </w:tcBorders>
          </w:tcPr>
          <w:p>
            <w:pPr>
              <w:ind w:left="240"/>
              <w:spacing w:after="0"/>
              <w:rPr>
                <w:sz w:val="20"/>
                <w:szCs w:val="20"/>
                <w:color w:val="auto"/>
              </w:rPr>
            </w:pPr>
            <w:r>
              <w:rPr>
                <w:rFonts w:ascii="Arial" w:cs="Arial" w:eastAsia="Arial" w:hAnsi="Arial"/>
                <w:sz w:val="11"/>
                <w:szCs w:val="11"/>
                <w:color w:val="004483"/>
              </w:rPr>
              <w:t>$(120), and $149</w:t>
            </w:r>
          </w:p>
        </w:tc>
        <w:tc>
          <w:tcPr>
            <w:tcW w:w="500" w:type="dxa"/>
            <w:vAlign w:val="bottom"/>
            <w:tcBorders>
              <w:bottom w:val="single" w:sz="8" w:color="004483"/>
            </w:tcBorders>
          </w:tcPr>
          <w:p>
            <w:pPr>
              <w:spacing w:after="0"/>
              <w:rPr>
                <w:sz w:val="12"/>
                <w:szCs w:val="12"/>
                <w:color w:val="auto"/>
              </w:rPr>
            </w:pPr>
          </w:p>
        </w:tc>
        <w:tc>
          <w:tcPr>
            <w:tcW w:w="94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(154)</w:t>
            </w: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004483"/>
            </w:tcBorders>
          </w:tcPr>
          <w:p>
            <w:pPr>
              <w:spacing w:after="0"/>
              <w:rPr>
                <w:sz w:val="12"/>
                <w:szCs w:val="12"/>
                <w:color w:val="auto"/>
              </w:rPr>
            </w:pPr>
          </w:p>
        </w:tc>
        <w:tc>
          <w:tcPr>
            <w:tcW w:w="1360" w:type="dxa"/>
            <w:vAlign w:val="bottom"/>
            <w:tcBorders>
              <w:bottom w:val="single" w:sz="8" w:color="004483"/>
            </w:tcBorders>
          </w:tcPr>
          <w:p>
            <w:pPr>
              <w:jc w:val="right"/>
              <w:ind w:right="31"/>
              <w:spacing w:after="0"/>
              <w:rPr>
                <w:sz w:val="20"/>
                <w:szCs w:val="20"/>
                <w:color w:val="auto"/>
              </w:rPr>
            </w:pPr>
            <w:r>
              <w:rPr>
                <w:rFonts w:ascii="Arial" w:cs="Arial" w:eastAsia="Arial" w:hAnsi="Arial"/>
                <w:sz w:val="11"/>
                <w:szCs w:val="11"/>
                <w:color w:val="auto"/>
              </w:rPr>
              <w:t>(396)</w:t>
            </w:r>
          </w:p>
        </w:tc>
        <w:tc>
          <w:tcPr>
            <w:tcW w:w="160" w:type="dxa"/>
            <w:vAlign w:val="bottom"/>
            <w:tcBorders>
              <w:bottom w:val="single" w:sz="8" w:color="A6A6A6"/>
            </w:tcBorders>
          </w:tcPr>
          <w:p>
            <w:pPr>
              <w:spacing w:after="0"/>
              <w:rPr>
                <w:sz w:val="12"/>
                <w:szCs w:val="12"/>
                <w:color w:val="auto"/>
              </w:rPr>
            </w:pPr>
          </w:p>
        </w:tc>
        <w:tc>
          <w:tcPr>
            <w:tcW w:w="540" w:type="dxa"/>
            <w:vAlign w:val="bottom"/>
            <w:tcBorders>
              <w:bottom w:val="single" w:sz="8" w:color="004483"/>
            </w:tcBorders>
          </w:tcPr>
          <w:p>
            <w:pPr>
              <w:spacing w:after="0"/>
              <w:rPr>
                <w:sz w:val="12"/>
                <w:szCs w:val="12"/>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472</w:t>
            </w:r>
          </w:p>
        </w:tc>
      </w:tr>
      <w:tr>
        <w:trPr>
          <w:trHeight w:val="142"/>
        </w:trPr>
        <w:tc>
          <w:tcPr>
            <w:tcW w:w="6660" w:type="dxa"/>
            <w:vAlign w:val="bottom"/>
          </w:tcPr>
          <w:p>
            <w:pPr>
              <w:spacing w:after="0"/>
              <w:rPr>
                <w:sz w:val="20"/>
                <w:szCs w:val="20"/>
                <w:color w:val="auto"/>
              </w:rPr>
            </w:pPr>
            <w:r>
              <w:rPr>
                <w:rFonts w:ascii="Arial" w:cs="Arial" w:eastAsia="Arial" w:hAnsi="Arial"/>
                <w:sz w:val="11"/>
                <w:szCs w:val="11"/>
                <w:b w:val="1"/>
                <w:bCs w:val="1"/>
                <w:color w:val="004483"/>
              </w:rPr>
              <w:t>Comprehensive Earnings</w:t>
            </w:r>
          </w:p>
        </w:tc>
        <w:tc>
          <w:tcPr>
            <w:tcW w:w="500" w:type="dxa"/>
            <w:vAlign w:val="bottom"/>
            <w:tcBorders>
              <w:bottom w:val="single" w:sz="8" w:color="004483"/>
            </w:tcBorders>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339,391</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70,629</w:t>
            </w: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69,556</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color w:val="auto"/>
        </w:rPr>
        <w:t>EAGLE MATERIALS INC. AND SUBSIDIARIES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1940" w:type="dxa"/>
            <w:vAlign w:val="bottom"/>
            <w:gridSpan w:val="3"/>
            <w:shd w:val="clear" w:color="auto" w:fill="004483"/>
          </w:tcPr>
          <w:p>
            <w:pPr>
              <w:jc w:val="right"/>
              <w:ind w:right="613"/>
              <w:spacing w:after="0"/>
              <w:rPr>
                <w:sz w:val="20"/>
                <w:szCs w:val="20"/>
                <w:color w:val="auto"/>
              </w:rPr>
            </w:pPr>
            <w:r>
              <w:rPr>
                <w:rFonts w:ascii="Arial" w:cs="Arial" w:eastAsia="Arial" w:hAnsi="Arial"/>
                <w:sz w:val="8"/>
                <w:szCs w:val="8"/>
                <w:b w:val="1"/>
                <w:bCs w:val="1"/>
                <w:color w:val="FFFFFF"/>
              </w:rPr>
              <w:t>March 31,</w:t>
            </w:r>
          </w:p>
        </w:tc>
        <w:tc>
          <w:tcPr>
            <w:tcW w:w="10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jc w:val="right"/>
              <w:ind w:right="66"/>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3"/>
          </w:tcPr>
          <w:p>
            <w:pPr>
              <w:jc w:val="right"/>
              <w:ind w:right="433"/>
              <w:spacing w:after="0"/>
              <w:rPr>
                <w:sz w:val="20"/>
                <w:szCs w:val="20"/>
                <w:color w:val="auto"/>
              </w:rPr>
            </w:pPr>
            <w:r>
              <w:rPr>
                <w:rFonts w:ascii="Arial" w:cs="Arial" w:eastAsia="Arial" w:hAnsi="Arial"/>
                <w:sz w:val="8"/>
                <w:szCs w:val="8"/>
                <w:color w:val="auto"/>
              </w:rPr>
              <w:t>(dollars in thousands)</w:t>
            </w:r>
          </w:p>
        </w:tc>
        <w:tc>
          <w:tcPr>
            <w:tcW w:w="10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ASSETS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Current Assets -</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Cash and Cash Equivalents</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263,520</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ind w:right="593"/>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118,648</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Restricted Cash</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5,000</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Accounts and Notes Receivable, net</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147,133</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145,808</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Inventories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235,749</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272,121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Income Tax Receivable</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2,838</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128,413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Prepaid and Other Assets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7,449</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6,135</w:t>
            </w: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004483"/>
              </w:rPr>
              <w:t>Current Assets of Discontinued Operations</w:t>
            </w:r>
          </w:p>
        </w:tc>
        <w:tc>
          <w:tcPr>
            <w:tcW w:w="600" w:type="dxa"/>
            <w:vAlign w:val="bottom"/>
          </w:tcPr>
          <w:p>
            <w:pPr>
              <w:spacing w:after="0"/>
              <w:rPr>
                <w:sz w:val="11"/>
                <w:szCs w:val="1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7,092</w:t>
            </w:r>
          </w:p>
        </w:tc>
      </w:tr>
      <w:tr>
        <w:trPr>
          <w:trHeight w:val="13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004483"/>
              </w:rPr>
              <w:t>Total Current Assets</w:t>
            </w:r>
          </w:p>
        </w:tc>
        <w:tc>
          <w:tcPr>
            <w:tcW w:w="600" w:type="dxa"/>
            <w:vAlign w:val="bottom"/>
            <w:tcBorders>
              <w:top w:val="single" w:sz="8" w:color="004483"/>
              <w:bottom w:val="single" w:sz="8" w:color="A6A6A6"/>
            </w:tcBorders>
          </w:tcPr>
          <w:p>
            <w:pPr>
              <w:spacing w:after="0"/>
              <w:rPr>
                <w:sz w:val="11"/>
                <w:szCs w:val="11"/>
                <w:color w:val="auto"/>
              </w:rPr>
            </w:pPr>
          </w:p>
        </w:tc>
        <w:tc>
          <w:tcPr>
            <w:tcW w:w="108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661,689</w:t>
            </w:r>
          </w:p>
        </w:tc>
        <w:tc>
          <w:tcPr>
            <w:tcW w:w="20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004483"/>
              <w:bottom w:val="single" w:sz="8" w:color="A6A6A6"/>
            </w:tcBorders>
          </w:tcPr>
          <w:p>
            <w:pPr>
              <w:spacing w:after="0"/>
              <w:rPr>
                <w:sz w:val="11"/>
                <w:szCs w:val="11"/>
                <w:color w:val="auto"/>
              </w:rPr>
            </w:pPr>
          </w:p>
        </w:tc>
        <w:tc>
          <w:tcPr>
            <w:tcW w:w="1020" w:type="dxa"/>
            <w:vAlign w:val="bottom"/>
            <w:tcBorders>
              <w:top w:val="single" w:sz="8" w:color="004483"/>
              <w:bottom w:val="single" w:sz="8" w:color="A6A6A6"/>
            </w:tcBorders>
          </w:tcPr>
          <w:p>
            <w:pPr>
              <w:jc w:val="right"/>
              <w:ind w:right="66"/>
              <w:spacing w:after="0"/>
              <w:rPr>
                <w:sz w:val="20"/>
                <w:szCs w:val="20"/>
                <w:color w:val="auto"/>
              </w:rPr>
            </w:pPr>
            <w:r>
              <w:rPr>
                <w:rFonts w:ascii="Arial" w:cs="Arial" w:eastAsia="Arial" w:hAnsi="Arial"/>
                <w:sz w:val="11"/>
                <w:szCs w:val="11"/>
                <w:color w:val="auto"/>
              </w:rPr>
              <w:t>678,217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Property, Plant, and Equipment, net</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1,659,100</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1,756,417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Notes Receivable</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8,419</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9,139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Investment in Joint Venture</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75,399</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73,958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Operating Lease Right-of-Use Assets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25,811</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29,483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Goodwill and Intangible Assets, net</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392,315</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396,463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Other Assets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15,948</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10,604</w:t>
            </w: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004483"/>
              </w:rPr>
              <w:t>Assets of Discontinued Operations</w:t>
            </w:r>
          </w:p>
        </w:tc>
        <w:tc>
          <w:tcPr>
            <w:tcW w:w="600" w:type="dxa"/>
            <w:vAlign w:val="bottom"/>
          </w:tcPr>
          <w:p>
            <w:pPr>
              <w:spacing w:after="0"/>
              <w:rPr>
                <w:sz w:val="11"/>
                <w:szCs w:val="1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6,739</w:t>
            </w:r>
          </w:p>
        </w:tc>
      </w:tr>
      <w:tr>
        <w:trPr>
          <w:trHeight w:val="153"/>
        </w:trPr>
        <w:tc>
          <w:tcPr>
            <w:tcW w:w="7740" w:type="dxa"/>
            <w:vAlign w:val="bottom"/>
            <w:tcBorders>
              <w:top w:val="single" w:sz="8" w:color="A6A6A6"/>
              <w:bottom w:val="single" w:sz="8" w:color="A6A6A6"/>
            </w:tcBorders>
          </w:tcPr>
          <w:p>
            <w:pPr>
              <w:spacing w:after="0"/>
              <w:rPr>
                <w:sz w:val="13"/>
                <w:szCs w:val="13"/>
                <w:color w:val="auto"/>
              </w:rPr>
            </w:pPr>
          </w:p>
        </w:tc>
        <w:tc>
          <w:tcPr>
            <w:tcW w:w="600" w:type="dxa"/>
            <w:vAlign w:val="bottom"/>
            <w:tcBorders>
              <w:top w:val="single" w:sz="8" w:color="004483"/>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2,838,681</w:t>
            </w:r>
          </w:p>
        </w:tc>
        <w:tc>
          <w:tcPr>
            <w:tcW w:w="200" w:type="dxa"/>
            <w:vAlign w:val="bottom"/>
            <w:tcBorders>
              <w:top w:val="single" w:sz="8" w:color="A6A6A6"/>
              <w:bottom w:val="single" w:sz="8" w:color="A6A6A6"/>
            </w:tcBorders>
          </w:tcPr>
          <w:p>
            <w:pPr>
              <w:spacing w:after="0"/>
              <w:rPr>
                <w:sz w:val="13"/>
                <w:szCs w:val="13"/>
                <w:color w:val="auto"/>
              </w:rPr>
            </w:pPr>
          </w:p>
        </w:tc>
        <w:tc>
          <w:tcPr>
            <w:tcW w:w="660" w:type="dxa"/>
            <w:vAlign w:val="bottom"/>
            <w:tcBorders>
              <w:top w:val="single" w:sz="8" w:color="004483"/>
              <w:bottom w:val="single" w:sz="8" w:color="004483"/>
            </w:tcBorders>
          </w:tcPr>
          <w:p>
            <w:pPr>
              <w:jc w:val="right"/>
              <w:ind w:right="593"/>
              <w:spacing w:after="0"/>
              <w:rPr>
                <w:sz w:val="20"/>
                <w:szCs w:val="20"/>
                <w:color w:val="auto"/>
              </w:rPr>
            </w:pPr>
            <w:r>
              <w:rPr>
                <w:rFonts w:ascii="Arial" w:cs="Arial" w:eastAsia="Arial" w:hAnsi="Arial"/>
                <w:sz w:val="5"/>
                <w:szCs w:val="5"/>
                <w:b w:val="1"/>
                <w:bCs w:val="1"/>
                <w:color w:val="auto"/>
                <w:w w:val="70"/>
              </w:rPr>
              <w:t>$</w:t>
            </w:r>
          </w:p>
        </w:tc>
        <w:tc>
          <w:tcPr>
            <w:tcW w:w="1020" w:type="dxa"/>
            <w:vAlign w:val="bottom"/>
            <w:tcBorders>
              <w:top w:val="single" w:sz="8" w:color="004483"/>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2,961,020</w:t>
            </w: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LIABILITIES AND STOCKHOLDERS’ EQUITY</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r>
      <w:tr>
        <w:trPr>
          <w:trHeight w:val="137"/>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Current Liabilities -</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Accounts Payable</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84,171</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ind w:right="593"/>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84,183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Accrued Liabilities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78,840</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70,442</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Operating Lease Liabilities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6,343</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6,585</w:t>
            </w: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004483"/>
              </w:rPr>
              <w:t>Current Liabilities of Discontinued Operations</w:t>
            </w:r>
          </w:p>
        </w:tc>
        <w:tc>
          <w:tcPr>
            <w:tcW w:w="600" w:type="dxa"/>
            <w:vAlign w:val="bottom"/>
          </w:tcPr>
          <w:p>
            <w:pPr>
              <w:spacing w:after="0"/>
              <w:rPr>
                <w:sz w:val="11"/>
                <w:szCs w:val="1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8,487</w:t>
            </w:r>
          </w:p>
        </w:tc>
      </w:tr>
      <w:tr>
        <w:trPr>
          <w:trHeight w:val="13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004483"/>
              </w:rPr>
              <w:t>Total Current Liabilities</w:t>
            </w:r>
          </w:p>
        </w:tc>
        <w:tc>
          <w:tcPr>
            <w:tcW w:w="600" w:type="dxa"/>
            <w:vAlign w:val="bottom"/>
            <w:tcBorders>
              <w:top w:val="single" w:sz="8" w:color="004483"/>
              <w:bottom w:val="single" w:sz="8" w:color="A6A6A6"/>
            </w:tcBorders>
          </w:tcPr>
          <w:p>
            <w:pPr>
              <w:spacing w:after="0"/>
              <w:rPr>
                <w:sz w:val="11"/>
                <w:szCs w:val="11"/>
                <w:color w:val="auto"/>
              </w:rPr>
            </w:pPr>
          </w:p>
        </w:tc>
        <w:tc>
          <w:tcPr>
            <w:tcW w:w="108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169,354</w:t>
            </w:r>
          </w:p>
        </w:tc>
        <w:tc>
          <w:tcPr>
            <w:tcW w:w="20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004483"/>
              <w:bottom w:val="single" w:sz="8" w:color="A6A6A6"/>
            </w:tcBorders>
          </w:tcPr>
          <w:p>
            <w:pPr>
              <w:spacing w:after="0"/>
              <w:rPr>
                <w:sz w:val="11"/>
                <w:szCs w:val="11"/>
                <w:color w:val="auto"/>
              </w:rPr>
            </w:pPr>
          </w:p>
        </w:tc>
        <w:tc>
          <w:tcPr>
            <w:tcW w:w="1020" w:type="dxa"/>
            <w:vAlign w:val="bottom"/>
            <w:tcBorders>
              <w:top w:val="single" w:sz="8" w:color="004483"/>
              <w:bottom w:val="single" w:sz="8" w:color="A6A6A6"/>
            </w:tcBorders>
          </w:tcPr>
          <w:p>
            <w:pPr>
              <w:jc w:val="right"/>
              <w:ind w:right="66"/>
              <w:spacing w:after="0"/>
              <w:rPr>
                <w:sz w:val="20"/>
                <w:szCs w:val="20"/>
                <w:color w:val="auto"/>
              </w:rPr>
            </w:pPr>
            <w:r>
              <w:rPr>
                <w:rFonts w:ascii="Arial" w:cs="Arial" w:eastAsia="Arial" w:hAnsi="Arial"/>
                <w:sz w:val="11"/>
                <w:szCs w:val="11"/>
                <w:color w:val="auto"/>
              </w:rPr>
              <w:t>169,697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Long-term Debt</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1,008,616</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1,567,315</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Noncurrent Operating Lease Liabilities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34,444</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40,239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Other Long-term Liabilities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41,291</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33,832</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Deferred Income Taxes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225,986</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166,667</w:t>
            </w: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004483"/>
              </w:rPr>
              <w:t>Liabilities of Discontinued Operations</w:t>
            </w:r>
          </w:p>
        </w:tc>
        <w:tc>
          <w:tcPr>
            <w:tcW w:w="600" w:type="dxa"/>
            <w:vAlign w:val="bottom"/>
          </w:tcPr>
          <w:p>
            <w:pPr>
              <w:spacing w:after="0"/>
              <w:rPr>
                <w:sz w:val="11"/>
                <w:szCs w:val="1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15,427</w:t>
            </w:r>
          </w:p>
        </w:tc>
      </w:tr>
      <w:tr>
        <w:trPr>
          <w:trHeight w:val="13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004483"/>
              </w:rPr>
              <w:t>Total Liabilities</w:t>
            </w:r>
          </w:p>
        </w:tc>
        <w:tc>
          <w:tcPr>
            <w:tcW w:w="600" w:type="dxa"/>
            <w:vAlign w:val="bottom"/>
            <w:tcBorders>
              <w:top w:val="single" w:sz="8" w:color="004483"/>
              <w:bottom w:val="single" w:sz="8" w:color="004483"/>
            </w:tcBorders>
          </w:tcPr>
          <w:p>
            <w:pPr>
              <w:spacing w:after="0"/>
              <w:rPr>
                <w:sz w:val="11"/>
                <w:szCs w:val="11"/>
                <w:color w:val="auto"/>
              </w:rPr>
            </w:pPr>
          </w:p>
        </w:tc>
        <w:tc>
          <w:tcPr>
            <w:tcW w:w="10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color w:val="auto"/>
              </w:rPr>
              <w:t>1,479,691</w:t>
            </w:r>
          </w:p>
        </w:tc>
        <w:tc>
          <w:tcPr>
            <w:tcW w:w="20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004483"/>
              <w:bottom w:val="single" w:sz="8" w:color="004483"/>
            </w:tcBorders>
          </w:tcPr>
          <w:p>
            <w:pPr>
              <w:spacing w:after="0"/>
              <w:rPr>
                <w:sz w:val="11"/>
                <w:szCs w:val="11"/>
                <w:color w:val="auto"/>
              </w:rPr>
            </w:pPr>
          </w:p>
        </w:tc>
        <w:tc>
          <w:tcPr>
            <w:tcW w:w="1020" w:type="dxa"/>
            <w:vAlign w:val="bottom"/>
            <w:tcBorders>
              <w:top w:val="single" w:sz="8" w:color="004483"/>
              <w:bottom w:val="single" w:sz="8" w:color="004483"/>
            </w:tcBorders>
          </w:tcPr>
          <w:p>
            <w:pPr>
              <w:jc w:val="right"/>
              <w:ind w:right="66"/>
              <w:spacing w:after="0"/>
              <w:rPr>
                <w:sz w:val="20"/>
                <w:szCs w:val="20"/>
                <w:color w:val="auto"/>
              </w:rPr>
            </w:pPr>
            <w:r>
              <w:rPr>
                <w:rFonts w:ascii="Arial" w:cs="Arial" w:eastAsia="Arial" w:hAnsi="Arial"/>
                <w:sz w:val="11"/>
                <w:szCs w:val="11"/>
                <w:color w:val="auto"/>
              </w:rPr>
              <w:t>1,993,177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Stockholders’ Equity –</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Preferred Stock, Par Value $0.01; Authorized 5,000,000 Shares; None Issued</w:t>
            </w:r>
          </w:p>
        </w:tc>
        <w:tc>
          <w:tcPr>
            <w:tcW w:w="600" w:type="dxa"/>
            <w:vAlign w:val="bottom"/>
            <w:tcBorders>
              <w:bottom w:val="single" w:sz="8" w:color="A6A6A6"/>
            </w:tcBorders>
          </w:tcPr>
          <w:p>
            <w:pPr>
              <w:spacing w:after="0"/>
              <w:rPr>
                <w:sz w:val="11"/>
                <w:szCs w:val="11"/>
                <w:color w:val="auto"/>
              </w:rPr>
            </w:pPr>
          </w:p>
        </w:tc>
        <w:tc>
          <w:tcPr>
            <w:tcW w:w="128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0"/>
        </w:trPr>
        <w:tc>
          <w:tcPr>
            <w:tcW w:w="7740" w:type="dxa"/>
            <w:vAlign w:val="bottom"/>
          </w:tcPr>
          <w:p>
            <w:pPr>
              <w:ind w:left="160"/>
              <w:spacing w:after="0"/>
              <w:rPr>
                <w:sz w:val="20"/>
                <w:szCs w:val="20"/>
                <w:color w:val="auto"/>
              </w:rPr>
            </w:pPr>
            <w:r>
              <w:rPr>
                <w:rFonts w:ascii="Arial" w:cs="Arial" w:eastAsia="Arial" w:hAnsi="Arial"/>
                <w:sz w:val="11"/>
                <w:szCs w:val="11"/>
                <w:color w:val="004483"/>
              </w:rPr>
              <w:t>Common Stock, Par Value $0.01; Authorized 100,000,000 Shares;</w:t>
            </w: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8"/>
        </w:trPr>
        <w:tc>
          <w:tcPr>
            <w:tcW w:w="7740" w:type="dxa"/>
            <w:vAlign w:val="bottom"/>
            <w:tcBorders>
              <w:bottom w:val="single" w:sz="8" w:color="A6A6A6"/>
            </w:tcBorders>
          </w:tcPr>
          <w:p>
            <w:pPr>
              <w:ind w:left="240"/>
              <w:spacing w:after="0"/>
              <w:rPr>
                <w:sz w:val="20"/>
                <w:szCs w:val="20"/>
                <w:color w:val="auto"/>
              </w:rPr>
            </w:pPr>
            <w:r>
              <w:rPr>
                <w:rFonts w:ascii="Arial" w:cs="Arial" w:eastAsia="Arial" w:hAnsi="Arial"/>
                <w:sz w:val="11"/>
                <w:szCs w:val="11"/>
                <w:color w:val="004483"/>
              </w:rPr>
              <w:t>Issued and Outstanding 42,370,878 and 41,649,041 Shares, respectively</w:t>
            </w:r>
          </w:p>
        </w:tc>
        <w:tc>
          <w:tcPr>
            <w:tcW w:w="600" w:type="dxa"/>
            <w:vAlign w:val="bottom"/>
            <w:tcBorders>
              <w:bottom w:val="single" w:sz="8" w:color="A6A6A6"/>
            </w:tcBorders>
          </w:tcPr>
          <w:p>
            <w:pPr>
              <w:spacing w:after="0"/>
              <w:rPr>
                <w:sz w:val="12"/>
                <w:szCs w:val="12"/>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424</w:t>
            </w:r>
          </w:p>
        </w:tc>
        <w:tc>
          <w:tcPr>
            <w:tcW w:w="200" w:type="dxa"/>
            <w:vAlign w:val="bottom"/>
            <w:tcBorders>
              <w:bottom w:val="single" w:sz="8" w:color="A6A6A6"/>
            </w:tcBorders>
          </w:tcPr>
          <w:p>
            <w:pPr>
              <w:spacing w:after="0"/>
              <w:rPr>
                <w:sz w:val="12"/>
                <w:szCs w:val="12"/>
                <w:color w:val="auto"/>
              </w:rPr>
            </w:pPr>
          </w:p>
        </w:tc>
        <w:tc>
          <w:tcPr>
            <w:tcW w:w="660" w:type="dxa"/>
            <w:vAlign w:val="bottom"/>
            <w:tcBorders>
              <w:bottom w:val="single" w:sz="8" w:color="A6A6A6"/>
            </w:tcBorders>
          </w:tcPr>
          <w:p>
            <w:pPr>
              <w:spacing w:after="0"/>
              <w:rPr>
                <w:sz w:val="12"/>
                <w:szCs w:val="12"/>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416</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Capital in Excess of Par Value</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62,497</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10,943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Accumulated Other Comprehensive Losses</w:t>
            </w:r>
          </w:p>
        </w:tc>
        <w:tc>
          <w:tcPr>
            <w:tcW w:w="60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tcPr>
          <w:p>
            <w:pPr>
              <w:jc w:val="right"/>
              <w:ind w:right="7"/>
              <w:spacing w:after="0"/>
              <w:rPr>
                <w:sz w:val="20"/>
                <w:szCs w:val="20"/>
                <w:color w:val="auto"/>
              </w:rPr>
            </w:pPr>
            <w:r>
              <w:rPr>
                <w:rFonts w:ascii="Arial" w:cs="Arial" w:eastAsia="Arial" w:hAnsi="Arial"/>
                <w:sz w:val="11"/>
                <w:szCs w:val="11"/>
                <w:color w:val="auto"/>
              </w:rPr>
              <w:t>(3,440)</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(3,581)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Retained Earnings</w:t>
            </w:r>
          </w:p>
        </w:tc>
        <w:tc>
          <w:tcPr>
            <w:tcW w:w="600" w:type="dxa"/>
            <w:vAlign w:val="bottom"/>
            <w:tcBorders>
              <w:bottom w:val="single" w:sz="8" w:color="004483"/>
            </w:tcBorders>
          </w:tcPr>
          <w:p>
            <w:pPr>
              <w:spacing w:after="0"/>
              <w:rPr>
                <w:sz w:val="11"/>
                <w:szCs w:val="11"/>
                <w:color w:val="auto"/>
              </w:rPr>
            </w:pPr>
          </w:p>
        </w:tc>
        <w:tc>
          <w:tcPr>
            <w:tcW w:w="10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1,299,509</w:t>
            </w: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960,065</w:t>
            </w:r>
          </w:p>
        </w:tc>
      </w:tr>
      <w:tr>
        <w:trPr>
          <w:trHeight w:val="133"/>
        </w:trPr>
        <w:tc>
          <w:tcPr>
            <w:tcW w:w="7740" w:type="dxa"/>
            <w:vAlign w:val="bottom"/>
          </w:tcPr>
          <w:p>
            <w:pPr>
              <w:ind w:left="320"/>
              <w:spacing w:after="0"/>
              <w:rPr>
                <w:sz w:val="20"/>
                <w:szCs w:val="20"/>
                <w:color w:val="auto"/>
              </w:rPr>
            </w:pPr>
            <w:r>
              <w:rPr>
                <w:rFonts w:ascii="Arial" w:cs="Arial" w:eastAsia="Arial" w:hAnsi="Arial"/>
                <w:sz w:val="11"/>
                <w:szCs w:val="11"/>
                <w:color w:val="004483"/>
              </w:rPr>
              <w:t>Total Stockholders’ Equity</w:t>
            </w:r>
          </w:p>
        </w:tc>
        <w:tc>
          <w:tcPr>
            <w:tcW w:w="600" w:type="dxa"/>
            <w:vAlign w:val="bottom"/>
            <w:tcBorders>
              <w:bottom w:val="single" w:sz="8" w:color="004483"/>
            </w:tcBorders>
          </w:tcPr>
          <w:p>
            <w:pPr>
              <w:spacing w:after="0"/>
              <w:rPr>
                <w:sz w:val="11"/>
                <w:szCs w:val="11"/>
                <w:color w:val="auto"/>
              </w:rPr>
            </w:pPr>
          </w:p>
        </w:tc>
        <w:tc>
          <w:tcPr>
            <w:tcW w:w="10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1,358,990</w:t>
            </w:r>
          </w:p>
        </w:tc>
        <w:tc>
          <w:tcPr>
            <w:tcW w:w="200" w:type="dxa"/>
            <w:vAlign w:val="bottom"/>
          </w:tcPr>
          <w:p>
            <w:pPr>
              <w:spacing w:after="0"/>
              <w:rPr>
                <w:sz w:val="11"/>
                <w:szCs w:val="11"/>
                <w:color w:val="auto"/>
              </w:rPr>
            </w:pPr>
          </w:p>
        </w:tc>
        <w:tc>
          <w:tcPr>
            <w:tcW w:w="6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967,843</w:t>
            </w:r>
          </w:p>
        </w:tc>
      </w:tr>
      <w:tr>
        <w:trPr>
          <w:trHeight w:val="142"/>
        </w:trPr>
        <w:tc>
          <w:tcPr>
            <w:tcW w:w="7740" w:type="dxa"/>
            <w:vAlign w:val="bottom"/>
          </w:tcPr>
          <w:p>
            <w:pPr>
              <w:spacing w:after="0"/>
              <w:rPr>
                <w:sz w:val="12"/>
                <w:szCs w:val="12"/>
                <w:color w:val="auto"/>
              </w:rPr>
            </w:pPr>
          </w:p>
        </w:tc>
        <w:tc>
          <w:tcPr>
            <w:tcW w:w="600" w:type="dxa"/>
            <w:vAlign w:val="bottom"/>
            <w:tcBorders>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2,838,681</w:t>
            </w:r>
          </w:p>
        </w:tc>
        <w:tc>
          <w:tcPr>
            <w:tcW w:w="200" w:type="dxa"/>
            <w:vAlign w:val="bottom"/>
          </w:tcPr>
          <w:p>
            <w:pPr>
              <w:spacing w:after="0"/>
              <w:rPr>
                <w:sz w:val="12"/>
                <w:szCs w:val="12"/>
                <w:color w:val="auto"/>
              </w:rPr>
            </w:pPr>
          </w:p>
        </w:tc>
        <w:tc>
          <w:tcPr>
            <w:tcW w:w="660" w:type="dxa"/>
            <w:vAlign w:val="bottom"/>
            <w:tcBorders>
              <w:bottom w:val="single" w:sz="8" w:color="004483"/>
            </w:tcBorders>
          </w:tcPr>
          <w:p>
            <w:pPr>
              <w:jc w:val="right"/>
              <w:ind w:right="593"/>
              <w:spacing w:after="0"/>
              <w:rPr>
                <w:sz w:val="20"/>
                <w:szCs w:val="20"/>
                <w:color w:val="auto"/>
              </w:rPr>
            </w:pPr>
            <w:r>
              <w:rPr>
                <w:rFonts w:ascii="Arial" w:cs="Arial" w:eastAsia="Arial" w:hAnsi="Arial"/>
                <w:sz w:val="5"/>
                <w:szCs w:val="5"/>
                <w:b w:val="1"/>
                <w:bCs w:val="1"/>
                <w:color w:val="auto"/>
                <w:w w:val="70"/>
              </w:rPr>
              <w:t>$</w:t>
            </w:r>
          </w:p>
        </w:tc>
        <w:tc>
          <w:tcPr>
            <w:tcW w:w="10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2,961,020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EAGLE MATERIALS INC. AND SUBSIDIARIES 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9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0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7"/>
              </w:rPr>
              <w:t>For the Years Ended March 31,</w:t>
            </w:r>
          </w:p>
        </w:tc>
        <w:tc>
          <w:tcPr>
            <w:tcW w:w="48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r>
      <w:tr>
        <w:trPr>
          <w:trHeight w:val="99"/>
        </w:trPr>
        <w:tc>
          <w:tcPr>
            <w:tcW w:w="6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jc w:val="right"/>
              <w:ind w:right="66"/>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jc w:val="right"/>
              <w:ind w:right="66"/>
              <w:spacing w:after="0"/>
              <w:rPr>
                <w:sz w:val="20"/>
                <w:szCs w:val="20"/>
                <w:color w:val="auto"/>
              </w:rPr>
            </w:pPr>
            <w:r>
              <w:rPr>
                <w:rFonts w:ascii="Arial" w:cs="Arial" w:eastAsia="Arial" w:hAnsi="Arial"/>
                <w:sz w:val="8"/>
                <w:szCs w:val="8"/>
                <w:b w:val="1"/>
                <w:bCs w:val="1"/>
                <w:color w:val="auto"/>
              </w:rPr>
              <w:t>2019</w:t>
            </w:r>
          </w:p>
        </w:tc>
      </w:tr>
      <w:tr>
        <w:trPr>
          <w:trHeight w:val="99"/>
        </w:trPr>
        <w:tc>
          <w:tcPr>
            <w:tcW w:w="6740" w:type="dxa"/>
            <w:vAlign w:val="bottom"/>
            <w:tcBorders>
              <w:bottom w:val="single" w:sz="8" w:color="004483"/>
            </w:tcBorders>
          </w:tcPr>
          <w:p>
            <w:pPr>
              <w:spacing w:after="0"/>
              <w:rPr>
                <w:sz w:val="8"/>
                <w:szCs w:val="8"/>
                <w:color w:val="auto"/>
              </w:rPr>
            </w:pPr>
          </w:p>
        </w:tc>
        <w:tc>
          <w:tcPr>
            <w:tcW w:w="480" w:type="dxa"/>
            <w:vAlign w:val="bottom"/>
            <w:tcBorders>
              <w:bottom w:val="single" w:sz="8" w:color="004483"/>
            </w:tcBorders>
          </w:tcPr>
          <w:p>
            <w:pPr>
              <w:spacing w:after="0"/>
              <w:rPr>
                <w:sz w:val="8"/>
                <w:szCs w:val="8"/>
                <w:color w:val="auto"/>
              </w:rPr>
            </w:pPr>
          </w:p>
        </w:tc>
        <w:tc>
          <w:tcPr>
            <w:tcW w:w="9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0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6"/>
              </w:rPr>
              <w:t>(dollars in thousands)</w:t>
            </w:r>
          </w:p>
        </w:tc>
        <w:tc>
          <w:tcPr>
            <w:tcW w:w="48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tcPr>
          <w:p>
            <w:pPr>
              <w:spacing w:after="0"/>
              <w:rPr>
                <w:sz w:val="8"/>
                <w:szCs w:val="8"/>
                <w:color w:val="auto"/>
              </w:rPr>
            </w:pPr>
          </w:p>
        </w:tc>
      </w:tr>
      <w:tr>
        <w:trPr>
          <w:trHeight w:val="131"/>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w:t>
            </w:r>
          </w:p>
        </w:tc>
        <w:tc>
          <w:tcPr>
            <w:tcW w:w="480" w:type="dxa"/>
            <w:vAlign w:val="bottom"/>
            <w:tcBorders>
              <w:bottom w:val="single" w:sz="8" w:color="A6A6A6"/>
            </w:tcBorders>
          </w:tcPr>
          <w:p>
            <w:pPr>
              <w:jc w:val="right"/>
              <w:ind w:right="413"/>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339,444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70,894</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jc w:val="right"/>
              <w:ind w:right="41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68,860</w:t>
            </w:r>
          </w:p>
        </w:tc>
      </w:tr>
      <w:tr>
        <w:trPr>
          <w:trHeight w:val="130"/>
        </w:trPr>
        <w:tc>
          <w:tcPr>
            <w:tcW w:w="6740" w:type="dxa"/>
            <w:vAlign w:val="bottom"/>
          </w:tcPr>
          <w:p>
            <w:pPr>
              <w:spacing w:after="0"/>
              <w:rPr>
                <w:sz w:val="20"/>
                <w:szCs w:val="20"/>
                <w:color w:val="auto"/>
              </w:rPr>
            </w:pPr>
            <w:r>
              <w:rPr>
                <w:rFonts w:ascii="Arial" w:cs="Arial" w:eastAsia="Arial" w:hAnsi="Arial"/>
                <w:sz w:val="11"/>
                <w:szCs w:val="11"/>
                <w:color w:val="004483"/>
              </w:rPr>
              <w:t>Adjustments to Reconcile Net Earnings to Net Cash Provided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8"/>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by Operating Activities, Net of Effect of Non-Cash Activity:</w:t>
            </w:r>
          </w:p>
        </w:tc>
        <w:tc>
          <w:tcPr>
            <w:tcW w:w="480" w:type="dxa"/>
            <w:vAlign w:val="bottom"/>
            <w:tcBorders>
              <w:bottom w:val="single" w:sz="8" w:color="A6A6A6"/>
            </w:tcBorders>
          </w:tcPr>
          <w:p>
            <w:pPr>
              <w:spacing w:after="0"/>
              <w:rPr>
                <w:sz w:val="12"/>
                <w:szCs w:val="12"/>
                <w:color w:val="auto"/>
              </w:rPr>
            </w:pPr>
          </w:p>
        </w:tc>
        <w:tc>
          <w:tcPr>
            <w:tcW w:w="92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80" w:type="dxa"/>
            <w:vAlign w:val="bottom"/>
            <w:tcBorders>
              <w:bottom w:val="single" w:sz="8" w:color="A6A6A6"/>
            </w:tcBorders>
          </w:tcPr>
          <w:p>
            <w:pPr>
              <w:spacing w:after="0"/>
              <w:rPr>
                <w:sz w:val="12"/>
                <w:szCs w:val="12"/>
                <w:color w:val="auto"/>
              </w:rPr>
            </w:pPr>
          </w:p>
        </w:tc>
        <w:tc>
          <w:tcPr>
            <w:tcW w:w="1340" w:type="dxa"/>
            <w:vAlign w:val="bottom"/>
            <w:tcBorders>
              <w:bottom w:val="single" w:sz="8" w:color="A6A6A6"/>
            </w:tcBorders>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480" w:type="dxa"/>
            <w:vAlign w:val="bottom"/>
            <w:tcBorders>
              <w:bottom w:val="single" w:sz="8" w:color="A6A6A6"/>
            </w:tcBorders>
          </w:tcPr>
          <w:p>
            <w:pPr>
              <w:spacing w:after="0"/>
              <w:rPr>
                <w:sz w:val="12"/>
                <w:szCs w:val="12"/>
                <w:color w:val="auto"/>
              </w:rPr>
            </w:pPr>
          </w:p>
        </w:tc>
        <w:tc>
          <w:tcPr>
            <w:tcW w:w="940" w:type="dxa"/>
            <w:vAlign w:val="bottom"/>
            <w:tcBorders>
              <w:bottom w:val="single" w:sz="8" w:color="A6A6A6"/>
            </w:tcBorders>
          </w:tcPr>
          <w:p>
            <w:pPr>
              <w:spacing w:after="0"/>
              <w:rPr>
                <w:sz w:val="12"/>
                <w:szCs w:val="12"/>
                <w:color w:val="auto"/>
              </w:rPr>
            </w:pP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Depreciation, Depletion, and Amortization</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129,087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113,518</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122,535</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Impairment Losses</w:t>
            </w:r>
          </w:p>
        </w:tc>
        <w:tc>
          <w:tcPr>
            <w:tcW w:w="4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224,267</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220,265</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Deferred Income Tax Provision</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59,319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75,987</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(28,371)</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Stock Compensation Expense</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15,293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19,823</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15,109</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Gain on Sale of Businesses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(61,203)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50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Equity in Earnings of Unconsolidated Joint Venture</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(37,441)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(42,585)</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(38,565)</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Distributions from Joint Venture</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36,000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33,500</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34,250</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Changes in Operating Assets and Liabilities: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Accounts and Notes Receivable</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2,127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(25,005)</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10,180</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Inventories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30,002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26,729</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(19,016)</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Accounts Payable and Accrued Liabilities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9,541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17,265</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(31,949)</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Other Assets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(6,455)</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7,841</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(3,284)</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Income Taxes Receivable</w:t>
            </w:r>
          </w:p>
        </w:tc>
        <w:tc>
          <w:tcPr>
            <w:tcW w:w="48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127,359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4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(122,933)</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270</w:t>
            </w:r>
          </w:p>
        </w:tc>
      </w:tr>
      <w:tr>
        <w:trPr>
          <w:trHeight w:val="133"/>
        </w:trPr>
        <w:tc>
          <w:tcPr>
            <w:tcW w:w="6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Net Cash Provided by Operating Activities</w:t>
            </w:r>
          </w:p>
        </w:tc>
        <w:tc>
          <w:tcPr>
            <w:tcW w:w="48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643,073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399,301</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350,284</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Additions to Property, Plant, and Equipment</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(53,933)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(132,119)</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(168,873)</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Acquisition Spending</w:t>
            </w:r>
          </w:p>
        </w:tc>
        <w:tc>
          <w:tcPr>
            <w:tcW w:w="4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(699,361)</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Proceeds from Sale of Businesses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91,022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50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004483"/>
              </w:rPr>
              <w:t>Proceeds from Sales of Property, Plant, and Equipment</w:t>
            </w:r>
          </w:p>
        </w:tc>
        <w:tc>
          <w:tcPr>
            <w:tcW w:w="480" w:type="dxa"/>
            <w:vAlign w:val="bottom"/>
          </w:tcPr>
          <w:p>
            <w:pPr>
              <w:spacing w:after="0"/>
              <w:rPr>
                <w:sz w:val="11"/>
                <w:szCs w:val="1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340" w:type="dxa"/>
            <w:vAlign w:val="bottom"/>
          </w:tcPr>
          <w:p>
            <w:pPr>
              <w:jc w:val="right"/>
              <w:ind w:right="67"/>
              <w:spacing w:after="0"/>
              <w:rPr>
                <w:sz w:val="20"/>
                <w:szCs w:val="20"/>
                <w:color w:val="auto"/>
              </w:rPr>
            </w:pPr>
            <w:r>
              <w:rPr>
                <w:rFonts w:ascii="Arial" w:cs="Arial" w:eastAsia="Arial" w:hAnsi="Arial"/>
                <w:sz w:val="11"/>
                <w:szCs w:val="11"/>
                <w:color w:val="auto"/>
              </w:rPr>
              <w:t>400</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2,281</w:t>
            </w:r>
          </w:p>
        </w:tc>
      </w:tr>
      <w:tr>
        <w:trPr>
          <w:trHeight w:val="133"/>
        </w:trPr>
        <w:tc>
          <w:tcPr>
            <w:tcW w:w="6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004483"/>
              </w:rPr>
              <w:t>Net Cash Provided by (Used in) Investing Activities</w:t>
            </w:r>
          </w:p>
        </w:tc>
        <w:tc>
          <w:tcPr>
            <w:tcW w:w="480" w:type="dxa"/>
            <w:vAlign w:val="bottom"/>
            <w:tcBorders>
              <w:top w:val="single" w:sz="8" w:color="004483"/>
              <w:bottom w:val="single" w:sz="8" w:color="004483"/>
            </w:tcBorders>
          </w:tcPr>
          <w:p>
            <w:pPr>
              <w:spacing w:after="0"/>
              <w:rPr>
                <w:sz w:val="11"/>
                <w:szCs w:val="11"/>
                <w:color w:val="auto"/>
              </w:rPr>
            </w:pPr>
          </w:p>
        </w:tc>
        <w:tc>
          <w:tcPr>
            <w:tcW w:w="920" w:type="dxa"/>
            <w:vAlign w:val="bottom"/>
            <w:tcBorders>
              <w:top w:val="single" w:sz="8" w:color="004483"/>
              <w:bottom w:val="single" w:sz="8" w:color="004483"/>
            </w:tcBorders>
          </w:tcPr>
          <w:p>
            <w:pPr>
              <w:jc w:val="right"/>
              <w:ind w:right="66"/>
              <w:spacing w:after="0"/>
              <w:rPr>
                <w:sz w:val="20"/>
                <w:szCs w:val="20"/>
                <w:color w:val="auto"/>
              </w:rPr>
            </w:pPr>
            <w:r>
              <w:rPr>
                <w:rFonts w:ascii="Arial" w:cs="Arial" w:eastAsia="Arial" w:hAnsi="Arial"/>
                <w:sz w:val="11"/>
                <w:szCs w:val="11"/>
                <w:color w:val="auto"/>
              </w:rPr>
              <w:t>37,089</w:t>
            </w:r>
          </w:p>
        </w:tc>
        <w:tc>
          <w:tcPr>
            <w:tcW w:w="160" w:type="dxa"/>
            <w:vAlign w:val="bottom"/>
            <w:tcBorders>
              <w:top w:val="single" w:sz="8" w:color="A6A6A6"/>
              <w:bottom w:val="single" w:sz="8" w:color="A6A6A6"/>
            </w:tcBorders>
          </w:tcPr>
          <w:p>
            <w:pPr>
              <w:spacing w:after="0"/>
              <w:rPr>
                <w:sz w:val="11"/>
                <w:szCs w:val="11"/>
                <w:color w:val="auto"/>
              </w:rPr>
            </w:pPr>
          </w:p>
        </w:tc>
        <w:tc>
          <w:tcPr>
            <w:tcW w:w="80" w:type="dxa"/>
            <w:vAlign w:val="bottom"/>
            <w:tcBorders>
              <w:top w:val="single" w:sz="8" w:color="004483"/>
              <w:bottom w:val="single" w:sz="8" w:color="004483"/>
            </w:tcBorders>
          </w:tcPr>
          <w:p>
            <w:pPr>
              <w:spacing w:after="0"/>
              <w:rPr>
                <w:sz w:val="11"/>
                <w:szCs w:val="11"/>
                <w:color w:val="auto"/>
              </w:rPr>
            </w:pPr>
          </w:p>
        </w:tc>
        <w:tc>
          <w:tcPr>
            <w:tcW w:w="1340" w:type="dxa"/>
            <w:vAlign w:val="bottom"/>
            <w:tcBorders>
              <w:top w:val="single" w:sz="8" w:color="004483"/>
              <w:bottom w:val="single" w:sz="8" w:color="004483"/>
            </w:tcBorders>
          </w:tcPr>
          <w:p>
            <w:pPr>
              <w:jc w:val="right"/>
              <w:ind w:right="27"/>
              <w:spacing w:after="0"/>
              <w:rPr>
                <w:sz w:val="20"/>
                <w:szCs w:val="20"/>
                <w:color w:val="auto"/>
              </w:rPr>
            </w:pPr>
            <w:r>
              <w:rPr>
                <w:rFonts w:ascii="Arial" w:cs="Arial" w:eastAsia="Arial" w:hAnsi="Arial"/>
                <w:sz w:val="11"/>
                <w:szCs w:val="11"/>
                <w:color w:val="auto"/>
              </w:rPr>
              <w:t>(831,080)</w:t>
            </w:r>
          </w:p>
        </w:tc>
        <w:tc>
          <w:tcPr>
            <w:tcW w:w="160" w:type="dxa"/>
            <w:vAlign w:val="bottom"/>
            <w:tcBorders>
              <w:top w:val="single" w:sz="8" w:color="A6A6A6"/>
              <w:bottom w:val="single" w:sz="8" w:color="A6A6A6"/>
            </w:tcBorders>
          </w:tcPr>
          <w:p>
            <w:pPr>
              <w:spacing w:after="0"/>
              <w:rPr>
                <w:sz w:val="11"/>
                <w:szCs w:val="11"/>
                <w:color w:val="auto"/>
              </w:rPr>
            </w:pPr>
          </w:p>
        </w:tc>
        <w:tc>
          <w:tcPr>
            <w:tcW w:w="480" w:type="dxa"/>
            <w:vAlign w:val="bottom"/>
            <w:tcBorders>
              <w:top w:val="single" w:sz="8" w:color="004483"/>
              <w:bottom w:val="single" w:sz="8" w:color="004483"/>
            </w:tcBorders>
          </w:tcPr>
          <w:p>
            <w:pPr>
              <w:spacing w:after="0"/>
              <w:rPr>
                <w:sz w:val="11"/>
                <w:szCs w:val="11"/>
                <w:color w:val="auto"/>
              </w:rPr>
            </w:pPr>
          </w:p>
        </w:tc>
        <w:tc>
          <w:tcPr>
            <w:tcW w:w="940" w:type="dxa"/>
            <w:vAlign w:val="bottom"/>
            <w:tcBorders>
              <w:top w:val="single" w:sz="8" w:color="004483"/>
              <w:bottom w:val="single" w:sz="8" w:color="004483"/>
            </w:tcBorders>
          </w:tcPr>
          <w:p>
            <w:pPr>
              <w:jc w:val="right"/>
              <w:ind w:right="26"/>
              <w:spacing w:after="0"/>
              <w:rPr>
                <w:sz w:val="20"/>
                <w:szCs w:val="20"/>
                <w:color w:val="auto"/>
              </w:rPr>
            </w:pPr>
            <w:r>
              <w:rPr>
                <w:rFonts w:ascii="Arial" w:cs="Arial" w:eastAsia="Arial" w:hAnsi="Arial"/>
                <w:sz w:val="11"/>
                <w:szCs w:val="11"/>
                <w:color w:val="auto"/>
              </w:rPr>
              <w:t>(166,592)</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(Decrease) Increase in Revolving Credit Facility</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(560,000)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250,000</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70,000</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Repayment of Private Placement Senior Unsecured Notes</w:t>
            </w:r>
          </w:p>
        </w:tc>
        <w:tc>
          <w:tcPr>
            <w:tcW w:w="4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(36,500)</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Issuance of Term Loan</w:t>
            </w:r>
          </w:p>
        </w:tc>
        <w:tc>
          <w:tcPr>
            <w:tcW w:w="4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665,000</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Dividends Paid to Stockholders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(4,163)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(17,142)</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(18,927)</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Purchase and Retirement of Common Stock</w:t>
            </w:r>
          </w:p>
        </w:tc>
        <w:tc>
          <w:tcPr>
            <w:tcW w:w="48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(313,887)</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(271,988)</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Proceeds from Stock Option Exercises</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40,455</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3,298</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2,103</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Shares Redeemed to Settle Employee Taxes on Stock Compensation</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(4,186)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(4,063)</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(4,347)</w:t>
            </w: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Payment of Debt Issuance Costs</w:t>
            </w:r>
          </w:p>
        </w:tc>
        <w:tc>
          <w:tcPr>
            <w:tcW w:w="48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(2,396)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4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(4,880)</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w:t>
            </w:r>
          </w:p>
        </w:tc>
      </w:tr>
      <w:tr>
        <w:trPr>
          <w:trHeight w:val="133"/>
        </w:trPr>
        <w:tc>
          <w:tcPr>
            <w:tcW w:w="6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Net Cash (Used in) Provided by Financing Activities</w:t>
            </w:r>
          </w:p>
        </w:tc>
        <w:tc>
          <w:tcPr>
            <w:tcW w:w="48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(530,290)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541,826</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26"/>
              <w:spacing w:after="0"/>
              <w:rPr>
                <w:sz w:val="20"/>
                <w:szCs w:val="20"/>
                <w:color w:val="auto"/>
              </w:rPr>
            </w:pPr>
            <w:r>
              <w:rPr>
                <w:rFonts w:ascii="Arial" w:cs="Arial" w:eastAsia="Arial" w:hAnsi="Arial"/>
                <w:sz w:val="11"/>
                <w:szCs w:val="11"/>
                <w:color w:val="auto"/>
              </w:rPr>
              <w:t>(223,159)</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NET INCREASE (DECREASE) IN CASH, CASH EQUIVALENTS, AND RESTRICTED CASH</w:t>
            </w:r>
          </w:p>
        </w:tc>
        <w:tc>
          <w:tcPr>
            <w:tcW w:w="48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149,872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110,047</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(39,467)</w:t>
            </w: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CASH EQUIVALENTS, AND RESTRICTED CASH AT BEGINNING OF PERIOD</w:t>
            </w:r>
          </w:p>
        </w:tc>
        <w:tc>
          <w:tcPr>
            <w:tcW w:w="48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118,648</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8,601</w:t>
            </w:r>
          </w:p>
        </w:tc>
        <w:tc>
          <w:tcPr>
            <w:tcW w:w="16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48,068</w:t>
            </w:r>
          </w:p>
        </w:tc>
      </w:tr>
      <w:tr>
        <w:trPr>
          <w:trHeight w:val="142"/>
        </w:trPr>
        <w:tc>
          <w:tcPr>
            <w:tcW w:w="6740" w:type="dxa"/>
            <w:vAlign w:val="bottom"/>
          </w:tcPr>
          <w:p>
            <w:pPr>
              <w:spacing w:after="0"/>
              <w:rPr>
                <w:sz w:val="20"/>
                <w:szCs w:val="20"/>
                <w:color w:val="auto"/>
              </w:rPr>
            </w:pPr>
            <w:r>
              <w:rPr>
                <w:rFonts w:ascii="Arial" w:cs="Arial" w:eastAsia="Arial" w:hAnsi="Arial"/>
                <w:sz w:val="11"/>
                <w:szCs w:val="11"/>
                <w:b w:val="1"/>
                <w:bCs w:val="1"/>
                <w:color w:val="auto"/>
              </w:rPr>
              <w:t>CASH, CASH EQUIVALENTS, AND RESTRICTED CASH AT END OF PERIOD</w:t>
            </w:r>
          </w:p>
        </w:tc>
        <w:tc>
          <w:tcPr>
            <w:tcW w:w="480" w:type="dxa"/>
            <w:vAlign w:val="bottom"/>
            <w:tcBorders>
              <w:bottom w:val="single" w:sz="8" w:color="004483"/>
            </w:tcBorders>
          </w:tcPr>
          <w:p>
            <w:pPr>
              <w:jc w:val="right"/>
              <w:ind w:right="413"/>
              <w:spacing w:after="0"/>
              <w:rPr>
                <w:sz w:val="20"/>
                <w:szCs w:val="20"/>
                <w:color w:val="auto"/>
              </w:rPr>
            </w:pPr>
            <w:r>
              <w:rPr>
                <w:rFonts w:ascii="Arial" w:cs="Arial" w:eastAsia="Arial" w:hAnsi="Arial"/>
                <w:sz w:val="5"/>
                <w:szCs w:val="5"/>
                <w:b w:val="1"/>
                <w:bCs w:val="1"/>
                <w:color w:val="auto"/>
                <w:w w:val="70"/>
              </w:rPr>
              <w:t>$</w:t>
            </w:r>
          </w:p>
        </w:tc>
        <w:tc>
          <w:tcPr>
            <w:tcW w:w="9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268,520</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118,648</w:t>
            </w:r>
          </w:p>
        </w:tc>
        <w:tc>
          <w:tcPr>
            <w:tcW w:w="160" w:type="dxa"/>
            <w:vAlign w:val="bottom"/>
          </w:tcPr>
          <w:p>
            <w:pPr>
              <w:spacing w:after="0"/>
              <w:rPr>
                <w:sz w:val="12"/>
                <w:szCs w:val="12"/>
                <w:color w:val="auto"/>
              </w:rPr>
            </w:pPr>
          </w:p>
        </w:tc>
        <w:tc>
          <w:tcPr>
            <w:tcW w:w="480" w:type="dxa"/>
            <w:vAlign w:val="bottom"/>
            <w:tcBorders>
              <w:bottom w:val="single" w:sz="8" w:color="004483"/>
            </w:tcBorders>
          </w:tcPr>
          <w:p>
            <w:pPr>
              <w:jc w:val="right"/>
              <w:ind w:right="413"/>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8,601</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EAGLE MATERIALS INC. AND SUBSIDIARIES CONSOLIDATED STATEMENTS OF STOCKHOLDERS’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rPr>
              <w:t>Capital in</w:t>
            </w: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rPr>
              <w:t>Other</w:t>
            </w: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rPr>
              <w:t>Common</w:t>
            </w:r>
          </w:p>
        </w:tc>
        <w:tc>
          <w:tcPr>
            <w:tcW w:w="320" w:type="dxa"/>
            <w:vAlign w:val="bottom"/>
          </w:tcPr>
          <w:p>
            <w:pPr>
              <w:spacing w:after="0"/>
              <w:rPr>
                <w:sz w:val="8"/>
                <w:szCs w:val="8"/>
                <w:color w:val="auto"/>
              </w:rPr>
            </w:pPr>
          </w:p>
        </w:tc>
        <w:tc>
          <w:tcPr>
            <w:tcW w:w="92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1140" w:type="dxa"/>
            <w:vAlign w:val="bottom"/>
            <w:gridSpan w:val="2"/>
          </w:tcPr>
          <w:p>
            <w:pPr>
              <w:ind w:left="520"/>
              <w:spacing w:after="0" w:line="99"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rPr>
              <w:t>Comprehensive</w:t>
            </w: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14"/>
        </w:trPr>
        <w:tc>
          <w:tcPr>
            <w:tcW w:w="5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Stock</w:t>
            </w:r>
          </w:p>
        </w:tc>
        <w:tc>
          <w:tcPr>
            <w:tcW w:w="320" w:type="dxa"/>
            <w:vAlign w:val="bottom"/>
          </w:tcPr>
          <w:p>
            <w:pPr>
              <w:spacing w:after="0"/>
              <w:rPr>
                <w:sz w:val="9"/>
                <w:szCs w:val="9"/>
                <w:color w:val="auto"/>
              </w:rPr>
            </w:pPr>
          </w:p>
        </w:tc>
        <w:tc>
          <w:tcPr>
            <w:tcW w:w="92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9"/>
                <w:szCs w:val="9"/>
                <w:color w:val="auto"/>
              </w:rPr>
            </w:pPr>
          </w:p>
        </w:tc>
        <w:tc>
          <w:tcPr>
            <w:tcW w:w="1140" w:type="dxa"/>
            <w:vAlign w:val="bottom"/>
            <w:gridSpan w:val="2"/>
          </w:tcPr>
          <w:p>
            <w:pPr>
              <w:ind w:left="520"/>
              <w:spacing w:after="0" w:line="114" w:lineRule="exact"/>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9"/>
                <w:szCs w:val="9"/>
                <w:color w:val="auto"/>
              </w:rPr>
            </w:pPr>
          </w:p>
        </w:tc>
        <w:tc>
          <w:tcPr>
            <w:tcW w:w="10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Losses</w:t>
            </w:r>
          </w:p>
        </w:tc>
        <w:tc>
          <w:tcPr>
            <w:tcW w:w="320" w:type="dxa"/>
            <w:vAlign w:val="bottom"/>
          </w:tcPr>
          <w:p>
            <w:pPr>
              <w:spacing w:after="0"/>
              <w:rPr>
                <w:sz w:val="9"/>
                <w:szCs w:val="9"/>
                <w:color w:val="auto"/>
              </w:rPr>
            </w:pPr>
          </w:p>
        </w:tc>
        <w:tc>
          <w:tcPr>
            <w:tcW w:w="820" w:type="dxa"/>
            <w:vAlign w:val="bottom"/>
          </w:tcPr>
          <w:p>
            <w:pPr>
              <w:jc w:val="right"/>
              <w:ind w:right="66"/>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2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2"/>
          </w:tcPr>
          <w:p>
            <w:pPr>
              <w:ind w:left="40"/>
              <w:spacing w:after="0"/>
              <w:rPr>
                <w:sz w:val="20"/>
                <w:szCs w:val="20"/>
                <w:color w:val="auto"/>
              </w:rPr>
            </w:pPr>
            <w:r>
              <w:rPr>
                <w:rFonts w:ascii="Arial" w:cs="Arial" w:eastAsia="Arial" w:hAnsi="Arial"/>
                <w:sz w:val="8"/>
                <w:szCs w:val="8"/>
                <w:color w:val="auto"/>
              </w:rPr>
              <w:t>(dollars in thousands)</w:t>
            </w:r>
          </w:p>
        </w:tc>
        <w:tc>
          <w:tcPr>
            <w:tcW w:w="200" w:type="dxa"/>
            <w:vAlign w:val="bottom"/>
            <w:tcBorders>
              <w:bottom w:val="single" w:sz="8" w:color="004483"/>
            </w:tcBorders>
          </w:tcPr>
          <w:p>
            <w:pPr>
              <w:spacing w:after="0"/>
              <w:rPr>
                <w:sz w:val="8"/>
                <w:szCs w:val="8"/>
                <w:color w:val="auto"/>
              </w:rPr>
            </w:pPr>
          </w:p>
        </w:tc>
        <w:tc>
          <w:tcPr>
            <w:tcW w:w="9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Balance at March 31, 2018</w:t>
            </w:r>
          </w:p>
        </w:tc>
        <w:tc>
          <w:tcPr>
            <w:tcW w:w="340" w:type="dxa"/>
            <w:vAlign w:val="bottom"/>
            <w:tcBorders>
              <w:bottom w:val="single" w:sz="8" w:color="A6A6A6"/>
            </w:tcBorders>
          </w:tcPr>
          <w:p>
            <w:pPr>
              <w:jc w:val="right"/>
              <w:ind w:right="27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6A6A6"/>
            </w:tcBorders>
          </w:tcPr>
          <w:p>
            <w:pPr>
              <w:jc w:val="right"/>
              <w:ind w:right="46"/>
              <w:spacing w:after="0"/>
              <w:rPr>
                <w:sz w:val="20"/>
                <w:szCs w:val="20"/>
                <w:color w:val="auto"/>
              </w:rPr>
            </w:pPr>
            <w:r>
              <w:rPr>
                <w:rFonts w:ascii="Arial" w:cs="Arial" w:eastAsia="Arial" w:hAnsi="Arial"/>
                <w:sz w:val="11"/>
                <w:szCs w:val="11"/>
                <w:color w:val="auto"/>
              </w:rPr>
              <w:t>483</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122,379</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1,298,840</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(4,012)</w:t>
            </w: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1,417,690</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68,860</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68,860</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Option Exercises and Restricted Share Vesting</w:t>
            </w:r>
          </w:p>
        </w:tc>
        <w:tc>
          <w:tcPr>
            <w:tcW w:w="3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4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2,103</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2,104</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Purchase and Retirement of Common Stock</w:t>
            </w:r>
          </w:p>
        </w:tc>
        <w:tc>
          <w:tcPr>
            <w:tcW w:w="3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(33)</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(135,243)</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(136,712)</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(271,988)</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Dividends to Stockholders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(18,636)</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(18,636)</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Compensation Expense</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15,108</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15,108</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Shares Redeemed to Settle Employee Taxes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(4,347)</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(4,347)</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Unfunded Pension Liability, net of tax</w:t>
            </w:r>
          </w:p>
        </w:tc>
        <w:tc>
          <w:tcPr>
            <w:tcW w:w="340" w:type="dxa"/>
            <w:vAlign w:val="bottom"/>
            <w:tcBorders>
              <w:bottom w:val="single" w:sz="8" w:color="004483"/>
            </w:tcBorders>
          </w:tcPr>
          <w:p>
            <w:pPr>
              <w:spacing w:after="0"/>
              <w:rPr>
                <w:sz w:val="11"/>
                <w:szCs w:val="11"/>
                <w:color w:val="auto"/>
              </w:rPr>
            </w:pPr>
          </w:p>
        </w:tc>
        <w:tc>
          <w:tcPr>
            <w:tcW w:w="760" w:type="dxa"/>
            <w:vAlign w:val="bottom"/>
            <w:tcBorders>
              <w:bottom w:val="single" w:sz="8" w:color="004483"/>
            </w:tcBorders>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004483"/>
            </w:tcBorders>
          </w:tcPr>
          <w:p>
            <w:pPr>
              <w:spacing w:after="0"/>
              <w:rPr>
                <w:sz w:val="11"/>
                <w:szCs w:val="11"/>
                <w:color w:val="auto"/>
              </w:rPr>
            </w:pPr>
          </w:p>
        </w:tc>
        <w:tc>
          <w:tcPr>
            <w:tcW w:w="80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696</w:t>
            </w: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ind w:right="66"/>
              <w:spacing w:after="0"/>
              <w:rPr>
                <w:sz w:val="20"/>
                <w:szCs w:val="20"/>
                <w:color w:val="auto"/>
              </w:rPr>
            </w:pPr>
            <w:r>
              <w:rPr>
                <w:rFonts w:ascii="Arial" w:cs="Arial" w:eastAsia="Arial" w:hAnsi="Arial"/>
                <w:sz w:val="11"/>
                <w:szCs w:val="11"/>
                <w:color w:val="auto"/>
              </w:rPr>
              <w:t>696</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Balance at March 31, 2019</w:t>
            </w:r>
          </w:p>
        </w:tc>
        <w:tc>
          <w:tcPr>
            <w:tcW w:w="340" w:type="dxa"/>
            <w:vAlign w:val="bottom"/>
            <w:tcBorders>
              <w:bottom w:val="single" w:sz="8" w:color="A6A6A6"/>
            </w:tcBorders>
          </w:tcPr>
          <w:p>
            <w:pPr>
              <w:jc w:val="right"/>
              <w:ind w:right="27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6A6A6"/>
            </w:tcBorders>
          </w:tcPr>
          <w:p>
            <w:pPr>
              <w:jc w:val="right"/>
              <w:ind w:right="46"/>
              <w:spacing w:after="0"/>
              <w:rPr>
                <w:sz w:val="20"/>
                <w:szCs w:val="20"/>
                <w:color w:val="auto"/>
              </w:rPr>
            </w:pPr>
            <w:r>
              <w:rPr>
                <w:rFonts w:ascii="Arial" w:cs="Arial" w:eastAsia="Arial" w:hAnsi="Arial"/>
                <w:sz w:val="11"/>
                <w:szCs w:val="11"/>
                <w:color w:val="auto"/>
              </w:rPr>
              <w:t>451</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1,212,352</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(3,316)</w:t>
            </w: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1,209,487</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70,894</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70,894</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Option Exercises and Restricted Share Vesting</w:t>
            </w:r>
          </w:p>
        </w:tc>
        <w:tc>
          <w:tcPr>
            <w:tcW w:w="3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4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3,298</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3,299</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Purchase and Retirement of Common Stock</w:t>
            </w:r>
          </w:p>
        </w:tc>
        <w:tc>
          <w:tcPr>
            <w:tcW w:w="3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(36)</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(8,114)</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(305,737)</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(313,887)</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Dividends to Stockholders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(16,808)</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(16,808)</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Compensation Expense</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19,822</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19,822</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Shares Redeemed to Settle Employee Taxes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(4,063)</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(4,063)</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Cumulative Effect of Change in Accounting For Leases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(636)</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(636)</w:t>
            </w: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004483"/>
              </w:rPr>
              <w:t>Unfunded Pension Liability, net of tax</w:t>
            </w:r>
          </w:p>
        </w:tc>
        <w:tc>
          <w:tcPr>
            <w:tcW w:w="3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(265)</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Balance at March 31, 2020</w:t>
            </w:r>
          </w:p>
        </w:tc>
        <w:tc>
          <w:tcPr>
            <w:tcW w:w="340" w:type="dxa"/>
            <w:vAlign w:val="bottom"/>
            <w:tcBorders>
              <w:top w:val="single" w:sz="8" w:color="004483"/>
              <w:bottom w:val="single" w:sz="8" w:color="A6A6A6"/>
            </w:tcBorders>
          </w:tcPr>
          <w:p>
            <w:pPr>
              <w:jc w:val="right"/>
              <w:ind w:right="273"/>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004483"/>
              <w:bottom w:val="single" w:sz="8" w:color="A6A6A6"/>
            </w:tcBorders>
          </w:tcPr>
          <w:p>
            <w:pPr>
              <w:jc w:val="right"/>
              <w:ind w:right="46"/>
              <w:spacing w:after="0"/>
              <w:rPr>
                <w:sz w:val="20"/>
                <w:szCs w:val="20"/>
                <w:color w:val="auto"/>
              </w:rPr>
            </w:pPr>
            <w:r>
              <w:rPr>
                <w:rFonts w:ascii="Arial" w:cs="Arial" w:eastAsia="Arial" w:hAnsi="Arial"/>
                <w:sz w:val="11"/>
                <w:szCs w:val="11"/>
                <w:color w:val="auto"/>
              </w:rPr>
              <w:t>416</w:t>
            </w: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004483"/>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10,943</w:t>
            </w: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960,065</w:t>
            </w: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004483"/>
              <w:bottom w:val="single" w:sz="8" w:color="A6A6A6"/>
            </w:tcBorders>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004483"/>
              <w:bottom w:val="single" w:sz="8" w:color="A6A6A6"/>
            </w:tcBorders>
          </w:tcPr>
          <w:p>
            <w:pPr>
              <w:jc w:val="right"/>
              <w:ind w:right="27"/>
              <w:spacing w:after="0"/>
              <w:rPr>
                <w:sz w:val="20"/>
                <w:szCs w:val="20"/>
                <w:color w:val="auto"/>
              </w:rPr>
            </w:pPr>
            <w:r>
              <w:rPr>
                <w:rFonts w:ascii="Arial" w:cs="Arial" w:eastAsia="Arial" w:hAnsi="Arial"/>
                <w:sz w:val="11"/>
                <w:szCs w:val="11"/>
                <w:color w:val="auto"/>
              </w:rPr>
              <w:t>(3,581)</w:t>
            </w: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004483"/>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4483"/>
              <w:bottom w:val="single" w:sz="8" w:color="A6A6A6"/>
            </w:tcBorders>
          </w:tcPr>
          <w:p>
            <w:pPr>
              <w:jc w:val="right"/>
              <w:ind w:right="66"/>
              <w:spacing w:after="0"/>
              <w:rPr>
                <w:sz w:val="20"/>
                <w:szCs w:val="20"/>
                <w:color w:val="auto"/>
              </w:rPr>
            </w:pPr>
            <w:r>
              <w:rPr>
                <w:rFonts w:ascii="Arial" w:cs="Arial" w:eastAsia="Arial" w:hAnsi="Arial"/>
                <w:sz w:val="11"/>
                <w:szCs w:val="11"/>
                <w:color w:val="auto"/>
              </w:rPr>
              <w:t>967,843</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Net Earnings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339,444</w:t>
            </w: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339,444</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Option Exercises and Restricted Share Vesting</w:t>
            </w:r>
          </w:p>
        </w:tc>
        <w:tc>
          <w:tcPr>
            <w:tcW w:w="3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46"/>
              <w:spacing w:after="0"/>
              <w:rPr>
                <w:sz w:val="20"/>
                <w:szCs w:val="20"/>
                <w:color w:val="auto"/>
              </w:rPr>
            </w:pPr>
            <w:r>
              <w:rPr>
                <w:rFonts w:ascii="Arial" w:cs="Arial" w:eastAsia="Arial" w:hAnsi="Arial"/>
                <w:sz w:val="11"/>
                <w:szCs w:val="11"/>
                <w:color w:val="auto"/>
              </w:rPr>
              <w:t>8</w:t>
            </w: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40,449</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40,457</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Stock Compensation Expense</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15,291</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15,291</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Shares Redeemed to Settle Employee Taxes</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(4,186)</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26"/>
              <w:spacing w:after="0"/>
              <w:rPr>
                <w:sz w:val="20"/>
                <w:szCs w:val="20"/>
                <w:color w:val="auto"/>
              </w:rPr>
            </w:pPr>
            <w:r>
              <w:rPr>
                <w:rFonts w:ascii="Arial" w:cs="Arial" w:eastAsia="Arial" w:hAnsi="Arial"/>
                <w:sz w:val="11"/>
                <w:szCs w:val="11"/>
                <w:color w:val="auto"/>
              </w:rPr>
              <w:t>(4,186)</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Sale of Business with Unfunded Pension Liability</w:t>
            </w:r>
          </w:p>
        </w:tc>
        <w:tc>
          <w:tcPr>
            <w:tcW w:w="3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254</w:t>
            </w: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6"/>
              <w:spacing w:after="0"/>
              <w:rPr>
                <w:sz w:val="20"/>
                <w:szCs w:val="20"/>
                <w:color w:val="auto"/>
              </w:rPr>
            </w:pPr>
            <w:r>
              <w:rPr>
                <w:rFonts w:ascii="Arial" w:cs="Arial" w:eastAsia="Arial" w:hAnsi="Arial"/>
                <w:sz w:val="11"/>
                <w:szCs w:val="11"/>
                <w:color w:val="auto"/>
              </w:rPr>
              <w:t>254</w:t>
            </w: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004483"/>
              </w:rPr>
              <w:t>Unfunded Pension Liability, net of tax</w:t>
            </w:r>
          </w:p>
        </w:tc>
        <w:tc>
          <w:tcPr>
            <w:tcW w:w="3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(113)</w:t>
            </w:r>
          </w:p>
        </w:tc>
      </w:tr>
      <w:tr>
        <w:trPr>
          <w:trHeight w:val="142"/>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Balance at March 31, 2021</w:t>
            </w:r>
          </w:p>
        </w:tc>
        <w:tc>
          <w:tcPr>
            <w:tcW w:w="340" w:type="dxa"/>
            <w:vAlign w:val="bottom"/>
            <w:tcBorders>
              <w:top w:val="single" w:sz="8" w:color="004483"/>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004483"/>
              <w:bottom w:val="single" w:sz="8" w:color="004483"/>
            </w:tcBorders>
          </w:tcPr>
          <w:p>
            <w:pPr>
              <w:jc w:val="right"/>
              <w:ind w:right="46"/>
              <w:spacing w:after="0"/>
              <w:rPr>
                <w:sz w:val="20"/>
                <w:szCs w:val="20"/>
                <w:color w:val="auto"/>
              </w:rPr>
            </w:pPr>
            <w:r>
              <w:rPr>
                <w:rFonts w:ascii="Arial" w:cs="Arial" w:eastAsia="Arial" w:hAnsi="Arial"/>
                <w:sz w:val="11"/>
                <w:szCs w:val="11"/>
                <w:b w:val="1"/>
                <w:bCs w:val="1"/>
                <w:color w:val="auto"/>
              </w:rPr>
              <w:t>424</w:t>
            </w:r>
          </w:p>
        </w:tc>
        <w:tc>
          <w:tcPr>
            <w:tcW w:w="14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62,497</w:t>
            </w: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1,299,509</w:t>
            </w:r>
          </w:p>
        </w:tc>
        <w:tc>
          <w:tcPr>
            <w:tcW w:w="120" w:type="dxa"/>
            <w:vAlign w:val="bottom"/>
            <w:tcBorders>
              <w:top w:val="single" w:sz="8" w:color="A6A6A6"/>
            </w:tcBorders>
          </w:tcPr>
          <w:p>
            <w:pPr>
              <w:spacing w:after="0"/>
              <w:rPr>
                <w:sz w:val="12"/>
                <w:szCs w:val="12"/>
                <w:color w:val="auto"/>
              </w:rPr>
            </w:pPr>
          </w:p>
        </w:tc>
        <w:tc>
          <w:tcPr>
            <w:tcW w:w="200" w:type="dxa"/>
            <w:vAlign w:val="bottom"/>
            <w:tcBorders>
              <w:top w:val="single" w:sz="8" w:color="004483"/>
              <w:bottom w:val="single" w:sz="8" w:color="004483"/>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004483"/>
              <w:bottom w:val="single" w:sz="8" w:color="004483"/>
            </w:tcBorders>
          </w:tcPr>
          <w:p>
            <w:pPr>
              <w:jc w:val="right"/>
              <w:ind w:right="27"/>
              <w:spacing w:after="0"/>
              <w:rPr>
                <w:sz w:val="20"/>
                <w:szCs w:val="20"/>
                <w:color w:val="auto"/>
              </w:rPr>
            </w:pPr>
            <w:r>
              <w:rPr>
                <w:rFonts w:ascii="Arial" w:cs="Arial" w:eastAsia="Arial" w:hAnsi="Arial"/>
                <w:sz w:val="11"/>
                <w:szCs w:val="11"/>
                <w:b w:val="1"/>
                <w:bCs w:val="1"/>
                <w:color w:val="auto"/>
              </w:rPr>
              <w:t>(3,440)</w:t>
            </w:r>
          </w:p>
        </w:tc>
        <w:tc>
          <w:tcPr>
            <w:tcW w:w="12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ind w:right="66"/>
              <w:spacing w:after="0"/>
              <w:rPr>
                <w:sz w:val="20"/>
                <w:szCs w:val="20"/>
                <w:color w:val="auto"/>
              </w:rPr>
            </w:pPr>
            <w:r>
              <w:rPr>
                <w:rFonts w:ascii="Arial" w:cs="Arial" w:eastAsia="Arial" w:hAnsi="Arial"/>
                <w:sz w:val="11"/>
                <w:szCs w:val="11"/>
                <w:b w:val="1"/>
                <w:bCs w:val="1"/>
                <w:color w:val="auto"/>
              </w:rPr>
              <w:t>1,358,990</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62" w:name="page63"/>
    <w:bookmarkEnd w:id="62"/>
    <w:p>
      <w:pPr>
        <w:ind w:left="8"/>
        <w:spacing w:after="0"/>
        <w:rPr>
          <w:sz w:val="20"/>
          <w:szCs w:val="20"/>
          <w:color w:val="auto"/>
        </w:rPr>
      </w:pPr>
      <w:r>
        <w:rPr>
          <w:rFonts w:ascii="Arial" w:cs="Arial" w:eastAsia="Arial" w:hAnsi="Arial"/>
          <w:sz w:val="16"/>
          <w:szCs w:val="16"/>
          <w:b w:val="1"/>
          <w:bCs w:val="1"/>
          <w:color w:val="auto"/>
        </w:rPr>
        <w:t>Eagle Materials Inc. and Subsidiaries</w:t>
      </w:r>
    </w:p>
    <w:p>
      <w:pPr>
        <w:ind w:left="8"/>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0"/>
          <w:szCs w:val="10"/>
          <w:color w:val="auto"/>
        </w:rPr>
        <w:t>(dollars in thousands, except per share data)</w:t>
      </w:r>
    </w:p>
    <w:p>
      <w:pPr>
        <w:spacing w:after="0" w:line="116" w:lineRule="exact"/>
        <w:rPr>
          <w:sz w:val="20"/>
          <w:szCs w:val="20"/>
          <w:color w:val="auto"/>
        </w:rPr>
      </w:pPr>
    </w:p>
    <w:p>
      <w:pPr>
        <w:ind w:left="8" w:right="8600" w:hanging="8"/>
        <w:spacing w:after="0" w:line="382" w:lineRule="auto"/>
        <w:tabs>
          <w:tab w:leader="none" w:pos="228" w:val="left"/>
        </w:tabs>
        <w:numPr>
          <w:ilvl w:val="0"/>
          <w:numId w:val="19"/>
        </w:numPr>
        <w:rPr>
          <w:rFonts w:ascii="Arial" w:cs="Arial" w:eastAsia="Arial" w:hAnsi="Arial"/>
          <w:sz w:val="13"/>
          <w:szCs w:val="13"/>
          <w:b w:val="1"/>
          <w:bCs w:val="1"/>
          <w:color w:val="004483"/>
        </w:rPr>
      </w:pPr>
      <w:r>
        <w:rPr>
          <w:rFonts w:ascii="Arial" w:cs="Arial" w:eastAsia="Arial" w:hAnsi="Arial"/>
          <w:sz w:val="13"/>
          <w:szCs w:val="13"/>
          <w:b w:val="1"/>
          <w:bCs w:val="1"/>
          <w:color w:val="004483"/>
        </w:rPr>
        <w:t xml:space="preserve">SIGNIFICANT ACCOUNTING POLICIES </w:t>
      </w:r>
      <w:r>
        <w:rPr>
          <w:rFonts w:ascii="Arial" w:cs="Arial" w:eastAsia="Arial" w:hAnsi="Arial"/>
          <w:sz w:val="13"/>
          <w:szCs w:val="13"/>
          <w:b w:val="1"/>
          <w:bCs w:val="1"/>
          <w:u w:val="single" w:color="auto"/>
          <w:color w:val="004483"/>
        </w:rPr>
        <w:t>Basis of Presentation</w:t>
      </w:r>
    </w:p>
    <w:p>
      <w:pPr>
        <w:spacing w:after="0" w:line="1"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67" w:lineRule="exact"/>
        <w:rPr>
          <w:sz w:val="20"/>
          <w:szCs w:val="20"/>
          <w:color w:val="auto"/>
        </w:rPr>
      </w:pPr>
    </w:p>
    <w:p>
      <w:pPr>
        <w:ind w:left="8"/>
        <w:spacing w:after="0" w:line="271" w:lineRule="auto"/>
        <w:rPr>
          <w:sz w:val="20"/>
          <w:szCs w:val="20"/>
          <w:color w:val="auto"/>
        </w:rPr>
      </w:pPr>
      <w:r>
        <w:rPr>
          <w:rFonts w:ascii="Arial" w:cs="Arial" w:eastAsia="Arial" w:hAnsi="Arial"/>
          <w:sz w:val="12"/>
          <w:szCs w:val="12"/>
          <w:color w:val="auto"/>
        </w:rPr>
        <w:t>On September 18, 2020, we sold our Oil and Gas Proppants business, which had been previously reported as a separate operating segment, for a purchase price of $2.0 million. The sale resulted in a gain of approximately $9.2 million. Because the sale of the Oil and Gas Proppants business was determined to meet the accounting criteria for discontinued operations, this segment is no longer separately reported in our reportable segment footnote for any of the periods presented. See Footnote (C) for more information about the sale of the Oil and Gas Proppants business.</w:t>
      </w:r>
    </w:p>
    <w:p>
      <w:pPr>
        <w:spacing w:after="0" w:line="64" w:lineRule="exact"/>
        <w:rPr>
          <w:sz w:val="20"/>
          <w:szCs w:val="20"/>
          <w:color w:val="auto"/>
        </w:rPr>
      </w:pPr>
    </w:p>
    <w:p>
      <w:pPr>
        <w:ind w:left="8" w:right="40"/>
        <w:spacing w:after="0" w:line="271"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Cash and Cash Equivalents</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Equivalents include short-term, highly liquid investments with original maturities of three months or less and are recorded at cost, which approximates market value.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Restricted Cash</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Restricted Cash is comprised of cash reserved by contractual agreement for a specific use. Restricted Cash is generally held in an escrow account and distributed under the terms of the contract or agreement.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Restricted Cash is included with Cash and Cash Equivalents on the Consolidated Statement of Cash Flows.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Accounts and Notes Receivable</w:t>
      </w:r>
    </w:p>
    <w:p>
      <w:pPr>
        <w:spacing w:after="0" w:line="102" w:lineRule="exact"/>
        <w:rPr>
          <w:sz w:val="20"/>
          <w:szCs w:val="20"/>
          <w:color w:val="auto"/>
        </w:rPr>
      </w:pPr>
    </w:p>
    <w:p>
      <w:pPr>
        <w:ind w:left="8" w:right="20"/>
        <w:spacing w:after="0" w:line="271" w:lineRule="auto"/>
        <w:rPr>
          <w:sz w:val="20"/>
          <w:szCs w:val="20"/>
          <w:color w:val="auto"/>
        </w:rPr>
      </w:pPr>
      <w:r>
        <w:rPr>
          <w:rFonts w:ascii="Arial" w:cs="Arial" w:eastAsia="Arial" w:hAnsi="Arial"/>
          <w:sz w:val="12"/>
          <w:szCs w:val="12"/>
          <w:color w:val="auto"/>
        </w:rPr>
        <w:t>Accounts and Notes Receivable have been shown net of the allowance for doubtful accounts of $8.1 million and $9.3 million (net of allowance for doubtful accounts related to discontinued operations) at March 31, 2021 and 2020,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w:t>
      </w:r>
    </w:p>
    <w:p>
      <w:pPr>
        <w:spacing w:after="0" w:line="397"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588" w:right="359" w:bottom="1440" w:gutter="0" w:footer="0" w:header="0"/>
        </w:sectPr>
      </w:pPr>
    </w:p>
    <w:bookmarkStart w:id="63" w:name="page64"/>
    <w:bookmarkEnd w:id="63"/>
    <w:p>
      <w:pPr>
        <w:ind w:right="20"/>
        <w:spacing w:after="0" w:line="271" w:lineRule="auto"/>
        <w:rPr>
          <w:sz w:val="20"/>
          <w:szCs w:val="20"/>
          <w:color w:val="auto"/>
        </w:rPr>
      </w:pPr>
      <w:r>
        <w:rPr>
          <w:rFonts w:ascii="Arial" w:cs="Arial" w:eastAsia="Arial" w:hAnsi="Arial"/>
          <w:sz w:val="12"/>
          <w:szCs w:val="12"/>
          <w:color w:val="auto"/>
        </w:rPr>
        <w:t>trends in the construction industry, and a specific reserve for accounts deemed at risk. We have no significant credit risk concentration among our diversified customer base. Bad debt expense was approximately $0.7 million, $3.4 million, and $1.2 million for the fiscal years ended March 31, 2021, 2020, and 2019, respectively. Write-offs of accounts receivable were approximately $1.2 million, $0.3 million, and $0.2 million for the fiscal years ended March 31, 2021, 2020 and 2019, respectively.</w:t>
      </w:r>
    </w:p>
    <w:p>
      <w:pPr>
        <w:spacing w:after="0" w:line="64" w:lineRule="exact"/>
        <w:rPr>
          <w:sz w:val="20"/>
          <w:szCs w:val="20"/>
          <w:color w:val="auto"/>
        </w:rPr>
      </w:pPr>
    </w:p>
    <w:p>
      <w:pPr>
        <w:jc w:val="both"/>
        <w:ind w:right="80"/>
        <w:spacing w:after="0" w:line="271" w:lineRule="auto"/>
        <w:rPr>
          <w:sz w:val="20"/>
          <w:szCs w:val="20"/>
          <w:color w:val="auto"/>
        </w:rPr>
      </w:pPr>
      <w:r>
        <w:rPr>
          <w:rFonts w:ascii="Arial" w:cs="Arial" w:eastAsia="Arial" w:hAnsi="Arial"/>
          <w:sz w:val="12"/>
          <w:szCs w:val="12"/>
          <w:color w:val="auto"/>
        </w:rPr>
        <w:t>We had Notes Receivable totaling approximately $8.4 million at March 31, 2021, of which none was classified as current. We lend funds to certain companies in the ordinary course of business, and the notes bear interest, on average, at 3.1%. Remaining unpaid amounts, plus accrued interest, mature in fiscal 2025. The notes are collateralized by certain assets of the borrowers, namely property and equipment. We monitor the credit risk of each borrower by focusing on the timeliness of payments, review of credit history, credit metrics, and interaction with the borrowers.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Inventories</w:t>
      </w:r>
    </w:p>
    <w:p>
      <w:pPr>
        <w:spacing w:after="0" w:line="102"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940" w:type="dxa"/>
            <w:vAlign w:val="bottom"/>
            <w:gridSpan w:val="3"/>
            <w:shd w:val="clear" w:color="auto" w:fill="004483"/>
          </w:tcPr>
          <w:p>
            <w:pPr>
              <w:jc w:val="right"/>
              <w:ind w:right="653"/>
              <w:spacing w:after="0"/>
              <w:rPr>
                <w:sz w:val="20"/>
                <w:szCs w:val="20"/>
                <w:color w:val="auto"/>
              </w:rPr>
            </w:pPr>
            <w:r>
              <w:rPr>
                <w:rFonts w:ascii="Arial" w:cs="Arial" w:eastAsia="Arial" w:hAnsi="Arial"/>
                <w:sz w:val="8"/>
                <w:szCs w:val="8"/>
                <w:b w:val="1"/>
                <w:bCs w:val="1"/>
                <w:color w:val="FFFFFF"/>
              </w:rPr>
              <w:t>March 31,</w:t>
            </w:r>
          </w:p>
        </w:tc>
        <w:tc>
          <w:tcPr>
            <w:tcW w:w="98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jc w:val="right"/>
              <w:ind w:right="69"/>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3"/>
          </w:tcPr>
          <w:p>
            <w:pPr>
              <w:jc w:val="right"/>
              <w:ind w:right="473"/>
              <w:spacing w:after="0"/>
              <w:rPr>
                <w:sz w:val="20"/>
                <w:szCs w:val="20"/>
                <w:color w:val="auto"/>
              </w:rPr>
            </w:pPr>
            <w:r>
              <w:rPr>
                <w:rFonts w:ascii="Arial" w:cs="Arial" w:eastAsia="Arial" w:hAnsi="Arial"/>
                <w:sz w:val="8"/>
                <w:szCs w:val="8"/>
                <w:color w:val="auto"/>
              </w:rPr>
              <w:t>(dollars in thousands)</w:t>
            </w:r>
          </w:p>
        </w:tc>
        <w:tc>
          <w:tcPr>
            <w:tcW w:w="98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Raw Materials and Materials-in-Progress</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92,696</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110,558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386191"/>
              </w:rPr>
              <w:t>Finished Cement</w:t>
            </w: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34,362</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43,538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3983C5"/>
              </w:rPr>
              <w:t>Aggregates</w:t>
            </w: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2,933</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8,416</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77943C"/>
              </w:rPr>
              <w:t>Gypsum Wallboard</w:t>
            </w: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4,177</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4,211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EB949"/>
              </w:rPr>
              <w:t>Paperboard</w:t>
            </w: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5,031</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5,715</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Repair Parts and Supplies</w:t>
            </w: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86,750</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88,094</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Fuel and Coal</w:t>
            </w:r>
          </w:p>
        </w:tc>
        <w:tc>
          <w:tcPr>
            <w:tcW w:w="640" w:type="dxa"/>
            <w:vAlign w:val="bottom"/>
            <w:tcBorders>
              <w:bottom w:val="single" w:sz="8" w:color="004483"/>
            </w:tcBorders>
          </w:tcPr>
          <w:p>
            <w:pPr>
              <w:spacing w:after="0"/>
              <w:rPr>
                <w:sz w:val="11"/>
                <w:szCs w:val="11"/>
                <w:color w:val="auto"/>
              </w:rPr>
            </w:pPr>
          </w:p>
        </w:tc>
        <w:tc>
          <w:tcPr>
            <w:tcW w:w="10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9,800</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11,589</w:t>
            </w:r>
          </w:p>
        </w:tc>
      </w:tr>
      <w:tr>
        <w:trPr>
          <w:trHeight w:val="142"/>
        </w:trPr>
        <w:tc>
          <w:tcPr>
            <w:tcW w:w="7740" w:type="dxa"/>
            <w:vAlign w:val="bottom"/>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235,749</w:t>
            </w: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272,121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Property, Plant, and Equipment</w:t>
      </w:r>
    </w:p>
    <w:p>
      <w:pPr>
        <w:spacing w:after="0" w:line="102"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$120.7 million, $109.5 million, and $118.2 million, for the fiscal years ended March 31, 2021, 2020, and 2019,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2"/>
                <w:szCs w:val="12"/>
                <w:b w:val="1"/>
                <w:bCs w:val="1"/>
                <w:color w:val="004483"/>
              </w:rPr>
              <w:t>Plants</w:t>
            </w:r>
          </w:p>
        </w:tc>
        <w:tc>
          <w:tcPr>
            <w:tcW w:w="78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2"/>
                <w:szCs w:val="12"/>
                <w:color w:val="auto"/>
              </w:rPr>
              <w:t>20 to 30 years</w:t>
            </w:r>
          </w:p>
        </w:tc>
      </w:tr>
      <w:tr>
        <w:trPr>
          <w:trHeight w:val="142"/>
        </w:trPr>
        <w:tc>
          <w:tcPr>
            <w:tcW w:w="3480" w:type="dxa"/>
            <w:vAlign w:val="bottom"/>
            <w:tcBorders>
              <w:bottom w:val="single" w:sz="8" w:color="A6A6A6"/>
            </w:tcBorders>
          </w:tcPr>
          <w:p>
            <w:pPr>
              <w:spacing w:after="0"/>
              <w:rPr>
                <w:sz w:val="20"/>
                <w:szCs w:val="20"/>
                <w:color w:val="auto"/>
              </w:rPr>
            </w:pPr>
            <w:r>
              <w:rPr>
                <w:rFonts w:ascii="Arial" w:cs="Arial" w:eastAsia="Arial" w:hAnsi="Arial"/>
                <w:sz w:val="12"/>
                <w:szCs w:val="12"/>
                <w:b w:val="1"/>
                <w:bCs w:val="1"/>
                <w:color w:val="004483"/>
              </w:rPr>
              <w:t>Buildings</w:t>
            </w:r>
          </w:p>
        </w:tc>
        <w:tc>
          <w:tcPr>
            <w:tcW w:w="7820" w:type="dxa"/>
            <w:vAlign w:val="bottom"/>
            <w:tcBorders>
              <w:bottom w:val="single" w:sz="8" w:color="A6A6A6"/>
            </w:tcBorders>
          </w:tcPr>
          <w:p>
            <w:pPr>
              <w:jc w:val="right"/>
              <w:spacing w:after="0"/>
              <w:rPr>
                <w:sz w:val="20"/>
                <w:szCs w:val="20"/>
                <w:color w:val="auto"/>
              </w:rPr>
            </w:pPr>
            <w:r>
              <w:rPr>
                <w:rFonts w:ascii="Arial" w:cs="Arial" w:eastAsia="Arial" w:hAnsi="Arial"/>
                <w:sz w:val="12"/>
                <w:szCs w:val="12"/>
                <w:color w:val="auto"/>
              </w:rPr>
              <w:t>20 to 40 years</w:t>
            </w:r>
          </w:p>
        </w:tc>
      </w:tr>
      <w:tr>
        <w:trPr>
          <w:trHeight w:val="142"/>
        </w:trPr>
        <w:tc>
          <w:tcPr>
            <w:tcW w:w="3480" w:type="dxa"/>
            <w:vAlign w:val="bottom"/>
            <w:tcBorders>
              <w:bottom w:val="single" w:sz="8" w:color="A6A6A6"/>
            </w:tcBorders>
          </w:tcPr>
          <w:p>
            <w:pPr>
              <w:spacing w:after="0"/>
              <w:rPr>
                <w:sz w:val="20"/>
                <w:szCs w:val="20"/>
                <w:color w:val="auto"/>
              </w:rPr>
            </w:pPr>
            <w:r>
              <w:rPr>
                <w:rFonts w:ascii="Arial" w:cs="Arial" w:eastAsia="Arial" w:hAnsi="Arial"/>
                <w:sz w:val="12"/>
                <w:szCs w:val="12"/>
                <w:b w:val="1"/>
                <w:bCs w:val="1"/>
                <w:color w:val="004483"/>
              </w:rPr>
              <w:t>Machinery and Equipment</w:t>
            </w:r>
          </w:p>
        </w:tc>
        <w:tc>
          <w:tcPr>
            <w:tcW w:w="7820" w:type="dxa"/>
            <w:vAlign w:val="bottom"/>
            <w:tcBorders>
              <w:bottom w:val="single" w:sz="8" w:color="A6A6A6"/>
            </w:tcBorders>
          </w:tcPr>
          <w:p>
            <w:pPr>
              <w:jc w:val="right"/>
              <w:spacing w:after="0"/>
              <w:rPr>
                <w:sz w:val="20"/>
                <w:szCs w:val="20"/>
                <w:color w:val="auto"/>
              </w:rPr>
            </w:pPr>
            <w:r>
              <w:rPr>
                <w:rFonts w:ascii="Arial" w:cs="Arial" w:eastAsia="Arial" w:hAnsi="Arial"/>
                <w:sz w:val="12"/>
                <w:szCs w:val="12"/>
                <w:color w:val="auto"/>
              </w:rPr>
              <w:t>3 to 25 years</w:t>
            </w:r>
          </w:p>
        </w:tc>
      </w:tr>
      <w:tr>
        <w:trPr>
          <w:trHeight w:val="700"/>
        </w:trPr>
        <w:tc>
          <w:tcPr>
            <w:tcW w:w="3480" w:type="dxa"/>
            <w:vAlign w:val="bottom"/>
          </w:tcPr>
          <w:p>
            <w:pPr>
              <w:spacing w:after="0"/>
              <w:rPr>
                <w:sz w:val="24"/>
                <w:szCs w:val="24"/>
                <w:color w:val="auto"/>
              </w:rPr>
            </w:pPr>
          </w:p>
        </w:tc>
        <w:tc>
          <w:tcPr>
            <w:tcW w:w="7820" w:type="dxa"/>
            <w:vAlign w:val="bottom"/>
          </w:tcPr>
          <w:p>
            <w:pPr>
              <w:jc w:val="right"/>
              <w:ind w:right="5520"/>
              <w:spacing w:after="0"/>
              <w:rPr>
                <w:sz w:val="20"/>
                <w:szCs w:val="20"/>
                <w:color w:val="auto"/>
              </w:rPr>
            </w:pPr>
            <w:r>
              <w:rPr>
                <w:rFonts w:ascii="Arial" w:cs="Arial" w:eastAsia="Arial" w:hAnsi="Arial"/>
                <w:sz w:val="12"/>
                <w:szCs w:val="12"/>
                <w:color w:val="auto"/>
              </w:rPr>
              <w:t>62</w:t>
            </w:r>
          </w:p>
        </w:tc>
      </w:tr>
      <w:tr>
        <w:trPr>
          <w:trHeight w:val="63"/>
        </w:trPr>
        <w:tc>
          <w:tcPr>
            <w:tcW w:w="3480" w:type="dxa"/>
            <w:vAlign w:val="bottom"/>
            <w:tcBorders>
              <w:bottom w:val="single" w:sz="8" w:color="9A9A9A"/>
            </w:tcBorders>
          </w:tcPr>
          <w:p>
            <w:pPr>
              <w:spacing w:after="0"/>
              <w:rPr>
                <w:sz w:val="5"/>
                <w:szCs w:val="5"/>
                <w:color w:val="auto"/>
              </w:rPr>
            </w:pPr>
          </w:p>
        </w:tc>
        <w:tc>
          <w:tcPr>
            <w:tcW w:w="78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64" w:name="page65"/>
    <w:bookmarkEnd w:id="64"/>
    <w:p>
      <w:pPr>
        <w:jc w:val="both"/>
        <w:spacing w:after="0" w:line="271" w:lineRule="auto"/>
        <w:rPr>
          <w:sz w:val="20"/>
          <w:szCs w:val="20"/>
          <w:color w:val="auto"/>
        </w:rPr>
      </w:pPr>
      <w:r>
        <w:rPr>
          <w:rFonts w:ascii="Arial" w:cs="Arial" w:eastAsia="Arial" w:hAnsi="Arial"/>
          <w:sz w:val="12"/>
          <w:szCs w:val="12"/>
          <w:color w:val="auto"/>
        </w:rPr>
        <w:t>We periodically evaluate whether current events or circumstances indicate that the carrying value of our depreciable assets may not be recoverable. During fiscal years 2020 and 2019, we recorded impairments of approximately $11.2 million and $37.2 million, respectively, related to property and equipment that was part of our Oil and Gas Proppants segment, but was not included in the sale of this business. See Impairment or Disposal of Long-lived and Intangible Assets below for more information about the impairments.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Goodwill and Intangible Assets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GOODWILL</w:t>
      </w:r>
    </w:p>
    <w:p>
      <w:pPr>
        <w:spacing w:after="0" w:line="101"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59"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Goodwill is considered impaired if the carrying value of the reporting unit exceeds its fair value. Prior to performing the Step 1 quantitative analysis, we may, at our discretion, perform an optional qualitative analysis, or we may choose to proceed directly to the Step 1 quantitative analysis.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analysis is not required. If we are unable to conclude that it is more likely than not that the fair value of the reporting unit exceeds its carrying value, then we proceed to the quantitative Step 1 analysis.</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analysis and the carrying value of the reporting unit exceeds its fair value, then an impairment charge equal to the difference, not to exceed the total amount of Goodwill, is recorded.</w:t>
      </w:r>
    </w:p>
    <w:p>
      <w:pPr>
        <w:spacing w:after="0" w:line="64"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in order to test the reasonableness of our fair value calculations.</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We performed a quantitative Step 1 impairment test on our all of our reporting units with Goodwill during the fourth quarter of fiscal 2021. We estimated the reporting unit’s fair value using a discounted cash flow model as well as a market analysis. Key assumptions in the model included estimated average net sales prices, sales volumes, and the estimated weighted average cost of capital specific to each industry. Based on the results of the Step 1 impairment analysis, we concluded that the fair values of the reporting units substantially exceeded their carrying values, and therefore no impairment was recognized.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color w:val="004483"/>
        </w:rPr>
        <w:t>INTANGIBLE ASSETS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Assets at March 31, 2021 and 2020,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Pr>
          <w:p>
            <w:pPr>
              <w:spacing w:after="0"/>
              <w:rPr>
                <w:sz w:val="11"/>
                <w:szCs w:val="11"/>
                <w:color w:val="auto"/>
              </w:rPr>
            </w:pPr>
          </w:p>
        </w:tc>
        <w:tc>
          <w:tcPr>
            <w:tcW w:w="1240" w:type="dxa"/>
            <w:vAlign w:val="bottom"/>
            <w:tcBorders>
              <w:bottom w:val="single" w:sz="8" w:color="004483"/>
            </w:tcBorders>
            <w:shd w:val="clear" w:color="auto" w:fill="004483"/>
          </w:tcPr>
          <w:p>
            <w:pPr>
              <w:spacing w:after="0"/>
              <w:rPr>
                <w:sz w:val="11"/>
                <w:szCs w:val="11"/>
                <w:color w:val="auto"/>
              </w:rPr>
            </w:pPr>
          </w:p>
        </w:tc>
        <w:tc>
          <w:tcPr>
            <w:tcW w:w="360" w:type="dxa"/>
            <w:vAlign w:val="bottom"/>
            <w:tcBorders>
              <w:bottom w:val="single" w:sz="8" w:color="004483"/>
            </w:tcBorders>
            <w:shd w:val="clear" w:color="auto" w:fill="004483"/>
          </w:tcPr>
          <w:p>
            <w:pPr>
              <w:spacing w:after="0"/>
              <w:rPr>
                <w:sz w:val="11"/>
                <w:szCs w:val="11"/>
                <w:color w:val="auto"/>
              </w:rPr>
            </w:pPr>
          </w:p>
        </w:tc>
        <w:tc>
          <w:tcPr>
            <w:tcW w:w="760" w:type="dxa"/>
            <w:vAlign w:val="bottom"/>
            <w:tcBorders>
              <w:bottom w:val="single" w:sz="8" w:color="004483"/>
            </w:tcBorders>
            <w:shd w:val="clear" w:color="auto" w:fill="004483"/>
          </w:tcPr>
          <w:p>
            <w:pPr>
              <w:spacing w:after="0"/>
              <w:rPr>
                <w:sz w:val="11"/>
                <w:szCs w:val="11"/>
                <w:color w:val="auto"/>
              </w:rPr>
            </w:pPr>
          </w:p>
        </w:tc>
        <w:tc>
          <w:tcPr>
            <w:tcW w:w="120" w:type="dxa"/>
            <w:vAlign w:val="bottom"/>
            <w:tcBorders>
              <w:bottom w:val="single" w:sz="8" w:color="004483"/>
            </w:tcBorders>
            <w:shd w:val="clear" w:color="auto" w:fill="004483"/>
          </w:tcPr>
          <w:p>
            <w:pPr>
              <w:spacing w:after="0"/>
              <w:rPr>
                <w:sz w:val="11"/>
                <w:szCs w:val="11"/>
                <w:color w:val="auto"/>
              </w:rPr>
            </w:pPr>
          </w:p>
        </w:tc>
        <w:tc>
          <w:tcPr>
            <w:tcW w:w="100" w:type="dxa"/>
            <w:vAlign w:val="bottom"/>
            <w:tcBorders>
              <w:bottom w:val="single" w:sz="8" w:color="004483"/>
            </w:tcBorders>
            <w:shd w:val="clear" w:color="auto" w:fill="004483"/>
          </w:tcPr>
          <w:p>
            <w:pPr>
              <w:spacing w:after="0"/>
              <w:rPr>
                <w:sz w:val="11"/>
                <w:szCs w:val="11"/>
                <w:color w:val="auto"/>
              </w:rPr>
            </w:pPr>
          </w:p>
        </w:tc>
        <w:tc>
          <w:tcPr>
            <w:tcW w:w="1140" w:type="dxa"/>
            <w:vAlign w:val="bottom"/>
            <w:tcBorders>
              <w:bottom w:val="single" w:sz="8" w:color="004483"/>
            </w:tcBorders>
            <w:gridSpan w:val="2"/>
            <w:shd w:val="clear" w:color="auto" w:fill="004483"/>
          </w:tcPr>
          <w:p>
            <w:pPr>
              <w:jc w:val="center"/>
              <w:ind w:right="340"/>
              <w:spacing w:after="0"/>
              <w:rPr>
                <w:sz w:val="20"/>
                <w:szCs w:val="20"/>
                <w:color w:val="auto"/>
              </w:rPr>
            </w:pPr>
            <w:r>
              <w:rPr>
                <w:rFonts w:ascii="Arial" w:cs="Arial" w:eastAsia="Arial" w:hAnsi="Arial"/>
                <w:sz w:val="8"/>
                <w:szCs w:val="8"/>
                <w:b w:val="1"/>
                <w:bCs w:val="1"/>
                <w:color w:val="FFFFFF"/>
                <w:w w:val="98"/>
              </w:rPr>
              <w:t>March 31, 2021</w:t>
            </w:r>
          </w:p>
        </w:tc>
        <w:tc>
          <w:tcPr>
            <w:tcW w:w="300" w:type="dxa"/>
            <w:vAlign w:val="bottom"/>
            <w:tcBorders>
              <w:bottom w:val="single" w:sz="8" w:color="004483"/>
            </w:tcBorders>
            <w:shd w:val="clear" w:color="auto" w:fill="004483"/>
          </w:tcPr>
          <w:p>
            <w:pPr>
              <w:spacing w:after="0"/>
              <w:rPr>
                <w:sz w:val="11"/>
                <w:szCs w:val="11"/>
                <w:color w:val="auto"/>
              </w:rPr>
            </w:pPr>
          </w:p>
        </w:tc>
        <w:tc>
          <w:tcPr>
            <w:tcW w:w="820" w:type="dxa"/>
            <w:vAlign w:val="bottom"/>
            <w:tcBorders>
              <w:bottom w:val="single" w:sz="8" w:color="004483"/>
            </w:tcBorders>
            <w:shd w:val="clear" w:color="auto" w:fill="004483"/>
          </w:tcPr>
          <w:p>
            <w:pPr>
              <w:spacing w:after="0"/>
              <w:rPr>
                <w:sz w:val="11"/>
                <w:szCs w:val="11"/>
                <w:color w:val="auto"/>
              </w:rPr>
            </w:pPr>
          </w:p>
        </w:tc>
        <w:tc>
          <w:tcPr>
            <w:tcW w:w="140" w:type="dxa"/>
            <w:vAlign w:val="bottom"/>
            <w:tcBorders>
              <w:bottom w:val="single" w:sz="8" w:color="004483"/>
            </w:tcBorders>
            <w:shd w:val="clear" w:color="auto" w:fill="004483"/>
          </w:tcPr>
          <w:p>
            <w:pPr>
              <w:spacing w:after="0"/>
              <w:rPr>
                <w:sz w:val="11"/>
                <w:szCs w:val="11"/>
                <w:color w:val="auto"/>
              </w:rPr>
            </w:pPr>
          </w:p>
        </w:tc>
        <w:tc>
          <w:tcPr>
            <w:tcW w:w="340" w:type="dxa"/>
            <w:vAlign w:val="bottom"/>
            <w:tcBorders>
              <w:bottom w:val="single" w:sz="8" w:color="004483"/>
            </w:tcBorders>
            <w:shd w:val="clear" w:color="auto" w:fill="004483"/>
          </w:tcPr>
          <w:p>
            <w:pPr>
              <w:spacing w:after="0"/>
              <w:rPr>
                <w:sz w:val="11"/>
                <w:szCs w:val="11"/>
                <w:color w:val="auto"/>
              </w:rPr>
            </w:pPr>
          </w:p>
        </w:tc>
        <w:tc>
          <w:tcPr>
            <w:tcW w:w="780" w:type="dxa"/>
            <w:vAlign w:val="bottom"/>
            <w:tcBorders>
              <w:bottom w:val="single" w:sz="8" w:color="004483"/>
            </w:tcBorders>
            <w:shd w:val="clear" w:color="auto" w:fill="004483"/>
          </w:tcPr>
          <w:p>
            <w:pPr>
              <w:spacing w:after="0"/>
              <w:rPr>
                <w:sz w:val="11"/>
                <w:szCs w:val="11"/>
                <w:color w:val="auto"/>
              </w:rPr>
            </w:pPr>
          </w:p>
        </w:tc>
      </w:tr>
      <w:tr>
        <w:trPr>
          <w:trHeight w:val="88"/>
        </w:trPr>
        <w:tc>
          <w:tcPr>
            <w:tcW w:w="5200" w:type="dxa"/>
            <w:vAlign w:val="bottom"/>
          </w:tcPr>
          <w:p>
            <w:pPr>
              <w:spacing w:after="0"/>
              <w:rPr>
                <w:sz w:val="7"/>
                <w:szCs w:val="7"/>
                <w:color w:val="auto"/>
              </w:rPr>
            </w:pPr>
          </w:p>
        </w:tc>
        <w:tc>
          <w:tcPr>
            <w:tcW w:w="1240" w:type="dxa"/>
            <w:vAlign w:val="bottom"/>
          </w:tcPr>
          <w:p>
            <w:pPr>
              <w:jc w:val="right"/>
              <w:ind w:right="71"/>
              <w:spacing w:after="0" w:line="89" w:lineRule="exact"/>
              <w:rPr>
                <w:sz w:val="20"/>
                <w:szCs w:val="20"/>
                <w:color w:val="auto"/>
              </w:rPr>
            </w:pPr>
            <w:r>
              <w:rPr>
                <w:rFonts w:ascii="Arial" w:cs="Arial" w:eastAsia="Arial" w:hAnsi="Arial"/>
                <w:sz w:val="8"/>
                <w:szCs w:val="8"/>
                <w:b w:val="1"/>
                <w:bCs w:val="1"/>
                <w:color w:val="auto"/>
              </w:rPr>
              <w:t>Amortization</w:t>
            </w: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tcPr>
          <w:p>
            <w:pPr>
              <w:jc w:val="right"/>
              <w:ind w:right="240"/>
              <w:spacing w:after="0" w:line="89" w:lineRule="exact"/>
              <w:rPr>
                <w:sz w:val="20"/>
                <w:szCs w:val="20"/>
                <w:color w:val="auto"/>
              </w:rPr>
            </w:pPr>
            <w:r>
              <w:rPr>
                <w:rFonts w:ascii="Arial" w:cs="Arial" w:eastAsia="Arial" w:hAnsi="Arial"/>
                <w:sz w:val="8"/>
                <w:szCs w:val="8"/>
                <w:b w:val="1"/>
                <w:bCs w:val="1"/>
                <w:color w:val="auto"/>
              </w:rPr>
              <w:t>Purchase Price</w:t>
            </w:r>
          </w:p>
        </w:tc>
        <w:tc>
          <w:tcPr>
            <w:tcW w:w="300" w:type="dxa"/>
            <w:vAlign w:val="bottom"/>
          </w:tcPr>
          <w:p>
            <w:pPr>
              <w:spacing w:after="0"/>
              <w:rPr>
                <w:sz w:val="7"/>
                <w:szCs w:val="7"/>
                <w:color w:val="auto"/>
              </w:rPr>
            </w:pPr>
          </w:p>
        </w:tc>
        <w:tc>
          <w:tcPr>
            <w:tcW w:w="960" w:type="dxa"/>
            <w:vAlign w:val="bottom"/>
            <w:gridSpan w:val="2"/>
          </w:tcPr>
          <w:p>
            <w:pPr>
              <w:ind w:left="240"/>
              <w:spacing w:after="0" w:line="89" w:lineRule="exact"/>
              <w:rPr>
                <w:sz w:val="20"/>
                <w:szCs w:val="20"/>
                <w:color w:val="auto"/>
              </w:rPr>
            </w:pPr>
            <w:r>
              <w:rPr>
                <w:rFonts w:ascii="Arial" w:cs="Arial" w:eastAsia="Arial" w:hAnsi="Arial"/>
                <w:sz w:val="8"/>
                <w:szCs w:val="8"/>
                <w:b w:val="1"/>
                <w:bCs w:val="1"/>
                <w:color w:val="auto"/>
              </w:rPr>
              <w:t>Accumulated</w:t>
            </w: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01"/>
        </w:trPr>
        <w:tc>
          <w:tcPr>
            <w:tcW w:w="5200" w:type="dxa"/>
            <w:vAlign w:val="bottom"/>
          </w:tcPr>
          <w:p>
            <w:pPr>
              <w:spacing w:after="0"/>
              <w:rPr>
                <w:sz w:val="8"/>
                <w:szCs w:val="8"/>
                <w:color w:val="auto"/>
              </w:rPr>
            </w:pPr>
          </w:p>
        </w:tc>
        <w:tc>
          <w:tcPr>
            <w:tcW w:w="1240" w:type="dxa"/>
            <w:vAlign w:val="bottom"/>
          </w:tcPr>
          <w:p>
            <w:pPr>
              <w:jc w:val="right"/>
              <w:ind w:right="71"/>
              <w:spacing w:after="0"/>
              <w:rPr>
                <w:sz w:val="20"/>
                <w:szCs w:val="20"/>
                <w:color w:val="auto"/>
              </w:rPr>
            </w:pPr>
            <w:r>
              <w:rPr>
                <w:rFonts w:ascii="Arial" w:cs="Arial" w:eastAsia="Arial" w:hAnsi="Arial"/>
                <w:sz w:val="8"/>
                <w:szCs w:val="8"/>
                <w:b w:val="1"/>
                <w:bCs w:val="1"/>
                <w:color w:val="auto"/>
              </w:rPr>
              <w:t>Period</w:t>
            </w:r>
          </w:p>
        </w:tc>
        <w:tc>
          <w:tcPr>
            <w:tcW w:w="360" w:type="dxa"/>
            <w:vAlign w:val="bottom"/>
          </w:tcPr>
          <w:p>
            <w:pPr>
              <w:spacing w:after="0"/>
              <w:rPr>
                <w:sz w:val="8"/>
                <w:szCs w:val="8"/>
                <w:color w:val="auto"/>
              </w:rPr>
            </w:pPr>
          </w:p>
        </w:tc>
        <w:tc>
          <w:tcPr>
            <w:tcW w:w="880" w:type="dxa"/>
            <w:vAlign w:val="bottom"/>
            <w:gridSpan w:val="2"/>
          </w:tcPr>
          <w:p>
            <w:pPr>
              <w:ind w:left="480"/>
              <w:spacing w:after="0"/>
              <w:rPr>
                <w:sz w:val="20"/>
                <w:szCs w:val="20"/>
                <w:color w:val="auto"/>
              </w:rPr>
            </w:pPr>
            <w:r>
              <w:rPr>
                <w:rFonts w:ascii="Arial" w:cs="Arial" w:eastAsia="Arial" w:hAnsi="Arial"/>
                <w:sz w:val="8"/>
                <w:szCs w:val="8"/>
                <w:b w:val="1"/>
                <w:bCs w:val="1"/>
                <w:color w:val="auto"/>
              </w:rPr>
              <w:t>Cost</w:t>
            </w:r>
          </w:p>
        </w:tc>
        <w:tc>
          <w:tcPr>
            <w:tcW w:w="100" w:type="dxa"/>
            <w:vAlign w:val="bottom"/>
          </w:tcPr>
          <w:p>
            <w:pPr>
              <w:spacing w:after="0"/>
              <w:rPr>
                <w:sz w:val="8"/>
                <w:szCs w:val="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Adjustments</w:t>
            </w:r>
          </w:p>
        </w:tc>
        <w:tc>
          <w:tcPr>
            <w:tcW w:w="300" w:type="dxa"/>
            <w:vAlign w:val="bottom"/>
          </w:tcPr>
          <w:p>
            <w:pPr>
              <w:spacing w:after="0"/>
              <w:rPr>
                <w:sz w:val="8"/>
                <w:szCs w:val="8"/>
                <w:color w:val="auto"/>
              </w:rPr>
            </w:pPr>
          </w:p>
        </w:tc>
        <w:tc>
          <w:tcPr>
            <w:tcW w:w="960" w:type="dxa"/>
            <w:vAlign w:val="bottom"/>
            <w:gridSpan w:val="2"/>
          </w:tcPr>
          <w:p>
            <w:pPr>
              <w:ind w:left="220"/>
              <w:spacing w:after="0"/>
              <w:rPr>
                <w:sz w:val="20"/>
                <w:szCs w:val="20"/>
                <w:color w:val="auto"/>
              </w:rPr>
            </w:pPr>
            <w:r>
              <w:rPr>
                <w:rFonts w:ascii="Arial" w:cs="Arial" w:eastAsia="Arial" w:hAnsi="Arial"/>
                <w:sz w:val="8"/>
                <w:szCs w:val="8"/>
                <w:b w:val="1"/>
                <w:bCs w:val="1"/>
                <w:color w:val="auto"/>
              </w:rPr>
              <w:t>Amortization</w:t>
            </w:r>
          </w:p>
        </w:tc>
        <w:tc>
          <w:tcPr>
            <w:tcW w:w="340" w:type="dxa"/>
            <w:vAlign w:val="bottom"/>
          </w:tcPr>
          <w:p>
            <w:pPr>
              <w:spacing w:after="0"/>
              <w:rPr>
                <w:sz w:val="8"/>
                <w:szCs w:val="8"/>
                <w:color w:val="auto"/>
              </w:rPr>
            </w:pPr>
          </w:p>
        </w:tc>
        <w:tc>
          <w:tcPr>
            <w:tcW w:w="780" w:type="dxa"/>
            <w:vAlign w:val="bottom"/>
          </w:tcPr>
          <w:p>
            <w:pPr>
              <w:jc w:val="right"/>
              <w:ind w:right="68"/>
              <w:spacing w:after="0"/>
              <w:rPr>
                <w:sz w:val="20"/>
                <w:szCs w:val="20"/>
                <w:color w:val="auto"/>
              </w:rPr>
            </w:pPr>
            <w:r>
              <w:rPr>
                <w:rFonts w:ascii="Arial" w:cs="Arial" w:eastAsia="Arial" w:hAnsi="Arial"/>
                <w:sz w:val="8"/>
                <w:szCs w:val="8"/>
                <w:b w:val="1"/>
                <w:bCs w:val="1"/>
                <w:color w:val="auto"/>
              </w:rPr>
              <w:t>Net</w:t>
            </w:r>
          </w:p>
        </w:tc>
      </w:tr>
      <w:tr>
        <w:trPr>
          <w:trHeight w:val="99"/>
        </w:trPr>
        <w:tc>
          <w:tcPr>
            <w:tcW w:w="5200" w:type="dxa"/>
            <w:vAlign w:val="bottom"/>
            <w:tcBorders>
              <w:bottom w:val="single" w:sz="8" w:color="004483"/>
            </w:tcBorders>
          </w:tcPr>
          <w:p>
            <w:pPr>
              <w:spacing w:after="0"/>
              <w:rPr>
                <w:sz w:val="8"/>
                <w:szCs w:val="8"/>
                <w:color w:val="auto"/>
              </w:rPr>
            </w:pPr>
          </w:p>
        </w:tc>
        <w:tc>
          <w:tcPr>
            <w:tcW w:w="1240" w:type="dxa"/>
            <w:vAlign w:val="bottom"/>
            <w:tcBorders>
              <w:bottom w:val="single" w:sz="8" w:color="004483"/>
            </w:tcBorders>
          </w:tcPr>
          <w:p>
            <w:pPr>
              <w:spacing w:after="0"/>
              <w:rPr>
                <w:sz w:val="8"/>
                <w:szCs w:val="8"/>
                <w:color w:val="auto"/>
              </w:rPr>
            </w:pPr>
          </w:p>
        </w:tc>
        <w:tc>
          <w:tcPr>
            <w:tcW w:w="36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2"/>
          </w:tcPr>
          <w:p>
            <w:pPr>
              <w:jc w:val="center"/>
              <w:ind w:right="320"/>
              <w:spacing w:after="0"/>
              <w:rPr>
                <w:sz w:val="20"/>
                <w:szCs w:val="20"/>
                <w:color w:val="auto"/>
              </w:rPr>
            </w:pPr>
            <w:r>
              <w:rPr>
                <w:rFonts w:ascii="Arial" w:cs="Arial" w:eastAsia="Arial" w:hAnsi="Arial"/>
                <w:sz w:val="8"/>
                <w:szCs w:val="8"/>
                <w:color w:val="auto"/>
                <w:w w:val="96"/>
              </w:rPr>
              <w:t>(dollars in thousands)</w:t>
            </w:r>
          </w:p>
        </w:tc>
        <w:tc>
          <w:tcPr>
            <w:tcW w:w="30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Goodwill and Intangible Assets:</w:t>
            </w:r>
          </w:p>
        </w:tc>
        <w:tc>
          <w:tcPr>
            <w:tcW w:w="12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Customer Contracts and Relationships</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15 years</w:t>
            </w:r>
          </w:p>
        </w:tc>
        <w:tc>
          <w:tcPr>
            <w:tcW w:w="360" w:type="dxa"/>
            <w:vAlign w:val="bottom"/>
            <w:tcBorders>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105,810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2,800</w:t>
            </w: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(66,445)</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jc w:val="right"/>
              <w:ind w:right="27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42,165</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Permits</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25-40 years</w:t>
            </w: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30,410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(10,759)</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19,651</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Trade Name</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15 years</w:t>
            </w: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1,500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(138)</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1,362</w:t>
            </w: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004483"/>
              </w:rPr>
              <w:t>Goodwill</w:t>
            </w: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Arial" w:cs="Arial" w:eastAsia="Arial" w:hAnsi="Arial"/>
                <w:sz w:val="11"/>
                <w:szCs w:val="11"/>
                <w:color w:val="auto"/>
              </w:rPr>
              <w:t>331,592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1"/>
              <w:spacing w:after="0"/>
              <w:rPr>
                <w:sz w:val="20"/>
                <w:szCs w:val="20"/>
                <w:color w:val="auto"/>
              </w:rPr>
            </w:pPr>
            <w:r>
              <w:rPr>
                <w:rFonts w:ascii="Arial" w:cs="Arial" w:eastAsia="Arial" w:hAnsi="Arial"/>
                <w:sz w:val="11"/>
                <w:szCs w:val="11"/>
                <w:color w:val="auto"/>
              </w:rPr>
              <w:t>(2,455)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80" w:type="dxa"/>
            <w:vAlign w:val="bottom"/>
          </w:tcPr>
          <w:p>
            <w:pPr>
              <w:jc w:val="right"/>
              <w:ind w:right="68"/>
              <w:spacing w:after="0"/>
              <w:rPr>
                <w:sz w:val="20"/>
                <w:szCs w:val="20"/>
                <w:color w:val="auto"/>
              </w:rPr>
            </w:pPr>
            <w:r>
              <w:rPr>
                <w:rFonts w:ascii="Arial" w:cs="Arial" w:eastAsia="Arial" w:hAnsi="Arial"/>
                <w:sz w:val="11"/>
                <w:szCs w:val="11"/>
                <w:color w:val="auto"/>
              </w:rPr>
              <w:t>329,137</w:t>
            </w:r>
          </w:p>
        </w:tc>
      </w:tr>
      <w:tr>
        <w:trPr>
          <w:trHeight w:val="142"/>
        </w:trPr>
        <w:tc>
          <w:tcPr>
            <w:tcW w:w="520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 Goodwill and Intangible Assets</w:t>
            </w:r>
          </w:p>
        </w:tc>
        <w:tc>
          <w:tcPr>
            <w:tcW w:w="1240" w:type="dxa"/>
            <w:vAlign w:val="bottom"/>
            <w:tcBorders>
              <w:top w:val="single" w:sz="8" w:color="A6A6A6"/>
            </w:tcBorders>
          </w:tcPr>
          <w:p>
            <w:pPr>
              <w:spacing w:after="0"/>
              <w:rPr>
                <w:sz w:val="12"/>
                <w:szCs w:val="12"/>
                <w:color w:val="auto"/>
              </w:rPr>
            </w:pPr>
          </w:p>
        </w:tc>
        <w:tc>
          <w:tcPr>
            <w:tcW w:w="360" w:type="dxa"/>
            <w:vAlign w:val="bottom"/>
            <w:tcBorders>
              <w:top w:val="single" w:sz="8" w:color="004483"/>
              <w:bottom w:val="single" w:sz="8" w:color="004483"/>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469,312</w:t>
            </w: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345</w:t>
            </w:r>
          </w:p>
        </w:tc>
        <w:tc>
          <w:tcPr>
            <w:tcW w:w="120" w:type="dxa"/>
            <w:vAlign w:val="bottom"/>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ind w:right="9"/>
              <w:spacing w:after="0"/>
              <w:rPr>
                <w:sz w:val="20"/>
                <w:szCs w:val="20"/>
                <w:color w:val="auto"/>
              </w:rPr>
            </w:pPr>
            <w:r>
              <w:rPr>
                <w:rFonts w:ascii="Arial" w:cs="Arial" w:eastAsia="Arial" w:hAnsi="Arial"/>
                <w:sz w:val="11"/>
                <w:szCs w:val="11"/>
                <w:b w:val="1"/>
                <w:bCs w:val="1"/>
                <w:color w:val="auto"/>
              </w:rPr>
              <w:t>(77,342)</w:t>
            </w:r>
          </w:p>
        </w:tc>
        <w:tc>
          <w:tcPr>
            <w:tcW w:w="140" w:type="dxa"/>
            <w:vAlign w:val="bottom"/>
            <w:tcBorders>
              <w:top w:val="single" w:sz="8" w:color="A6A6A6"/>
            </w:tcBorders>
          </w:tcPr>
          <w:p>
            <w:pPr>
              <w:spacing w:after="0"/>
              <w:rPr>
                <w:sz w:val="12"/>
                <w:szCs w:val="12"/>
                <w:color w:val="auto"/>
              </w:rPr>
            </w:pPr>
          </w:p>
        </w:tc>
        <w:tc>
          <w:tcPr>
            <w:tcW w:w="340" w:type="dxa"/>
            <w:vAlign w:val="bottom"/>
            <w:tcBorders>
              <w:top w:val="single" w:sz="8" w:color="004483"/>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392,315</w:t>
            </w:r>
          </w:p>
        </w:tc>
      </w:tr>
      <w:tr>
        <w:trPr>
          <w:trHeight w:val="153"/>
        </w:trPr>
        <w:tc>
          <w:tcPr>
            <w:tcW w:w="5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3"/>
        </w:trPr>
        <w:tc>
          <w:tcPr>
            <w:tcW w:w="5200" w:type="dxa"/>
            <w:vAlign w:val="bottom"/>
          </w:tcPr>
          <w:p>
            <w:pPr>
              <w:spacing w:after="0"/>
              <w:rPr>
                <w:sz w:val="11"/>
                <w:szCs w:val="11"/>
                <w:color w:val="auto"/>
              </w:rPr>
            </w:pPr>
          </w:p>
        </w:tc>
        <w:tc>
          <w:tcPr>
            <w:tcW w:w="1240" w:type="dxa"/>
            <w:vAlign w:val="bottom"/>
            <w:tcBorders>
              <w:bottom w:val="single" w:sz="8" w:color="004483"/>
            </w:tcBorders>
            <w:shd w:val="clear" w:color="auto" w:fill="004483"/>
          </w:tcPr>
          <w:p>
            <w:pPr>
              <w:spacing w:after="0"/>
              <w:rPr>
                <w:sz w:val="11"/>
                <w:szCs w:val="11"/>
                <w:color w:val="auto"/>
              </w:rPr>
            </w:pPr>
          </w:p>
        </w:tc>
        <w:tc>
          <w:tcPr>
            <w:tcW w:w="360" w:type="dxa"/>
            <w:vAlign w:val="bottom"/>
            <w:tcBorders>
              <w:bottom w:val="single" w:sz="8" w:color="004483"/>
            </w:tcBorders>
            <w:shd w:val="clear" w:color="auto" w:fill="004483"/>
          </w:tcPr>
          <w:p>
            <w:pPr>
              <w:spacing w:after="0"/>
              <w:rPr>
                <w:sz w:val="11"/>
                <w:szCs w:val="11"/>
                <w:color w:val="auto"/>
              </w:rPr>
            </w:pPr>
          </w:p>
        </w:tc>
        <w:tc>
          <w:tcPr>
            <w:tcW w:w="760" w:type="dxa"/>
            <w:vAlign w:val="bottom"/>
            <w:tcBorders>
              <w:bottom w:val="single" w:sz="8" w:color="004483"/>
            </w:tcBorders>
            <w:shd w:val="clear" w:color="auto" w:fill="004483"/>
          </w:tcPr>
          <w:p>
            <w:pPr>
              <w:spacing w:after="0"/>
              <w:rPr>
                <w:sz w:val="11"/>
                <w:szCs w:val="11"/>
                <w:color w:val="auto"/>
              </w:rPr>
            </w:pPr>
          </w:p>
        </w:tc>
        <w:tc>
          <w:tcPr>
            <w:tcW w:w="120" w:type="dxa"/>
            <w:vAlign w:val="bottom"/>
            <w:tcBorders>
              <w:bottom w:val="single" w:sz="8" w:color="004483"/>
            </w:tcBorders>
            <w:shd w:val="clear" w:color="auto" w:fill="004483"/>
          </w:tcPr>
          <w:p>
            <w:pPr>
              <w:spacing w:after="0"/>
              <w:rPr>
                <w:sz w:val="11"/>
                <w:szCs w:val="11"/>
                <w:color w:val="auto"/>
              </w:rPr>
            </w:pPr>
          </w:p>
        </w:tc>
        <w:tc>
          <w:tcPr>
            <w:tcW w:w="100" w:type="dxa"/>
            <w:vAlign w:val="bottom"/>
            <w:tcBorders>
              <w:bottom w:val="single" w:sz="8" w:color="004483"/>
            </w:tcBorders>
            <w:shd w:val="clear" w:color="auto" w:fill="004483"/>
          </w:tcPr>
          <w:p>
            <w:pPr>
              <w:spacing w:after="0"/>
              <w:rPr>
                <w:sz w:val="11"/>
                <w:szCs w:val="11"/>
                <w:color w:val="auto"/>
              </w:rPr>
            </w:pPr>
          </w:p>
        </w:tc>
        <w:tc>
          <w:tcPr>
            <w:tcW w:w="1140" w:type="dxa"/>
            <w:vAlign w:val="bottom"/>
            <w:tcBorders>
              <w:bottom w:val="single" w:sz="8" w:color="004483"/>
            </w:tcBorders>
            <w:gridSpan w:val="2"/>
            <w:shd w:val="clear" w:color="auto" w:fill="004483"/>
          </w:tcPr>
          <w:p>
            <w:pPr>
              <w:jc w:val="center"/>
              <w:ind w:right="340"/>
              <w:spacing w:after="0"/>
              <w:rPr>
                <w:sz w:val="20"/>
                <w:szCs w:val="20"/>
                <w:color w:val="auto"/>
              </w:rPr>
            </w:pPr>
            <w:r>
              <w:rPr>
                <w:rFonts w:ascii="Arial" w:cs="Arial" w:eastAsia="Arial" w:hAnsi="Arial"/>
                <w:sz w:val="8"/>
                <w:szCs w:val="8"/>
                <w:b w:val="1"/>
                <w:bCs w:val="1"/>
                <w:color w:val="FFFFFF"/>
                <w:w w:val="98"/>
              </w:rPr>
              <w:t>March 31, 2020</w:t>
            </w:r>
          </w:p>
        </w:tc>
        <w:tc>
          <w:tcPr>
            <w:tcW w:w="300" w:type="dxa"/>
            <w:vAlign w:val="bottom"/>
            <w:tcBorders>
              <w:bottom w:val="single" w:sz="8" w:color="004483"/>
            </w:tcBorders>
            <w:shd w:val="clear" w:color="auto" w:fill="004483"/>
          </w:tcPr>
          <w:p>
            <w:pPr>
              <w:spacing w:after="0"/>
              <w:rPr>
                <w:sz w:val="11"/>
                <w:szCs w:val="11"/>
                <w:color w:val="auto"/>
              </w:rPr>
            </w:pPr>
          </w:p>
        </w:tc>
        <w:tc>
          <w:tcPr>
            <w:tcW w:w="820" w:type="dxa"/>
            <w:vAlign w:val="bottom"/>
            <w:tcBorders>
              <w:bottom w:val="single" w:sz="8" w:color="004483"/>
            </w:tcBorders>
            <w:shd w:val="clear" w:color="auto" w:fill="004483"/>
          </w:tcPr>
          <w:p>
            <w:pPr>
              <w:spacing w:after="0"/>
              <w:rPr>
                <w:sz w:val="11"/>
                <w:szCs w:val="11"/>
                <w:color w:val="auto"/>
              </w:rPr>
            </w:pPr>
          </w:p>
        </w:tc>
        <w:tc>
          <w:tcPr>
            <w:tcW w:w="140" w:type="dxa"/>
            <w:vAlign w:val="bottom"/>
            <w:tcBorders>
              <w:bottom w:val="single" w:sz="8" w:color="004483"/>
            </w:tcBorders>
            <w:shd w:val="clear" w:color="auto" w:fill="004483"/>
          </w:tcPr>
          <w:p>
            <w:pPr>
              <w:spacing w:after="0"/>
              <w:rPr>
                <w:sz w:val="11"/>
                <w:szCs w:val="11"/>
                <w:color w:val="auto"/>
              </w:rPr>
            </w:pPr>
          </w:p>
        </w:tc>
        <w:tc>
          <w:tcPr>
            <w:tcW w:w="340" w:type="dxa"/>
            <w:vAlign w:val="bottom"/>
            <w:tcBorders>
              <w:bottom w:val="single" w:sz="8" w:color="004483"/>
            </w:tcBorders>
            <w:shd w:val="clear" w:color="auto" w:fill="004483"/>
          </w:tcPr>
          <w:p>
            <w:pPr>
              <w:spacing w:after="0"/>
              <w:rPr>
                <w:sz w:val="11"/>
                <w:szCs w:val="11"/>
                <w:color w:val="auto"/>
              </w:rPr>
            </w:pPr>
          </w:p>
        </w:tc>
        <w:tc>
          <w:tcPr>
            <w:tcW w:w="780" w:type="dxa"/>
            <w:vAlign w:val="bottom"/>
            <w:tcBorders>
              <w:bottom w:val="single" w:sz="8" w:color="004483"/>
            </w:tcBorders>
            <w:shd w:val="clear" w:color="auto" w:fill="004483"/>
          </w:tcPr>
          <w:p>
            <w:pPr>
              <w:spacing w:after="0"/>
              <w:rPr>
                <w:sz w:val="11"/>
                <w:szCs w:val="11"/>
                <w:color w:val="auto"/>
              </w:rPr>
            </w:pPr>
          </w:p>
        </w:tc>
      </w:tr>
      <w:tr>
        <w:trPr>
          <w:trHeight w:val="88"/>
        </w:trPr>
        <w:tc>
          <w:tcPr>
            <w:tcW w:w="5200" w:type="dxa"/>
            <w:vAlign w:val="bottom"/>
          </w:tcPr>
          <w:p>
            <w:pPr>
              <w:spacing w:after="0"/>
              <w:rPr>
                <w:sz w:val="7"/>
                <w:szCs w:val="7"/>
                <w:color w:val="auto"/>
              </w:rPr>
            </w:pPr>
          </w:p>
        </w:tc>
        <w:tc>
          <w:tcPr>
            <w:tcW w:w="1240" w:type="dxa"/>
            <w:vAlign w:val="bottom"/>
          </w:tcPr>
          <w:p>
            <w:pPr>
              <w:jc w:val="right"/>
              <w:ind w:right="71"/>
              <w:spacing w:after="0" w:line="89" w:lineRule="exact"/>
              <w:rPr>
                <w:sz w:val="20"/>
                <w:szCs w:val="20"/>
                <w:color w:val="auto"/>
              </w:rPr>
            </w:pPr>
            <w:r>
              <w:rPr>
                <w:rFonts w:ascii="Arial" w:cs="Arial" w:eastAsia="Arial" w:hAnsi="Arial"/>
                <w:sz w:val="8"/>
                <w:szCs w:val="8"/>
                <w:b w:val="1"/>
                <w:bCs w:val="1"/>
                <w:color w:val="auto"/>
              </w:rPr>
              <w:t>Amortization</w:t>
            </w: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2"/>
          </w:tcPr>
          <w:p>
            <w:pPr>
              <w:ind w:left="240"/>
              <w:spacing w:after="0" w:line="89" w:lineRule="exact"/>
              <w:rPr>
                <w:sz w:val="20"/>
                <w:szCs w:val="20"/>
                <w:color w:val="auto"/>
              </w:rPr>
            </w:pPr>
            <w:r>
              <w:rPr>
                <w:rFonts w:ascii="Arial" w:cs="Arial" w:eastAsia="Arial" w:hAnsi="Arial"/>
                <w:sz w:val="8"/>
                <w:szCs w:val="8"/>
                <w:b w:val="1"/>
                <w:bCs w:val="1"/>
                <w:color w:val="auto"/>
              </w:rPr>
              <w:t>Accumulated</w:t>
            </w: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01"/>
        </w:trPr>
        <w:tc>
          <w:tcPr>
            <w:tcW w:w="5200" w:type="dxa"/>
            <w:vAlign w:val="bottom"/>
          </w:tcPr>
          <w:p>
            <w:pPr>
              <w:spacing w:after="0"/>
              <w:rPr>
                <w:sz w:val="8"/>
                <w:szCs w:val="8"/>
                <w:color w:val="auto"/>
              </w:rPr>
            </w:pPr>
          </w:p>
        </w:tc>
        <w:tc>
          <w:tcPr>
            <w:tcW w:w="1240" w:type="dxa"/>
            <w:vAlign w:val="bottom"/>
          </w:tcPr>
          <w:p>
            <w:pPr>
              <w:jc w:val="right"/>
              <w:ind w:right="71"/>
              <w:spacing w:after="0"/>
              <w:rPr>
                <w:sz w:val="20"/>
                <w:szCs w:val="20"/>
                <w:color w:val="auto"/>
              </w:rPr>
            </w:pPr>
            <w:r>
              <w:rPr>
                <w:rFonts w:ascii="Arial" w:cs="Arial" w:eastAsia="Arial" w:hAnsi="Arial"/>
                <w:sz w:val="8"/>
                <w:szCs w:val="8"/>
                <w:b w:val="1"/>
                <w:bCs w:val="1"/>
                <w:color w:val="auto"/>
              </w:rPr>
              <w:t>Period</w:t>
            </w:r>
          </w:p>
        </w:tc>
        <w:tc>
          <w:tcPr>
            <w:tcW w:w="360" w:type="dxa"/>
            <w:vAlign w:val="bottom"/>
          </w:tcPr>
          <w:p>
            <w:pPr>
              <w:spacing w:after="0"/>
              <w:rPr>
                <w:sz w:val="8"/>
                <w:szCs w:val="8"/>
                <w:color w:val="auto"/>
              </w:rPr>
            </w:pPr>
          </w:p>
        </w:tc>
        <w:tc>
          <w:tcPr>
            <w:tcW w:w="880" w:type="dxa"/>
            <w:vAlign w:val="bottom"/>
            <w:gridSpan w:val="2"/>
          </w:tcPr>
          <w:p>
            <w:pPr>
              <w:ind w:left="480"/>
              <w:spacing w:after="0"/>
              <w:rPr>
                <w:sz w:val="20"/>
                <w:szCs w:val="20"/>
                <w:color w:val="auto"/>
              </w:rPr>
            </w:pPr>
            <w:r>
              <w:rPr>
                <w:rFonts w:ascii="Arial" w:cs="Arial" w:eastAsia="Arial" w:hAnsi="Arial"/>
                <w:sz w:val="8"/>
                <w:szCs w:val="8"/>
                <w:b w:val="1"/>
                <w:bCs w:val="1"/>
                <w:color w:val="auto"/>
              </w:rPr>
              <w:t>Cost</w:t>
            </w:r>
          </w:p>
        </w:tc>
        <w:tc>
          <w:tcPr>
            <w:tcW w:w="100" w:type="dxa"/>
            <w:vAlign w:val="bottom"/>
          </w:tcPr>
          <w:p>
            <w:pPr>
              <w:spacing w:after="0"/>
              <w:rPr>
                <w:sz w:val="8"/>
                <w:szCs w:val="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Additions</w:t>
            </w:r>
          </w:p>
        </w:tc>
        <w:tc>
          <w:tcPr>
            <w:tcW w:w="300" w:type="dxa"/>
            <w:vAlign w:val="bottom"/>
          </w:tcPr>
          <w:p>
            <w:pPr>
              <w:spacing w:after="0"/>
              <w:rPr>
                <w:sz w:val="8"/>
                <w:szCs w:val="8"/>
                <w:color w:val="auto"/>
              </w:rPr>
            </w:pPr>
          </w:p>
        </w:tc>
        <w:tc>
          <w:tcPr>
            <w:tcW w:w="960" w:type="dxa"/>
            <w:vAlign w:val="bottom"/>
            <w:gridSpan w:val="2"/>
          </w:tcPr>
          <w:p>
            <w:pPr>
              <w:ind w:left="220"/>
              <w:spacing w:after="0"/>
              <w:rPr>
                <w:sz w:val="20"/>
                <w:szCs w:val="20"/>
                <w:color w:val="auto"/>
              </w:rPr>
            </w:pPr>
            <w:r>
              <w:rPr>
                <w:rFonts w:ascii="Arial" w:cs="Arial" w:eastAsia="Arial" w:hAnsi="Arial"/>
                <w:sz w:val="8"/>
                <w:szCs w:val="8"/>
                <w:b w:val="1"/>
                <w:bCs w:val="1"/>
                <w:color w:val="auto"/>
              </w:rPr>
              <w:t>Amortization</w:t>
            </w:r>
          </w:p>
        </w:tc>
        <w:tc>
          <w:tcPr>
            <w:tcW w:w="340" w:type="dxa"/>
            <w:vAlign w:val="bottom"/>
          </w:tcPr>
          <w:p>
            <w:pPr>
              <w:spacing w:after="0"/>
              <w:rPr>
                <w:sz w:val="8"/>
                <w:szCs w:val="8"/>
                <w:color w:val="auto"/>
              </w:rPr>
            </w:pPr>
          </w:p>
        </w:tc>
        <w:tc>
          <w:tcPr>
            <w:tcW w:w="780" w:type="dxa"/>
            <w:vAlign w:val="bottom"/>
          </w:tcPr>
          <w:p>
            <w:pPr>
              <w:jc w:val="right"/>
              <w:ind w:right="68"/>
              <w:spacing w:after="0"/>
              <w:rPr>
                <w:sz w:val="20"/>
                <w:szCs w:val="20"/>
                <w:color w:val="auto"/>
              </w:rPr>
            </w:pPr>
            <w:r>
              <w:rPr>
                <w:rFonts w:ascii="Arial" w:cs="Arial" w:eastAsia="Arial" w:hAnsi="Arial"/>
                <w:sz w:val="8"/>
                <w:szCs w:val="8"/>
                <w:b w:val="1"/>
                <w:bCs w:val="1"/>
                <w:color w:val="auto"/>
              </w:rPr>
              <w:t>Net</w:t>
            </w:r>
          </w:p>
        </w:tc>
      </w:tr>
      <w:tr>
        <w:trPr>
          <w:trHeight w:val="99"/>
        </w:trPr>
        <w:tc>
          <w:tcPr>
            <w:tcW w:w="5200" w:type="dxa"/>
            <w:vAlign w:val="bottom"/>
            <w:tcBorders>
              <w:bottom w:val="single" w:sz="8" w:color="004483"/>
            </w:tcBorders>
          </w:tcPr>
          <w:p>
            <w:pPr>
              <w:spacing w:after="0"/>
              <w:rPr>
                <w:sz w:val="8"/>
                <w:szCs w:val="8"/>
                <w:color w:val="auto"/>
              </w:rPr>
            </w:pPr>
          </w:p>
        </w:tc>
        <w:tc>
          <w:tcPr>
            <w:tcW w:w="1240" w:type="dxa"/>
            <w:vAlign w:val="bottom"/>
            <w:tcBorders>
              <w:bottom w:val="single" w:sz="8" w:color="004483"/>
            </w:tcBorders>
          </w:tcPr>
          <w:p>
            <w:pPr>
              <w:spacing w:after="0"/>
              <w:rPr>
                <w:sz w:val="8"/>
                <w:szCs w:val="8"/>
                <w:color w:val="auto"/>
              </w:rPr>
            </w:pPr>
          </w:p>
        </w:tc>
        <w:tc>
          <w:tcPr>
            <w:tcW w:w="36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2"/>
          </w:tcPr>
          <w:p>
            <w:pPr>
              <w:jc w:val="center"/>
              <w:ind w:right="320"/>
              <w:spacing w:after="0"/>
              <w:rPr>
                <w:sz w:val="20"/>
                <w:szCs w:val="20"/>
                <w:color w:val="auto"/>
              </w:rPr>
            </w:pPr>
            <w:r>
              <w:rPr>
                <w:rFonts w:ascii="Arial" w:cs="Arial" w:eastAsia="Arial" w:hAnsi="Arial"/>
                <w:sz w:val="8"/>
                <w:szCs w:val="8"/>
                <w:color w:val="auto"/>
                <w:w w:val="96"/>
              </w:rPr>
              <w:t>(dollars in thousands)</w:t>
            </w:r>
          </w:p>
        </w:tc>
        <w:tc>
          <w:tcPr>
            <w:tcW w:w="30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Goodwill and Intangible Assets:</w:t>
            </w:r>
          </w:p>
        </w:tc>
        <w:tc>
          <w:tcPr>
            <w:tcW w:w="124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Customer Contracts and Relationships</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15 years</w:t>
            </w:r>
          </w:p>
        </w:tc>
        <w:tc>
          <w:tcPr>
            <w:tcW w:w="360" w:type="dxa"/>
            <w:vAlign w:val="bottom"/>
            <w:tcBorders>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72,260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33,550</w:t>
            </w: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(62,950)</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jc w:val="right"/>
              <w:ind w:right="27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42,860</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Permits</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25-40 years</w:t>
            </w:r>
          </w:p>
        </w:tc>
        <w:tc>
          <w:tcPr>
            <w:tcW w:w="36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28,640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1,770</w:t>
            </w: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(9,889)</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20,521</w:t>
            </w: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Trade Name</w:t>
            </w:r>
          </w:p>
        </w:tc>
        <w:tc>
          <w:tcPr>
            <w:tcW w:w="12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15 years</w:t>
            </w:r>
          </w:p>
        </w:tc>
        <w:tc>
          <w:tcPr>
            <w:tcW w:w="36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1,500</w:t>
            </w: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9"/>
              <w:spacing w:after="0"/>
              <w:rPr>
                <w:sz w:val="20"/>
                <w:szCs w:val="20"/>
                <w:color w:val="auto"/>
              </w:rPr>
            </w:pPr>
            <w:r>
              <w:rPr>
                <w:rFonts w:ascii="Arial" w:cs="Arial" w:eastAsia="Arial" w:hAnsi="Arial"/>
                <w:sz w:val="11"/>
                <w:szCs w:val="11"/>
                <w:color w:val="auto"/>
              </w:rPr>
              <w:t>(10)</w:t>
            </w:r>
          </w:p>
        </w:tc>
        <w:tc>
          <w:tcPr>
            <w:tcW w:w="140" w:type="dxa"/>
            <w:vAlign w:val="bottom"/>
            <w:tcBorders>
              <w:bottom w:val="single" w:sz="8" w:color="A6A6A6"/>
            </w:tcBorders>
          </w:tcPr>
          <w:p>
            <w:pPr>
              <w:spacing w:after="0"/>
              <w:rPr>
                <w:sz w:val="11"/>
                <w:szCs w:val="11"/>
                <w:color w:val="auto"/>
              </w:rPr>
            </w:pPr>
          </w:p>
        </w:tc>
        <w:tc>
          <w:tcPr>
            <w:tcW w:w="3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1,490</w:t>
            </w: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004483"/>
              </w:rPr>
              <w:t>Goodwill</w:t>
            </w: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ind w:right="68"/>
              <w:spacing w:after="0"/>
              <w:rPr>
                <w:sz w:val="20"/>
                <w:szCs w:val="20"/>
                <w:color w:val="auto"/>
              </w:rPr>
            </w:pPr>
            <w:r>
              <w:rPr>
                <w:rFonts w:ascii="Arial" w:cs="Arial" w:eastAsia="Arial" w:hAnsi="Arial"/>
                <w:sz w:val="11"/>
                <w:szCs w:val="11"/>
                <w:color w:val="auto"/>
              </w:rPr>
              <w:t>198,371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71"/>
              <w:spacing w:after="0"/>
              <w:rPr>
                <w:sz w:val="20"/>
                <w:szCs w:val="20"/>
                <w:color w:val="auto"/>
              </w:rPr>
            </w:pPr>
            <w:r>
              <w:rPr>
                <w:rFonts w:ascii="Arial" w:cs="Arial" w:eastAsia="Arial" w:hAnsi="Arial"/>
                <w:sz w:val="11"/>
                <w:szCs w:val="11"/>
                <w:color w:val="auto"/>
              </w:rPr>
              <w:t>133,221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80" w:type="dxa"/>
            <w:vAlign w:val="bottom"/>
          </w:tcPr>
          <w:p>
            <w:pPr>
              <w:jc w:val="right"/>
              <w:ind w:right="68"/>
              <w:spacing w:after="0"/>
              <w:rPr>
                <w:sz w:val="20"/>
                <w:szCs w:val="20"/>
                <w:color w:val="auto"/>
              </w:rPr>
            </w:pPr>
            <w:r>
              <w:rPr>
                <w:rFonts w:ascii="Arial" w:cs="Arial" w:eastAsia="Arial" w:hAnsi="Arial"/>
                <w:sz w:val="11"/>
                <w:szCs w:val="11"/>
                <w:color w:val="auto"/>
              </w:rPr>
              <w:t>331,592</w:t>
            </w:r>
          </w:p>
        </w:tc>
      </w:tr>
      <w:tr>
        <w:trPr>
          <w:trHeight w:val="142"/>
        </w:trPr>
        <w:tc>
          <w:tcPr>
            <w:tcW w:w="520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 Goodwill and Intangible Assets</w:t>
            </w:r>
          </w:p>
        </w:tc>
        <w:tc>
          <w:tcPr>
            <w:tcW w:w="1240" w:type="dxa"/>
            <w:vAlign w:val="bottom"/>
            <w:tcBorders>
              <w:top w:val="single" w:sz="8" w:color="A6A6A6"/>
            </w:tcBorders>
          </w:tcPr>
          <w:p>
            <w:pPr>
              <w:spacing w:after="0"/>
              <w:rPr>
                <w:sz w:val="12"/>
                <w:szCs w:val="12"/>
                <w:color w:val="auto"/>
              </w:rPr>
            </w:pPr>
          </w:p>
        </w:tc>
        <w:tc>
          <w:tcPr>
            <w:tcW w:w="360" w:type="dxa"/>
            <w:vAlign w:val="bottom"/>
            <w:tcBorders>
              <w:top w:val="single" w:sz="8" w:color="004483"/>
              <w:bottom w:val="single" w:sz="8" w:color="004483"/>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299,271</w:t>
            </w: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170,041</w:t>
            </w:r>
          </w:p>
        </w:tc>
        <w:tc>
          <w:tcPr>
            <w:tcW w:w="120" w:type="dxa"/>
            <w:vAlign w:val="bottom"/>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ind w:right="9"/>
              <w:spacing w:after="0"/>
              <w:rPr>
                <w:sz w:val="20"/>
                <w:szCs w:val="20"/>
                <w:color w:val="auto"/>
              </w:rPr>
            </w:pPr>
            <w:r>
              <w:rPr>
                <w:rFonts w:ascii="Arial" w:cs="Arial" w:eastAsia="Arial" w:hAnsi="Arial"/>
                <w:sz w:val="11"/>
                <w:szCs w:val="11"/>
                <w:b w:val="1"/>
                <w:bCs w:val="1"/>
                <w:color w:val="auto"/>
              </w:rPr>
              <w:t>(72,849)</w:t>
            </w:r>
          </w:p>
        </w:tc>
        <w:tc>
          <w:tcPr>
            <w:tcW w:w="140" w:type="dxa"/>
            <w:vAlign w:val="bottom"/>
            <w:tcBorders>
              <w:top w:val="single" w:sz="8" w:color="A6A6A6"/>
            </w:tcBorders>
          </w:tcPr>
          <w:p>
            <w:pPr>
              <w:spacing w:after="0"/>
              <w:rPr>
                <w:sz w:val="12"/>
                <w:szCs w:val="12"/>
                <w:color w:val="auto"/>
              </w:rPr>
            </w:pPr>
          </w:p>
        </w:tc>
        <w:tc>
          <w:tcPr>
            <w:tcW w:w="340" w:type="dxa"/>
            <w:vAlign w:val="bottom"/>
            <w:tcBorders>
              <w:top w:val="single" w:sz="8" w:color="004483"/>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396,463</w:t>
            </w:r>
          </w:p>
        </w:tc>
      </w:tr>
    </w:tbl>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Amortization expense of intangibles was $4.5 million, $2.5 million, and $4.3 million for the fiscal years ended March 31, 2021, 2020, and 2019, respectively. Amortization expense is expected to be approximately $4.6 million for each of fiscal years 2022 through 2026.</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The purchase price adjustment column included in the March 31, 2021 Intangible Assets table relates to the adjustment made to finalize the purchase price of Kosmos Cement Company. Please see Footnote (B) Acquisitions for more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Impairment or Disposal of Long-Lived and Intangible Assets</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2021.</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During fiscal 2020 and 2019, declining sales prices, sales volumes and operating losses led to the impairment of long-lived assets in our Oil and Gas Proppants business. During fiscal 2020 and 2019, we recorded impairment losses related to this business of $224.3 million and $220.3 million,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66" w:name="page67"/>
    <w:bookmarkEnd w:id="66"/>
    <w:p>
      <w:pPr>
        <w:ind w:right="220"/>
        <w:spacing w:after="0" w:line="271" w:lineRule="auto"/>
        <w:rPr>
          <w:sz w:val="20"/>
          <w:szCs w:val="20"/>
          <w:color w:val="auto"/>
        </w:rPr>
      </w:pPr>
      <w:r>
        <w:rPr>
          <w:rFonts w:ascii="Arial" w:cs="Arial" w:eastAsia="Arial" w:hAnsi="Arial"/>
          <w:sz w:val="12"/>
          <w:szCs w:val="12"/>
          <w:color w:val="auto"/>
        </w:rPr>
        <w:t>These losses were recorded primarily in property, plant, and equipment, but also included impairment of lease right-of-use assets in fiscal 2020. On September 18, 2020, we sold the Oil and Gas Proppants business, and determined that the sale of this business met the discontinued operations accounting criteria. See Footnote (C) for more information about the sale of the Oil and Gas Proppants business, and the discontinued operations accounting disclosures.</w:t>
      </w:r>
    </w:p>
    <w:p>
      <w:pPr>
        <w:spacing w:after="0" w:line="64" w:lineRule="exact"/>
        <w:rPr>
          <w:sz w:val="20"/>
          <w:szCs w:val="20"/>
          <w:color w:val="auto"/>
        </w:rPr>
      </w:pPr>
    </w:p>
    <w:p>
      <w:pPr>
        <w:jc w:val="both"/>
        <w:ind w:right="140"/>
        <w:spacing w:after="0" w:line="271" w:lineRule="auto"/>
        <w:rPr>
          <w:sz w:val="20"/>
          <w:szCs w:val="20"/>
          <w:color w:val="auto"/>
        </w:rPr>
      </w:pPr>
      <w:r>
        <w:rPr>
          <w:rFonts w:ascii="Arial" w:cs="Arial" w:eastAsia="Arial" w:hAnsi="Arial"/>
          <w:sz w:val="12"/>
          <w:szCs w:val="12"/>
          <w:color w:val="auto"/>
        </w:rPr>
        <w:t>As part of the sale of the Oil and Gas Proppants business, there were certain assets that were included in this operating segment and not included in the sale. Because these assets were not included in the sale, any expenses related to these assets were not included in discontinued operations. Impairment charges related to these assets in fiscal 2020 and 2019 are included in continuing operations on the Consolidated Statement of Earnings and are summarized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2100" w:type="dxa"/>
            <w:vAlign w:val="bottom"/>
            <w:gridSpan w:val="4"/>
            <w:shd w:val="clear" w:color="auto" w:fill="004483"/>
          </w:tcPr>
          <w:p>
            <w:pPr>
              <w:jc w:val="right"/>
              <w:ind w:right="413"/>
              <w:spacing w:after="0"/>
              <w:rPr>
                <w:sz w:val="20"/>
                <w:szCs w:val="20"/>
                <w:color w:val="auto"/>
              </w:rPr>
            </w:pPr>
            <w:r>
              <w:rPr>
                <w:rFonts w:ascii="Arial" w:cs="Arial" w:eastAsia="Arial" w:hAnsi="Arial"/>
                <w:sz w:val="8"/>
                <w:szCs w:val="8"/>
                <w:b w:val="1"/>
                <w:bCs w:val="1"/>
                <w:color w:val="FFFFFF"/>
              </w:rPr>
              <w:t>For the Years Ended March 31,</w:t>
            </w:r>
          </w:p>
        </w:tc>
        <w:tc>
          <w:tcPr>
            <w:tcW w:w="7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13"/>
                <w:szCs w:val="13"/>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2100" w:type="dxa"/>
            <w:vAlign w:val="bottom"/>
            <w:tcBorders>
              <w:bottom w:val="single" w:sz="8" w:color="004483"/>
            </w:tcBorders>
            <w:gridSpan w:val="4"/>
          </w:tcPr>
          <w:p>
            <w:pPr>
              <w:jc w:val="right"/>
              <w:ind w:right="613"/>
              <w:spacing w:after="0"/>
              <w:rPr>
                <w:sz w:val="20"/>
                <w:szCs w:val="20"/>
                <w:color w:val="auto"/>
              </w:rPr>
            </w:pPr>
            <w:r>
              <w:rPr>
                <w:rFonts w:ascii="Arial" w:cs="Arial" w:eastAsia="Arial" w:hAnsi="Arial"/>
                <w:sz w:val="8"/>
                <w:szCs w:val="8"/>
                <w:color w:val="auto"/>
              </w:rPr>
              <w:t>(dollars in thousands)</w:t>
            </w:r>
          </w:p>
        </w:tc>
        <w:tc>
          <w:tcPr>
            <w:tcW w:w="7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Equipment, and Real Estate</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11,213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73"/>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37,179</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Lease Right-of-Use Assets</w:t>
            </w:r>
          </w:p>
        </w:tc>
        <w:tc>
          <w:tcPr>
            <w:tcW w:w="6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13,918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2"/>
        </w:trPr>
        <w:tc>
          <w:tcPr>
            <w:tcW w:w="7740" w:type="dxa"/>
            <w:vAlign w:val="bottom"/>
            <w:tcBorders>
              <w:top w:val="single" w:sz="8" w:color="A6A6A6"/>
            </w:tcBorders>
          </w:tcPr>
          <w:p>
            <w:pPr>
              <w:spacing w:after="0"/>
              <w:rPr>
                <w:sz w:val="12"/>
                <w:szCs w:val="12"/>
                <w:color w:val="auto"/>
              </w:rPr>
            </w:pPr>
          </w:p>
        </w:tc>
        <w:tc>
          <w:tcPr>
            <w:tcW w:w="620" w:type="dxa"/>
            <w:vAlign w:val="bottom"/>
            <w:tcBorders>
              <w:top w:val="single" w:sz="8" w:color="004483"/>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25,131</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840" w:type="dxa"/>
            <w:vAlign w:val="bottom"/>
            <w:tcBorders>
              <w:top w:val="single" w:sz="8" w:color="004483"/>
              <w:bottom w:val="single" w:sz="8" w:color="004483"/>
            </w:tcBorders>
          </w:tcPr>
          <w:p>
            <w:pPr>
              <w:jc w:val="right"/>
              <w:ind w:right="77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37,179</w:t>
            </w:r>
          </w:p>
        </w:tc>
        <w:tc>
          <w:tcPr>
            <w:tcW w:w="120" w:type="dxa"/>
            <w:vAlign w:val="bottom"/>
          </w:tcPr>
          <w:p>
            <w:pPr>
              <w:spacing w:after="0"/>
              <w:rPr>
                <w:sz w:val="12"/>
                <w:szCs w:val="1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Other Assets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Other Assets are primarily composed of financing costs related to our revolving credit facility, deferred expenses, and deposits.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Income Taxes</w:t>
      </w:r>
    </w:p>
    <w:p>
      <w:pPr>
        <w:spacing w:after="0" w:line="102"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Stock Repurchases</w:t>
      </w:r>
    </w:p>
    <w:p>
      <w:pPr>
        <w:spacing w:after="0" w:line="102"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On April 18, 2019, the Board of Directors authorized the Company to repurchase an additional 10,000,000 shares. During fiscal years 2020 and 2019, we repurchased 3,574,109 and 3,309,670 shares, respectively, at average prices of $87.82 and $82.18, respectively. We did not repurchase any shares during the fiscal year ended March 31, 2021. At March 31, 2021, we have authorization to repurchase an additional 7,305,649 shares.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Revenue Recognition</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earn Revenue primarily from the sale of products, which include cement, concrete, aggregates, gypsum wallboard, and recycled paperboard. The majority of Revenue from the sale of cement, concrete, aggregates, and gypsum wallboard is originated by purchase orders from our customers, who are primarily third-party contractors and suppliers. Revenue from our Recycled Paperboard segment is generated primarily through long-term supply agreements that mature between calendar years 2023 and 2025. We invoice customers upon shipment, and our collection terms range from 30 to 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67" w:name="page68"/>
    <w:bookmarkEnd w:id="67"/>
    <w:p>
      <w:pPr>
        <w:ind w:right="220"/>
        <w:spacing w:after="0" w:line="269" w:lineRule="auto"/>
        <w:rPr>
          <w:sz w:val="20"/>
          <w:szCs w:val="20"/>
          <w:color w:val="auto"/>
        </w:rPr>
      </w:pPr>
      <w:r>
        <w:rPr>
          <w:rFonts w:ascii="Arial" w:cs="Arial" w:eastAsia="Arial" w:hAnsi="Arial"/>
          <w:sz w:val="12"/>
          <w:szCs w:val="12"/>
          <w:color w:val="auto"/>
        </w:rPr>
        <w:t>Revenue from sales under our long-term supply agreements is also recognized upon transfer of control to the customer, which generally occurs at the time the product is shipped from the production facility.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65"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4"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64"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Approximately $177.5 million, $168.1 million, and $169.6 million of freight for the fiscal years ended March 31, 2021, 2020 and 2019, respectively, were included in both Revenue and Cost of Goods Sold in our Consolidated Statement of Earnings.</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See Footnote (I) for disaggregation of Revenue by segment.</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Comprehensive Income/Losses</w:t>
      </w:r>
    </w:p>
    <w:p>
      <w:pPr>
        <w:spacing w:after="0" w:line="102"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As of March 31, 2021, we have an Accumulated Other Comprehensive Loss of $3.4 million, which is net of income taxes of $1.1 million, in connection with recognizing the difference between the fair value of the pension assets and the projected benefit obligation.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Consolidated Cash Flows – Supplemental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Supplemental cash flow information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200" w:type="dxa"/>
            <w:vAlign w:val="bottom"/>
          </w:tcPr>
          <w:p>
            <w:pPr>
              <w:spacing w:after="0"/>
              <w:rPr>
                <w:sz w:val="11"/>
                <w:szCs w:val="11"/>
                <w:color w:val="auto"/>
              </w:rPr>
            </w:pPr>
          </w:p>
        </w:tc>
        <w:tc>
          <w:tcPr>
            <w:tcW w:w="620" w:type="dxa"/>
            <w:vAlign w:val="bottom"/>
            <w:shd w:val="clear" w:color="auto" w:fill="004483"/>
          </w:tcPr>
          <w:p>
            <w:pPr>
              <w:spacing w:after="0"/>
              <w:rPr>
                <w:sz w:val="11"/>
                <w:szCs w:val="11"/>
                <w:color w:val="auto"/>
              </w:rPr>
            </w:pPr>
          </w:p>
        </w:tc>
        <w:tc>
          <w:tcPr>
            <w:tcW w:w="86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260" w:type="dxa"/>
            <w:vAlign w:val="bottom"/>
            <w:shd w:val="clear" w:color="auto" w:fill="004483"/>
          </w:tcPr>
          <w:p>
            <w:pPr>
              <w:spacing w:after="0"/>
              <w:rPr>
                <w:sz w:val="11"/>
                <w:szCs w:val="11"/>
                <w:color w:val="auto"/>
              </w:rPr>
            </w:pPr>
          </w:p>
        </w:tc>
        <w:tc>
          <w:tcPr>
            <w:tcW w:w="1480" w:type="dxa"/>
            <w:vAlign w:val="bottom"/>
            <w:gridSpan w:val="2"/>
            <w:shd w:val="clear" w:color="auto" w:fill="004483"/>
          </w:tcPr>
          <w:p>
            <w:pPr>
              <w:ind w:left="60"/>
              <w:spacing w:after="0"/>
              <w:rPr>
                <w:sz w:val="20"/>
                <w:szCs w:val="20"/>
                <w:color w:val="auto"/>
              </w:rPr>
            </w:pPr>
            <w:r>
              <w:rPr>
                <w:rFonts w:ascii="Arial" w:cs="Arial" w:eastAsia="Arial" w:hAnsi="Arial"/>
                <w:sz w:val="8"/>
                <w:szCs w:val="8"/>
                <w:b w:val="1"/>
                <w:bCs w:val="1"/>
                <w:color w:val="FFFFFF"/>
              </w:rPr>
              <w:t>For the Years Ended March 31,</w:t>
            </w:r>
          </w:p>
        </w:tc>
        <w:tc>
          <w:tcPr>
            <w:tcW w:w="780" w:type="dxa"/>
            <w:vAlign w:val="bottom"/>
            <w:shd w:val="clear" w:color="auto" w:fill="004483"/>
          </w:tcPr>
          <w:p>
            <w:pPr>
              <w:spacing w:after="0"/>
              <w:rPr>
                <w:sz w:val="11"/>
                <w:szCs w:val="11"/>
                <w:color w:val="auto"/>
              </w:rPr>
            </w:pPr>
          </w:p>
        </w:tc>
        <w:tc>
          <w:tcPr>
            <w:tcW w:w="86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r>
      <w:tr>
        <w:trPr>
          <w:trHeight w:val="107"/>
        </w:trPr>
        <w:tc>
          <w:tcPr>
            <w:tcW w:w="6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9"/>
                <w:szCs w:val="9"/>
                <w:color w:val="auto"/>
              </w:rPr>
            </w:pPr>
          </w:p>
        </w:tc>
      </w:tr>
      <w:tr>
        <w:trPr>
          <w:trHeight w:val="100"/>
        </w:trPr>
        <w:tc>
          <w:tcPr>
            <w:tcW w:w="6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20" w:type="dxa"/>
            <w:vAlign w:val="bottom"/>
            <w:gridSpan w:val="5"/>
          </w:tcPr>
          <w:p>
            <w:pPr>
              <w:ind w:left="620"/>
              <w:spacing w:after="0"/>
              <w:rPr>
                <w:sz w:val="20"/>
                <w:szCs w:val="20"/>
                <w:color w:val="auto"/>
              </w:rPr>
            </w:pPr>
            <w:r>
              <w:rPr>
                <w:rFonts w:ascii="Arial" w:cs="Arial" w:eastAsia="Arial" w:hAnsi="Arial"/>
                <w:sz w:val="8"/>
                <w:szCs w:val="8"/>
                <w:color w:val="auto"/>
              </w:rPr>
              <w:t>(dollars in thousands)</w:t>
            </w: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6"/>
        </w:trPr>
        <w:tc>
          <w:tcPr>
            <w:tcW w:w="6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Cash Payments:</w:t>
            </w:r>
          </w:p>
        </w:tc>
        <w:tc>
          <w:tcPr>
            <w:tcW w:w="620" w:type="dxa"/>
            <w:vAlign w:val="bottom"/>
            <w:tcBorders>
              <w:top w:val="single" w:sz="8" w:color="004483"/>
              <w:bottom w:val="single" w:sz="8" w:color="A6A6A6"/>
            </w:tcBorders>
          </w:tcPr>
          <w:p>
            <w:pPr>
              <w:spacing w:after="0"/>
              <w:rPr>
                <w:sz w:val="11"/>
                <w:szCs w:val="11"/>
                <w:color w:val="auto"/>
              </w:rPr>
            </w:pPr>
          </w:p>
        </w:tc>
        <w:tc>
          <w:tcPr>
            <w:tcW w:w="860" w:type="dxa"/>
            <w:vAlign w:val="bottom"/>
            <w:tcBorders>
              <w:top w:val="single" w:sz="8" w:color="004483"/>
              <w:bottom w:val="single" w:sz="8" w:color="A6A6A6"/>
            </w:tcBorders>
          </w:tcPr>
          <w:p>
            <w:pPr>
              <w:spacing w:after="0"/>
              <w:rPr>
                <w:sz w:val="11"/>
                <w:szCs w:val="11"/>
                <w:color w:val="auto"/>
              </w:rPr>
            </w:pPr>
          </w:p>
        </w:tc>
        <w:tc>
          <w:tcPr>
            <w:tcW w:w="120" w:type="dxa"/>
            <w:vAlign w:val="bottom"/>
            <w:tcBorders>
              <w:top w:val="single" w:sz="8" w:color="004483"/>
            </w:tcBorders>
          </w:tcPr>
          <w:p>
            <w:pPr>
              <w:spacing w:after="0"/>
              <w:rPr>
                <w:sz w:val="11"/>
                <w:szCs w:val="11"/>
                <w:color w:val="auto"/>
              </w:rPr>
            </w:pPr>
          </w:p>
        </w:tc>
        <w:tc>
          <w:tcPr>
            <w:tcW w:w="260" w:type="dxa"/>
            <w:vAlign w:val="bottom"/>
            <w:tcBorders>
              <w:top w:val="single" w:sz="8" w:color="004483"/>
              <w:bottom w:val="single" w:sz="8" w:color="A6A6A6"/>
            </w:tcBorders>
          </w:tcPr>
          <w:p>
            <w:pPr>
              <w:spacing w:after="0"/>
              <w:rPr>
                <w:sz w:val="11"/>
                <w:szCs w:val="11"/>
                <w:color w:val="auto"/>
              </w:rPr>
            </w:pPr>
          </w:p>
        </w:tc>
        <w:tc>
          <w:tcPr>
            <w:tcW w:w="13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004483"/>
              <w:bottom w:val="single" w:sz="8" w:color="A6A6A6"/>
            </w:tcBorders>
          </w:tcPr>
          <w:p>
            <w:pPr>
              <w:spacing w:after="0"/>
              <w:rPr>
                <w:sz w:val="11"/>
                <w:szCs w:val="11"/>
                <w:color w:val="auto"/>
              </w:rPr>
            </w:pPr>
          </w:p>
        </w:tc>
        <w:tc>
          <w:tcPr>
            <w:tcW w:w="8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620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004483"/>
              </w:rPr>
              <w:t>Interest</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42,343</w:t>
            </w:r>
          </w:p>
        </w:tc>
        <w:tc>
          <w:tcPr>
            <w:tcW w:w="120" w:type="dxa"/>
            <w:vAlign w:val="bottom"/>
          </w:tcPr>
          <w:p>
            <w:pPr>
              <w:spacing w:after="0"/>
              <w:rPr>
                <w:sz w:val="12"/>
                <w:szCs w:val="12"/>
                <w:color w:val="auto"/>
              </w:rPr>
            </w:pPr>
          </w:p>
        </w:tc>
        <w:tc>
          <w:tcPr>
            <w:tcW w:w="2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37,610</w:t>
            </w:r>
          </w:p>
        </w:tc>
        <w:tc>
          <w:tcPr>
            <w:tcW w:w="100" w:type="dxa"/>
            <w:vAlign w:val="bottom"/>
          </w:tcPr>
          <w:p>
            <w:pPr>
              <w:spacing w:after="0"/>
              <w:rPr>
                <w:sz w:val="12"/>
                <w:szCs w:val="12"/>
                <w:color w:val="auto"/>
              </w:rPr>
            </w:pPr>
          </w:p>
        </w:tc>
        <w:tc>
          <w:tcPr>
            <w:tcW w:w="780" w:type="dxa"/>
            <w:vAlign w:val="bottom"/>
            <w:tcBorders>
              <w:bottom w:val="single" w:sz="8" w:color="A6A6A6"/>
            </w:tcBorders>
          </w:tcPr>
          <w:p>
            <w:pPr>
              <w:jc w:val="right"/>
              <w:ind w:right="5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28,191</w:t>
            </w:r>
          </w:p>
        </w:tc>
        <w:tc>
          <w:tcPr>
            <w:tcW w:w="120" w:type="dxa"/>
            <w:vAlign w:val="bottom"/>
          </w:tcPr>
          <w:p>
            <w:pPr>
              <w:spacing w:after="0"/>
              <w:rPr>
                <w:sz w:val="12"/>
                <w:szCs w:val="12"/>
                <w:color w:val="auto"/>
              </w:rPr>
            </w:pPr>
          </w:p>
        </w:tc>
      </w:tr>
      <w:tr>
        <w:trPr>
          <w:trHeight w:val="142"/>
        </w:trPr>
        <w:tc>
          <w:tcPr>
            <w:tcW w:w="620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004483"/>
              </w:rPr>
              <w:t>Income Taxes</w:t>
            </w:r>
          </w:p>
        </w:tc>
        <w:tc>
          <w:tcPr>
            <w:tcW w:w="620" w:type="dxa"/>
            <w:vAlign w:val="bottom"/>
            <w:tcBorders>
              <w:bottom w:val="single" w:sz="8" w:color="A6A6A6"/>
            </w:tcBorders>
          </w:tcPr>
          <w:p>
            <w:pPr>
              <w:spacing w:after="0"/>
              <w:rPr>
                <w:sz w:val="12"/>
                <w:szCs w:val="12"/>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32,870</w:t>
            </w:r>
          </w:p>
        </w:tc>
        <w:tc>
          <w:tcPr>
            <w:tcW w:w="120" w:type="dxa"/>
            <w:vAlign w:val="bottom"/>
          </w:tcPr>
          <w:p>
            <w:pPr>
              <w:spacing w:after="0"/>
              <w:rPr>
                <w:sz w:val="12"/>
                <w:szCs w:val="12"/>
                <w:color w:val="auto"/>
              </w:rPr>
            </w:pPr>
          </w:p>
        </w:tc>
        <w:tc>
          <w:tcPr>
            <w:tcW w:w="260" w:type="dxa"/>
            <w:vAlign w:val="bottom"/>
            <w:tcBorders>
              <w:bottom w:val="single" w:sz="8" w:color="A6A6A6"/>
            </w:tcBorders>
          </w:tcPr>
          <w:p>
            <w:pPr>
              <w:spacing w:after="0"/>
              <w:rPr>
                <w:sz w:val="12"/>
                <w:szCs w:val="12"/>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20,046</w:t>
            </w:r>
          </w:p>
        </w:tc>
        <w:tc>
          <w:tcPr>
            <w:tcW w:w="100" w:type="dxa"/>
            <w:vAlign w:val="bottom"/>
          </w:tcPr>
          <w:p>
            <w:pPr>
              <w:spacing w:after="0"/>
              <w:rPr>
                <w:sz w:val="12"/>
                <w:szCs w:val="12"/>
                <w:color w:val="auto"/>
              </w:rPr>
            </w:pPr>
          </w:p>
        </w:tc>
        <w:tc>
          <w:tcPr>
            <w:tcW w:w="780" w:type="dxa"/>
            <w:vAlign w:val="bottom"/>
            <w:tcBorders>
              <w:bottom w:val="single" w:sz="8" w:color="A6A6A6"/>
            </w:tcBorders>
          </w:tcPr>
          <w:p>
            <w:pPr>
              <w:spacing w:after="0"/>
              <w:rPr>
                <w:sz w:val="12"/>
                <w:szCs w:val="12"/>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39,974</w:t>
            </w:r>
          </w:p>
        </w:tc>
        <w:tc>
          <w:tcPr>
            <w:tcW w:w="120" w:type="dxa"/>
            <w:vAlign w:val="bottom"/>
          </w:tcPr>
          <w:p>
            <w:pPr>
              <w:spacing w:after="0"/>
              <w:rPr>
                <w:sz w:val="12"/>
                <w:szCs w:val="12"/>
                <w:color w:val="auto"/>
              </w:rPr>
            </w:pPr>
          </w:p>
        </w:tc>
      </w:tr>
      <w:tr>
        <w:trPr>
          <w:trHeight w:val="142"/>
        </w:trPr>
        <w:tc>
          <w:tcPr>
            <w:tcW w:w="6200" w:type="dxa"/>
            <w:vAlign w:val="bottom"/>
          </w:tcPr>
          <w:p>
            <w:pPr>
              <w:ind w:left="80"/>
              <w:spacing w:after="0"/>
              <w:rPr>
                <w:sz w:val="20"/>
                <w:szCs w:val="20"/>
                <w:color w:val="auto"/>
              </w:rPr>
            </w:pPr>
            <w:r>
              <w:rPr>
                <w:rFonts w:ascii="Arial" w:cs="Arial" w:eastAsia="Arial" w:hAnsi="Arial"/>
                <w:sz w:val="11"/>
                <w:szCs w:val="11"/>
                <w:color w:val="004483"/>
              </w:rPr>
              <w:t>Operating Cash Flows Used for Operating Leases</w:t>
            </w:r>
          </w:p>
        </w:tc>
        <w:tc>
          <w:tcPr>
            <w:tcW w:w="6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10,741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14,926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4"/>
        </w:trPr>
        <w:tc>
          <w:tcPr>
            <w:tcW w:w="6200" w:type="dxa"/>
            <w:vAlign w:val="bottom"/>
            <w:tcBorders>
              <w:top w:val="single" w:sz="8" w:color="A6A6A6"/>
              <w:bottom w:val="single" w:sz="8" w:color="A6A6A6"/>
            </w:tcBorders>
          </w:tcPr>
          <w:p>
            <w:pPr>
              <w:spacing w:after="0"/>
              <w:rPr>
                <w:sz w:val="12"/>
                <w:szCs w:val="12"/>
                <w:color w:val="auto"/>
              </w:rPr>
            </w:pPr>
          </w:p>
        </w:tc>
        <w:tc>
          <w:tcPr>
            <w:tcW w:w="620" w:type="dxa"/>
            <w:vAlign w:val="bottom"/>
            <w:tcBorders>
              <w:top w:val="single" w:sz="8" w:color="A6A6A6"/>
              <w:bottom w:val="single" w:sz="8" w:color="A6A6A6"/>
            </w:tcBorders>
          </w:tcPr>
          <w:p>
            <w:pPr>
              <w:spacing w:after="0"/>
              <w:rPr>
                <w:sz w:val="12"/>
                <w:szCs w:val="12"/>
                <w:color w:val="auto"/>
              </w:rPr>
            </w:pPr>
          </w:p>
        </w:tc>
        <w:tc>
          <w:tcPr>
            <w:tcW w:w="86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6A6A6"/>
              <w:bottom w:val="single" w:sz="8" w:color="A6A6A6"/>
            </w:tcBorders>
          </w:tcPr>
          <w:p>
            <w:pPr>
              <w:spacing w:after="0"/>
              <w:rPr>
                <w:sz w:val="12"/>
                <w:szCs w:val="12"/>
                <w:color w:val="auto"/>
              </w:rPr>
            </w:pPr>
          </w:p>
        </w:tc>
        <w:tc>
          <w:tcPr>
            <w:tcW w:w="1380" w:type="dxa"/>
            <w:vAlign w:val="bottom"/>
            <w:tcBorders>
              <w:top w:val="single" w:sz="8" w:color="A6A6A6"/>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6A6A6"/>
              <w:bottom w:val="single" w:sz="8" w:color="A6A6A6"/>
            </w:tcBorders>
          </w:tcPr>
          <w:p>
            <w:pPr>
              <w:spacing w:after="0"/>
              <w:rPr>
                <w:sz w:val="12"/>
                <w:szCs w:val="12"/>
                <w:color w:val="auto"/>
              </w:rPr>
            </w:pPr>
          </w:p>
        </w:tc>
        <w:tc>
          <w:tcPr>
            <w:tcW w:w="86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6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Non-Cash Financing Activities:</w:t>
            </w:r>
          </w:p>
        </w:tc>
        <w:tc>
          <w:tcPr>
            <w:tcW w:w="62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620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004483"/>
              </w:rPr>
              <w:t>Right-of-use Assets Obtained for Capitalized Operating Lease Liabilities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272</w:t>
            </w:r>
          </w:p>
        </w:tc>
        <w:tc>
          <w:tcPr>
            <w:tcW w:w="120" w:type="dxa"/>
            <w:vAlign w:val="bottom"/>
          </w:tcPr>
          <w:p>
            <w:pPr>
              <w:spacing w:after="0"/>
              <w:rPr>
                <w:sz w:val="11"/>
                <w:szCs w:val="11"/>
                <w:color w:val="auto"/>
              </w:rPr>
            </w:pPr>
          </w:p>
        </w:tc>
        <w:tc>
          <w:tcPr>
            <w:tcW w:w="2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621</w:t>
            </w:r>
          </w:p>
        </w:tc>
        <w:tc>
          <w:tcPr>
            <w:tcW w:w="100" w:type="dxa"/>
            <w:vAlign w:val="bottom"/>
          </w:tcPr>
          <w:p>
            <w:pPr>
              <w:spacing w:after="0"/>
              <w:rPr>
                <w:sz w:val="11"/>
                <w:szCs w:val="11"/>
                <w:color w:val="auto"/>
              </w:rPr>
            </w:pPr>
          </w:p>
        </w:tc>
        <w:tc>
          <w:tcPr>
            <w:tcW w:w="780" w:type="dxa"/>
            <w:vAlign w:val="bottom"/>
            <w:tcBorders>
              <w:bottom w:val="single" w:sz="8" w:color="A6A6A6"/>
            </w:tcBorders>
          </w:tcPr>
          <w:p>
            <w:pPr>
              <w:jc w:val="right"/>
              <w:ind w:right="5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4483"/>
        </w:rPr>
        <w:t>Statements of Consolidated Earnings – Supplemental Disclosures</w:t>
      </w:r>
    </w:p>
    <w:p>
      <w:pPr>
        <w:spacing w:after="0" w:line="102"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Maintenance and repair expenses are included in each segment’s costs and expenses. We incurred $137.2 million, $127.0 million, and $116.3 million of maintenance and repairs expense in the fiscal years ended March 31, 2021, 2020, and 2019, respectively, which is included in Cost of Goods Sold on the Consolidated Statement of Earnings.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Selling, General, and Administrative Expenses</w:t>
      </w:r>
    </w:p>
    <w:p>
      <w:pPr>
        <w:spacing w:after="0" w:line="102" w:lineRule="exact"/>
        <w:rPr>
          <w:sz w:val="20"/>
          <w:szCs w:val="20"/>
          <w:color w:val="auto"/>
        </w:rPr>
      </w:pPr>
    </w:p>
    <w:p>
      <w:pPr>
        <w:jc w:val="both"/>
        <w:ind w:right="400"/>
        <w:spacing w:after="0" w:line="271" w:lineRule="auto"/>
        <w:rPr>
          <w:sz w:val="20"/>
          <w:szCs w:val="20"/>
          <w:color w:val="auto"/>
        </w:rPr>
      </w:pPr>
      <w:r>
        <w:rPr>
          <w:rFonts w:ascii="Arial" w:cs="Arial" w:eastAsia="Arial" w:hAnsi="Arial"/>
          <w:sz w:val="12"/>
          <w:szCs w:val="12"/>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(L) for more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Total Selling, General, and Administrative Expenses for each of the periods are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60" w:type="dxa"/>
            <w:vAlign w:val="bottom"/>
          </w:tcPr>
          <w:p>
            <w:pPr>
              <w:spacing w:after="0"/>
              <w:rPr>
                <w:sz w:val="11"/>
                <w:szCs w:val="11"/>
                <w:color w:val="auto"/>
              </w:rPr>
            </w:pPr>
          </w:p>
        </w:tc>
        <w:tc>
          <w:tcPr>
            <w:tcW w:w="500" w:type="dxa"/>
            <w:vAlign w:val="bottom"/>
            <w:tcBorders>
              <w:bottom w:val="single" w:sz="8" w:color="004483"/>
            </w:tcBorders>
            <w:shd w:val="clear" w:color="auto" w:fill="004483"/>
          </w:tcPr>
          <w:p>
            <w:pPr>
              <w:spacing w:after="0"/>
              <w:rPr>
                <w:sz w:val="11"/>
                <w:szCs w:val="11"/>
                <w:color w:val="auto"/>
              </w:rPr>
            </w:pPr>
          </w:p>
        </w:tc>
        <w:tc>
          <w:tcPr>
            <w:tcW w:w="940" w:type="dxa"/>
            <w:vAlign w:val="bottom"/>
            <w:tcBorders>
              <w:bottom w:val="single" w:sz="8" w:color="004483"/>
            </w:tcBorders>
            <w:shd w:val="clear" w:color="auto" w:fill="004483"/>
          </w:tcPr>
          <w:p>
            <w:pPr>
              <w:spacing w:after="0"/>
              <w:rPr>
                <w:sz w:val="11"/>
                <w:szCs w:val="11"/>
                <w:color w:val="auto"/>
              </w:rPr>
            </w:pPr>
          </w:p>
        </w:tc>
        <w:tc>
          <w:tcPr>
            <w:tcW w:w="160" w:type="dxa"/>
            <w:vAlign w:val="bottom"/>
            <w:tcBorders>
              <w:bottom w:val="single" w:sz="8" w:color="004483"/>
            </w:tcBorders>
            <w:shd w:val="clear" w:color="auto" w:fill="004483"/>
          </w:tcPr>
          <w:p>
            <w:pPr>
              <w:spacing w:after="0"/>
              <w:rPr>
                <w:sz w:val="11"/>
                <w:szCs w:val="11"/>
                <w:color w:val="auto"/>
              </w:rPr>
            </w:pPr>
          </w:p>
        </w:tc>
        <w:tc>
          <w:tcPr>
            <w:tcW w:w="80" w:type="dxa"/>
            <w:vAlign w:val="bottom"/>
            <w:tcBorders>
              <w:bottom w:val="single" w:sz="8" w:color="004483"/>
            </w:tcBorders>
            <w:shd w:val="clear" w:color="auto" w:fill="004483"/>
          </w:tcPr>
          <w:p>
            <w:pPr>
              <w:spacing w:after="0"/>
              <w:rPr>
                <w:sz w:val="11"/>
                <w:szCs w:val="11"/>
                <w:color w:val="auto"/>
              </w:rPr>
            </w:pPr>
          </w:p>
        </w:tc>
        <w:tc>
          <w:tcPr>
            <w:tcW w:w="1520" w:type="dxa"/>
            <w:vAlign w:val="bottom"/>
            <w:tcBorders>
              <w:bottom w:val="single" w:sz="8" w:color="004483"/>
            </w:tcBorders>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40" w:type="dxa"/>
            <w:vAlign w:val="bottom"/>
            <w:tcBorders>
              <w:bottom w:val="single" w:sz="8" w:color="004483"/>
            </w:tcBorders>
            <w:shd w:val="clear" w:color="auto" w:fill="004483"/>
          </w:tcPr>
          <w:p>
            <w:pPr>
              <w:spacing w:after="0"/>
              <w:rPr>
                <w:sz w:val="11"/>
                <w:szCs w:val="11"/>
                <w:color w:val="auto"/>
              </w:rPr>
            </w:pPr>
          </w:p>
        </w:tc>
        <w:tc>
          <w:tcPr>
            <w:tcW w:w="900" w:type="dxa"/>
            <w:vAlign w:val="bottom"/>
            <w:tcBorders>
              <w:bottom w:val="single" w:sz="8" w:color="004483"/>
            </w:tcBorders>
            <w:shd w:val="clear" w:color="auto" w:fill="004483"/>
          </w:tcPr>
          <w:p>
            <w:pPr>
              <w:spacing w:after="0"/>
              <w:rPr>
                <w:sz w:val="11"/>
                <w:szCs w:val="11"/>
                <w:color w:val="auto"/>
              </w:rPr>
            </w:pPr>
          </w:p>
        </w:tc>
      </w:tr>
      <w:tr>
        <w:trPr>
          <w:trHeight w:val="99"/>
        </w:trPr>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jc w:val="right"/>
              <w:ind w:right="69"/>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72"/>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9"/>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Operating Units Selling, G&amp;A</w:t>
            </w: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56,309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72"/>
              <w:spacing w:after="0"/>
              <w:rPr>
                <w:sz w:val="20"/>
                <w:szCs w:val="20"/>
                <w:color w:val="auto"/>
              </w:rPr>
            </w:pPr>
            <w:r>
              <w:rPr>
                <w:rFonts w:ascii="Arial" w:cs="Arial" w:eastAsia="Arial" w:hAnsi="Arial"/>
                <w:sz w:val="11"/>
                <w:szCs w:val="11"/>
                <w:color w:val="auto"/>
              </w:rPr>
              <w:t>57,077</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53,787</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Corporate G&amp;A</w:t>
            </w:r>
          </w:p>
        </w:tc>
        <w:tc>
          <w:tcPr>
            <w:tcW w:w="50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49,511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72"/>
              <w:spacing w:after="0"/>
              <w:rPr>
                <w:sz w:val="20"/>
                <w:szCs w:val="20"/>
                <w:color w:val="auto"/>
              </w:rPr>
            </w:pPr>
            <w:r>
              <w:rPr>
                <w:rFonts w:ascii="Arial" w:cs="Arial" w:eastAsia="Arial" w:hAnsi="Arial"/>
                <w:sz w:val="11"/>
                <w:szCs w:val="11"/>
                <w:color w:val="auto"/>
              </w:rPr>
              <w:t>65,410</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37,371</w:t>
            </w:r>
          </w:p>
        </w:tc>
      </w:tr>
      <w:tr>
        <w:trPr>
          <w:trHeight w:val="142"/>
        </w:trPr>
        <w:tc>
          <w:tcPr>
            <w:tcW w:w="6660" w:type="dxa"/>
            <w:vAlign w:val="bottom"/>
          </w:tcPr>
          <w:p>
            <w:pPr>
              <w:spacing w:after="0"/>
              <w:rPr>
                <w:sz w:val="12"/>
                <w:szCs w:val="12"/>
                <w:color w:val="auto"/>
              </w:rPr>
            </w:pPr>
          </w:p>
        </w:tc>
        <w:tc>
          <w:tcPr>
            <w:tcW w:w="500" w:type="dxa"/>
            <w:vAlign w:val="bottom"/>
            <w:tcBorders>
              <w:bottom w:val="single" w:sz="8" w:color="004483"/>
            </w:tcBorders>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105,820</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72"/>
              <w:spacing w:after="0"/>
              <w:rPr>
                <w:sz w:val="20"/>
                <w:szCs w:val="20"/>
                <w:color w:val="auto"/>
              </w:rPr>
            </w:pPr>
            <w:r>
              <w:rPr>
                <w:rFonts w:ascii="Arial" w:cs="Arial" w:eastAsia="Arial" w:hAnsi="Arial"/>
                <w:sz w:val="11"/>
                <w:szCs w:val="11"/>
                <w:b w:val="1"/>
                <w:bCs w:val="1"/>
                <w:color w:val="auto"/>
              </w:rPr>
              <w:t>122,487</w:t>
            </w: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91,158</w:t>
            </w:r>
          </w:p>
        </w:tc>
      </w:tr>
    </w:tbl>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2"/>
          <w:szCs w:val="12"/>
          <w:color w:val="auto"/>
        </w:rPr>
        <w:t>The increase in Corporate General and Administrative Expenses during fiscal 2020 is primarily due to business development costs related to our pending separation, acquisitions, and the acceleration of stock compensation costs upon the retirement of our Chief Executive Officer during the year.</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Earnings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60" w:type="dxa"/>
            <w:vAlign w:val="bottom"/>
          </w:tcPr>
          <w:p>
            <w:pPr>
              <w:spacing w:after="0"/>
              <w:rPr>
                <w:sz w:val="11"/>
                <w:szCs w:val="11"/>
                <w:color w:val="auto"/>
              </w:rPr>
            </w:pPr>
          </w:p>
        </w:tc>
        <w:tc>
          <w:tcPr>
            <w:tcW w:w="1440" w:type="dxa"/>
            <w:vAlign w:val="bottom"/>
            <w:tcBorders>
              <w:bottom w:val="single" w:sz="8" w:color="004483"/>
            </w:tcBorders>
            <w:shd w:val="clear" w:color="auto" w:fill="004483"/>
          </w:tcPr>
          <w:p>
            <w:pPr>
              <w:spacing w:after="0"/>
              <w:rPr>
                <w:sz w:val="11"/>
                <w:szCs w:val="11"/>
                <w:color w:val="auto"/>
              </w:rPr>
            </w:pPr>
          </w:p>
        </w:tc>
        <w:tc>
          <w:tcPr>
            <w:tcW w:w="160" w:type="dxa"/>
            <w:vAlign w:val="bottom"/>
            <w:tcBorders>
              <w:bottom w:val="single" w:sz="8" w:color="004483"/>
            </w:tcBorders>
            <w:shd w:val="clear" w:color="auto" w:fill="004483"/>
          </w:tcPr>
          <w:p>
            <w:pPr>
              <w:spacing w:after="0"/>
              <w:rPr>
                <w:sz w:val="11"/>
                <w:szCs w:val="11"/>
                <w:color w:val="auto"/>
              </w:rPr>
            </w:pPr>
          </w:p>
        </w:tc>
        <w:tc>
          <w:tcPr>
            <w:tcW w:w="1600" w:type="dxa"/>
            <w:vAlign w:val="bottom"/>
            <w:tcBorders>
              <w:bottom w:val="single" w:sz="8" w:color="004483"/>
            </w:tcBorders>
            <w:gridSpan w:val="2"/>
            <w:shd w:val="clear" w:color="auto" w:fill="004483"/>
          </w:tcPr>
          <w:p>
            <w:pPr>
              <w:ind w:left="100"/>
              <w:spacing w:after="0"/>
              <w:rPr>
                <w:sz w:val="20"/>
                <w:szCs w:val="20"/>
                <w:color w:val="auto"/>
              </w:rPr>
            </w:pPr>
            <w:r>
              <w:rPr>
                <w:rFonts w:ascii="Arial" w:cs="Arial" w:eastAsia="Arial" w:hAnsi="Arial"/>
                <w:sz w:val="8"/>
                <w:szCs w:val="8"/>
                <w:b w:val="1"/>
                <w:bCs w:val="1"/>
                <w:color w:val="FFFFFF"/>
              </w:rPr>
              <w:t>For the Years Ended March 31,</w:t>
            </w:r>
          </w:p>
        </w:tc>
        <w:tc>
          <w:tcPr>
            <w:tcW w:w="1440" w:type="dxa"/>
            <w:vAlign w:val="bottom"/>
            <w:tcBorders>
              <w:bottom w:val="single" w:sz="8" w:color="004483"/>
            </w:tcBorders>
            <w:shd w:val="clear" w:color="auto" w:fill="004483"/>
          </w:tcPr>
          <w:p>
            <w:pPr>
              <w:spacing w:after="0"/>
              <w:rPr>
                <w:sz w:val="11"/>
                <w:szCs w:val="11"/>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Borders>
              <w:bottom w:val="single" w:sz="8" w:color="004483"/>
            </w:tcBorders>
          </w:tcPr>
          <w:p>
            <w:pPr>
              <w:spacing w:after="0"/>
              <w:rPr>
                <w:sz w:val="8"/>
                <w:szCs w:val="8"/>
                <w:color w:val="auto"/>
              </w:rPr>
            </w:pPr>
          </w:p>
        </w:tc>
        <w:tc>
          <w:tcPr>
            <w:tcW w:w="1440" w:type="dxa"/>
            <w:vAlign w:val="bottom"/>
            <w:tcBorders>
              <w:bottom w:val="single" w:sz="8" w:color="004483"/>
            </w:tcBorders>
          </w:tcPr>
          <w:p>
            <w:pPr>
              <w:jc w:val="right"/>
              <w:ind w:right="69"/>
              <w:spacing w:after="0"/>
              <w:rPr>
                <w:sz w:val="20"/>
                <w:szCs w:val="20"/>
                <w:color w:val="auto"/>
              </w:rPr>
            </w:pPr>
            <w:r>
              <w:rPr>
                <w:rFonts w:ascii="Arial" w:cs="Arial" w:eastAsia="Arial" w:hAnsi="Arial"/>
                <w:sz w:val="8"/>
                <w:szCs w:val="8"/>
                <w:b w:val="1"/>
                <w:bCs w:val="1"/>
                <w:color w:val="auto"/>
              </w:rPr>
              <w:t>2020</w:t>
            </w:r>
          </w:p>
        </w:tc>
        <w:tc>
          <w:tcPr>
            <w:tcW w:w="160" w:type="dxa"/>
            <w:vAlign w:val="bottom"/>
            <w:tcBorders>
              <w:bottom w:val="single" w:sz="8" w:color="004483"/>
            </w:tcBorders>
          </w:tcPr>
          <w:p>
            <w:pPr>
              <w:spacing w:after="0"/>
              <w:rPr>
                <w:sz w:val="8"/>
                <w:szCs w:val="8"/>
                <w:color w:val="auto"/>
              </w:rPr>
            </w:pP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8"/>
                <w:szCs w:val="8"/>
                <w:b w:val="1"/>
                <w:bCs w:val="1"/>
                <w:color w:val="auto"/>
              </w:rPr>
              <w:t>2019</w:t>
            </w: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Weighted-Average Shares of Common Stock Outstanding</w:t>
            </w:r>
          </w:p>
        </w:tc>
        <w:tc>
          <w:tcPr>
            <w:tcW w:w="14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41,543,067</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42,021,892</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46,620,894</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Effect of Dilutive Shares:</w:t>
            </w:r>
          </w:p>
        </w:tc>
        <w:tc>
          <w:tcPr>
            <w:tcW w:w="14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Assumed Exercise of Outstanding Dilutive Options</w:t>
            </w:r>
          </w:p>
        </w:tc>
        <w:tc>
          <w:tcPr>
            <w:tcW w:w="14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570,325</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623,779</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539,135</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Less Shares Repurchased from Proceeds of Assumed Exercised Options</w:t>
            </w:r>
          </w:p>
        </w:tc>
        <w:tc>
          <w:tcPr>
            <w:tcW w:w="144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(429,815)</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29"/>
              <w:spacing w:after="0"/>
              <w:rPr>
                <w:sz w:val="20"/>
                <w:szCs w:val="20"/>
                <w:color w:val="auto"/>
              </w:rPr>
            </w:pPr>
            <w:r>
              <w:rPr>
                <w:rFonts w:ascii="Arial" w:cs="Arial" w:eastAsia="Arial" w:hAnsi="Arial"/>
                <w:sz w:val="11"/>
                <w:szCs w:val="11"/>
                <w:color w:val="auto"/>
              </w:rPr>
              <w:t>(481,853)</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(374,380)</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Restricted Stock Units</w:t>
            </w: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143,132</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121,525</w:t>
            </w: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146,731</w:t>
            </w:r>
          </w:p>
        </w:tc>
      </w:tr>
      <w:tr>
        <w:trPr>
          <w:trHeight w:val="142"/>
        </w:trPr>
        <w:tc>
          <w:tcPr>
            <w:tcW w:w="6660" w:type="dxa"/>
            <w:vAlign w:val="bottom"/>
          </w:tcPr>
          <w:p>
            <w:pPr>
              <w:spacing w:after="0"/>
              <w:rPr>
                <w:sz w:val="20"/>
                <w:szCs w:val="20"/>
                <w:color w:val="auto"/>
              </w:rPr>
            </w:pPr>
            <w:r>
              <w:rPr>
                <w:rFonts w:ascii="Arial" w:cs="Arial" w:eastAsia="Arial" w:hAnsi="Arial"/>
                <w:sz w:val="11"/>
                <w:szCs w:val="11"/>
                <w:b w:val="1"/>
                <w:bCs w:val="1"/>
                <w:color w:val="auto"/>
              </w:rPr>
              <w:t>Weighted-Average Common Stock and Dilutive Securities Outstanding</w:t>
            </w: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41,826,709</w:t>
            </w:r>
          </w:p>
        </w:tc>
        <w:tc>
          <w:tcPr>
            <w:tcW w:w="160" w:type="dxa"/>
            <w:vAlign w:val="bottom"/>
          </w:tcPr>
          <w:p>
            <w:pPr>
              <w:spacing w:after="0"/>
              <w:rPr>
                <w:sz w:val="12"/>
                <w:szCs w:val="12"/>
                <w:color w:val="auto"/>
              </w:rPr>
            </w:pPr>
          </w:p>
        </w:tc>
        <w:tc>
          <w:tcPr>
            <w:tcW w:w="144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42,285,343</w:t>
            </w:r>
          </w:p>
        </w:tc>
        <w:tc>
          <w:tcPr>
            <w:tcW w:w="160" w:type="dxa"/>
            <w:vAlign w:val="bottom"/>
          </w:tcPr>
          <w:p>
            <w:pPr>
              <w:spacing w:after="0"/>
              <w:rPr>
                <w:sz w:val="12"/>
                <w:szCs w:val="12"/>
                <w:color w:val="auto"/>
              </w:rPr>
            </w:pPr>
          </w:p>
        </w:tc>
        <w:tc>
          <w:tcPr>
            <w:tcW w:w="14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46,932,380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The line Less Shares Repurchased from Proceeds of Assumed Exercised Options includes unearned compensation related to outstanding stock options.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There were 569,431; 475,082; and 461,575 stock options at an average exercise price of $89.11 per share, $95.46 per share, and $90.32 per share, respectively, that were excluded from the computation of diluted earnings per share for the fiscal years ended March 31, 2021, 2020, and 2019, because such inclusion would have been anti-dilutive.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Share-Based Compensation</w:t>
      </w:r>
    </w:p>
    <w:p>
      <w:pPr>
        <w:spacing w:after="0" w:line="102" w:lineRule="exact"/>
        <w:rPr>
          <w:sz w:val="20"/>
          <w:szCs w:val="20"/>
          <w:color w:val="auto"/>
        </w:rPr>
      </w:pPr>
    </w:p>
    <w:p>
      <w:pPr>
        <w:ind w:right="360"/>
        <w:spacing w:after="0" w:line="277" w:lineRule="auto"/>
        <w:rPr>
          <w:sz w:val="20"/>
          <w:szCs w:val="20"/>
          <w:color w:val="auto"/>
        </w:rPr>
      </w:pPr>
      <w:r>
        <w:rPr>
          <w:rFonts w:ascii="Arial" w:cs="Arial" w:eastAsia="Arial" w:hAnsi="Arial"/>
          <w:sz w:val="12"/>
          <w:szCs w:val="12"/>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27" w:right="299" w:bottom="1440" w:gutter="0" w:footer="0" w:header="0"/>
        </w:sectPr>
      </w:pPr>
    </w:p>
    <w:bookmarkStart w:id="69" w:name="page70"/>
    <w:bookmarkEnd w:id="69"/>
    <w:p>
      <w:pPr>
        <w:ind w:left="8"/>
        <w:spacing w:after="0"/>
        <w:rPr>
          <w:sz w:val="20"/>
          <w:szCs w:val="20"/>
          <w:color w:val="auto"/>
        </w:rPr>
      </w:pPr>
      <w:r>
        <w:rPr>
          <w:rFonts w:ascii="Arial" w:cs="Arial" w:eastAsia="Arial" w:hAnsi="Arial"/>
          <w:sz w:val="13"/>
          <w:szCs w:val="13"/>
          <w:b w:val="1"/>
          <w:bCs w:val="1"/>
          <w:u w:val="single" w:color="auto"/>
          <w:color w:val="004483"/>
        </w:rPr>
        <w:t>Fair Value Measures</w:t>
      </w:r>
    </w:p>
    <w:p>
      <w:pPr>
        <w:spacing w:after="0" w:line="102" w:lineRule="exact"/>
        <w:rPr>
          <w:sz w:val="20"/>
          <w:szCs w:val="20"/>
          <w:color w:val="auto"/>
        </w:rPr>
      </w:pPr>
    </w:p>
    <w:p>
      <w:pPr>
        <w:ind w:left="8"/>
        <w:spacing w:after="0" w:line="271" w:lineRule="auto"/>
        <w:rPr>
          <w:sz w:val="20"/>
          <w:szCs w:val="20"/>
          <w:color w:val="auto"/>
        </w:rPr>
      </w:pPr>
      <w:r>
        <w:rPr>
          <w:rFonts w:ascii="Arial" w:cs="Arial" w:eastAsia="Arial" w:hAnsi="Arial"/>
          <w:sz w:val="12"/>
          <w:szCs w:val="12"/>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Level 1 </w:t>
      </w:r>
      <w:r>
        <w:rPr>
          <w:rFonts w:ascii="Arial" w:cs="Arial" w:eastAsia="Arial" w:hAnsi="Arial"/>
          <w:sz w:val="12"/>
          <w:szCs w:val="12"/>
          <w:color w:val="auto"/>
        </w:rPr>
        <w:t>– Quoted prices for identical assets and liabilities in active markets;</w:t>
      </w:r>
    </w:p>
    <w:p>
      <w:pPr>
        <w:spacing w:after="0" w:line="87" w:lineRule="exact"/>
        <w:rPr>
          <w:sz w:val="20"/>
          <w:szCs w:val="20"/>
          <w:color w:val="auto"/>
        </w:rPr>
      </w:pPr>
    </w:p>
    <w:p>
      <w:pPr>
        <w:ind w:left="8" w:right="380"/>
        <w:spacing w:after="0" w:line="301" w:lineRule="auto"/>
        <w:rPr>
          <w:sz w:val="20"/>
          <w:szCs w:val="20"/>
          <w:color w:val="auto"/>
        </w:rPr>
      </w:pPr>
      <w:r>
        <w:rPr>
          <w:rFonts w:ascii="Arial" w:cs="Arial" w:eastAsia="Arial" w:hAnsi="Arial"/>
          <w:sz w:val="12"/>
          <w:szCs w:val="12"/>
          <w:b w:val="1"/>
          <w:bCs w:val="1"/>
          <w:color w:val="auto"/>
        </w:rPr>
        <w:t xml:space="preserve">Level 2 </w:t>
      </w:r>
      <w:r>
        <w:rPr>
          <w:rFonts w:ascii="Arial" w:cs="Arial" w:eastAsia="Arial" w:hAnsi="Arial"/>
          <w:sz w:val="12"/>
          <w:szCs w:val="12"/>
          <w:color w:val="auto"/>
        </w:rPr>
        <w:t>– Quoted prices for similar assets and liabilities in active markets; quoted prices for identical or similar assets and liabilities in markets that are not active; or other inputs that are observable or can be</w:t>
      </w:r>
      <w:r>
        <w:rPr>
          <w:rFonts w:ascii="Arial" w:cs="Arial" w:eastAsia="Arial" w:hAnsi="Arial"/>
          <w:sz w:val="12"/>
          <w:szCs w:val="12"/>
          <w:b w:val="1"/>
          <w:bCs w:val="1"/>
          <w:color w:val="auto"/>
        </w:rPr>
        <w:t xml:space="preserve"> </w:t>
      </w:r>
      <w:r>
        <w:rPr>
          <w:rFonts w:ascii="Arial" w:cs="Arial" w:eastAsia="Arial" w:hAnsi="Arial"/>
          <w:sz w:val="12"/>
          <w:szCs w:val="12"/>
          <w:color w:val="auto"/>
        </w:rPr>
        <w:t>corroborated by observable market data; and</w:t>
      </w:r>
    </w:p>
    <w:p>
      <w:pPr>
        <w:spacing w:after="0" w:line="32" w:lineRule="exact"/>
        <w:rPr>
          <w:sz w:val="20"/>
          <w:szCs w:val="20"/>
          <w:color w:val="auto"/>
        </w:rPr>
      </w:pPr>
    </w:p>
    <w:p>
      <w:pPr>
        <w:ind w:left="8" w:right="480"/>
        <w:spacing w:after="0" w:line="301" w:lineRule="auto"/>
        <w:rPr>
          <w:sz w:val="20"/>
          <w:szCs w:val="20"/>
          <w:color w:val="auto"/>
        </w:rPr>
      </w:pPr>
      <w:r>
        <w:rPr>
          <w:rFonts w:ascii="Arial" w:cs="Arial" w:eastAsia="Arial" w:hAnsi="Arial"/>
          <w:sz w:val="12"/>
          <w:szCs w:val="12"/>
          <w:b w:val="1"/>
          <w:b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and liabilities. This includes certain pricing models, discounted cash flow</w:t>
      </w:r>
      <w:r>
        <w:rPr>
          <w:rFonts w:ascii="Arial" w:cs="Arial" w:eastAsia="Arial" w:hAnsi="Arial"/>
          <w:sz w:val="12"/>
          <w:szCs w:val="12"/>
          <w:b w:val="1"/>
          <w:bCs w:val="1"/>
          <w:color w:val="auto"/>
        </w:rPr>
        <w:t xml:space="preserve"> </w:t>
      </w:r>
      <w:r>
        <w:rPr>
          <w:rFonts w:ascii="Arial" w:cs="Arial" w:eastAsia="Arial" w:hAnsi="Arial"/>
          <w:sz w:val="12"/>
          <w:szCs w:val="12"/>
          <w:color w:val="auto"/>
        </w:rPr>
        <w:t>methodologies, and similar techniques that use significant unobservable inputs.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Recent Accounting Pronouncements</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RECENTLY ADOPTED</w:t>
      </w:r>
    </w:p>
    <w:p>
      <w:pPr>
        <w:spacing w:after="0" w:line="101" w:lineRule="exact"/>
        <w:rPr>
          <w:sz w:val="20"/>
          <w:szCs w:val="20"/>
          <w:color w:val="auto"/>
        </w:rPr>
      </w:pPr>
    </w:p>
    <w:p>
      <w:pPr>
        <w:ind w:left="8" w:right="20"/>
        <w:spacing w:after="0" w:line="271" w:lineRule="auto"/>
        <w:rPr>
          <w:sz w:val="20"/>
          <w:szCs w:val="20"/>
          <w:color w:val="auto"/>
        </w:rPr>
      </w:pPr>
      <w:r>
        <w:rPr>
          <w:rFonts w:ascii="Arial" w:cs="Arial" w:eastAsia="Arial" w:hAnsi="Arial"/>
          <w:sz w:val="12"/>
          <w:szCs w:val="12"/>
          <w:color w:val="auto"/>
        </w:rPr>
        <w:t>In June 2016, the FASB issued an update on the measurement of credit losses on financial instruments, which requires entities to use a forward-looking approach based on expected losses rather than the current model of incurred losses to estimate credit losses on certain types of financial instruments, including Accounts and Notes Receivable. The application of the forward-looking model may result in earlier recognition of allowances for losses than the current method. The adoption of this standard on April 1, 2020 did not have a material effect on our consolidated financial statements.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PENDING ADOPTION</w:t>
      </w:r>
    </w:p>
    <w:p>
      <w:pPr>
        <w:spacing w:after="0" w:line="101" w:lineRule="exact"/>
        <w:rPr>
          <w:sz w:val="20"/>
          <w:szCs w:val="20"/>
          <w:color w:val="auto"/>
        </w:rPr>
      </w:pPr>
    </w:p>
    <w:p>
      <w:pPr>
        <w:ind w:left="8" w:right="80"/>
        <w:spacing w:after="0" w:line="271" w:lineRule="auto"/>
        <w:rPr>
          <w:sz w:val="20"/>
          <w:szCs w:val="20"/>
          <w:color w:val="auto"/>
        </w:rPr>
      </w:pPr>
      <w:r>
        <w:rPr>
          <w:rFonts w:ascii="Arial" w:cs="Arial" w:eastAsia="Arial" w:hAnsi="Arial"/>
          <w:sz w:val="12"/>
          <w:szCs w:val="12"/>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The updated standard is effective for public companies for fiscal years, and interim periods within those fiscal years, beginning after December 15, 2020, with early adoption permitted. We do not expect the adoption of this standard to have a material impact on our consolidated financial statements.</w:t>
      </w:r>
    </w:p>
    <w:p>
      <w:pPr>
        <w:spacing w:after="0" w:line="109" w:lineRule="exact"/>
        <w:rPr>
          <w:sz w:val="20"/>
          <w:szCs w:val="20"/>
          <w:color w:val="auto"/>
        </w:rPr>
      </w:pPr>
    </w:p>
    <w:p>
      <w:pPr>
        <w:ind w:left="8" w:right="10040" w:hanging="8"/>
        <w:spacing w:after="0" w:line="382" w:lineRule="auto"/>
        <w:tabs>
          <w:tab w:leader="none" w:pos="228" w:val="left"/>
        </w:tabs>
        <w:numPr>
          <w:ilvl w:val="0"/>
          <w:numId w:val="20"/>
        </w:numPr>
        <w:rPr>
          <w:rFonts w:ascii="Arial" w:cs="Arial" w:eastAsia="Arial" w:hAnsi="Arial"/>
          <w:sz w:val="13"/>
          <w:szCs w:val="13"/>
          <w:b w:val="1"/>
          <w:bCs w:val="1"/>
          <w:color w:val="004483"/>
        </w:rPr>
      </w:pPr>
      <w:r>
        <w:rPr>
          <w:rFonts w:ascii="Arial" w:cs="Arial" w:eastAsia="Arial" w:hAnsi="Arial"/>
          <w:sz w:val="13"/>
          <w:szCs w:val="13"/>
          <w:b w:val="1"/>
          <w:bCs w:val="1"/>
          <w:color w:val="004483"/>
        </w:rPr>
        <w:t xml:space="preserve">ACQUISITIONS </w:t>
      </w:r>
      <w:r>
        <w:rPr>
          <w:rFonts w:ascii="Arial" w:cs="Arial" w:eastAsia="Arial" w:hAnsi="Arial"/>
          <w:sz w:val="13"/>
          <w:szCs w:val="13"/>
          <w:b w:val="1"/>
          <w:bCs w:val="1"/>
          <w:u w:val="single" w:color="auto"/>
          <w:color w:val="004483"/>
        </w:rPr>
        <w:t>Kosmos Acquisition</w:t>
      </w:r>
    </w:p>
    <w:p>
      <w:pPr>
        <w:spacing w:after="0" w:line="1" w:lineRule="exact"/>
        <w:rPr>
          <w:sz w:val="20"/>
          <w:szCs w:val="20"/>
          <w:color w:val="auto"/>
        </w:rPr>
      </w:pPr>
    </w:p>
    <w:p>
      <w:pPr>
        <w:ind w:left="8" w:right="200"/>
        <w:spacing w:after="0" w:line="269" w:lineRule="auto"/>
        <w:rPr>
          <w:sz w:val="20"/>
          <w:szCs w:val="20"/>
          <w:color w:val="auto"/>
        </w:rPr>
      </w:pPr>
      <w:r>
        <w:rPr>
          <w:rFonts w:ascii="Arial" w:cs="Arial" w:eastAsia="Arial" w:hAnsi="Arial"/>
          <w:sz w:val="12"/>
          <w:szCs w:val="12"/>
          <w:color w:val="auto"/>
        </w:rPr>
        <w:t>On March 6, 2020, we completed the previously announced acquisition (the Kosmos Acquisition) of the assets of Kosmos Cement Company (Kosmos) (a joint venture between CEMEX S.A.B. de C.V. and Buzzi Unicem S.p.A.). The assets acquired in the Kosmos Acquisition were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w:t>
      </w: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427" w:right="299" w:bottom="1440" w:gutter="0" w:footer="0" w:header="0"/>
        </w:sectPr>
      </w:pPr>
    </w:p>
    <w:bookmarkStart w:id="70" w:name="page71"/>
    <w:bookmarkEnd w:id="70"/>
    <w:p>
      <w:pPr>
        <w:ind w:right="160"/>
        <w:spacing w:after="0" w:line="277" w:lineRule="auto"/>
        <w:rPr>
          <w:sz w:val="20"/>
          <w:szCs w:val="20"/>
          <w:color w:val="auto"/>
        </w:rPr>
      </w:pPr>
      <w:r>
        <w:rPr>
          <w:rFonts w:ascii="Arial" w:cs="Arial" w:eastAsia="Arial" w:hAnsi="Arial"/>
          <w:sz w:val="12"/>
          <w:szCs w:val="12"/>
          <w:u w:val="single" w:color="auto"/>
          <w:color w:val="auto"/>
        </w:rPr>
        <w:t>Purchase Price:</w:t>
      </w:r>
      <w:r>
        <w:rPr>
          <w:rFonts w:ascii="Arial" w:cs="Arial" w:eastAsia="Arial" w:hAnsi="Arial"/>
          <w:sz w:val="12"/>
          <w:szCs w:val="12"/>
          <w:color w:val="auto"/>
        </w:rPr>
        <w:t xml:space="preserve"> The purchase price of the Kosmos Acquisition was approximately $668.9 million. We funded the payment of the Kosmos Acquisition primarily through a Term Loan with the remainder paid using cash on hand. See Footnote (G) for a description of the loan terms.</w:t>
      </w:r>
    </w:p>
    <w:p>
      <w:pPr>
        <w:spacing w:after="0" w:line="59"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u w:val="single" w:color="auto"/>
          <w:color w:val="auto"/>
        </w:rPr>
        <w:t>Recording of Assets Acquired and Liabilities Assumed:</w:t>
      </w:r>
      <w:r>
        <w:rPr>
          <w:rFonts w:ascii="Arial" w:cs="Arial" w:eastAsia="Arial" w:hAnsi="Arial"/>
          <w:sz w:val="12"/>
          <w:szCs w:val="12"/>
          <w:color w:val="auto"/>
        </w:rPr>
        <w:t xml:space="preserve"> The transaction was accounted for using the acquisition method of accounting which requires, among other things, that assets acquired and liabilities assumed be recognized at their fair values as of the acquisition date. The Company engaged a third party to perform appraisal valuation services to support the Company’s preliminary estimate of the fair value of certain assets acquired in the Kosmos Acquisition.</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The preparation of the valuation of the assets acquired and liabilities assumed in the Kosmos Acquisition requires the use of significant assumptions and estimates. Critical estimates with respect to the valuation of property, plant, and equipment include, but are not limited to, replacement cost, condition, and estimated remaining useful lives of property and equipment. Critical estimates related to intangible and other assets include future expected cash flows, including projected revenues and expenses, customer attrition, and applicable discount rates. These estimates are based on assumptions that we believe to be reasonable. However, actual results may differ from these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allocation of the purchase price to assets acquired and liabilities assumed as of December 31, 2020, when the allocation was determined to be final: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8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8"/>
                <w:szCs w:val="8"/>
                <w:color w:val="auto"/>
              </w:rPr>
              <w:t>(dollars in thousands)</w:t>
            </w:r>
          </w:p>
        </w:tc>
      </w:tr>
      <w:tr>
        <w:trPr>
          <w:trHeight w:val="131"/>
        </w:trPr>
        <w:tc>
          <w:tcPr>
            <w:tcW w:w="89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004483"/>
              </w:rPr>
              <w:t>Inventories</w:t>
            </w:r>
          </w:p>
        </w:tc>
        <w:tc>
          <w:tcPr>
            <w:tcW w:w="780" w:type="dxa"/>
            <w:vAlign w:val="bottom"/>
            <w:tcBorders>
              <w:top w:val="single" w:sz="8" w:color="004483"/>
              <w:bottom w:val="single" w:sz="8" w:color="A6A6A6"/>
            </w:tcBorders>
          </w:tcPr>
          <w:p>
            <w:pPr>
              <w:jc w:val="right"/>
              <w:ind w:right="671"/>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28,568</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Property, Plant, and Equipment</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476,698</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Intangible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38,300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Lease Right-of-Use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4,478</w:t>
            </w:r>
          </w:p>
        </w:tc>
        <w:tc>
          <w:tcPr>
            <w:tcW w:w="40" w:type="dxa"/>
            <w:vAlign w:val="bottom"/>
          </w:tcPr>
          <w:p>
            <w:pPr>
              <w:spacing w:after="0"/>
              <w:rPr>
                <w:sz w:val="11"/>
                <w:szCs w:val="1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004483"/>
              </w:rPr>
              <w:t>Lease Obligations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(4,478)</w:t>
            </w:r>
          </w:p>
        </w:tc>
      </w:tr>
      <w:tr>
        <w:trPr>
          <w:trHeight w:val="20"/>
        </w:trPr>
        <w:tc>
          <w:tcPr>
            <w:tcW w:w="89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004483"/>
              </w:rPr>
              <w:t>Long-term Liabilities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(3,756)</w:t>
            </w:r>
          </w:p>
        </w:tc>
      </w:tr>
      <w:tr>
        <w:trPr>
          <w:trHeight w:val="133"/>
        </w:trPr>
        <w:tc>
          <w:tcPr>
            <w:tcW w:w="89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004483"/>
              </w:rPr>
              <w:t>Total Net Assets</w:t>
            </w:r>
          </w:p>
        </w:tc>
        <w:tc>
          <w:tcPr>
            <w:tcW w:w="780" w:type="dxa"/>
            <w:vAlign w:val="bottom"/>
            <w:tcBorders>
              <w:top w:val="single" w:sz="8" w:color="004483"/>
              <w:bottom w:val="single" w:sz="8" w:color="A6A6A6"/>
            </w:tcBorders>
          </w:tcPr>
          <w:p>
            <w:pPr>
              <w:spacing w:after="0"/>
              <w:rPr>
                <w:sz w:val="11"/>
                <w:szCs w:val="11"/>
                <w:color w:val="auto"/>
              </w:rPr>
            </w:pP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539,810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Goodwill</w:t>
            </w:r>
          </w:p>
        </w:tc>
        <w:tc>
          <w:tcPr>
            <w:tcW w:w="7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129,127</w:t>
            </w:r>
          </w:p>
        </w:tc>
        <w:tc>
          <w:tcPr>
            <w:tcW w:w="40" w:type="dxa"/>
            <w:vAlign w:val="bottom"/>
          </w:tcPr>
          <w:p>
            <w:pPr>
              <w:spacing w:after="0"/>
              <w:rPr>
                <w:sz w:val="11"/>
                <w:szCs w:val="11"/>
                <w:color w:val="auto"/>
              </w:rPr>
            </w:pPr>
          </w:p>
        </w:tc>
      </w:tr>
      <w:tr>
        <w:trPr>
          <w:trHeight w:val="142"/>
        </w:trPr>
        <w:tc>
          <w:tcPr>
            <w:tcW w:w="8940" w:type="dxa"/>
            <w:vAlign w:val="bottom"/>
          </w:tcPr>
          <w:p>
            <w:pPr>
              <w:ind w:left="160"/>
              <w:spacing w:after="0"/>
              <w:rPr>
                <w:sz w:val="20"/>
                <w:szCs w:val="20"/>
                <w:color w:val="auto"/>
              </w:rPr>
            </w:pPr>
            <w:r>
              <w:rPr>
                <w:rFonts w:ascii="Arial" w:cs="Arial" w:eastAsia="Arial" w:hAnsi="Arial"/>
                <w:sz w:val="11"/>
                <w:szCs w:val="11"/>
                <w:b w:val="1"/>
                <w:bCs w:val="1"/>
                <w:color w:val="auto"/>
              </w:rPr>
              <w:t>Total Estimated Purchase Price</w:t>
            </w:r>
          </w:p>
        </w:tc>
        <w:tc>
          <w:tcPr>
            <w:tcW w:w="780" w:type="dxa"/>
            <w:vAlign w:val="bottom"/>
            <w:tcBorders>
              <w:bottom w:val="single" w:sz="8" w:color="004483"/>
            </w:tcBorders>
          </w:tcPr>
          <w:p>
            <w:pPr>
              <w:jc w:val="right"/>
              <w:ind w:right="67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668,937</w:t>
            </w:r>
          </w:p>
        </w:tc>
        <w:tc>
          <w:tcPr>
            <w:tcW w:w="40" w:type="dxa"/>
            <w:vAlign w:val="bottom"/>
          </w:tcPr>
          <w:p>
            <w:pPr>
              <w:spacing w:after="0"/>
              <w:rPr>
                <w:sz w:val="12"/>
                <w:szCs w:val="12"/>
                <w:color w:val="auto"/>
              </w:rPr>
            </w:pPr>
          </w:p>
        </w:tc>
      </w:tr>
    </w:tbl>
    <w:p>
      <w:pPr>
        <w:spacing w:after="0" w:line="233" w:lineRule="exact"/>
        <w:rPr>
          <w:sz w:val="20"/>
          <w:szCs w:val="20"/>
          <w:color w:val="auto"/>
        </w:rPr>
      </w:pPr>
    </w:p>
    <w:p>
      <w:pPr>
        <w:ind w:right="420"/>
        <w:spacing w:after="0" w:line="277" w:lineRule="auto"/>
        <w:rPr>
          <w:sz w:val="20"/>
          <w:szCs w:val="20"/>
          <w:color w:val="auto"/>
        </w:rPr>
      </w:pPr>
      <w:r>
        <w:rPr>
          <w:rFonts w:ascii="Arial" w:cs="Arial" w:eastAsia="Arial" w:hAnsi="Arial"/>
          <w:sz w:val="12"/>
          <w:szCs w:val="12"/>
          <w:color w:val="auto"/>
        </w:rPr>
        <w:t>During the quarter ended June 30, 2020, we completed the valuation of inventories, intangible assets, lease right-of-use assets, and lease obligations, and during the quarter ended December 31, 2020, we finalized the valuation of our asset retirement obligation. These final values, which are disclosed in the above table, resulted in minor changes from the amounts disclosed in our fiscal 2020 Form 10-K.</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Goodwill represents the excess purchase price over the fair values of assets acquired and liabilities assumed. The Goodwill was generated by the availability of co-product sales and the opportunity associated with the expansion of our Cement business to the eastern region of the United States. All of the Goodwill generated by the transaction will be deductible for income tax purposes.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summary of the fair value estimates of the identifiable intangible assets (dollars in thousands) and their weighted-average useful lives:</w:t>
      </w:r>
    </w:p>
    <w:p>
      <w:pPr>
        <w:spacing w:after="0" w:line="284" w:lineRule="exact"/>
        <w:rPr>
          <w:sz w:val="20"/>
          <w:szCs w:val="20"/>
          <w:color w:val="auto"/>
        </w:rPr>
      </w:pPr>
    </w:p>
    <w:p>
      <w:pPr>
        <w:ind w:left="8440"/>
        <w:spacing w:after="0"/>
        <w:tabs>
          <w:tab w:leader="none" w:pos="10400" w:val="left"/>
        </w:tabs>
        <w:rPr>
          <w:sz w:val="20"/>
          <w:szCs w:val="20"/>
          <w:color w:val="auto"/>
        </w:rPr>
      </w:pPr>
      <w:r>
        <w:rPr>
          <w:rFonts w:ascii="Arial" w:cs="Arial" w:eastAsia="Arial" w:hAnsi="Arial"/>
          <w:sz w:val="8"/>
          <w:szCs w:val="8"/>
          <w:b w:val="1"/>
          <w:bCs w:val="1"/>
          <w:color w:val="auto"/>
        </w:rPr>
        <w:t>Weighted Average Life</w:t>
      </w:r>
      <w:r>
        <w:rPr>
          <w:sz w:val="20"/>
          <w:szCs w:val="20"/>
          <w:color w:val="auto"/>
        </w:rPr>
        <w:tab/>
      </w:r>
      <w:r>
        <w:rPr>
          <w:rFonts w:ascii="Arial" w:cs="Arial" w:eastAsia="Arial" w:hAnsi="Arial"/>
          <w:sz w:val="7"/>
          <w:szCs w:val="7"/>
          <w:b w:val="1"/>
          <w:bCs w:val="1"/>
          <w:color w:val="auto"/>
        </w:rPr>
        <w:t>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5715</wp:posOffset>
            </wp:positionV>
            <wp:extent cx="11487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004483"/>
              </w:rPr>
              <w:t>Permits</w:t>
            </w:r>
          </w:p>
        </w:tc>
        <w:tc>
          <w:tcPr>
            <w:tcW w:w="4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20</w:t>
            </w: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Customer Relationships</w:t>
            </w:r>
          </w:p>
        </w:tc>
        <w:tc>
          <w:tcPr>
            <w:tcW w:w="40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w:t>
            </w:r>
          </w:p>
        </w:tc>
      </w:tr>
      <w:tr>
        <w:trPr>
          <w:trHeight w:val="131"/>
        </w:trPr>
        <w:tc>
          <w:tcPr>
            <w:tcW w:w="5200" w:type="dxa"/>
            <w:vAlign w:val="bottom"/>
          </w:tcPr>
          <w:p>
            <w:pPr>
              <w:spacing w:after="0"/>
              <w:rPr>
                <w:sz w:val="20"/>
                <w:szCs w:val="20"/>
                <w:color w:val="auto"/>
              </w:rPr>
            </w:pPr>
            <w:r>
              <w:rPr>
                <w:rFonts w:ascii="Arial" w:cs="Arial" w:eastAsia="Arial" w:hAnsi="Arial"/>
                <w:sz w:val="11"/>
                <w:szCs w:val="11"/>
                <w:color w:val="004483"/>
              </w:rPr>
              <w:t>Trade Name and Technology</w:t>
            </w:r>
          </w:p>
        </w:tc>
        <w:tc>
          <w:tcPr>
            <w:tcW w:w="4080" w:type="dxa"/>
            <w:vAlign w:val="bottom"/>
          </w:tcPr>
          <w:p>
            <w:pPr>
              <w:jc w:val="right"/>
              <w:spacing w:after="0"/>
              <w:rPr>
                <w:sz w:val="20"/>
                <w:szCs w:val="20"/>
                <w:color w:val="auto"/>
              </w:rPr>
            </w:pPr>
            <w:r>
              <w:rPr>
                <w:rFonts w:ascii="Arial" w:cs="Arial" w:eastAsia="Arial" w:hAnsi="Arial"/>
                <w:sz w:val="11"/>
                <w:szCs w:val="1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607504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504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80"/>
        <w:spacing w:after="0"/>
        <w:rPr>
          <w:sz w:val="20"/>
          <w:szCs w:val="20"/>
          <w:color w:val="auto"/>
        </w:rPr>
      </w:pPr>
      <w:r>
        <w:rPr>
          <w:rFonts w:ascii="Arial" w:cs="Arial" w:eastAsia="Arial" w:hAnsi="Arial"/>
          <w:sz w:val="11"/>
          <w:szCs w:val="11"/>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8890</wp:posOffset>
            </wp:positionV>
            <wp:extent cx="11487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9"/>
          <w:szCs w:val="9"/>
          <w:color w:val="auto"/>
        </w:rPr>
        <w:t>35,300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23495</wp:posOffset>
            </wp:positionV>
            <wp:extent cx="11487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30" w:lineRule="exact"/>
        <w:rPr>
          <w:sz w:val="20"/>
          <w:szCs w:val="20"/>
          <w:color w:val="auto"/>
        </w:rPr>
      </w:pPr>
    </w:p>
    <w:p>
      <w:pPr>
        <w:jc w:val="right"/>
        <w:ind w:right="80"/>
        <w:spacing w:after="0"/>
        <w:rPr>
          <w:sz w:val="20"/>
          <w:szCs w:val="20"/>
          <w:color w:val="auto"/>
        </w:rPr>
      </w:pPr>
      <w:r>
        <w:rPr>
          <w:rFonts w:ascii="Arial" w:cs="Arial" w:eastAsia="Arial" w:hAnsi="Arial"/>
          <w:sz w:val="11"/>
          <w:szCs w:val="11"/>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8890</wp:posOffset>
            </wp:positionV>
            <wp:extent cx="10344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10160" w:space="720"/>
            <w:col w:w="380"/>
          </w:cols>
          <w:pgMar w:left="300" w:top="382" w:right="339" w:bottom="1440" w:gutter="0" w:footer="0" w:header="0"/>
          <w:type w:val="continuous"/>
        </w:sectPr>
      </w:pPr>
    </w:p>
    <w:p>
      <w:pPr>
        <w:ind w:left="160"/>
        <w:spacing w:after="0"/>
        <w:tabs>
          <w:tab w:leader="none" w:pos="9540" w:val="left"/>
          <w:tab w:leader="none" w:pos="10860" w:val="left"/>
        </w:tabs>
        <w:rPr>
          <w:sz w:val="20"/>
          <w:szCs w:val="20"/>
          <w:color w:val="auto"/>
        </w:rPr>
      </w:pPr>
      <w:r>
        <w:rPr>
          <w:rFonts w:ascii="Arial" w:cs="Arial" w:eastAsia="Arial" w:hAnsi="Arial"/>
          <w:sz w:val="11"/>
          <w:szCs w:val="11"/>
          <w:b w:val="1"/>
          <w:bCs w:val="1"/>
          <w:color w:val="auto"/>
        </w:rPr>
        <w:t>Total Intangible Assets</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9"/>
          <w:szCs w:val="9"/>
          <w:b w:val="1"/>
          <w:bCs w:val="1"/>
          <w:color w:val="auto"/>
        </w:rPr>
        <w:t>38,300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11430</wp:posOffset>
            </wp:positionV>
            <wp:extent cx="10344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34415" cy="571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22860</wp:posOffset>
            </wp:positionV>
            <wp:extent cx="10344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2"/>
          <w:szCs w:val="12"/>
          <w:u w:val="single" w:color="auto"/>
          <w:color w:val="auto"/>
        </w:rPr>
        <w:t>Actual and pro forma impact of Kosmos Acquisition:</w:t>
      </w:r>
      <w:r>
        <w:rPr>
          <w:rFonts w:ascii="Arial" w:cs="Arial" w:eastAsia="Arial" w:hAnsi="Arial"/>
          <w:sz w:val="12"/>
          <w:szCs w:val="12"/>
          <w:color w:val="auto"/>
        </w:rPr>
        <w:t xml:space="preserve"> The following table presents the net sales and operating loss related to the Kosmos Acquisition that has been included in our Consolidated Statement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Earnings from March 6, 2020 through March 31, 2020 and for the fiscal year ended 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200" w:type="dxa"/>
            <w:vAlign w:val="bottom"/>
          </w:tcPr>
          <w:p>
            <w:pPr>
              <w:spacing w:after="0"/>
              <w:rPr>
                <w:sz w:val="11"/>
                <w:szCs w:val="11"/>
                <w:color w:val="auto"/>
              </w:rPr>
            </w:pPr>
          </w:p>
        </w:tc>
        <w:tc>
          <w:tcPr>
            <w:tcW w:w="740" w:type="dxa"/>
            <w:vAlign w:val="bottom"/>
            <w:tcBorders>
              <w:bottom w:val="single" w:sz="8" w:color="004483"/>
            </w:tcBorders>
            <w:shd w:val="clear" w:color="auto" w:fill="004483"/>
          </w:tcPr>
          <w:p>
            <w:pPr>
              <w:spacing w:after="0"/>
              <w:rPr>
                <w:sz w:val="11"/>
                <w:szCs w:val="11"/>
                <w:color w:val="auto"/>
              </w:rPr>
            </w:pPr>
          </w:p>
        </w:tc>
        <w:tc>
          <w:tcPr>
            <w:tcW w:w="2340" w:type="dxa"/>
            <w:vAlign w:val="bottom"/>
            <w:tcBorders>
              <w:bottom w:val="single" w:sz="8" w:color="004483"/>
            </w:tcBorders>
            <w:gridSpan w:val="3"/>
            <w:shd w:val="clear" w:color="auto" w:fill="004483"/>
          </w:tcPr>
          <w:p>
            <w:pPr>
              <w:jc w:val="right"/>
              <w:ind w:right="493"/>
              <w:spacing w:after="0"/>
              <w:rPr>
                <w:sz w:val="20"/>
                <w:szCs w:val="20"/>
                <w:color w:val="auto"/>
              </w:rPr>
            </w:pPr>
            <w:r>
              <w:rPr>
                <w:rFonts w:ascii="Arial" w:cs="Arial" w:eastAsia="Arial" w:hAnsi="Arial"/>
                <w:sz w:val="8"/>
                <w:szCs w:val="8"/>
                <w:b w:val="1"/>
                <w:bCs w:val="1"/>
                <w:color w:val="FFFFFF"/>
              </w:rPr>
              <w:t>For the Years Ended March 31,</w:t>
            </w:r>
          </w:p>
        </w:tc>
        <w:tc>
          <w:tcPr>
            <w:tcW w:w="900" w:type="dxa"/>
            <w:vAlign w:val="bottom"/>
            <w:tcBorders>
              <w:bottom w:val="single" w:sz="8" w:color="004483"/>
            </w:tcBorders>
            <w:shd w:val="clear" w:color="auto" w:fill="004483"/>
          </w:tcPr>
          <w:p>
            <w:pPr>
              <w:spacing w:after="0"/>
              <w:rPr>
                <w:sz w:val="11"/>
                <w:szCs w:val="11"/>
                <w:color w:val="auto"/>
              </w:rPr>
            </w:pPr>
          </w:p>
        </w:tc>
        <w:tc>
          <w:tcPr>
            <w:tcW w:w="120" w:type="dxa"/>
            <w:vAlign w:val="bottom"/>
            <w:tcBorders>
              <w:bottom w:val="single" w:sz="8" w:color="004483"/>
            </w:tcBorders>
            <w:shd w:val="clear" w:color="auto" w:fill="004483"/>
          </w:tcPr>
          <w:p>
            <w:pPr>
              <w:spacing w:after="0"/>
              <w:rPr>
                <w:sz w:val="11"/>
                <w:szCs w:val="11"/>
                <w:color w:val="auto"/>
              </w:rPr>
            </w:pPr>
          </w:p>
        </w:tc>
      </w:tr>
      <w:tr>
        <w:trPr>
          <w:trHeight w:val="153"/>
        </w:trPr>
        <w:tc>
          <w:tcPr>
            <w:tcW w:w="7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13"/>
                <w:szCs w:val="13"/>
                <w:color w:val="auto"/>
              </w:rPr>
            </w:pPr>
          </w:p>
        </w:tc>
      </w:tr>
      <w:tr>
        <w:trPr>
          <w:trHeight w:val="99"/>
        </w:trPr>
        <w:tc>
          <w:tcPr>
            <w:tcW w:w="7200" w:type="dxa"/>
            <w:vAlign w:val="bottom"/>
            <w:tcBorders>
              <w:bottom w:val="single" w:sz="8" w:color="004483"/>
            </w:tcBorders>
          </w:tcPr>
          <w:p>
            <w:pPr>
              <w:spacing w:after="0"/>
              <w:rPr>
                <w:sz w:val="8"/>
                <w:szCs w:val="8"/>
                <w:color w:val="auto"/>
              </w:rPr>
            </w:pPr>
          </w:p>
        </w:tc>
        <w:tc>
          <w:tcPr>
            <w:tcW w:w="740" w:type="dxa"/>
            <w:vAlign w:val="bottom"/>
            <w:tcBorders>
              <w:bottom w:val="single" w:sz="8" w:color="004483"/>
            </w:tcBorders>
          </w:tcPr>
          <w:p>
            <w:pPr>
              <w:spacing w:after="0"/>
              <w:rPr>
                <w:sz w:val="8"/>
                <w:szCs w:val="8"/>
                <w:color w:val="auto"/>
              </w:rPr>
            </w:pPr>
          </w:p>
        </w:tc>
        <w:tc>
          <w:tcPr>
            <w:tcW w:w="2340" w:type="dxa"/>
            <w:vAlign w:val="bottom"/>
            <w:tcBorders>
              <w:bottom w:val="single" w:sz="8" w:color="004483"/>
            </w:tcBorders>
            <w:gridSpan w:val="3"/>
          </w:tcPr>
          <w:p>
            <w:pPr>
              <w:jc w:val="right"/>
              <w:ind w:right="693"/>
              <w:spacing w:after="0"/>
              <w:rPr>
                <w:sz w:val="20"/>
                <w:szCs w:val="20"/>
                <w:color w:val="auto"/>
              </w:rPr>
            </w:pPr>
            <w:r>
              <w:rPr>
                <w:rFonts w:ascii="Arial" w:cs="Arial" w:eastAsia="Arial" w:hAnsi="Arial"/>
                <w:sz w:val="8"/>
                <w:szCs w:val="8"/>
                <w:color w:val="auto"/>
              </w:rPr>
              <w:t>(dollars in thousands)</w:t>
            </w:r>
          </w:p>
        </w:tc>
        <w:tc>
          <w:tcPr>
            <w:tcW w:w="9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Revenue</w:t>
            </w:r>
          </w:p>
        </w:tc>
        <w:tc>
          <w:tcPr>
            <w:tcW w:w="740" w:type="dxa"/>
            <w:vAlign w:val="bottom"/>
            <w:tcBorders>
              <w:bottom w:val="single" w:sz="8" w:color="A6A6A6"/>
            </w:tcBorders>
          </w:tcPr>
          <w:p>
            <w:pPr>
              <w:jc w:val="right"/>
              <w:ind w:right="6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7,880</w:t>
            </w:r>
          </w:p>
        </w:tc>
        <w:tc>
          <w:tcPr>
            <w:tcW w:w="300" w:type="dxa"/>
            <w:vAlign w:val="bottom"/>
          </w:tcPr>
          <w:p>
            <w:pPr>
              <w:spacing w:after="0"/>
              <w:rPr>
                <w:sz w:val="11"/>
                <w:szCs w:val="11"/>
                <w:color w:val="auto"/>
              </w:rPr>
            </w:pPr>
          </w:p>
        </w:tc>
        <w:tc>
          <w:tcPr>
            <w:tcW w:w="940" w:type="dxa"/>
            <w:vAlign w:val="bottom"/>
            <w:tcBorders>
              <w:bottom w:val="single" w:sz="8" w:color="A6A6A6"/>
            </w:tcBorders>
          </w:tcPr>
          <w:p>
            <w:pPr>
              <w:jc w:val="right"/>
              <w:ind w:right="873"/>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175,511</w:t>
            </w:r>
          </w:p>
        </w:tc>
        <w:tc>
          <w:tcPr>
            <w:tcW w:w="120" w:type="dxa"/>
            <w:vAlign w:val="bottom"/>
          </w:tcPr>
          <w:p>
            <w:pPr>
              <w:spacing w:after="0"/>
              <w:rPr>
                <w:sz w:val="11"/>
                <w:szCs w:val="11"/>
                <w:color w:val="auto"/>
              </w:rPr>
            </w:pPr>
          </w:p>
        </w:tc>
      </w:tr>
      <w:tr>
        <w:trPr>
          <w:trHeight w:val="133"/>
        </w:trPr>
        <w:tc>
          <w:tcPr>
            <w:tcW w:w="7200" w:type="dxa"/>
            <w:vAlign w:val="bottom"/>
          </w:tcPr>
          <w:p>
            <w:pPr>
              <w:spacing w:after="0"/>
              <w:rPr>
                <w:sz w:val="20"/>
                <w:szCs w:val="20"/>
                <w:color w:val="auto"/>
              </w:rPr>
            </w:pPr>
            <w:r>
              <w:rPr>
                <w:rFonts w:ascii="Arial" w:cs="Arial" w:eastAsia="Arial" w:hAnsi="Arial"/>
                <w:sz w:val="11"/>
                <w:szCs w:val="11"/>
                <w:b w:val="1"/>
                <w:bCs w:val="1"/>
                <w:color w:val="004483"/>
              </w:rPr>
              <w:t>Operating Earnings (Loss)</w:t>
            </w: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60"/>
              <w:spacing w:after="0"/>
              <w:rPr>
                <w:sz w:val="20"/>
                <w:szCs w:val="20"/>
                <w:color w:val="auto"/>
              </w:rPr>
            </w:pPr>
            <w:r>
              <w:rPr>
                <w:rFonts w:ascii="Arial" w:cs="Arial" w:eastAsia="Arial" w:hAnsi="Arial"/>
                <w:sz w:val="11"/>
                <w:szCs w:val="11"/>
                <w:color w:val="auto"/>
              </w:rPr>
              <w:t>(6,756)</w:t>
            </w:r>
          </w:p>
        </w:tc>
        <w:tc>
          <w:tcPr>
            <w:tcW w:w="940" w:type="dxa"/>
            <w:vAlign w:val="bottom"/>
          </w:tcPr>
          <w:p>
            <w:pPr>
              <w:jc w:val="right"/>
              <w:ind w:right="87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34,084</w:t>
            </w:r>
          </w:p>
        </w:tc>
        <w:tc>
          <w:tcPr>
            <w:tcW w:w="120" w:type="dxa"/>
            <w:vAlign w:val="bottom"/>
          </w:tcPr>
          <w:p>
            <w:pPr>
              <w:spacing w:after="0"/>
              <w:rPr>
                <w:sz w:val="11"/>
                <w:szCs w:val="11"/>
                <w:color w:val="auto"/>
              </w:rPr>
            </w:pPr>
          </w:p>
        </w:tc>
      </w:tr>
      <w:tr>
        <w:trPr>
          <w:trHeight w:val="20"/>
        </w:trPr>
        <w:tc>
          <w:tcPr>
            <w:tcW w:w="720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Operating Loss shown above for fiscal 2020 was affected by approximately $1.8 million related to depreciation and amortization and $1.7 million related to the recording of acquired inventory at fair value. Operating Earnings for fiscal 2021 was affected by approximately $21.7 million related to depreciation and amortization, and $3.7 million related to the recording of the acquired inventory at fair value.</w:t>
      </w:r>
    </w:p>
    <w:p>
      <w:pPr>
        <w:spacing w:after="0" w:line="59" w:lineRule="exact"/>
        <w:rPr>
          <w:sz w:val="20"/>
          <w:szCs w:val="20"/>
          <w:color w:val="auto"/>
        </w:rPr>
      </w:pPr>
    </w:p>
    <w:p>
      <w:pPr>
        <w:ind w:right="20"/>
        <w:spacing w:after="0" w:line="301" w:lineRule="auto"/>
        <w:rPr>
          <w:sz w:val="20"/>
          <w:szCs w:val="20"/>
          <w:color w:val="auto"/>
        </w:rPr>
      </w:pPr>
      <w:r>
        <w:rPr>
          <w:rFonts w:ascii="Arial" w:cs="Arial" w:eastAsia="Arial" w:hAnsi="Arial"/>
          <w:sz w:val="11"/>
          <w:szCs w:val="11"/>
          <w:color w:val="auto"/>
        </w:rPr>
        <w:t>The unaudited pro forma results presented below include the effects of the Kosmos Acquisition as if it had been consummated as of April 1, 2018. The pro forma results include estimates for depreciation from the fair value adjustments to acquired Property and Equipment, amortization for acquired Intangible Assets, the Inventory step-up to fair value, and interest expense associated with debt used to fund the Kosmos Acquisition. To better reflect the combined operating results, material nonrecurring charges directly related to the Kosmos Acquisition of approximately $5.6 million have been excluded from pro forma net income. Additionally, we excluded a tax benefit of approximately $31.7 million that would not have been available to us had the acquisition occurred on April 1, 2018. See Footnote (J) for more information on the tax benefit.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2040" w:type="dxa"/>
            <w:vAlign w:val="bottom"/>
            <w:gridSpan w:val="3"/>
            <w:shd w:val="clear" w:color="auto" w:fill="004483"/>
          </w:tcPr>
          <w:p>
            <w:pPr>
              <w:jc w:val="center"/>
              <w:ind w:left="172"/>
              <w:spacing w:after="0"/>
              <w:rPr>
                <w:sz w:val="20"/>
                <w:szCs w:val="20"/>
                <w:color w:val="auto"/>
              </w:rPr>
            </w:pPr>
            <w:r>
              <w:rPr>
                <w:rFonts w:ascii="Arial" w:cs="Arial" w:eastAsia="Arial" w:hAnsi="Arial"/>
                <w:sz w:val="8"/>
                <w:szCs w:val="8"/>
                <w:b w:val="1"/>
                <w:bCs w:val="1"/>
                <w:color w:val="FFFFFF"/>
                <w:w w:val="97"/>
              </w:rPr>
              <w:t>For the Year Ended March 31,</w:t>
            </w:r>
          </w:p>
        </w:tc>
        <w:tc>
          <w:tcPr>
            <w:tcW w:w="8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7"/>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101"/>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gridSpan w:val="3"/>
          </w:tcPr>
          <w:p>
            <w:pPr>
              <w:jc w:val="center"/>
              <w:ind w:left="172"/>
              <w:spacing w:after="0"/>
              <w:rPr>
                <w:sz w:val="20"/>
                <w:szCs w:val="20"/>
                <w:color w:val="auto"/>
              </w:rPr>
            </w:pPr>
            <w:r>
              <w:rPr>
                <w:rFonts w:ascii="Arial" w:cs="Arial" w:eastAsia="Arial" w:hAnsi="Arial"/>
                <w:sz w:val="8"/>
                <w:szCs w:val="8"/>
                <w:b w:val="1"/>
                <w:bCs w:val="1"/>
                <w:color w:val="auto"/>
                <w:w w:val="97"/>
              </w:rPr>
              <w:t>Unaudited</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2040" w:type="dxa"/>
            <w:vAlign w:val="bottom"/>
            <w:tcBorders>
              <w:bottom w:val="single" w:sz="8" w:color="004483"/>
            </w:tcBorders>
            <w:gridSpan w:val="3"/>
          </w:tcPr>
          <w:p>
            <w:pPr>
              <w:jc w:val="center"/>
              <w:ind w:left="152"/>
              <w:spacing w:after="0"/>
              <w:rPr>
                <w:sz w:val="20"/>
                <w:szCs w:val="20"/>
                <w:color w:val="auto"/>
              </w:rPr>
            </w:pPr>
            <w:r>
              <w:rPr>
                <w:rFonts w:ascii="Arial" w:cs="Arial" w:eastAsia="Arial" w:hAnsi="Arial"/>
                <w:sz w:val="8"/>
                <w:szCs w:val="8"/>
                <w:color w:val="auto"/>
                <w:w w:val="94"/>
              </w:rPr>
              <w:t>(dollars in thousands)</w:t>
            </w:r>
          </w:p>
        </w:tc>
        <w:tc>
          <w:tcPr>
            <w:tcW w:w="8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Revenue</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1,558,342</w:t>
            </w:r>
          </w:p>
        </w:tc>
        <w:tc>
          <w:tcPr>
            <w:tcW w:w="100" w:type="dxa"/>
            <w:vAlign w:val="bottom"/>
          </w:tcPr>
          <w:p>
            <w:pPr>
              <w:spacing w:after="0"/>
              <w:rPr>
                <w:sz w:val="11"/>
                <w:szCs w:val="11"/>
                <w:color w:val="auto"/>
              </w:rPr>
            </w:pPr>
          </w:p>
        </w:tc>
        <w:tc>
          <w:tcPr>
            <w:tcW w:w="960" w:type="dxa"/>
            <w:vAlign w:val="bottom"/>
            <w:tcBorders>
              <w:bottom w:val="single" w:sz="8" w:color="A6A6A6"/>
            </w:tcBorders>
          </w:tcPr>
          <w:p>
            <w:pPr>
              <w:jc w:val="right"/>
              <w:ind w:right="66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1,471,350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Earnings</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50,189</w:t>
            </w:r>
          </w:p>
        </w:tc>
        <w:tc>
          <w:tcPr>
            <w:tcW w:w="100" w:type="dxa"/>
            <w:vAlign w:val="bottom"/>
          </w:tcPr>
          <w:p>
            <w:pPr>
              <w:spacing w:after="0"/>
              <w:rPr>
                <w:sz w:val="11"/>
                <w:szCs w:val="11"/>
                <w:color w:val="auto"/>
              </w:rPr>
            </w:pPr>
          </w:p>
        </w:tc>
        <w:tc>
          <w:tcPr>
            <w:tcW w:w="960" w:type="dxa"/>
            <w:vAlign w:val="bottom"/>
            <w:tcBorders>
              <w:bottom w:val="single" w:sz="8" w:color="A6A6A6"/>
            </w:tcBorders>
          </w:tcPr>
          <w:p>
            <w:pPr>
              <w:jc w:val="right"/>
              <w:ind w:right="66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66,377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Earnings Per Share – basic</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1"/>
                <w:szCs w:val="11"/>
                <w:color w:val="auto"/>
              </w:rPr>
            </w:pPr>
          </w:p>
        </w:tc>
        <w:tc>
          <w:tcPr>
            <w:tcW w:w="960" w:type="dxa"/>
            <w:vAlign w:val="bottom"/>
            <w:tcBorders>
              <w:bottom w:val="single" w:sz="8" w:color="A6A6A6"/>
            </w:tcBorders>
          </w:tcPr>
          <w:p>
            <w:pPr>
              <w:jc w:val="right"/>
              <w:ind w:right="66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Earnings Per Share - diluted</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1"/>
                <w:szCs w:val="11"/>
                <w:color w:val="auto"/>
              </w:rPr>
            </w:pPr>
          </w:p>
        </w:tc>
        <w:tc>
          <w:tcPr>
            <w:tcW w:w="960" w:type="dxa"/>
            <w:vAlign w:val="bottom"/>
            <w:tcBorders>
              <w:bottom w:val="single" w:sz="8" w:color="A6A6A6"/>
            </w:tcBorders>
          </w:tcPr>
          <w:p>
            <w:pPr>
              <w:jc w:val="right"/>
              <w:ind w:right="66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1"/>
                <w:szCs w:val="11"/>
                <w:color w:val="auto"/>
              </w:rPr>
            </w:pPr>
          </w:p>
        </w:tc>
      </w:tr>
    </w:tbl>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The pro forma results do not include any anticipated synergies or other expected benefits of the Kosmos Acquisition. Accordingly, the unaudited pro forma results are not necessarily indicative of either future results of operations or results that might have been achieved had the Kosmos Acquisition been consummated as of April 1, 2018.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4483"/>
        </w:rPr>
        <w:t>ConAgg Acquisition</w:t>
      </w:r>
    </w:p>
    <w:p>
      <w:pPr>
        <w:spacing w:after="0" w:line="102"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On August 2, 2019, we acquired the assets of a readymix concrete and aggregates business (the ConAgg Acquisition). The purchase price of the ConAgg Acquisition was approximately $30.4 million. The purchase price and expenses incurred in connection with the ConAgg Acquisition were funded through operating cash flows and borrowings under our Revolving Credit Facility. Operations related to the ConAgg Acquisition are included in our segment reporting for the Concrete and Aggregates business from August 2, 2019 through March 31, 2020, and for fiscal 2021.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purchase price for the ConAgg Acquisition was allocated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8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As of August 2, 2019</w:t>
            </w:r>
          </w:p>
        </w:tc>
      </w:tr>
      <w:tr>
        <w:trPr>
          <w:trHeight w:val="99"/>
        </w:trPr>
        <w:tc>
          <w:tcPr>
            <w:tcW w:w="8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8"/>
                <w:szCs w:val="8"/>
                <w:color w:val="auto"/>
              </w:rPr>
              <w:t>(dollars in thousands)</w:t>
            </w:r>
          </w:p>
        </w:tc>
      </w:tr>
      <w:tr>
        <w:trPr>
          <w:trHeight w:val="131"/>
        </w:trPr>
        <w:tc>
          <w:tcPr>
            <w:tcW w:w="89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004483"/>
              </w:rPr>
              <w:t>Accounts Receivable</w:t>
            </w:r>
          </w:p>
        </w:tc>
        <w:tc>
          <w:tcPr>
            <w:tcW w:w="780" w:type="dxa"/>
            <w:vAlign w:val="bottom"/>
            <w:tcBorders>
              <w:top w:val="single" w:sz="8" w:color="004483"/>
              <w:bottom w:val="single" w:sz="8" w:color="A6A6A6"/>
            </w:tcBorders>
          </w:tcPr>
          <w:p>
            <w:pPr>
              <w:jc w:val="right"/>
              <w:ind w:right="671"/>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6,302</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Inventories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1,921</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Property, Plant, and Equipment</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22,620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Intangible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1,320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Lease Right-of-Use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3,263</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Other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1"/>
                <w:szCs w:val="1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004483"/>
              </w:rPr>
              <w:t>Lease Obligations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(3,263)</w:t>
            </w:r>
          </w:p>
        </w:tc>
      </w:tr>
      <w:tr>
        <w:trPr>
          <w:trHeight w:val="20"/>
        </w:trPr>
        <w:tc>
          <w:tcPr>
            <w:tcW w:w="89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004483"/>
              </w:rPr>
              <w:t>Accounts Payable and Accrued Expenses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(3,388)</w:t>
            </w:r>
          </w:p>
        </w:tc>
      </w:tr>
      <w:tr>
        <w:trPr>
          <w:trHeight w:val="133"/>
        </w:trPr>
        <w:tc>
          <w:tcPr>
            <w:tcW w:w="89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004483"/>
              </w:rPr>
              <w:t>Total Net Assets</w:t>
            </w:r>
          </w:p>
        </w:tc>
        <w:tc>
          <w:tcPr>
            <w:tcW w:w="780" w:type="dxa"/>
            <w:vAlign w:val="bottom"/>
            <w:tcBorders>
              <w:top w:val="single" w:sz="8" w:color="004483"/>
              <w:bottom w:val="single" w:sz="8" w:color="A6A6A6"/>
            </w:tcBorders>
          </w:tcPr>
          <w:p>
            <w:pPr>
              <w:spacing w:after="0"/>
              <w:rPr>
                <w:sz w:val="11"/>
                <w:szCs w:val="11"/>
                <w:color w:val="auto"/>
              </w:rPr>
            </w:pP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28,785</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Goodwill</w:t>
            </w:r>
          </w:p>
        </w:tc>
        <w:tc>
          <w:tcPr>
            <w:tcW w:w="7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1,639</w:t>
            </w:r>
          </w:p>
        </w:tc>
        <w:tc>
          <w:tcPr>
            <w:tcW w:w="40" w:type="dxa"/>
            <w:vAlign w:val="bottom"/>
          </w:tcPr>
          <w:p>
            <w:pPr>
              <w:spacing w:after="0"/>
              <w:rPr>
                <w:sz w:val="11"/>
                <w:szCs w:val="11"/>
                <w:color w:val="auto"/>
              </w:rPr>
            </w:pPr>
          </w:p>
        </w:tc>
      </w:tr>
      <w:tr>
        <w:trPr>
          <w:trHeight w:val="142"/>
        </w:trPr>
        <w:tc>
          <w:tcPr>
            <w:tcW w:w="8940" w:type="dxa"/>
            <w:vAlign w:val="bottom"/>
          </w:tcPr>
          <w:p>
            <w:pPr>
              <w:ind w:left="160"/>
              <w:spacing w:after="0"/>
              <w:rPr>
                <w:sz w:val="20"/>
                <w:szCs w:val="20"/>
                <w:color w:val="auto"/>
              </w:rPr>
            </w:pPr>
            <w:r>
              <w:rPr>
                <w:rFonts w:ascii="Arial" w:cs="Arial" w:eastAsia="Arial" w:hAnsi="Arial"/>
                <w:sz w:val="11"/>
                <w:szCs w:val="11"/>
                <w:b w:val="1"/>
                <w:bCs w:val="1"/>
                <w:color w:val="auto"/>
              </w:rPr>
              <w:t>Total Estimated Purchase Price</w:t>
            </w:r>
          </w:p>
        </w:tc>
        <w:tc>
          <w:tcPr>
            <w:tcW w:w="780" w:type="dxa"/>
            <w:vAlign w:val="bottom"/>
            <w:tcBorders>
              <w:bottom w:val="single" w:sz="8" w:color="004483"/>
            </w:tcBorders>
          </w:tcPr>
          <w:p>
            <w:pPr>
              <w:jc w:val="right"/>
              <w:ind w:right="67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30,424</w:t>
            </w:r>
          </w:p>
        </w:tc>
        <w:tc>
          <w:tcPr>
            <w:tcW w:w="40" w:type="dxa"/>
            <w:vAlign w:val="bottom"/>
          </w:tcPr>
          <w:p>
            <w:pPr>
              <w:spacing w:after="0"/>
              <w:rPr>
                <w:sz w:val="12"/>
                <w:szCs w:val="12"/>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(C) DISCONTINUED OPERATIONS AND OTHER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004483"/>
        </w:rPr>
        <w:t>Discontinued Operations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On May 30, 2019, the Company announced it was actively pursuing alternatives for its Oil and Gas Proppants business. 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The shares were valued at March 31, 2021 using Level 1 inputs at the quoted market price of the shares, and the shares are classified as Other Assets in our Consolidated Balance Sheet at March 31, 2021. Shares representing $0.3 million of the Purchase Price are being held in escrow as a source of recovery for any indemnification claims by the Purchaser.</w:t>
      </w:r>
    </w:p>
    <w:p>
      <w:pPr>
        <w:spacing w:after="0" w:line="6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will loan the Purchaser up to $5.0 million for working capital and operating, maintenance, and administrative expenses of the Proppants Business during the one-year period following the closing. The Company has deposited the $5.0 million into an escrow account. Up to 50% of the amounts outstanding under the Loan and Security Agreement may be repaid by the Purchaser in shares of the Purchaser’s common stock. Borrowings under the Loan and Security Agreement will bear interest at a fixed rate of 6.00% per annum during the one-year period following the closing. Any amounts after the one-year period will bear interest at a fixed rate of 8.00% per annum and will mature on September 18, 2024. There were no outstanding borrowings at March 31, 2021. The $5.0 million in the escrow account at March 31, 2021 is classified as Restricted Cash on the Consolidated Balance Sheet.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55" w:right="339" w:bottom="1440" w:gutter="0" w:footer="0" w:header="0"/>
        </w:sectPr>
      </w:pPr>
    </w:p>
    <w:bookmarkStart w:id="73" w:name="page74"/>
    <w:bookmarkEnd w:id="73"/>
    <w:p>
      <w:pPr>
        <w:jc w:val="both"/>
        <w:ind w:right="240"/>
        <w:spacing w:after="0" w:line="269" w:lineRule="auto"/>
        <w:rPr>
          <w:sz w:val="20"/>
          <w:szCs w:val="20"/>
          <w:color w:val="auto"/>
        </w:rPr>
      </w:pPr>
      <w:r>
        <w:rPr>
          <w:rFonts w:ascii="Arial" w:cs="Arial" w:eastAsia="Arial" w:hAnsi="Arial"/>
          <w:sz w:val="12"/>
          <w:szCs w:val="12"/>
          <w:color w:val="auto"/>
        </w:rPr>
        <w:t>The sale of the Oil and Gas Proppants business, which was previously disclosed as a reportable segment, was determined to meet the discontinued operations accounting criteria. The sale resulted in a gain of approximately $9.2 million, which is included in Earnings (Loss) from Discontinued Operations on the Consolidated Statement of Earnings.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operating results included in Earnings (Loss) from Discontinued Operations for the fiscal years ended March 31, 2021, 2020, and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3"/>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00" w:type="dxa"/>
            <w:vAlign w:val="bottom"/>
            <w:shd w:val="clear" w:color="auto" w:fill="004483"/>
          </w:tcPr>
          <w:p>
            <w:pPr>
              <w:spacing w:after="0"/>
              <w:rPr>
                <w:sz w:val="13"/>
                <w:szCs w:val="13"/>
                <w:color w:val="auto"/>
              </w:rPr>
            </w:pPr>
          </w:p>
        </w:tc>
        <w:tc>
          <w:tcPr>
            <w:tcW w:w="8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650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880" w:type="dxa"/>
            <w:vAlign w:val="bottom"/>
            <w:tcBorders>
              <w:bottom w:val="single" w:sz="8" w:color="004483"/>
            </w:tcBorders>
            <w:gridSpan w:val="6"/>
          </w:tcPr>
          <w:p>
            <w:pPr>
              <w:jc w:val="center"/>
              <w:spacing w:after="0"/>
              <w:rPr>
                <w:sz w:val="20"/>
                <w:szCs w:val="20"/>
                <w:color w:val="auto"/>
              </w:rPr>
            </w:pPr>
            <w:r>
              <w:rPr>
                <w:rFonts w:ascii="Arial" w:cs="Arial" w:eastAsia="Arial" w:hAnsi="Arial"/>
                <w:sz w:val="8"/>
                <w:szCs w:val="8"/>
                <w:color w:val="auto"/>
                <w:w w:val="91"/>
              </w:rPr>
              <w:t>(dollars in thousands, except share and per share data)</w:t>
            </w:r>
          </w:p>
        </w:tc>
        <w:tc>
          <w:tcPr>
            <w:tcW w:w="50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5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Revenue</w:t>
            </w:r>
          </w:p>
        </w:tc>
        <w:tc>
          <w:tcPr>
            <w:tcW w:w="160" w:type="dxa"/>
            <w:vAlign w:val="bottom"/>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46,781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82,987</w:t>
            </w:r>
          </w:p>
        </w:tc>
        <w:tc>
          <w:tcPr>
            <w:tcW w:w="120" w:type="dxa"/>
            <w:vAlign w:val="bottom"/>
          </w:tcPr>
          <w:p>
            <w:pPr>
              <w:spacing w:after="0"/>
              <w:rPr>
                <w:sz w:val="11"/>
                <w:szCs w:val="11"/>
                <w:color w:val="auto"/>
              </w:rPr>
            </w:pPr>
          </w:p>
        </w:tc>
      </w:tr>
      <w:tr>
        <w:trPr>
          <w:trHeight w:val="133"/>
        </w:trPr>
        <w:tc>
          <w:tcPr>
            <w:tcW w:w="65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Cost of Goods Sold</w:t>
            </w:r>
          </w:p>
        </w:tc>
        <w:tc>
          <w:tcPr>
            <w:tcW w:w="160" w:type="dxa"/>
            <w:vAlign w:val="bottom"/>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3,415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58,185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104,521</w:t>
            </w:r>
          </w:p>
        </w:tc>
        <w:tc>
          <w:tcPr>
            <w:tcW w:w="120" w:type="dxa"/>
            <w:vAlign w:val="bottom"/>
          </w:tcPr>
          <w:p>
            <w:pPr>
              <w:spacing w:after="0"/>
              <w:rPr>
                <w:sz w:val="11"/>
                <w:szCs w:val="11"/>
                <w:color w:val="auto"/>
              </w:rPr>
            </w:pPr>
          </w:p>
        </w:tc>
      </w:tr>
      <w:tr>
        <w:trPr>
          <w:trHeight w:val="133"/>
        </w:trPr>
        <w:tc>
          <w:tcPr>
            <w:tcW w:w="6500" w:type="dxa"/>
            <w:vAlign w:val="bottom"/>
          </w:tcPr>
          <w:p>
            <w:pPr>
              <w:ind w:left="320"/>
              <w:spacing w:after="0"/>
              <w:rPr>
                <w:sz w:val="20"/>
                <w:szCs w:val="20"/>
                <w:color w:val="auto"/>
              </w:rPr>
            </w:pPr>
            <w:r>
              <w:rPr>
                <w:rFonts w:ascii="Arial" w:cs="Arial" w:eastAsia="Arial" w:hAnsi="Arial"/>
                <w:sz w:val="11"/>
                <w:szCs w:val="11"/>
                <w:color w:val="004483"/>
              </w:rPr>
              <w:t>Gross Profit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1"/>
                <w:szCs w:val="11"/>
                <w:color w:val="auto"/>
              </w:rPr>
              <w:t>(2,370)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1"/>
                <w:szCs w:val="11"/>
                <w:color w:val="auto"/>
              </w:rPr>
              <w:t>(11,404)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(21,534)</w:t>
            </w:r>
          </w:p>
        </w:tc>
      </w:tr>
      <w:tr>
        <w:trPr>
          <w:trHeight w:val="133"/>
        </w:trPr>
        <w:tc>
          <w:tcPr>
            <w:tcW w:w="650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004483"/>
              </w:rPr>
              <w:t>Other Non-Operating Income</w:t>
            </w:r>
          </w:p>
        </w:tc>
        <w:tc>
          <w:tcPr>
            <w:tcW w:w="160" w:type="dxa"/>
            <w:vAlign w:val="bottom"/>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80" w:type="dxa"/>
            <w:vAlign w:val="bottom"/>
            <w:tcBorders>
              <w:top w:val="single" w:sz="8" w:color="A6A6A6"/>
              <w:bottom w:val="single" w:sz="8" w:color="A6A6A6"/>
            </w:tcBorders>
          </w:tcPr>
          <w:p>
            <w:pPr>
              <w:spacing w:after="0"/>
              <w:rPr>
                <w:sz w:val="11"/>
                <w:szCs w:val="11"/>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569</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A6A6A6"/>
              <w:bottom w:val="single" w:sz="8" w:color="A6A6A6"/>
            </w:tcBorders>
          </w:tcPr>
          <w:p>
            <w:pPr>
              <w:spacing w:after="0"/>
              <w:rPr>
                <w:sz w:val="11"/>
                <w:szCs w:val="11"/>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577</w:t>
            </w:r>
          </w:p>
        </w:tc>
        <w:tc>
          <w:tcPr>
            <w:tcW w:w="120" w:type="dxa"/>
            <w:vAlign w:val="bottom"/>
          </w:tcPr>
          <w:p>
            <w:pPr>
              <w:spacing w:after="0"/>
              <w:rPr>
                <w:sz w:val="11"/>
                <w:szCs w:val="11"/>
                <w:color w:val="auto"/>
              </w:rPr>
            </w:pPr>
          </w:p>
        </w:tc>
      </w:tr>
      <w:tr>
        <w:trPr>
          <w:trHeight w:val="133"/>
        </w:trPr>
        <w:tc>
          <w:tcPr>
            <w:tcW w:w="65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Gain on Sale of Discontinued Operations</w:t>
            </w:r>
          </w:p>
        </w:tc>
        <w:tc>
          <w:tcPr>
            <w:tcW w:w="160" w:type="dxa"/>
            <w:vAlign w:val="bottom"/>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9,230</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6500" w:type="dxa"/>
            <w:vAlign w:val="bottom"/>
          </w:tcPr>
          <w:p>
            <w:pPr>
              <w:ind w:left="160"/>
              <w:spacing w:after="0"/>
              <w:rPr>
                <w:sz w:val="20"/>
                <w:szCs w:val="20"/>
                <w:color w:val="auto"/>
              </w:rPr>
            </w:pPr>
            <w:r>
              <w:rPr>
                <w:rFonts w:ascii="Arial" w:cs="Arial" w:eastAsia="Arial" w:hAnsi="Arial"/>
                <w:sz w:val="11"/>
                <w:szCs w:val="11"/>
                <w:color w:val="004483"/>
              </w:rPr>
              <w:t>Impairment Losses</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1"/>
                <w:szCs w:val="11"/>
                <w:color w:val="auto"/>
              </w:rPr>
              <w:t>(199,136)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(183,086)</w:t>
            </w:r>
          </w:p>
        </w:tc>
      </w:tr>
      <w:tr>
        <w:trPr>
          <w:trHeight w:val="20"/>
        </w:trPr>
        <w:tc>
          <w:tcPr>
            <w:tcW w:w="650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12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8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500" w:type="dxa"/>
            <w:vAlign w:val="bottom"/>
          </w:tcPr>
          <w:p>
            <w:pPr>
              <w:ind w:left="160"/>
              <w:spacing w:after="0"/>
              <w:rPr>
                <w:sz w:val="20"/>
                <w:szCs w:val="20"/>
                <w:color w:val="auto"/>
              </w:rPr>
            </w:pPr>
            <w:r>
              <w:rPr>
                <w:rFonts w:ascii="Arial" w:cs="Arial" w:eastAsia="Arial" w:hAnsi="Arial"/>
                <w:sz w:val="11"/>
                <w:szCs w:val="11"/>
                <w:color w:val="004483"/>
              </w:rPr>
              <w:t>Earnings (Loss) from Discontinued Operations</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7,086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1"/>
                <w:szCs w:val="11"/>
                <w:color w:val="auto"/>
              </w:rPr>
              <w:t>(209,971)</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(204,043)</w:t>
            </w:r>
          </w:p>
        </w:tc>
      </w:tr>
      <w:tr>
        <w:trPr>
          <w:trHeight w:val="20"/>
        </w:trPr>
        <w:tc>
          <w:tcPr>
            <w:tcW w:w="6500" w:type="dxa"/>
            <w:vAlign w:val="bottom"/>
            <w:shd w:val="clear" w:color="auto" w:fill="A6A6A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12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500" w:type="dxa"/>
            <w:vAlign w:val="bottom"/>
          </w:tcPr>
          <w:p>
            <w:pPr>
              <w:ind w:left="160"/>
              <w:spacing w:after="0"/>
              <w:rPr>
                <w:sz w:val="20"/>
                <w:szCs w:val="20"/>
                <w:color w:val="auto"/>
              </w:rPr>
            </w:pPr>
            <w:r>
              <w:rPr>
                <w:rFonts w:ascii="Arial" w:cs="Arial" w:eastAsia="Arial" w:hAnsi="Arial"/>
                <w:sz w:val="11"/>
                <w:szCs w:val="11"/>
                <w:color w:val="004483"/>
              </w:rPr>
              <w:t>Income Tax (Expense) Benefit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1"/>
                <w:szCs w:val="11"/>
                <w:color w:val="auto"/>
              </w:rPr>
              <w:t>(1,808)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49,674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49,397</w:t>
            </w:r>
          </w:p>
        </w:tc>
        <w:tc>
          <w:tcPr>
            <w:tcW w:w="120" w:type="dxa"/>
            <w:vAlign w:val="bottom"/>
          </w:tcPr>
          <w:p>
            <w:pPr>
              <w:spacing w:after="0"/>
              <w:rPr>
                <w:sz w:val="11"/>
                <w:szCs w:val="11"/>
                <w:color w:val="auto"/>
              </w:rPr>
            </w:pPr>
          </w:p>
        </w:tc>
      </w:tr>
      <w:tr>
        <w:trPr>
          <w:trHeight w:val="20"/>
        </w:trPr>
        <w:tc>
          <w:tcPr>
            <w:tcW w:w="65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 w:type="dxa"/>
            <w:vAlign w:val="bottom"/>
            <w:shd w:val="clear" w:color="auto" w:fill="004483"/>
          </w:tcPr>
          <w:p>
            <w:pPr>
              <w:spacing w:after="0" w:line="20" w:lineRule="exact"/>
              <w:rPr>
                <w:sz w:val="1"/>
                <w:szCs w:val="1"/>
                <w:color w:val="auto"/>
              </w:rPr>
            </w:pPr>
          </w:p>
        </w:tc>
        <w:tc>
          <w:tcPr>
            <w:tcW w:w="12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8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60" w:type="dxa"/>
            <w:vAlign w:val="bottom"/>
            <w:gridSpan w:val="2"/>
          </w:tcPr>
          <w:p>
            <w:pPr>
              <w:ind w:left="320"/>
              <w:spacing w:after="0"/>
              <w:rPr>
                <w:sz w:val="20"/>
                <w:szCs w:val="20"/>
                <w:color w:val="auto"/>
              </w:rPr>
            </w:pPr>
            <w:r>
              <w:rPr>
                <w:rFonts w:ascii="Arial" w:cs="Arial" w:eastAsia="Arial" w:hAnsi="Arial"/>
                <w:sz w:val="11"/>
                <w:szCs w:val="11"/>
                <w:b w:val="1"/>
                <w:bCs w:val="1"/>
                <w:color w:val="auto"/>
              </w:rPr>
              <w:t>Net Earnings (Loss) from Discontinued Operations</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5,278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gridSpan w:val="2"/>
          </w:tcPr>
          <w:p>
            <w:pPr>
              <w:jc w:val="right"/>
              <w:ind w:right="80"/>
              <w:spacing w:after="0"/>
              <w:rPr>
                <w:sz w:val="20"/>
                <w:szCs w:val="20"/>
                <w:color w:val="auto"/>
              </w:rPr>
            </w:pPr>
            <w:r>
              <w:rPr>
                <w:rFonts w:ascii="Arial" w:cs="Arial" w:eastAsia="Arial" w:hAnsi="Arial"/>
                <w:sz w:val="11"/>
                <w:szCs w:val="11"/>
                <w:color w:val="auto"/>
              </w:rPr>
              <w:t>(160,297)</w:t>
            </w:r>
          </w:p>
        </w:tc>
        <w:tc>
          <w:tcPr>
            <w:tcW w:w="160" w:type="dxa"/>
            <w:vAlign w:val="bottom"/>
          </w:tcPr>
          <w:p>
            <w:pPr>
              <w:spacing w:after="0"/>
              <w:rPr>
                <w:sz w:val="11"/>
                <w:szCs w:val="11"/>
                <w:color w:val="auto"/>
              </w:rPr>
            </w:pP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(154,646)</w:t>
            </w:r>
          </w:p>
        </w:tc>
      </w:tr>
      <w:tr>
        <w:trPr>
          <w:trHeight w:val="29"/>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4483"/>
          </w:tcPr>
          <w:p>
            <w:pPr>
              <w:spacing w:after="0"/>
              <w:rPr>
                <w:sz w:val="2"/>
                <w:szCs w:val="2"/>
                <w:color w:val="auto"/>
              </w:rPr>
            </w:pPr>
          </w:p>
        </w:tc>
        <w:tc>
          <w:tcPr>
            <w:tcW w:w="78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4483"/>
          </w:tcPr>
          <w:p>
            <w:pPr>
              <w:spacing w:after="0"/>
              <w:rPr>
                <w:sz w:val="2"/>
                <w:szCs w:val="2"/>
                <w:color w:val="auto"/>
              </w:rPr>
            </w:pPr>
          </w:p>
        </w:tc>
        <w:tc>
          <w:tcPr>
            <w:tcW w:w="124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4483"/>
          </w:tcPr>
          <w:p>
            <w:pPr>
              <w:spacing w:after="0"/>
              <w:rPr>
                <w:sz w:val="2"/>
                <w:szCs w:val="2"/>
                <w:color w:val="auto"/>
              </w:rPr>
            </w:pPr>
          </w:p>
        </w:tc>
        <w:tc>
          <w:tcPr>
            <w:tcW w:w="82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The significant components of our Consolidated Statements of Cash Flows for discontinued operations for the fiscal years ended March 31, 2021, 2020, and 2019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8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1500" w:type="dxa"/>
            <w:vAlign w:val="bottom"/>
            <w:gridSpan w:val="2"/>
            <w:shd w:val="clear" w:color="auto" w:fill="004483"/>
          </w:tcPr>
          <w:p>
            <w:pPr>
              <w:jc w:val="center"/>
              <w:ind w:right="200"/>
              <w:spacing w:after="0"/>
              <w:rPr>
                <w:sz w:val="20"/>
                <w:szCs w:val="20"/>
                <w:color w:val="auto"/>
              </w:rPr>
            </w:pPr>
            <w:r>
              <w:rPr>
                <w:rFonts w:ascii="Arial" w:cs="Arial" w:eastAsia="Arial" w:hAnsi="Arial"/>
                <w:sz w:val="8"/>
                <w:szCs w:val="8"/>
                <w:b w:val="1"/>
                <w:bCs w:val="1"/>
                <w:color w:val="FFFFFF"/>
                <w:w w:val="95"/>
              </w:rPr>
              <w:t>For the Years Ended December 31,</w:t>
            </w:r>
          </w:p>
        </w:tc>
        <w:tc>
          <w:tcPr>
            <w:tcW w:w="7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620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8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240" w:type="dxa"/>
            <w:vAlign w:val="bottom"/>
            <w:tcBorders>
              <w:bottom w:val="single" w:sz="8" w:color="004483"/>
            </w:tcBorders>
          </w:tcPr>
          <w:p>
            <w:pPr>
              <w:spacing w:after="0"/>
              <w:rPr>
                <w:sz w:val="8"/>
                <w:szCs w:val="8"/>
                <w:color w:val="auto"/>
              </w:rPr>
            </w:pPr>
          </w:p>
        </w:tc>
        <w:tc>
          <w:tcPr>
            <w:tcW w:w="1500" w:type="dxa"/>
            <w:vAlign w:val="bottom"/>
            <w:tcBorders>
              <w:bottom w:val="single" w:sz="8" w:color="004483"/>
            </w:tcBorders>
            <w:gridSpan w:val="2"/>
          </w:tcPr>
          <w:p>
            <w:pPr>
              <w:jc w:val="center"/>
              <w:ind w:right="220"/>
              <w:spacing w:after="0"/>
              <w:rPr>
                <w:sz w:val="20"/>
                <w:szCs w:val="20"/>
                <w:color w:val="auto"/>
              </w:rPr>
            </w:pPr>
            <w:r>
              <w:rPr>
                <w:rFonts w:ascii="Arial" w:cs="Arial" w:eastAsia="Arial" w:hAnsi="Arial"/>
                <w:sz w:val="8"/>
                <w:szCs w:val="8"/>
                <w:color w:val="auto"/>
                <w:w w:val="94"/>
              </w:rPr>
              <w:t>(dollars in thousands)</w:t>
            </w:r>
          </w:p>
        </w:tc>
        <w:tc>
          <w:tcPr>
            <w:tcW w:w="7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Depreciation and Amortization</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1"/>
                <w:szCs w:val="11"/>
                <w:color w:val="auto"/>
              </w:rPr>
            </w:pPr>
          </w:p>
        </w:tc>
        <w:tc>
          <w:tcPr>
            <w:tcW w:w="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11,310</w:t>
            </w:r>
          </w:p>
        </w:tc>
        <w:tc>
          <w:tcPr>
            <w:tcW w:w="100" w:type="dxa"/>
            <w:vAlign w:val="bottom"/>
          </w:tcPr>
          <w:p>
            <w:pPr>
              <w:spacing w:after="0"/>
              <w:rPr>
                <w:sz w:val="11"/>
                <w:szCs w:val="11"/>
                <w:color w:val="auto"/>
              </w:rPr>
            </w:pPr>
          </w:p>
        </w:tc>
        <w:tc>
          <w:tcPr>
            <w:tcW w:w="740" w:type="dxa"/>
            <w:vAlign w:val="bottom"/>
            <w:tcBorders>
              <w:bottom w:val="single" w:sz="8" w:color="A6A6A6"/>
            </w:tcBorders>
          </w:tcPr>
          <w:p>
            <w:pPr>
              <w:jc w:val="right"/>
              <w:ind w:right="4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31,328</w:t>
            </w:r>
          </w:p>
        </w:tc>
        <w:tc>
          <w:tcPr>
            <w:tcW w:w="120" w:type="dxa"/>
            <w:vAlign w:val="bottom"/>
          </w:tcPr>
          <w:p>
            <w:pPr>
              <w:spacing w:after="0"/>
              <w:rPr>
                <w:sz w:val="11"/>
                <w:szCs w:val="11"/>
                <w:color w:val="auto"/>
              </w:rPr>
            </w:pPr>
          </w:p>
        </w:tc>
      </w:tr>
      <w:tr>
        <w:trPr>
          <w:trHeight w:val="133"/>
        </w:trPr>
        <w:tc>
          <w:tcPr>
            <w:tcW w:w="6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Impairment Losses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199,136</w:t>
            </w:r>
          </w:p>
        </w:tc>
        <w:tc>
          <w:tcPr>
            <w:tcW w:w="100" w:type="dxa"/>
            <w:vAlign w:val="bottom"/>
          </w:tcPr>
          <w:p>
            <w:pPr>
              <w:spacing w:after="0"/>
              <w:rPr>
                <w:sz w:val="11"/>
                <w:szCs w:val="11"/>
                <w:color w:val="auto"/>
              </w:rPr>
            </w:pPr>
          </w:p>
        </w:tc>
        <w:tc>
          <w:tcPr>
            <w:tcW w:w="740" w:type="dxa"/>
            <w:vAlign w:val="bottom"/>
            <w:tcBorders>
              <w:bottom w:val="single" w:sz="8" w:color="A6A6A6"/>
            </w:tcBorders>
          </w:tcPr>
          <w:p>
            <w:pPr>
              <w:jc w:val="right"/>
              <w:ind w:right="4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183,086</w:t>
            </w:r>
          </w:p>
        </w:tc>
        <w:tc>
          <w:tcPr>
            <w:tcW w:w="120" w:type="dxa"/>
            <w:vAlign w:val="bottom"/>
          </w:tcPr>
          <w:p>
            <w:pPr>
              <w:spacing w:after="0"/>
              <w:rPr>
                <w:sz w:val="11"/>
                <w:szCs w:val="11"/>
                <w:color w:val="auto"/>
              </w:rPr>
            </w:pPr>
          </w:p>
        </w:tc>
      </w:tr>
      <w:tr>
        <w:trPr>
          <w:trHeight w:val="133"/>
        </w:trPr>
        <w:tc>
          <w:tcPr>
            <w:tcW w:w="6200" w:type="dxa"/>
            <w:vAlign w:val="bottom"/>
          </w:tcPr>
          <w:p>
            <w:pPr>
              <w:ind w:left="160"/>
              <w:spacing w:after="0"/>
              <w:rPr>
                <w:sz w:val="20"/>
                <w:szCs w:val="20"/>
                <w:color w:val="auto"/>
              </w:rPr>
            </w:pPr>
            <w:r>
              <w:rPr>
                <w:rFonts w:ascii="Arial" w:cs="Arial" w:eastAsia="Arial" w:hAnsi="Arial"/>
                <w:sz w:val="11"/>
                <w:szCs w:val="11"/>
                <w:color w:val="004483"/>
              </w:rPr>
              <w:t>Gain on Sale of Business</w:t>
            </w: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(9,230)</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86"/>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620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004483"/>
              </w:rPr>
              <w:t>Net Change in Inventory</w:t>
            </w:r>
          </w:p>
        </w:tc>
        <w:tc>
          <w:tcPr>
            <w:tcW w:w="620" w:type="dxa"/>
            <w:vAlign w:val="bottom"/>
            <w:tcBorders>
              <w:top w:val="single" w:sz="8" w:color="A6A6A6"/>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3,200</w:t>
            </w:r>
          </w:p>
        </w:tc>
        <w:tc>
          <w:tcPr>
            <w:tcW w:w="100" w:type="dxa"/>
            <w:vAlign w:val="bottom"/>
          </w:tcPr>
          <w:p>
            <w:pPr>
              <w:spacing w:after="0"/>
              <w:rPr>
                <w:sz w:val="11"/>
                <w:szCs w:val="11"/>
                <w:color w:val="auto"/>
              </w:rPr>
            </w:pPr>
          </w:p>
        </w:tc>
        <w:tc>
          <w:tcPr>
            <w:tcW w:w="740" w:type="dxa"/>
            <w:vAlign w:val="bottom"/>
            <w:tcBorders>
              <w:top w:val="single" w:sz="8" w:color="A6A6A6"/>
              <w:bottom w:val="single" w:sz="8" w:color="A6A6A6"/>
            </w:tcBorders>
          </w:tcPr>
          <w:p>
            <w:pPr>
              <w:jc w:val="right"/>
              <w:ind w:right="486"/>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1,506</w:t>
            </w:r>
          </w:p>
        </w:tc>
        <w:tc>
          <w:tcPr>
            <w:tcW w:w="120" w:type="dxa"/>
            <w:vAlign w:val="bottom"/>
          </w:tcPr>
          <w:p>
            <w:pPr>
              <w:spacing w:after="0"/>
              <w:rPr>
                <w:sz w:val="11"/>
                <w:szCs w:val="11"/>
                <w:color w:val="auto"/>
              </w:rPr>
            </w:pPr>
          </w:p>
        </w:tc>
      </w:tr>
      <w:tr>
        <w:trPr>
          <w:trHeight w:val="133"/>
        </w:trPr>
        <w:tc>
          <w:tcPr>
            <w:tcW w:w="6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Capital Expenditures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1"/>
                <w:szCs w:val="11"/>
                <w:color w:val="auto"/>
              </w:rPr>
            </w:pPr>
          </w:p>
        </w:tc>
        <w:tc>
          <w:tcPr>
            <w:tcW w:w="740" w:type="dxa"/>
            <w:vAlign w:val="bottom"/>
            <w:tcBorders>
              <w:bottom w:val="single" w:sz="8" w:color="A6A6A6"/>
            </w:tcBorders>
          </w:tcPr>
          <w:p>
            <w:pPr>
              <w:jc w:val="right"/>
              <w:ind w:right="4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52,286</w:t>
            </w:r>
          </w:p>
        </w:tc>
        <w:tc>
          <w:tcPr>
            <w:tcW w:w="120" w:type="dxa"/>
            <w:vAlign w:val="bottom"/>
          </w:tcPr>
          <w:p>
            <w:pPr>
              <w:spacing w:after="0"/>
              <w:rPr>
                <w:sz w:val="11"/>
                <w:szCs w:val="1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74" w:name="page75"/>
    <w:bookmarkEnd w:id="74"/>
    <w:p>
      <w:pPr>
        <w:spacing w:after="0"/>
        <w:rPr>
          <w:sz w:val="20"/>
          <w:szCs w:val="20"/>
          <w:color w:val="auto"/>
        </w:rPr>
      </w:pPr>
      <w:r>
        <w:rPr>
          <w:rFonts w:ascii="Arial" w:cs="Arial" w:eastAsia="Arial" w:hAnsi="Arial"/>
          <w:sz w:val="12"/>
          <w:szCs w:val="12"/>
          <w:color w:val="auto"/>
        </w:rPr>
        <w:t>The following is a summary of assets and liabilities attributable to discontinued operations, which were included on our balance sheet at March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9440" w:type="dxa"/>
            <w:vAlign w:val="bottom"/>
          </w:tcPr>
          <w:p>
            <w:pPr>
              <w:spacing w:after="0"/>
              <w:rPr>
                <w:sz w:val="7"/>
                <w:szCs w:val="7"/>
                <w:color w:val="auto"/>
              </w:rPr>
            </w:pPr>
          </w:p>
        </w:tc>
        <w:tc>
          <w:tcPr>
            <w:tcW w:w="280" w:type="dxa"/>
            <w:vAlign w:val="bottom"/>
            <w:shd w:val="clear" w:color="auto" w:fill="004483"/>
          </w:tcPr>
          <w:p>
            <w:pPr>
              <w:spacing w:after="0"/>
              <w:rPr>
                <w:sz w:val="7"/>
                <w:szCs w:val="7"/>
                <w:color w:val="auto"/>
              </w:rPr>
            </w:pPr>
          </w:p>
        </w:tc>
        <w:tc>
          <w:tcPr>
            <w:tcW w:w="158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107"/>
        </w:trPr>
        <w:tc>
          <w:tcPr>
            <w:tcW w:w="9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9"/>
                <w:szCs w:val="9"/>
                <w:color w:val="auto"/>
              </w:rPr>
            </w:pPr>
          </w:p>
        </w:tc>
      </w:tr>
      <w:tr>
        <w:trPr>
          <w:trHeight w:val="100"/>
        </w:trPr>
        <w:tc>
          <w:tcPr>
            <w:tcW w:w="9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8"/>
                <w:szCs w:val="8"/>
                <w:color w:val="auto"/>
              </w:rPr>
              <w:t>(dollars in thousands)</w:t>
            </w:r>
          </w:p>
        </w:tc>
      </w:tr>
      <w:tr>
        <w:trPr>
          <w:trHeight w:val="131"/>
        </w:trPr>
        <w:tc>
          <w:tcPr>
            <w:tcW w:w="94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tcBorders>
              <w:top w:val="single" w:sz="8" w:color="004483"/>
              <w:bottom w:val="single" w:sz="8" w:color="A6A6A6"/>
            </w:tcBorders>
          </w:tcPr>
          <w:p>
            <w:pPr>
              <w:spacing w:after="0"/>
              <w:rPr>
                <w:sz w:val="11"/>
                <w:szCs w:val="11"/>
                <w:color w:val="auto"/>
              </w:rPr>
            </w:pPr>
          </w:p>
        </w:tc>
        <w:tc>
          <w:tcPr>
            <w:tcW w:w="14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Accounts and Notes Receivable</w:t>
            </w:r>
          </w:p>
        </w:tc>
        <w:tc>
          <w:tcPr>
            <w:tcW w:w="280" w:type="dxa"/>
            <w:vAlign w:val="bottom"/>
            <w:tcBorders>
              <w:bottom w:val="single" w:sz="8" w:color="A6A6A6"/>
            </w:tcBorders>
          </w:tcPr>
          <w:p>
            <w:pPr>
              <w:jc w:val="right"/>
              <w:ind w:right="213"/>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9,019</w:t>
            </w:r>
          </w:p>
        </w:tc>
        <w:tc>
          <w:tcPr>
            <w:tcW w:w="120" w:type="dxa"/>
            <w:vAlign w:val="bottom"/>
          </w:tcPr>
          <w:p>
            <w:pPr>
              <w:spacing w:after="0"/>
              <w:rPr>
                <w:sz w:val="11"/>
                <w:szCs w:val="11"/>
                <w:color w:val="auto"/>
              </w:rPr>
            </w:pPr>
          </w:p>
        </w:tc>
      </w:tr>
      <w:tr>
        <w:trPr>
          <w:trHeight w:val="133"/>
        </w:trPr>
        <w:tc>
          <w:tcPr>
            <w:tcW w:w="9440" w:type="dxa"/>
            <w:vAlign w:val="bottom"/>
          </w:tcPr>
          <w:p>
            <w:pPr>
              <w:spacing w:after="0"/>
              <w:rPr>
                <w:sz w:val="20"/>
                <w:szCs w:val="20"/>
                <w:color w:val="auto"/>
              </w:rPr>
            </w:pPr>
            <w:r>
              <w:rPr>
                <w:rFonts w:ascii="Arial" w:cs="Arial" w:eastAsia="Arial" w:hAnsi="Arial"/>
                <w:sz w:val="11"/>
                <w:szCs w:val="11"/>
                <w:color w:val="004483"/>
              </w:rPr>
              <w:t>Allowance for Doubtful Accounts</w:t>
            </w:r>
          </w:p>
        </w:tc>
        <w:tc>
          <w:tcPr>
            <w:tcW w:w="280" w:type="dxa"/>
            <w:vAlign w:val="bottom"/>
          </w:tcPr>
          <w:p>
            <w:pPr>
              <w:spacing w:after="0"/>
              <w:rPr>
                <w:sz w:val="11"/>
                <w:szCs w:val="1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1"/>
                <w:szCs w:val="11"/>
                <w:color w:val="auto"/>
              </w:rPr>
              <w:t>(3,041)</w:t>
            </w:r>
          </w:p>
        </w:tc>
      </w:tr>
      <w:tr>
        <w:trPr>
          <w:trHeight w:val="133"/>
        </w:trPr>
        <w:tc>
          <w:tcPr>
            <w:tcW w:w="94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004483"/>
              </w:rPr>
              <w:t>Inventories</w:t>
            </w:r>
          </w:p>
        </w:tc>
        <w:tc>
          <w:tcPr>
            <w:tcW w:w="280" w:type="dxa"/>
            <w:vAlign w:val="bottom"/>
            <w:tcBorders>
              <w:top w:val="single" w:sz="8" w:color="A6A6A6"/>
              <w:bottom w:val="single" w:sz="8" w:color="A6A6A6"/>
            </w:tcBorders>
          </w:tcPr>
          <w:p>
            <w:pPr>
              <w:spacing w:after="0"/>
              <w:rPr>
                <w:sz w:val="11"/>
                <w:szCs w:val="11"/>
                <w:color w:val="auto"/>
              </w:rPr>
            </w:pPr>
          </w:p>
        </w:tc>
        <w:tc>
          <w:tcPr>
            <w:tcW w:w="14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387</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Prepaid and Other Assets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727</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Total Current Assets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7,092</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Property, Plant, and Equipment, net</w:t>
            </w:r>
          </w:p>
        </w:tc>
        <w:tc>
          <w:tcPr>
            <w:tcW w:w="2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5,692</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Operating Lease Right-of-Use Assets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1,047</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Total Noncurrent Assets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6,739</w:t>
            </w:r>
          </w:p>
        </w:tc>
        <w:tc>
          <w:tcPr>
            <w:tcW w:w="120" w:type="dxa"/>
            <w:vAlign w:val="bottom"/>
          </w:tcPr>
          <w:p>
            <w:pPr>
              <w:spacing w:after="0"/>
              <w:rPr>
                <w:sz w:val="11"/>
                <w:szCs w:val="11"/>
                <w:color w:val="auto"/>
              </w:rPr>
            </w:pPr>
          </w:p>
        </w:tc>
      </w:tr>
      <w:tr>
        <w:trPr>
          <w:trHeight w:val="142"/>
        </w:trPr>
        <w:tc>
          <w:tcPr>
            <w:tcW w:w="9440" w:type="dxa"/>
            <w:vAlign w:val="bottom"/>
            <w:tcBorders>
              <w:bottom w:val="single" w:sz="8" w:color="A6A6A6"/>
            </w:tcBorders>
          </w:tcPr>
          <w:p>
            <w:pPr>
              <w:spacing w:after="0"/>
              <w:rPr>
                <w:sz w:val="12"/>
                <w:szCs w:val="12"/>
                <w:color w:val="auto"/>
              </w:rPr>
            </w:pPr>
          </w:p>
        </w:tc>
        <w:tc>
          <w:tcPr>
            <w:tcW w:w="280" w:type="dxa"/>
            <w:vAlign w:val="bottom"/>
            <w:tcBorders>
              <w:bottom w:val="single" w:sz="8" w:color="004483"/>
            </w:tcBorders>
          </w:tcPr>
          <w:p>
            <w:pPr>
              <w:jc w:val="right"/>
              <w:ind w:right="213"/>
              <w:spacing w:after="0"/>
              <w:rPr>
                <w:sz w:val="20"/>
                <w:szCs w:val="20"/>
                <w:color w:val="auto"/>
              </w:rPr>
            </w:pPr>
            <w:r>
              <w:rPr>
                <w:rFonts w:ascii="Arial" w:cs="Arial" w:eastAsia="Arial" w:hAnsi="Arial"/>
                <w:sz w:val="5"/>
                <w:szCs w:val="5"/>
                <w:b w:val="1"/>
                <w:bCs w:val="1"/>
                <w:color w:val="auto"/>
                <w:w w:val="70"/>
              </w:rPr>
              <w:t>$</w:t>
            </w: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13,831</w:t>
            </w:r>
          </w:p>
        </w:tc>
        <w:tc>
          <w:tcPr>
            <w:tcW w:w="120" w:type="dxa"/>
            <w:vAlign w:val="bottom"/>
          </w:tcPr>
          <w:p>
            <w:pPr>
              <w:spacing w:after="0"/>
              <w:rPr>
                <w:sz w:val="12"/>
                <w:szCs w:val="12"/>
                <w:color w:val="auto"/>
              </w:rPr>
            </w:pPr>
          </w:p>
        </w:tc>
      </w:tr>
      <w:tr>
        <w:trPr>
          <w:trHeight w:val="144"/>
        </w:trPr>
        <w:tc>
          <w:tcPr>
            <w:tcW w:w="9440" w:type="dxa"/>
            <w:vAlign w:val="bottom"/>
            <w:tcBorders>
              <w:bottom w:val="single" w:sz="8" w:color="A6A6A6"/>
            </w:tcBorders>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146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LIABILITIES</w:t>
            </w:r>
          </w:p>
        </w:tc>
        <w:tc>
          <w:tcPr>
            <w:tcW w:w="2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Accounts Payable</w:t>
            </w:r>
          </w:p>
        </w:tc>
        <w:tc>
          <w:tcPr>
            <w:tcW w:w="280" w:type="dxa"/>
            <w:vAlign w:val="bottom"/>
            <w:tcBorders>
              <w:bottom w:val="single" w:sz="8" w:color="A6A6A6"/>
            </w:tcBorders>
          </w:tcPr>
          <w:p>
            <w:pPr>
              <w:jc w:val="right"/>
              <w:ind w:right="213"/>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2,014</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Accrued Liabilities</w:t>
            </w:r>
          </w:p>
        </w:tc>
        <w:tc>
          <w:tcPr>
            <w:tcW w:w="2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2,851</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Operating Lease Liabilities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3,622</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Total Current Liabilities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8,487</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Noncurrent Operating Lease Liabilities</w:t>
            </w:r>
          </w:p>
        </w:tc>
        <w:tc>
          <w:tcPr>
            <w:tcW w:w="2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9,570</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Other Long-term Liabilities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5,857</w:t>
            </w:r>
          </w:p>
        </w:tc>
        <w:tc>
          <w:tcPr>
            <w:tcW w:w="120" w:type="dxa"/>
            <w:vAlign w:val="bottom"/>
          </w:tcPr>
          <w:p>
            <w:pPr>
              <w:spacing w:after="0"/>
              <w:rPr>
                <w:sz w:val="11"/>
                <w:szCs w:val="11"/>
                <w:color w:val="auto"/>
              </w:rPr>
            </w:pPr>
          </w:p>
        </w:tc>
      </w:tr>
      <w:tr>
        <w:trPr>
          <w:trHeight w:val="133"/>
        </w:trPr>
        <w:tc>
          <w:tcPr>
            <w:tcW w:w="94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Total Noncurrent Liabilities</w:t>
            </w:r>
          </w:p>
        </w:tc>
        <w:tc>
          <w:tcPr>
            <w:tcW w:w="2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15,427</w:t>
            </w:r>
          </w:p>
        </w:tc>
        <w:tc>
          <w:tcPr>
            <w:tcW w:w="120" w:type="dxa"/>
            <w:vAlign w:val="bottom"/>
          </w:tcPr>
          <w:p>
            <w:pPr>
              <w:spacing w:after="0"/>
              <w:rPr>
                <w:sz w:val="11"/>
                <w:szCs w:val="11"/>
                <w:color w:val="auto"/>
              </w:rPr>
            </w:pPr>
          </w:p>
        </w:tc>
      </w:tr>
      <w:tr>
        <w:trPr>
          <w:trHeight w:val="142"/>
        </w:trPr>
        <w:tc>
          <w:tcPr>
            <w:tcW w:w="9440" w:type="dxa"/>
            <w:vAlign w:val="bottom"/>
          </w:tcPr>
          <w:p>
            <w:pPr>
              <w:spacing w:after="0"/>
              <w:rPr>
                <w:sz w:val="12"/>
                <w:szCs w:val="12"/>
                <w:color w:val="auto"/>
              </w:rPr>
            </w:pPr>
          </w:p>
        </w:tc>
        <w:tc>
          <w:tcPr>
            <w:tcW w:w="280" w:type="dxa"/>
            <w:vAlign w:val="bottom"/>
            <w:tcBorders>
              <w:bottom w:val="single" w:sz="8" w:color="004483"/>
            </w:tcBorders>
          </w:tcPr>
          <w:p>
            <w:pPr>
              <w:jc w:val="right"/>
              <w:ind w:right="213"/>
              <w:spacing w:after="0"/>
              <w:rPr>
                <w:sz w:val="20"/>
                <w:szCs w:val="20"/>
                <w:color w:val="auto"/>
              </w:rPr>
            </w:pPr>
            <w:r>
              <w:rPr>
                <w:rFonts w:ascii="Arial" w:cs="Arial" w:eastAsia="Arial" w:hAnsi="Arial"/>
                <w:sz w:val="5"/>
                <w:szCs w:val="5"/>
                <w:b w:val="1"/>
                <w:bCs w:val="1"/>
                <w:color w:val="auto"/>
                <w:w w:val="70"/>
              </w:rPr>
              <w:t>$</w:t>
            </w: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23,914</w:t>
            </w:r>
          </w:p>
        </w:tc>
        <w:tc>
          <w:tcPr>
            <w:tcW w:w="120" w:type="dxa"/>
            <w:vAlign w:val="bottom"/>
          </w:tcPr>
          <w:p>
            <w:pPr>
              <w:spacing w:after="0"/>
              <w:rPr>
                <w:sz w:val="12"/>
                <w:szCs w:val="12"/>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004483"/>
        </w:rPr>
        <w:t>Other Dispositions</w:t>
      </w:r>
    </w:p>
    <w:p>
      <w:pPr>
        <w:spacing w:after="0" w:line="90" w:lineRule="exact"/>
        <w:rPr>
          <w:sz w:val="20"/>
          <w:szCs w:val="20"/>
          <w:color w:val="auto"/>
        </w:rPr>
      </w:pPr>
    </w:p>
    <w:p>
      <w:pPr>
        <w:jc w:val="both"/>
        <w:ind w:right="80"/>
        <w:spacing w:after="0" w:line="277" w:lineRule="auto"/>
        <w:rPr>
          <w:sz w:val="20"/>
          <w:szCs w:val="20"/>
          <w:color w:val="auto"/>
        </w:rPr>
      </w:pPr>
      <w:r>
        <w:rPr>
          <w:rFonts w:ascii="Arial" w:cs="Arial" w:eastAsia="Arial" w:hAnsi="Arial"/>
          <w:sz w:val="12"/>
          <w:szCs w:val="12"/>
          <w:color w:val="auto"/>
        </w:rPr>
        <w:t>On April 17, 2020, we sold our Western Aggregates LLC (Western) and Mathews Readymix LLC (Mathews) operations to Teichert Inc., a California-based construction company for an aggregate purchase price of $93.5 million, subject to certain post-closing adjustments. Western and Mathews were part of our Concrete and Aggregates operating segment.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At the date of sale, assets and liabilities included on our Balance Sheet related to Western and Mathews were approximately $43.8 million and $2.3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Revenue and Operating Earnings from Western and Mathews, collectively, for fiscal years 2021, 2020 and 2019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200" w:type="dxa"/>
            <w:vAlign w:val="bottom"/>
          </w:tcPr>
          <w:p>
            <w:pPr>
              <w:spacing w:after="0"/>
              <w:rPr>
                <w:sz w:val="11"/>
                <w:szCs w:val="11"/>
                <w:color w:val="auto"/>
              </w:rPr>
            </w:pPr>
          </w:p>
        </w:tc>
        <w:tc>
          <w:tcPr>
            <w:tcW w:w="640" w:type="dxa"/>
            <w:vAlign w:val="bottom"/>
            <w:shd w:val="clear" w:color="auto" w:fill="004483"/>
          </w:tcPr>
          <w:p>
            <w:pPr>
              <w:spacing w:after="0"/>
              <w:rPr>
                <w:sz w:val="11"/>
                <w:szCs w:val="11"/>
                <w:color w:val="auto"/>
              </w:rPr>
            </w:pPr>
          </w:p>
        </w:tc>
        <w:tc>
          <w:tcPr>
            <w:tcW w:w="84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260" w:type="dxa"/>
            <w:vAlign w:val="bottom"/>
            <w:shd w:val="clear" w:color="auto" w:fill="004483"/>
          </w:tcPr>
          <w:p>
            <w:pPr>
              <w:spacing w:after="0"/>
              <w:rPr>
                <w:sz w:val="11"/>
                <w:szCs w:val="11"/>
                <w:color w:val="auto"/>
              </w:rPr>
            </w:pPr>
          </w:p>
        </w:tc>
        <w:tc>
          <w:tcPr>
            <w:tcW w:w="1480" w:type="dxa"/>
            <w:vAlign w:val="bottom"/>
            <w:gridSpan w:val="2"/>
            <w:shd w:val="clear" w:color="auto" w:fill="004483"/>
          </w:tcPr>
          <w:p>
            <w:pPr>
              <w:jc w:val="center"/>
              <w:ind w:right="240"/>
              <w:spacing w:after="0"/>
              <w:rPr>
                <w:sz w:val="20"/>
                <w:szCs w:val="20"/>
                <w:color w:val="auto"/>
              </w:rPr>
            </w:pPr>
            <w:r>
              <w:rPr>
                <w:rFonts w:ascii="Arial" w:cs="Arial" w:eastAsia="Arial" w:hAnsi="Arial"/>
                <w:sz w:val="8"/>
                <w:szCs w:val="8"/>
                <w:b w:val="1"/>
                <w:bCs w:val="1"/>
                <w:color w:val="FFFFFF"/>
                <w:w w:val="95"/>
              </w:rPr>
              <w:t>For the Years Ended March 31,</w:t>
            </w:r>
          </w:p>
        </w:tc>
        <w:tc>
          <w:tcPr>
            <w:tcW w:w="780" w:type="dxa"/>
            <w:vAlign w:val="bottom"/>
            <w:shd w:val="clear" w:color="auto" w:fill="004483"/>
          </w:tcPr>
          <w:p>
            <w:pPr>
              <w:spacing w:after="0"/>
              <w:rPr>
                <w:sz w:val="11"/>
                <w:szCs w:val="11"/>
                <w:color w:val="auto"/>
              </w:rPr>
            </w:pPr>
          </w:p>
        </w:tc>
        <w:tc>
          <w:tcPr>
            <w:tcW w:w="86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r>
      <w:tr>
        <w:trPr>
          <w:trHeight w:val="99"/>
        </w:trPr>
        <w:tc>
          <w:tcPr>
            <w:tcW w:w="6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620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8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260" w:type="dxa"/>
            <w:vAlign w:val="bottom"/>
            <w:tcBorders>
              <w:bottom w:val="single" w:sz="8" w:color="004483"/>
            </w:tcBorders>
          </w:tcPr>
          <w:p>
            <w:pPr>
              <w:spacing w:after="0"/>
              <w:rPr>
                <w:sz w:val="8"/>
                <w:szCs w:val="8"/>
                <w:color w:val="auto"/>
              </w:rPr>
            </w:pPr>
          </w:p>
        </w:tc>
        <w:tc>
          <w:tcPr>
            <w:tcW w:w="1480" w:type="dxa"/>
            <w:vAlign w:val="bottom"/>
            <w:tcBorders>
              <w:bottom w:val="single" w:sz="8" w:color="004483"/>
            </w:tcBorders>
            <w:gridSpan w:val="2"/>
          </w:tcPr>
          <w:p>
            <w:pPr>
              <w:jc w:val="center"/>
              <w:ind w:right="240"/>
              <w:spacing w:after="0"/>
              <w:rPr>
                <w:sz w:val="20"/>
                <w:szCs w:val="20"/>
                <w:color w:val="auto"/>
              </w:rPr>
            </w:pPr>
            <w:r>
              <w:rPr>
                <w:rFonts w:ascii="Arial" w:cs="Arial" w:eastAsia="Arial" w:hAnsi="Arial"/>
                <w:sz w:val="8"/>
                <w:szCs w:val="8"/>
                <w:color w:val="auto"/>
                <w:w w:val="94"/>
              </w:rPr>
              <w:t>(dollars in thousands)</w:t>
            </w:r>
          </w:p>
        </w:tc>
        <w:tc>
          <w:tcPr>
            <w:tcW w:w="780" w:type="dxa"/>
            <w:vAlign w:val="bottom"/>
            <w:tcBorders>
              <w:bottom w:val="single" w:sz="8" w:color="004483"/>
            </w:tcBorders>
          </w:tcPr>
          <w:p>
            <w:pPr>
              <w:spacing w:after="0"/>
              <w:rPr>
                <w:sz w:val="8"/>
                <w:szCs w:val="8"/>
                <w:color w:val="auto"/>
              </w:rPr>
            </w:pP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Revenue</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1,692</w:t>
            </w:r>
          </w:p>
        </w:tc>
        <w:tc>
          <w:tcPr>
            <w:tcW w:w="120" w:type="dxa"/>
            <w:vAlign w:val="bottom"/>
          </w:tcPr>
          <w:p>
            <w:pPr>
              <w:spacing w:after="0"/>
              <w:rPr>
                <w:sz w:val="11"/>
                <w:szCs w:val="11"/>
                <w:color w:val="auto"/>
              </w:rPr>
            </w:pPr>
          </w:p>
        </w:tc>
        <w:tc>
          <w:tcPr>
            <w:tcW w:w="2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32,255</w:t>
            </w:r>
          </w:p>
        </w:tc>
        <w:tc>
          <w:tcPr>
            <w:tcW w:w="100" w:type="dxa"/>
            <w:vAlign w:val="bottom"/>
          </w:tcPr>
          <w:p>
            <w:pPr>
              <w:spacing w:after="0"/>
              <w:rPr>
                <w:sz w:val="11"/>
                <w:szCs w:val="11"/>
                <w:color w:val="auto"/>
              </w:rPr>
            </w:pPr>
          </w:p>
        </w:tc>
        <w:tc>
          <w:tcPr>
            <w:tcW w:w="780" w:type="dxa"/>
            <w:vAlign w:val="bottom"/>
            <w:tcBorders>
              <w:bottom w:val="single" w:sz="8" w:color="A6A6A6"/>
            </w:tcBorders>
          </w:tcPr>
          <w:p>
            <w:pPr>
              <w:jc w:val="right"/>
              <w:ind w:right="5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27,790</w:t>
            </w:r>
          </w:p>
        </w:tc>
        <w:tc>
          <w:tcPr>
            <w:tcW w:w="120" w:type="dxa"/>
            <w:vAlign w:val="bottom"/>
          </w:tcPr>
          <w:p>
            <w:pPr>
              <w:spacing w:after="0"/>
              <w:rPr>
                <w:sz w:val="11"/>
                <w:szCs w:val="11"/>
                <w:color w:val="auto"/>
              </w:rPr>
            </w:pPr>
          </w:p>
        </w:tc>
      </w:tr>
      <w:tr>
        <w:trPr>
          <w:trHeight w:val="133"/>
        </w:trPr>
        <w:tc>
          <w:tcPr>
            <w:tcW w:w="62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Operating Earnings</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1"/>
                <w:szCs w:val="11"/>
                <w:color w:val="auto"/>
              </w:rPr>
            </w:pPr>
          </w:p>
        </w:tc>
        <w:tc>
          <w:tcPr>
            <w:tcW w:w="260" w:type="dxa"/>
            <w:vAlign w:val="bottom"/>
            <w:tcBorders>
              <w:bottom w:val="single" w:sz="8" w:color="A6A6A6"/>
            </w:tcBorders>
          </w:tcPr>
          <w:p>
            <w:pPr>
              <w:jc w:val="right"/>
              <w:ind w:right="6"/>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4,837</w:t>
            </w:r>
          </w:p>
        </w:tc>
        <w:tc>
          <w:tcPr>
            <w:tcW w:w="100" w:type="dxa"/>
            <w:vAlign w:val="bottom"/>
          </w:tcPr>
          <w:p>
            <w:pPr>
              <w:spacing w:after="0"/>
              <w:rPr>
                <w:sz w:val="11"/>
                <w:szCs w:val="11"/>
                <w:color w:val="auto"/>
              </w:rPr>
            </w:pPr>
          </w:p>
        </w:tc>
        <w:tc>
          <w:tcPr>
            <w:tcW w:w="780" w:type="dxa"/>
            <w:vAlign w:val="bottom"/>
            <w:tcBorders>
              <w:bottom w:val="single" w:sz="8" w:color="A6A6A6"/>
            </w:tcBorders>
          </w:tcPr>
          <w:p>
            <w:pPr>
              <w:jc w:val="right"/>
              <w:ind w:right="5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2,481</w:t>
            </w:r>
          </w:p>
        </w:tc>
        <w:tc>
          <w:tcPr>
            <w:tcW w:w="1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004483"/>
        </w:rPr>
        <w:t>(D) PROPERTY, PLANT, AND EQUIPMENT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Cost by major category and Accumulated Depreciation are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1940" w:type="dxa"/>
            <w:vAlign w:val="bottom"/>
            <w:gridSpan w:val="3"/>
            <w:shd w:val="clear" w:color="auto" w:fill="004483"/>
          </w:tcPr>
          <w:p>
            <w:pPr>
              <w:jc w:val="right"/>
              <w:ind w:right="593"/>
              <w:spacing w:after="0"/>
              <w:rPr>
                <w:sz w:val="20"/>
                <w:szCs w:val="20"/>
                <w:color w:val="auto"/>
              </w:rPr>
            </w:pPr>
            <w:r>
              <w:rPr>
                <w:rFonts w:ascii="Arial" w:cs="Arial" w:eastAsia="Arial" w:hAnsi="Arial"/>
                <w:sz w:val="8"/>
                <w:szCs w:val="8"/>
                <w:b w:val="1"/>
                <w:bCs w:val="1"/>
                <w:color w:val="FFFFFF"/>
              </w:rPr>
              <w:t>March 31,</w:t>
            </w:r>
          </w:p>
        </w:tc>
        <w:tc>
          <w:tcPr>
            <w:tcW w:w="104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jc w:val="right"/>
              <w:ind w:right="70"/>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8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3"/>
          </w:tcPr>
          <w:p>
            <w:pPr>
              <w:jc w:val="right"/>
              <w:ind w:right="413"/>
              <w:spacing w:after="0"/>
              <w:rPr>
                <w:sz w:val="20"/>
                <w:szCs w:val="20"/>
                <w:color w:val="auto"/>
              </w:rPr>
            </w:pPr>
            <w:r>
              <w:rPr>
                <w:rFonts w:ascii="Arial" w:cs="Arial" w:eastAsia="Arial" w:hAnsi="Arial"/>
                <w:sz w:val="8"/>
                <w:szCs w:val="8"/>
                <w:color w:val="auto"/>
              </w:rPr>
              <w:t>(dollars in thousands)</w:t>
            </w:r>
          </w:p>
        </w:tc>
        <w:tc>
          <w:tcPr>
            <w:tcW w:w="10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Land and Quarries</w:t>
            </w:r>
          </w:p>
        </w:tc>
        <w:tc>
          <w:tcPr>
            <w:tcW w:w="580" w:type="dxa"/>
            <w:vAlign w:val="bottom"/>
            <w:tcBorders>
              <w:bottom w:val="single" w:sz="8" w:color="A6A6A6"/>
            </w:tcBorders>
          </w:tcPr>
          <w:p>
            <w:pPr>
              <w:jc w:val="right"/>
              <w:ind w:right="47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217,439</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jc w:val="right"/>
              <w:ind w:right="573"/>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231,163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Plants</w:t>
            </w:r>
          </w:p>
        </w:tc>
        <w:tc>
          <w:tcPr>
            <w:tcW w:w="580" w:type="dxa"/>
            <w:vAlign w:val="bottom"/>
            <w:tcBorders>
              <w:bottom w:val="single" w:sz="8" w:color="A6A6A6"/>
            </w:tcBorders>
          </w:tcPr>
          <w:p>
            <w:pPr>
              <w:spacing w:after="0"/>
              <w:rPr>
                <w:sz w:val="11"/>
                <w:szCs w:val="11"/>
                <w:color w:val="auto"/>
              </w:rPr>
            </w:pPr>
          </w:p>
        </w:tc>
        <w:tc>
          <w:tcPr>
            <w:tcW w:w="110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2,363,937</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2,353,526</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Buildings, Machinery, and Equipment</w:t>
            </w:r>
          </w:p>
        </w:tc>
        <w:tc>
          <w:tcPr>
            <w:tcW w:w="580" w:type="dxa"/>
            <w:vAlign w:val="bottom"/>
            <w:tcBorders>
              <w:bottom w:val="single" w:sz="8" w:color="A6A6A6"/>
            </w:tcBorders>
          </w:tcPr>
          <w:p>
            <w:pPr>
              <w:spacing w:after="0"/>
              <w:rPr>
                <w:sz w:val="11"/>
                <w:szCs w:val="11"/>
                <w:color w:val="auto"/>
              </w:rPr>
            </w:pPr>
          </w:p>
        </w:tc>
        <w:tc>
          <w:tcPr>
            <w:tcW w:w="110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180,340</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196,285</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Construction in Progress</w:t>
            </w:r>
          </w:p>
        </w:tc>
        <w:tc>
          <w:tcPr>
            <w:tcW w:w="580" w:type="dxa"/>
            <w:vAlign w:val="bottom"/>
            <w:tcBorders>
              <w:bottom w:val="single" w:sz="8" w:color="004483"/>
            </w:tcBorders>
          </w:tcPr>
          <w:p>
            <w:pPr>
              <w:spacing w:after="0"/>
              <w:rPr>
                <w:sz w:val="11"/>
                <w:szCs w:val="11"/>
                <w:color w:val="auto"/>
              </w:rPr>
            </w:pPr>
          </w:p>
        </w:tc>
        <w:tc>
          <w:tcPr>
            <w:tcW w:w="110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color w:val="auto"/>
              </w:rPr>
              <w:t>23,097</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10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30,406</w:t>
            </w:r>
          </w:p>
        </w:tc>
      </w:tr>
      <w:tr>
        <w:trPr>
          <w:trHeight w:val="133"/>
        </w:trPr>
        <w:tc>
          <w:tcPr>
            <w:tcW w:w="774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110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2,784,813</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0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2,811,380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Accumulated Depreciation</w:t>
            </w:r>
          </w:p>
        </w:tc>
        <w:tc>
          <w:tcPr>
            <w:tcW w:w="580" w:type="dxa"/>
            <w:vAlign w:val="bottom"/>
            <w:tcBorders>
              <w:bottom w:val="single" w:sz="8" w:color="004483"/>
            </w:tcBorders>
          </w:tcPr>
          <w:p>
            <w:pPr>
              <w:spacing w:after="0"/>
              <w:rPr>
                <w:sz w:val="11"/>
                <w:szCs w:val="11"/>
                <w:color w:val="auto"/>
              </w:rPr>
            </w:pPr>
          </w:p>
        </w:tc>
        <w:tc>
          <w:tcPr>
            <w:tcW w:w="1100" w:type="dxa"/>
            <w:vAlign w:val="bottom"/>
            <w:tcBorders>
              <w:bottom w:val="single" w:sz="8" w:color="004483"/>
            </w:tcBorders>
          </w:tcPr>
          <w:p>
            <w:pPr>
              <w:jc w:val="right"/>
              <w:ind w:right="10"/>
              <w:spacing w:after="0"/>
              <w:rPr>
                <w:sz w:val="20"/>
                <w:szCs w:val="20"/>
                <w:color w:val="auto"/>
              </w:rPr>
            </w:pPr>
            <w:r>
              <w:rPr>
                <w:rFonts w:ascii="Arial" w:cs="Arial" w:eastAsia="Arial" w:hAnsi="Arial"/>
                <w:sz w:val="11"/>
                <w:szCs w:val="11"/>
                <w:color w:val="auto"/>
              </w:rPr>
              <w:t>(1,125,713)</w:t>
            </w:r>
          </w:p>
        </w:tc>
        <w:tc>
          <w:tcPr>
            <w:tcW w:w="200" w:type="dxa"/>
            <w:vAlign w:val="bottom"/>
            <w:tcBorders>
              <w:bottom w:val="single" w:sz="8" w:color="A6A6A6"/>
            </w:tcBorders>
          </w:tcPr>
          <w:p>
            <w:pPr>
              <w:spacing w:after="0"/>
              <w:rPr>
                <w:sz w:val="11"/>
                <w:szCs w:val="11"/>
                <w:color w:val="auto"/>
              </w:rPr>
            </w:pPr>
          </w:p>
        </w:tc>
        <w:tc>
          <w:tcPr>
            <w:tcW w:w="640" w:type="dxa"/>
            <w:vAlign w:val="bottom"/>
            <w:tcBorders>
              <w:bottom w:val="single" w:sz="8" w:color="004483"/>
            </w:tcBorders>
          </w:tcPr>
          <w:p>
            <w:pPr>
              <w:spacing w:after="0"/>
              <w:rPr>
                <w:sz w:val="11"/>
                <w:szCs w:val="11"/>
                <w:color w:val="auto"/>
              </w:rPr>
            </w:pPr>
          </w:p>
        </w:tc>
        <w:tc>
          <w:tcPr>
            <w:tcW w:w="104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(1,054,963)</w:t>
            </w:r>
          </w:p>
        </w:tc>
      </w:tr>
      <w:tr>
        <w:trPr>
          <w:trHeight w:val="142"/>
        </w:trPr>
        <w:tc>
          <w:tcPr>
            <w:tcW w:w="7740" w:type="dxa"/>
            <w:vAlign w:val="bottom"/>
          </w:tcPr>
          <w:p>
            <w:pPr>
              <w:spacing w:after="0"/>
              <w:rPr>
                <w:sz w:val="12"/>
                <w:szCs w:val="12"/>
                <w:color w:val="auto"/>
              </w:rPr>
            </w:pPr>
          </w:p>
        </w:tc>
        <w:tc>
          <w:tcPr>
            <w:tcW w:w="580" w:type="dxa"/>
            <w:vAlign w:val="bottom"/>
            <w:tcBorders>
              <w:bottom w:val="single" w:sz="8" w:color="004483"/>
            </w:tcBorders>
          </w:tcPr>
          <w:p>
            <w:pPr>
              <w:jc w:val="right"/>
              <w:ind w:right="47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b w:val="1"/>
                <w:bCs w:val="1"/>
                <w:color w:val="auto"/>
              </w:rPr>
              <w:t>1,659,100</w:t>
            </w:r>
          </w:p>
        </w:tc>
        <w:tc>
          <w:tcPr>
            <w:tcW w:w="200" w:type="dxa"/>
            <w:vAlign w:val="bottom"/>
          </w:tcPr>
          <w:p>
            <w:pPr>
              <w:spacing w:after="0"/>
              <w:rPr>
                <w:sz w:val="12"/>
                <w:szCs w:val="12"/>
                <w:color w:val="auto"/>
              </w:rPr>
            </w:pPr>
          </w:p>
        </w:tc>
        <w:tc>
          <w:tcPr>
            <w:tcW w:w="640" w:type="dxa"/>
            <w:vAlign w:val="bottom"/>
            <w:tcBorders>
              <w:bottom w:val="single" w:sz="8" w:color="004483"/>
            </w:tcBorders>
          </w:tcPr>
          <w:p>
            <w:pPr>
              <w:jc w:val="right"/>
              <w:ind w:right="573"/>
              <w:spacing w:after="0"/>
              <w:rPr>
                <w:sz w:val="20"/>
                <w:szCs w:val="20"/>
                <w:color w:val="auto"/>
              </w:rPr>
            </w:pPr>
            <w:r>
              <w:rPr>
                <w:rFonts w:ascii="Arial" w:cs="Arial" w:eastAsia="Arial" w:hAnsi="Arial"/>
                <w:sz w:val="5"/>
                <w:szCs w:val="5"/>
                <w:b w:val="1"/>
                <w:bCs w:val="1"/>
                <w:color w:val="auto"/>
                <w:w w:val="70"/>
              </w:rPr>
              <w:t>$</w:t>
            </w:r>
          </w:p>
        </w:tc>
        <w:tc>
          <w:tcPr>
            <w:tcW w:w="104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1,756,417</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(E) ACCRUED EXPENSES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Accrued expenses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960" w:type="dxa"/>
            <w:vAlign w:val="bottom"/>
            <w:gridSpan w:val="3"/>
            <w:shd w:val="clear" w:color="auto" w:fill="004483"/>
          </w:tcPr>
          <w:p>
            <w:pPr>
              <w:jc w:val="right"/>
              <w:ind w:right="573"/>
              <w:spacing w:after="0"/>
              <w:rPr>
                <w:sz w:val="20"/>
                <w:szCs w:val="20"/>
                <w:color w:val="auto"/>
              </w:rPr>
            </w:pPr>
            <w:r>
              <w:rPr>
                <w:rFonts w:ascii="Arial" w:cs="Arial" w:eastAsia="Arial" w:hAnsi="Arial"/>
                <w:sz w:val="8"/>
                <w:szCs w:val="8"/>
                <w:b w:val="1"/>
                <w:bCs w:val="1"/>
                <w:color w:val="FFFFFF"/>
              </w:rPr>
              <w:t>As of March 31,</w:t>
            </w:r>
          </w:p>
        </w:tc>
        <w:tc>
          <w:tcPr>
            <w:tcW w:w="94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jc w:val="right"/>
              <w:ind w:right="69"/>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60" w:type="dxa"/>
            <w:vAlign w:val="bottom"/>
            <w:tcBorders>
              <w:bottom w:val="single" w:sz="8" w:color="004483"/>
            </w:tcBorders>
            <w:gridSpan w:val="3"/>
          </w:tcPr>
          <w:p>
            <w:pPr>
              <w:jc w:val="right"/>
              <w:ind w:right="513"/>
              <w:spacing w:after="0"/>
              <w:rPr>
                <w:sz w:val="20"/>
                <w:szCs w:val="20"/>
                <w:color w:val="auto"/>
              </w:rPr>
            </w:pPr>
            <w:r>
              <w:rPr>
                <w:rFonts w:ascii="Arial" w:cs="Arial" w:eastAsia="Arial" w:hAnsi="Arial"/>
                <w:sz w:val="8"/>
                <w:szCs w:val="8"/>
                <w:color w:val="auto"/>
              </w:rPr>
              <w:t>(dollars in thousands)</w:t>
            </w:r>
          </w:p>
        </w:tc>
        <w:tc>
          <w:tcPr>
            <w:tcW w:w="9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Payroll and Incentive Compensation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32,336</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7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24,904</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Benefits</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14,979</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12,447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Interest</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3,089</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4,080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Property Taxes</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6,683</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5,110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Power and Fuel</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2,350</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1,353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Freight</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1,575</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529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Legal and Professional</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9,511</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16,096</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Sales and Use Tax</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1,265</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1,085</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Other</w:t>
            </w:r>
          </w:p>
        </w:tc>
        <w:tc>
          <w:tcPr>
            <w:tcW w:w="6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7,052</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4,838</w:t>
            </w:r>
          </w:p>
        </w:tc>
      </w:tr>
      <w:tr>
        <w:trPr>
          <w:trHeight w:val="142"/>
        </w:trPr>
        <w:tc>
          <w:tcPr>
            <w:tcW w:w="7740" w:type="dxa"/>
            <w:vAlign w:val="bottom"/>
          </w:tcPr>
          <w:p>
            <w:pPr>
              <w:spacing w:after="0"/>
              <w:rPr>
                <w:sz w:val="12"/>
                <w:szCs w:val="12"/>
                <w:color w:val="auto"/>
              </w:rPr>
            </w:pP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78,840</w:t>
            </w:r>
          </w:p>
        </w:tc>
        <w:tc>
          <w:tcPr>
            <w:tcW w:w="200" w:type="dxa"/>
            <w:vAlign w:val="bottom"/>
          </w:tcPr>
          <w:p>
            <w:pPr>
              <w:spacing w:after="0"/>
              <w:rPr>
                <w:sz w:val="12"/>
                <w:szCs w:val="12"/>
                <w:color w:val="auto"/>
              </w:rPr>
            </w:pPr>
          </w:p>
        </w:tc>
        <w:tc>
          <w:tcPr>
            <w:tcW w:w="740" w:type="dxa"/>
            <w:vAlign w:val="bottom"/>
            <w:tcBorders>
              <w:bottom w:val="single" w:sz="8" w:color="004483"/>
            </w:tcBorders>
          </w:tcPr>
          <w:p>
            <w:pPr>
              <w:jc w:val="right"/>
              <w:ind w:right="673"/>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70,442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(F) LEASES</w:t>
      </w:r>
    </w:p>
    <w:p>
      <w:pPr>
        <w:spacing w:after="0" w:line="93" w:lineRule="exact"/>
        <w:rPr>
          <w:sz w:val="20"/>
          <w:szCs w:val="20"/>
          <w:color w:val="auto"/>
        </w:rPr>
      </w:pPr>
    </w:p>
    <w:p>
      <w:pPr>
        <w:ind w:right="40"/>
        <w:spacing w:after="0" w:line="238" w:lineRule="auto"/>
        <w:rPr>
          <w:sz w:val="20"/>
          <w:szCs w:val="20"/>
          <w:color w:val="auto"/>
        </w:rPr>
      </w:pPr>
      <w:r>
        <w:rPr>
          <w:rFonts w:ascii="Arial" w:cs="Arial" w:eastAsia="Arial" w:hAnsi="Arial"/>
          <w:sz w:val="12"/>
          <w:szCs w:val="12"/>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These short-term equipment leases are not recorded on the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Lease expense for our operating and short-term leases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spacing w:after="0"/>
              <w:rPr>
                <w:sz w:val="13"/>
                <w:szCs w:val="13"/>
                <w:color w:val="auto"/>
              </w:rPr>
            </w:pPr>
          </w:p>
        </w:tc>
        <w:tc>
          <w:tcPr>
            <w:tcW w:w="1160" w:type="dxa"/>
            <w:vAlign w:val="bottom"/>
            <w:shd w:val="clear" w:color="auto" w:fill="004483"/>
          </w:tcPr>
          <w:p>
            <w:pPr>
              <w:spacing w:after="0"/>
              <w:rPr>
                <w:sz w:val="13"/>
                <w:szCs w:val="13"/>
                <w:color w:val="auto"/>
              </w:rPr>
            </w:pPr>
          </w:p>
        </w:tc>
        <w:tc>
          <w:tcPr>
            <w:tcW w:w="1520" w:type="dxa"/>
            <w:vAlign w:val="bottom"/>
            <w:gridSpan w:val="3"/>
            <w:shd w:val="clear" w:color="auto" w:fill="004483"/>
          </w:tcPr>
          <w:p>
            <w:pPr>
              <w:jc w:val="right"/>
              <w:ind w:right="151"/>
              <w:spacing w:after="0"/>
              <w:rPr>
                <w:sz w:val="20"/>
                <w:szCs w:val="20"/>
                <w:color w:val="auto"/>
              </w:rPr>
            </w:pPr>
            <w:r>
              <w:rPr>
                <w:rFonts w:ascii="Arial" w:cs="Arial" w:eastAsia="Arial" w:hAnsi="Arial"/>
                <w:sz w:val="8"/>
                <w:szCs w:val="8"/>
                <w:b w:val="1"/>
                <w:bCs w:val="1"/>
                <w:color w:val="FFFFFF"/>
              </w:rPr>
              <w:t>For the Years Ended March 31,</w:t>
            </w:r>
          </w:p>
        </w:tc>
        <w:tc>
          <w:tcPr>
            <w:tcW w:w="1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340" w:type="dxa"/>
            <w:vAlign w:val="bottom"/>
          </w:tcPr>
          <w:p>
            <w:pPr>
              <w:spacing w:after="0"/>
              <w:rPr>
                <w:sz w:val="9"/>
                <w:szCs w:val="9"/>
                <w:color w:val="auto"/>
              </w:rPr>
            </w:pPr>
          </w:p>
        </w:tc>
        <w:tc>
          <w:tcPr>
            <w:tcW w:w="1160" w:type="dxa"/>
            <w:vAlign w:val="bottom"/>
          </w:tcPr>
          <w:p>
            <w:pPr>
              <w:jc w:val="right"/>
              <w:ind w:right="134"/>
              <w:spacing w:after="0"/>
              <w:rPr>
                <w:sz w:val="20"/>
                <w:szCs w:val="20"/>
                <w:color w:val="auto"/>
              </w:rPr>
            </w:pPr>
            <w:r>
              <w:rPr>
                <w:rFonts w:ascii="Arial" w:cs="Arial" w:eastAsia="Arial" w:hAnsi="Arial"/>
                <w:sz w:val="8"/>
                <w:szCs w:val="8"/>
                <w:b w:val="1"/>
                <w:bCs w:val="1"/>
                <w:color w:val="auto"/>
              </w:rPr>
              <w:t>2021</w:t>
            </w:r>
          </w:p>
        </w:tc>
        <w:tc>
          <w:tcPr>
            <w:tcW w:w="1520" w:type="dxa"/>
            <w:vAlign w:val="bottom"/>
            <w:gridSpan w:val="3"/>
            <w:vMerge w:val="restart"/>
          </w:tcPr>
          <w:p>
            <w:pPr>
              <w:jc w:val="right"/>
              <w:ind w:right="351"/>
              <w:spacing w:after="0"/>
              <w:rPr>
                <w:sz w:val="20"/>
                <w:szCs w:val="20"/>
                <w:color w:val="auto"/>
              </w:rPr>
            </w:pPr>
            <w:r>
              <w:rPr>
                <w:rFonts w:ascii="Arial" w:cs="Arial" w:eastAsia="Arial" w:hAnsi="Arial"/>
                <w:sz w:val="8"/>
                <w:szCs w:val="8"/>
                <w:color w:val="auto"/>
              </w:rPr>
              <w:t>(dollars in thousands)</w:t>
            </w:r>
          </w:p>
        </w:tc>
        <w:tc>
          <w:tcPr>
            <w:tcW w:w="1160" w:type="dxa"/>
            <w:vAlign w:val="bottom"/>
          </w:tcPr>
          <w:p>
            <w:pPr>
              <w:jc w:val="right"/>
              <w:ind w:right="749"/>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7340" w:type="dxa"/>
            <w:vAlign w:val="bottom"/>
            <w:tcBorders>
              <w:bottom w:val="single" w:sz="8" w:color="004483"/>
            </w:tcBorders>
          </w:tcPr>
          <w:p>
            <w:pPr>
              <w:spacing w:after="0"/>
              <w:rPr>
                <w:sz w:val="8"/>
                <w:szCs w:val="8"/>
                <w:color w:val="auto"/>
              </w:rPr>
            </w:pPr>
          </w:p>
        </w:tc>
        <w:tc>
          <w:tcPr>
            <w:tcW w:w="116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3"/>
            <w:vMerge w:val="continue"/>
          </w:tcPr>
          <w:p>
            <w:pPr>
              <w:spacing w:after="0"/>
              <w:rPr>
                <w:sz w:val="8"/>
                <w:szCs w:val="8"/>
                <w:color w:val="auto"/>
              </w:rPr>
            </w:pPr>
          </w:p>
        </w:tc>
        <w:tc>
          <w:tcPr>
            <w:tcW w:w="11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Operating Lease Cost</w:t>
            </w:r>
          </w:p>
        </w:tc>
        <w:tc>
          <w:tcPr>
            <w:tcW w:w="1160" w:type="dxa"/>
            <w:vAlign w:val="bottom"/>
            <w:tcBorders>
              <w:bottom w:val="single" w:sz="8" w:color="A6A6A6"/>
            </w:tcBorders>
          </w:tcPr>
          <w:p>
            <w:pPr>
              <w:jc w:val="right"/>
              <w:ind w:right="1054"/>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6,757</w:t>
            </w:r>
          </w:p>
        </w:tc>
        <w:tc>
          <w:tcPr>
            <w:tcW w:w="280" w:type="dxa"/>
            <w:vAlign w:val="bottom"/>
          </w:tcPr>
          <w:p>
            <w:pPr>
              <w:spacing w:after="0"/>
              <w:rPr>
                <w:sz w:val="11"/>
                <w:szCs w:val="11"/>
                <w:color w:val="auto"/>
              </w:rPr>
            </w:pP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Short-term Lease Cost</w:t>
            </w:r>
          </w:p>
        </w:tc>
        <w:tc>
          <w:tcPr>
            <w:tcW w:w="1160" w:type="dxa"/>
            <w:vAlign w:val="bottom"/>
            <w:tcBorders>
              <w:bottom w:val="single" w:sz="8" w:color="004483"/>
            </w:tcBorders>
          </w:tcPr>
          <w:p>
            <w:pPr>
              <w:spacing w:after="0"/>
              <w:rPr>
                <w:sz w:val="11"/>
                <w:szCs w:val="11"/>
                <w:color w:val="auto"/>
              </w:rPr>
            </w:pP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2,562</w:t>
            </w:r>
          </w:p>
        </w:tc>
        <w:tc>
          <w:tcPr>
            <w:tcW w:w="280" w:type="dxa"/>
            <w:vAlign w:val="bottom"/>
          </w:tcPr>
          <w:p>
            <w:pPr>
              <w:spacing w:after="0"/>
              <w:rPr>
                <w:sz w:val="11"/>
                <w:szCs w:val="11"/>
                <w:color w:val="auto"/>
              </w:rPr>
            </w:pPr>
          </w:p>
        </w:tc>
        <w:tc>
          <w:tcPr>
            <w:tcW w:w="620" w:type="dxa"/>
            <w:vAlign w:val="bottom"/>
            <w:tcBorders>
              <w:bottom w:val="single" w:sz="8" w:color="004483"/>
            </w:tcBorders>
          </w:tcPr>
          <w:p>
            <w:pPr>
              <w:spacing w:after="0"/>
              <w:rPr>
                <w:sz w:val="11"/>
                <w:szCs w:val="11"/>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3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Cost</w:t>
            </w:r>
          </w:p>
        </w:tc>
        <w:tc>
          <w:tcPr>
            <w:tcW w:w="1160" w:type="dxa"/>
            <w:vAlign w:val="bottom"/>
            <w:tcBorders>
              <w:bottom w:val="single" w:sz="8" w:color="004483"/>
            </w:tcBorders>
          </w:tcPr>
          <w:p>
            <w:pPr>
              <w:jc w:val="right"/>
              <w:ind w:right="1054"/>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9,319</w:t>
            </w:r>
          </w:p>
        </w:tc>
        <w:tc>
          <w:tcPr>
            <w:tcW w:w="280" w:type="dxa"/>
            <w:vAlign w:val="bottom"/>
          </w:tcPr>
          <w:p>
            <w:pPr>
              <w:spacing w:after="0"/>
              <w:rPr>
                <w:sz w:val="12"/>
                <w:szCs w:val="12"/>
                <w:color w:val="auto"/>
              </w:rPr>
            </w:pP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9,245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76" w:name="page77"/>
    <w:bookmarkEnd w:id="76"/>
    <w:p>
      <w:pPr>
        <w:spacing w:after="0"/>
        <w:rPr>
          <w:sz w:val="20"/>
          <w:szCs w:val="20"/>
          <w:color w:val="auto"/>
        </w:rPr>
      </w:pPr>
      <w:r>
        <w:rPr>
          <w:rFonts w:ascii="Arial" w:cs="Arial" w:eastAsia="Arial" w:hAnsi="Arial"/>
          <w:sz w:val="12"/>
          <w:szCs w:val="12"/>
          <w:color w:val="auto"/>
        </w:rPr>
        <w:t>The Right-of-Use Assets and Lease Liabilities are reflected on our Balance Sheet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1060" w:type="dxa"/>
            <w:vAlign w:val="bottom"/>
            <w:shd w:val="clear" w:color="auto" w:fill="004483"/>
          </w:tcPr>
          <w:p>
            <w:pPr>
              <w:spacing w:after="0"/>
              <w:rPr>
                <w:sz w:val="13"/>
                <w:szCs w:val="13"/>
                <w:color w:val="auto"/>
              </w:rPr>
            </w:pPr>
          </w:p>
        </w:tc>
        <w:tc>
          <w:tcPr>
            <w:tcW w:w="700" w:type="dxa"/>
            <w:vAlign w:val="bottom"/>
            <w:gridSpan w:val="5"/>
            <w:shd w:val="clear" w:color="auto" w:fill="004483"/>
          </w:tcPr>
          <w:p>
            <w:pPr>
              <w:jc w:val="right"/>
              <w:ind w:right="93"/>
              <w:spacing w:after="0"/>
              <w:rPr>
                <w:sz w:val="20"/>
                <w:szCs w:val="20"/>
                <w:color w:val="auto"/>
              </w:rPr>
            </w:pPr>
            <w:r>
              <w:rPr>
                <w:rFonts w:ascii="Arial" w:cs="Arial" w:eastAsia="Arial" w:hAnsi="Arial"/>
                <w:sz w:val="8"/>
                <w:szCs w:val="8"/>
                <w:b w:val="1"/>
                <w:bCs w:val="1"/>
                <w:color w:val="FFFFFF"/>
                <w:w w:val="94"/>
              </w:rPr>
              <w:t>As of March 31,</w:t>
            </w:r>
          </w:p>
        </w:tc>
        <w:tc>
          <w:tcPr>
            <w:tcW w:w="1400" w:type="dxa"/>
            <w:vAlign w:val="bottom"/>
            <w:shd w:val="clear" w:color="auto" w:fill="004483"/>
          </w:tcPr>
          <w:p>
            <w:pPr>
              <w:spacing w:after="0"/>
              <w:rPr>
                <w:sz w:val="13"/>
                <w:szCs w:val="13"/>
                <w:color w:val="auto"/>
              </w:rPr>
            </w:pPr>
          </w:p>
        </w:tc>
        <w:tc>
          <w:tcPr>
            <w:tcW w:w="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1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jc w:val="right"/>
              <w:ind w:right="629"/>
              <w:spacing w:after="0"/>
              <w:rPr>
                <w:sz w:val="20"/>
                <w:szCs w:val="20"/>
                <w:color w:val="auto"/>
              </w:rPr>
            </w:pPr>
            <w:r>
              <w:rPr>
                <w:rFonts w:ascii="Arial" w:cs="Arial" w:eastAsia="Arial" w:hAnsi="Arial"/>
                <w:sz w:val="8"/>
                <w:szCs w:val="8"/>
                <w:b w:val="1"/>
                <w:bCs w:val="1"/>
                <w:color w:val="auto"/>
              </w:rPr>
              <w:t>2021</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jc w:val="right"/>
              <w:ind w:right="768"/>
              <w:spacing w:after="0"/>
              <w:rPr>
                <w:sz w:val="20"/>
                <w:szCs w:val="20"/>
                <w:color w:val="auto"/>
              </w:rPr>
            </w:pPr>
            <w:r>
              <w:rPr>
                <w:rFonts w:ascii="Arial" w:cs="Arial" w:eastAsia="Arial" w:hAnsi="Arial"/>
                <w:sz w:val="8"/>
                <w:szCs w:val="8"/>
                <w:b w:val="1"/>
                <w:bCs w:val="1"/>
                <w:color w:val="auto"/>
              </w:rPr>
              <w:t>2020</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80" w:type="dxa"/>
            <w:vAlign w:val="bottom"/>
            <w:tcBorders>
              <w:bottom w:val="single" w:sz="8" w:color="004483"/>
            </w:tcBorders>
          </w:tcPr>
          <w:p>
            <w:pPr>
              <w:spacing w:after="0"/>
              <w:rPr>
                <w:sz w:val="8"/>
                <w:szCs w:val="8"/>
                <w:color w:val="auto"/>
              </w:rPr>
            </w:pPr>
          </w:p>
        </w:tc>
        <w:tc>
          <w:tcPr>
            <w:tcW w:w="3360" w:type="dxa"/>
            <w:vAlign w:val="bottom"/>
            <w:tcBorders>
              <w:bottom w:val="single" w:sz="8" w:color="004483"/>
            </w:tcBorders>
          </w:tcPr>
          <w:p>
            <w:pPr>
              <w:spacing w:after="0"/>
              <w:rPr>
                <w:sz w:val="8"/>
                <w:szCs w:val="8"/>
                <w:color w:val="auto"/>
              </w:rPr>
            </w:pPr>
          </w:p>
        </w:tc>
        <w:tc>
          <w:tcPr>
            <w:tcW w:w="200" w:type="dxa"/>
            <w:vAlign w:val="bottom"/>
            <w:tcBorders>
              <w:bottom w:val="single" w:sz="8" w:color="004483"/>
            </w:tcBorders>
          </w:tcPr>
          <w:p>
            <w:pPr>
              <w:spacing w:after="0"/>
              <w:rPr>
                <w:sz w:val="8"/>
                <w:szCs w:val="8"/>
                <w:color w:val="auto"/>
              </w:rPr>
            </w:pPr>
          </w:p>
        </w:tc>
        <w:tc>
          <w:tcPr>
            <w:tcW w:w="260" w:type="dxa"/>
            <w:vAlign w:val="bottom"/>
            <w:tcBorders>
              <w:bottom w:val="single" w:sz="8" w:color="004483"/>
            </w:tcBorders>
          </w:tcPr>
          <w:p>
            <w:pPr>
              <w:spacing w:after="0"/>
              <w:rPr>
                <w:sz w:val="8"/>
                <w:szCs w:val="8"/>
                <w:color w:val="auto"/>
              </w:rPr>
            </w:pPr>
          </w:p>
        </w:tc>
        <w:tc>
          <w:tcPr>
            <w:tcW w:w="1760" w:type="dxa"/>
            <w:vAlign w:val="bottom"/>
            <w:tcBorders>
              <w:bottom w:val="single" w:sz="8" w:color="004483"/>
            </w:tcBorders>
            <w:gridSpan w:val="6"/>
          </w:tcPr>
          <w:p>
            <w:pPr>
              <w:jc w:val="right"/>
              <w:ind w:right="13"/>
              <w:spacing w:after="0"/>
              <w:rPr>
                <w:sz w:val="20"/>
                <w:szCs w:val="20"/>
                <w:color w:val="auto"/>
              </w:rPr>
            </w:pPr>
            <w:r>
              <w:rPr>
                <w:rFonts w:ascii="Arial" w:cs="Arial" w:eastAsia="Arial" w:hAnsi="Arial"/>
                <w:sz w:val="8"/>
                <w:szCs w:val="8"/>
                <w:color w:val="auto"/>
              </w:rPr>
              <w:t>(dollars in thousands)</w:t>
            </w:r>
          </w:p>
        </w:tc>
        <w:tc>
          <w:tcPr>
            <w:tcW w:w="1400" w:type="dxa"/>
            <w:vAlign w:val="bottom"/>
            <w:tcBorders>
              <w:bottom w:val="single" w:sz="8" w:color="004483"/>
            </w:tcBorders>
          </w:tcPr>
          <w:p>
            <w:pPr>
              <w:spacing w:after="0"/>
              <w:rPr>
                <w:sz w:val="8"/>
                <w:szCs w:val="8"/>
                <w:color w:val="auto"/>
              </w:rPr>
            </w:pPr>
          </w:p>
        </w:tc>
        <w:tc>
          <w:tcPr>
            <w:tcW w:w="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Leases:</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spacing w:after="0"/>
              <w:rPr>
                <w:sz w:val="11"/>
                <w:szCs w:val="11"/>
                <w:color w:val="auto"/>
              </w:rPr>
            </w:pPr>
          </w:p>
        </w:tc>
        <w:tc>
          <w:tcPr>
            <w:tcW w:w="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80" w:type="dxa"/>
            <w:vAlign w:val="bottom"/>
          </w:tcPr>
          <w:p>
            <w:pPr>
              <w:ind w:left="80"/>
              <w:spacing w:after="0"/>
              <w:rPr>
                <w:sz w:val="20"/>
                <w:szCs w:val="20"/>
                <w:color w:val="auto"/>
              </w:rPr>
            </w:pPr>
            <w:r>
              <w:rPr>
                <w:rFonts w:ascii="Arial" w:cs="Arial" w:eastAsia="Arial" w:hAnsi="Arial"/>
                <w:sz w:val="11"/>
                <w:szCs w:val="11"/>
                <w:color w:val="004483"/>
              </w:rPr>
              <w:t>Operating Lease Right-of-Use Assets</w:t>
            </w:r>
          </w:p>
        </w:tc>
        <w:tc>
          <w:tcPr>
            <w:tcW w:w="35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25,811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1"/>
                <w:szCs w:val="11"/>
                <w:b w:val="1"/>
                <w:bCs w:val="1"/>
                <w:color w:val="auto"/>
              </w:rPr>
              <w:t>29,483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Borders>
              <w:top w:val="single" w:sz="8" w:color="A6A6A6"/>
              <w:bottom w:val="single" w:sz="8" w:color="A6A6A6"/>
            </w:tcBorders>
          </w:tcPr>
          <w:p>
            <w:pPr>
              <w:spacing w:after="0"/>
              <w:rPr>
                <w:sz w:val="13"/>
                <w:szCs w:val="13"/>
                <w:color w:val="auto"/>
              </w:rPr>
            </w:pPr>
          </w:p>
        </w:tc>
        <w:tc>
          <w:tcPr>
            <w:tcW w:w="3360" w:type="dxa"/>
            <w:vAlign w:val="bottom"/>
            <w:tcBorders>
              <w:top w:val="single" w:sz="8" w:color="A6A6A6"/>
              <w:bottom w:val="single" w:sz="8" w:color="A6A6A6"/>
            </w:tcBorders>
          </w:tcPr>
          <w:p>
            <w:pPr>
              <w:spacing w:after="0"/>
              <w:rPr>
                <w:sz w:val="13"/>
                <w:szCs w:val="13"/>
                <w:color w:val="auto"/>
              </w:rPr>
            </w:pPr>
          </w:p>
        </w:tc>
        <w:tc>
          <w:tcPr>
            <w:tcW w:w="200" w:type="dxa"/>
            <w:vAlign w:val="bottom"/>
            <w:tcBorders>
              <w:top w:val="single" w:sz="8" w:color="004483"/>
              <w:bottom w:val="single" w:sz="8" w:color="A6A6A6"/>
            </w:tcBorders>
          </w:tcPr>
          <w:p>
            <w:pPr>
              <w:spacing w:after="0"/>
              <w:rPr>
                <w:sz w:val="13"/>
                <w:szCs w:val="13"/>
                <w:color w:val="auto"/>
              </w:rPr>
            </w:pPr>
          </w:p>
        </w:tc>
        <w:tc>
          <w:tcPr>
            <w:tcW w:w="260" w:type="dxa"/>
            <w:vAlign w:val="bottom"/>
            <w:tcBorders>
              <w:top w:val="single" w:sz="8" w:color="004483"/>
              <w:bottom w:val="single" w:sz="8" w:color="A6A6A6"/>
            </w:tcBorders>
          </w:tcPr>
          <w:p>
            <w:pPr>
              <w:spacing w:after="0"/>
              <w:rPr>
                <w:sz w:val="13"/>
                <w:szCs w:val="13"/>
                <w:color w:val="auto"/>
              </w:rPr>
            </w:pPr>
          </w:p>
        </w:tc>
        <w:tc>
          <w:tcPr>
            <w:tcW w:w="1060" w:type="dxa"/>
            <w:vAlign w:val="bottom"/>
            <w:tcBorders>
              <w:top w:val="single" w:sz="8" w:color="004483"/>
              <w:bottom w:val="single" w:sz="8" w:color="A6A6A6"/>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004483"/>
              <w:bottom w:val="single" w:sz="8" w:color="A6A6A6"/>
            </w:tcBorders>
          </w:tcPr>
          <w:p>
            <w:pPr>
              <w:spacing w:after="0"/>
              <w:rPr>
                <w:sz w:val="13"/>
                <w:szCs w:val="13"/>
                <w:color w:val="auto"/>
              </w:rPr>
            </w:pPr>
          </w:p>
        </w:tc>
        <w:tc>
          <w:tcPr>
            <w:tcW w:w="200" w:type="dxa"/>
            <w:vAlign w:val="bottom"/>
            <w:tcBorders>
              <w:top w:val="single" w:sz="8" w:color="004483"/>
              <w:bottom w:val="single" w:sz="8" w:color="A6A6A6"/>
            </w:tcBorders>
          </w:tcPr>
          <w:p>
            <w:pPr>
              <w:spacing w:after="0"/>
              <w:rPr>
                <w:sz w:val="13"/>
                <w:szCs w:val="13"/>
                <w:color w:val="auto"/>
              </w:rPr>
            </w:pPr>
          </w:p>
        </w:tc>
        <w:tc>
          <w:tcPr>
            <w:tcW w:w="140" w:type="dxa"/>
            <w:vAlign w:val="bottom"/>
            <w:tcBorders>
              <w:top w:val="single" w:sz="8" w:color="004483"/>
              <w:bottom w:val="single" w:sz="8" w:color="A6A6A6"/>
            </w:tcBorders>
          </w:tcPr>
          <w:p>
            <w:pPr>
              <w:spacing w:after="0"/>
              <w:rPr>
                <w:sz w:val="13"/>
                <w:szCs w:val="13"/>
                <w:color w:val="auto"/>
              </w:rPr>
            </w:pPr>
          </w:p>
        </w:tc>
        <w:tc>
          <w:tcPr>
            <w:tcW w:w="1400" w:type="dxa"/>
            <w:vAlign w:val="bottom"/>
            <w:tcBorders>
              <w:top w:val="single" w:sz="8" w:color="004483"/>
              <w:bottom w:val="single" w:sz="8" w:color="A6A6A6"/>
            </w:tcBorders>
          </w:tcPr>
          <w:p>
            <w:pPr>
              <w:spacing w:after="0"/>
              <w:rPr>
                <w:sz w:val="13"/>
                <w:szCs w:val="13"/>
                <w:color w:val="auto"/>
              </w:rPr>
            </w:pPr>
          </w:p>
        </w:tc>
        <w:tc>
          <w:tcPr>
            <w:tcW w:w="20" w:type="dxa"/>
            <w:vAlign w:val="bottom"/>
            <w:tcBorders>
              <w:top w:val="single" w:sz="8" w:color="004483"/>
              <w:bottom w:val="single" w:sz="8" w:color="A6A6A6"/>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8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004483"/>
              </w:rPr>
              <w:t>Current Operating Lease Liabilities</w:t>
            </w:r>
          </w:p>
        </w:tc>
        <w:tc>
          <w:tcPr>
            <w:tcW w:w="3560" w:type="dxa"/>
            <w:vAlign w:val="bottom"/>
            <w:tcBorders>
              <w:bottom w:val="single" w:sz="8" w:color="A6A6A6"/>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6A6A6"/>
            </w:tcBorders>
          </w:tcPr>
          <w:p>
            <w:pPr>
              <w:spacing w:after="0"/>
              <w:rPr>
                <w:sz w:val="12"/>
                <w:szCs w:val="12"/>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6,343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6A6A6"/>
            </w:tcBorders>
          </w:tcPr>
          <w:p>
            <w:pPr>
              <w:jc w:val="right"/>
              <w:spacing w:after="0"/>
              <w:rPr>
                <w:sz w:val="20"/>
                <w:szCs w:val="20"/>
                <w:color w:val="auto"/>
              </w:rPr>
            </w:pPr>
            <w:r>
              <w:rPr>
                <w:rFonts w:ascii="Arial" w:cs="Arial" w:eastAsia="Arial" w:hAnsi="Arial"/>
                <w:sz w:val="5"/>
                <w:szCs w:val="5"/>
                <w:color w:val="auto"/>
                <w:w w:val="70"/>
              </w:rPr>
              <w:t>$</w:t>
            </w:r>
          </w:p>
        </w:tc>
        <w:tc>
          <w:tcPr>
            <w:tcW w:w="200" w:type="dxa"/>
            <w:vAlign w:val="bottom"/>
            <w:tcBorders>
              <w:bottom w:val="single" w:sz="8" w:color="A6A6A6"/>
            </w:tcBorders>
          </w:tcPr>
          <w:p>
            <w:pPr>
              <w:spacing w:after="0"/>
              <w:rPr>
                <w:sz w:val="12"/>
                <w:szCs w:val="12"/>
                <w:color w:val="auto"/>
              </w:rPr>
            </w:pPr>
          </w:p>
        </w:tc>
        <w:tc>
          <w:tcPr>
            <w:tcW w:w="140" w:type="dxa"/>
            <w:vAlign w:val="bottom"/>
            <w:tcBorders>
              <w:bottom w:val="single" w:sz="8" w:color="A6A6A6"/>
            </w:tcBorders>
          </w:tcPr>
          <w:p>
            <w:pPr>
              <w:spacing w:after="0"/>
              <w:rPr>
                <w:sz w:val="12"/>
                <w:szCs w:val="12"/>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6,585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004483"/>
              </w:rPr>
              <w:t>Noncurrent Operating Lease Liabilities</w:t>
            </w:r>
          </w:p>
        </w:tc>
        <w:tc>
          <w:tcPr>
            <w:tcW w:w="3360" w:type="dxa"/>
            <w:vAlign w:val="bottom"/>
            <w:tcBorders>
              <w:bottom w:val="single" w:sz="8" w:color="A6A6A6"/>
            </w:tcBorders>
          </w:tcPr>
          <w:p>
            <w:pPr>
              <w:spacing w:after="0"/>
              <w:rPr>
                <w:sz w:val="12"/>
                <w:szCs w:val="12"/>
                <w:color w:val="auto"/>
              </w:rPr>
            </w:pPr>
          </w:p>
        </w:tc>
        <w:tc>
          <w:tcPr>
            <w:tcW w:w="200" w:type="dxa"/>
            <w:vAlign w:val="bottom"/>
            <w:tcBorders>
              <w:bottom w:val="single" w:sz="8" w:color="004483"/>
            </w:tcBorders>
          </w:tcPr>
          <w:p>
            <w:pPr>
              <w:spacing w:after="0"/>
              <w:rPr>
                <w:sz w:val="12"/>
                <w:szCs w:val="12"/>
                <w:color w:val="auto"/>
              </w:rPr>
            </w:pPr>
          </w:p>
        </w:tc>
        <w:tc>
          <w:tcPr>
            <w:tcW w:w="260" w:type="dxa"/>
            <w:vAlign w:val="bottom"/>
            <w:tcBorders>
              <w:bottom w:val="single" w:sz="8" w:color="004483"/>
            </w:tcBorders>
          </w:tcPr>
          <w:p>
            <w:pPr>
              <w:spacing w:after="0"/>
              <w:rPr>
                <w:sz w:val="12"/>
                <w:szCs w:val="12"/>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34,444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004483"/>
            </w:tcBorders>
          </w:tcPr>
          <w:p>
            <w:pPr>
              <w:spacing w:after="0"/>
              <w:rPr>
                <w:sz w:val="12"/>
                <w:szCs w:val="12"/>
                <w:color w:val="auto"/>
              </w:rPr>
            </w:pPr>
          </w:p>
        </w:tc>
        <w:tc>
          <w:tcPr>
            <w:tcW w:w="200" w:type="dxa"/>
            <w:vAlign w:val="bottom"/>
            <w:tcBorders>
              <w:bottom w:val="single" w:sz="8" w:color="004483"/>
            </w:tcBorders>
          </w:tcPr>
          <w:p>
            <w:pPr>
              <w:spacing w:after="0"/>
              <w:rPr>
                <w:sz w:val="12"/>
                <w:szCs w:val="12"/>
                <w:color w:val="auto"/>
              </w:rPr>
            </w:pPr>
          </w:p>
        </w:tc>
        <w:tc>
          <w:tcPr>
            <w:tcW w:w="140" w:type="dxa"/>
            <w:vAlign w:val="bottom"/>
            <w:tcBorders>
              <w:bottom w:val="single" w:sz="8" w:color="004483"/>
            </w:tcBorders>
          </w:tcPr>
          <w:p>
            <w:pPr>
              <w:spacing w:after="0"/>
              <w:rPr>
                <w:sz w:val="12"/>
                <w:szCs w:val="12"/>
                <w:color w:val="auto"/>
              </w:rPr>
            </w:pPr>
          </w:p>
        </w:tc>
        <w:tc>
          <w:tcPr>
            <w:tcW w:w="1420" w:type="dxa"/>
            <w:vAlign w:val="bottom"/>
            <w:tcBorders>
              <w:bottom w:val="single" w:sz="8" w:color="004483"/>
            </w:tcBorders>
            <w:gridSpan w:val="2"/>
          </w:tcPr>
          <w:p>
            <w:pPr>
              <w:jc w:val="right"/>
              <w:spacing w:after="0"/>
              <w:rPr>
                <w:sz w:val="20"/>
                <w:szCs w:val="20"/>
                <w:color w:val="auto"/>
              </w:rPr>
            </w:pPr>
            <w:r>
              <w:rPr>
                <w:rFonts w:ascii="Arial" w:cs="Arial" w:eastAsia="Arial" w:hAnsi="Arial"/>
                <w:sz w:val="11"/>
                <w:szCs w:val="11"/>
                <w:color w:val="auto"/>
              </w:rPr>
              <w:t>40,239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Operating Lease Liabilities</w:t>
            </w:r>
          </w:p>
        </w:tc>
        <w:tc>
          <w:tcPr>
            <w:tcW w:w="35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40,787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1"/>
                <w:szCs w:val="11"/>
                <w:b w:val="1"/>
                <w:bCs w:val="1"/>
                <w:color w:val="auto"/>
              </w:rPr>
              <w:t>46,824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top w:val="single" w:sz="8" w:color="A6A6A6"/>
            </w:tcBorders>
          </w:tcPr>
          <w:p>
            <w:pPr>
              <w:spacing w:after="0"/>
              <w:rPr>
                <w:sz w:val="20"/>
                <w:szCs w:val="20"/>
                <w:color w:val="auto"/>
              </w:rPr>
            </w:pPr>
            <w:r>
              <w:rPr>
                <w:rFonts w:ascii="Arial" w:cs="Arial" w:eastAsia="Arial" w:hAnsi="Arial"/>
                <w:sz w:val="12"/>
                <w:szCs w:val="12"/>
                <w:color w:val="auto"/>
              </w:rPr>
              <w:t>Future payments for operating leases are as follows:</w:t>
            </w:r>
          </w:p>
        </w:tc>
        <w:tc>
          <w:tcPr>
            <w:tcW w:w="3360" w:type="dxa"/>
            <w:vAlign w:val="bottom"/>
            <w:tcBorders>
              <w:top w:val="single" w:sz="8" w:color="A6A6A6"/>
            </w:tcBorders>
          </w:tcPr>
          <w:p>
            <w:pPr>
              <w:spacing w:after="0"/>
              <w:rPr>
                <w:sz w:val="17"/>
                <w:szCs w:val="17"/>
                <w:color w:val="auto"/>
              </w:rPr>
            </w:pPr>
          </w:p>
        </w:tc>
        <w:tc>
          <w:tcPr>
            <w:tcW w:w="200" w:type="dxa"/>
            <w:vAlign w:val="bottom"/>
            <w:tcBorders>
              <w:top w:val="single" w:sz="8" w:color="004483"/>
            </w:tcBorders>
          </w:tcPr>
          <w:p>
            <w:pPr>
              <w:spacing w:after="0"/>
              <w:rPr>
                <w:sz w:val="17"/>
                <w:szCs w:val="17"/>
                <w:color w:val="auto"/>
              </w:rPr>
            </w:pPr>
          </w:p>
        </w:tc>
        <w:tc>
          <w:tcPr>
            <w:tcW w:w="260" w:type="dxa"/>
            <w:vAlign w:val="bottom"/>
            <w:tcBorders>
              <w:top w:val="single" w:sz="8" w:color="004483"/>
            </w:tcBorders>
          </w:tcPr>
          <w:p>
            <w:pPr>
              <w:spacing w:after="0"/>
              <w:rPr>
                <w:sz w:val="17"/>
                <w:szCs w:val="17"/>
                <w:color w:val="auto"/>
              </w:rPr>
            </w:pPr>
          </w:p>
        </w:tc>
        <w:tc>
          <w:tcPr>
            <w:tcW w:w="1060" w:type="dxa"/>
            <w:vAlign w:val="bottom"/>
            <w:tcBorders>
              <w:top w:val="single" w:sz="8" w:color="004483"/>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4483"/>
            </w:tcBorders>
          </w:tcPr>
          <w:p>
            <w:pPr>
              <w:spacing w:after="0"/>
              <w:rPr>
                <w:sz w:val="17"/>
                <w:szCs w:val="17"/>
                <w:color w:val="auto"/>
              </w:rPr>
            </w:pPr>
          </w:p>
        </w:tc>
        <w:tc>
          <w:tcPr>
            <w:tcW w:w="200" w:type="dxa"/>
            <w:vAlign w:val="bottom"/>
            <w:tcBorders>
              <w:top w:val="single" w:sz="8" w:color="004483"/>
            </w:tcBorders>
          </w:tcPr>
          <w:p>
            <w:pPr>
              <w:spacing w:after="0"/>
              <w:rPr>
                <w:sz w:val="17"/>
                <w:szCs w:val="17"/>
                <w:color w:val="auto"/>
              </w:rPr>
            </w:pPr>
          </w:p>
        </w:tc>
        <w:tc>
          <w:tcPr>
            <w:tcW w:w="140" w:type="dxa"/>
            <w:vAlign w:val="bottom"/>
            <w:tcBorders>
              <w:top w:val="single" w:sz="8" w:color="004483"/>
            </w:tcBorders>
          </w:tcPr>
          <w:p>
            <w:pPr>
              <w:spacing w:after="0"/>
              <w:rPr>
                <w:sz w:val="17"/>
                <w:szCs w:val="17"/>
                <w:color w:val="auto"/>
              </w:rPr>
            </w:pPr>
          </w:p>
        </w:tc>
        <w:tc>
          <w:tcPr>
            <w:tcW w:w="1400" w:type="dxa"/>
            <w:vAlign w:val="bottom"/>
            <w:tcBorders>
              <w:top w:val="single" w:sz="8" w:color="004483"/>
            </w:tcBorders>
          </w:tcPr>
          <w:p>
            <w:pPr>
              <w:spacing w:after="0"/>
              <w:rPr>
                <w:sz w:val="17"/>
                <w:szCs w:val="17"/>
                <w:color w:val="auto"/>
              </w:rPr>
            </w:pPr>
          </w:p>
        </w:tc>
        <w:tc>
          <w:tcPr>
            <w:tcW w:w="20" w:type="dxa"/>
            <w:vAlign w:val="bottom"/>
            <w:tcBorders>
              <w:top w:val="single" w:sz="8" w:color="004483"/>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180" w:type="dxa"/>
            <w:vAlign w:val="bottom"/>
            <w:vMerge w:val="restart"/>
          </w:tcPr>
          <w:p>
            <w:pPr>
              <w:spacing w:after="0"/>
              <w:rPr>
                <w:sz w:val="20"/>
                <w:szCs w:val="20"/>
                <w:color w:val="auto"/>
              </w:rPr>
            </w:pPr>
            <w:r>
              <w:rPr>
                <w:rFonts w:ascii="Arial" w:cs="Arial" w:eastAsia="Arial" w:hAnsi="Arial"/>
                <w:sz w:val="8"/>
                <w:szCs w:val="8"/>
                <w:b w:val="1"/>
                <w:bCs w:val="1"/>
                <w:color w:val="auto"/>
              </w:rPr>
              <w:t>Fiscal Year</w:t>
            </w: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right"/>
              <w:ind w:right="1000"/>
              <w:spacing w:after="0"/>
              <w:rPr>
                <w:sz w:val="20"/>
                <w:szCs w:val="20"/>
                <w:color w:val="auto"/>
              </w:rPr>
            </w:pPr>
            <w:r>
              <w:rPr>
                <w:rFonts w:ascii="Arial" w:cs="Arial" w:eastAsia="Arial" w:hAnsi="Arial"/>
                <w:sz w:val="8"/>
                <w:szCs w:val="8"/>
                <w:b w:val="1"/>
                <w:bCs w:val="1"/>
                <w:color w:val="auto"/>
              </w:rPr>
              <w:t>Amount</w:t>
            </w:r>
          </w:p>
        </w:tc>
        <w:tc>
          <w:tcPr>
            <w:tcW w:w="0" w:type="dxa"/>
            <w:vAlign w:val="bottom"/>
          </w:tcPr>
          <w:p>
            <w:pPr>
              <w:spacing w:after="0"/>
              <w:rPr>
                <w:sz w:val="1"/>
                <w:szCs w:val="1"/>
                <w:color w:val="auto"/>
              </w:rPr>
            </w:pPr>
          </w:p>
        </w:tc>
      </w:tr>
      <w:tr>
        <w:trPr>
          <w:trHeight w:val="99"/>
        </w:trPr>
        <w:tc>
          <w:tcPr>
            <w:tcW w:w="4180" w:type="dxa"/>
            <w:vAlign w:val="bottom"/>
            <w:vMerge w:val="continue"/>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8"/>
                <w:szCs w:val="8"/>
                <w:color w:val="auto"/>
                <w:w w:val="96"/>
              </w:rPr>
              <w:t>(dollars in thousands)</w:t>
            </w:r>
          </w:p>
        </w:tc>
        <w:tc>
          <w:tcPr>
            <w:tcW w:w="0" w:type="dxa"/>
            <w:vAlign w:val="bottom"/>
          </w:tcPr>
          <w:p>
            <w:pPr>
              <w:spacing w:after="0"/>
              <w:rPr>
                <w:sz w:val="1"/>
                <w:szCs w:val="1"/>
                <w:color w:val="auto"/>
              </w:rPr>
            </w:pPr>
          </w:p>
        </w:tc>
      </w:tr>
      <w:tr>
        <w:trPr>
          <w:trHeight w:val="131"/>
        </w:trPr>
        <w:tc>
          <w:tcPr>
            <w:tcW w:w="41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004483"/>
              </w:rPr>
              <w:t>2022</w:t>
            </w:r>
          </w:p>
        </w:tc>
        <w:tc>
          <w:tcPr>
            <w:tcW w:w="3360" w:type="dxa"/>
            <w:vAlign w:val="bottom"/>
            <w:tcBorders>
              <w:top w:val="single" w:sz="8" w:color="004483"/>
              <w:bottom w:val="single" w:sz="8" w:color="A6A6A6"/>
            </w:tcBorders>
          </w:tcPr>
          <w:p>
            <w:pPr>
              <w:spacing w:after="0"/>
              <w:rPr>
                <w:sz w:val="11"/>
                <w:szCs w:val="11"/>
                <w:color w:val="auto"/>
              </w:rPr>
            </w:pPr>
          </w:p>
        </w:tc>
        <w:tc>
          <w:tcPr>
            <w:tcW w:w="200" w:type="dxa"/>
            <w:vAlign w:val="bottom"/>
            <w:tcBorders>
              <w:top w:val="single" w:sz="8" w:color="004483"/>
              <w:bottom w:val="single" w:sz="8" w:color="A6A6A6"/>
            </w:tcBorders>
          </w:tcPr>
          <w:p>
            <w:pPr>
              <w:spacing w:after="0"/>
              <w:rPr>
                <w:sz w:val="11"/>
                <w:szCs w:val="11"/>
                <w:color w:val="auto"/>
              </w:rPr>
            </w:pPr>
          </w:p>
        </w:tc>
        <w:tc>
          <w:tcPr>
            <w:tcW w:w="260" w:type="dxa"/>
            <w:vAlign w:val="bottom"/>
            <w:tcBorders>
              <w:top w:val="single" w:sz="8" w:color="004483"/>
              <w:bottom w:val="single" w:sz="8" w:color="A6A6A6"/>
            </w:tcBorders>
          </w:tcPr>
          <w:p>
            <w:pPr>
              <w:spacing w:after="0"/>
              <w:rPr>
                <w:sz w:val="11"/>
                <w:szCs w:val="11"/>
                <w:color w:val="auto"/>
              </w:rPr>
            </w:pPr>
          </w:p>
        </w:tc>
        <w:tc>
          <w:tcPr>
            <w:tcW w:w="1360" w:type="dxa"/>
            <w:vAlign w:val="bottom"/>
            <w:tcBorders>
              <w:top w:val="single" w:sz="8" w:color="004483"/>
              <w:bottom w:val="single" w:sz="8" w:color="A6A6A6"/>
            </w:tcBorders>
            <w:gridSpan w:val="3"/>
          </w:tcPr>
          <w:p>
            <w:pPr>
              <w:jc w:val="right"/>
              <w:ind w:right="112"/>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004483"/>
              <w:bottom w:val="single" w:sz="8" w:color="A6A6A6"/>
            </w:tcBorders>
          </w:tcPr>
          <w:p>
            <w:pPr>
              <w:spacing w:after="0"/>
              <w:rPr>
                <w:sz w:val="11"/>
                <w:szCs w:val="11"/>
                <w:color w:val="auto"/>
              </w:rPr>
            </w:pPr>
          </w:p>
        </w:tc>
        <w:tc>
          <w:tcPr>
            <w:tcW w:w="200" w:type="dxa"/>
            <w:vAlign w:val="bottom"/>
            <w:tcBorders>
              <w:top w:val="single" w:sz="8" w:color="004483"/>
              <w:bottom w:val="single" w:sz="8" w:color="A6A6A6"/>
            </w:tcBorders>
          </w:tcPr>
          <w:p>
            <w:pPr>
              <w:spacing w:after="0"/>
              <w:rPr>
                <w:sz w:val="11"/>
                <w:szCs w:val="11"/>
                <w:color w:val="auto"/>
              </w:rPr>
            </w:pPr>
          </w:p>
        </w:tc>
        <w:tc>
          <w:tcPr>
            <w:tcW w:w="140" w:type="dxa"/>
            <w:vAlign w:val="bottom"/>
            <w:tcBorders>
              <w:top w:val="single" w:sz="8" w:color="004483"/>
              <w:bottom w:val="single" w:sz="8" w:color="A6A6A6"/>
            </w:tcBorders>
          </w:tcPr>
          <w:p>
            <w:pPr>
              <w:spacing w:after="0"/>
              <w:rPr>
                <w:sz w:val="11"/>
                <w:szCs w:val="11"/>
                <w:color w:val="auto"/>
              </w:rPr>
            </w:pPr>
          </w:p>
        </w:tc>
        <w:tc>
          <w:tcPr>
            <w:tcW w:w="14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7,556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2023</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6,969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2024</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6,007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2025</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5,651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2026</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4,170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Thereafter</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004483"/>
            </w:tcBorders>
          </w:tcPr>
          <w:p>
            <w:pPr>
              <w:spacing w:after="0"/>
              <w:rPr>
                <w:sz w:val="11"/>
                <w:szCs w:val="11"/>
                <w:color w:val="auto"/>
              </w:rPr>
            </w:pPr>
          </w:p>
        </w:tc>
        <w:tc>
          <w:tcPr>
            <w:tcW w:w="60" w:type="dxa"/>
            <w:vAlign w:val="bottom"/>
            <w:tcBorders>
              <w:bottom w:val="single" w:sz="8" w:color="004483"/>
            </w:tcBorders>
          </w:tcPr>
          <w:p>
            <w:pPr>
              <w:spacing w:after="0"/>
              <w:rPr>
                <w:sz w:val="11"/>
                <w:szCs w:val="11"/>
                <w:color w:val="auto"/>
              </w:rPr>
            </w:pPr>
          </w:p>
        </w:tc>
        <w:tc>
          <w:tcPr>
            <w:tcW w:w="200" w:type="dxa"/>
            <w:vAlign w:val="bottom"/>
            <w:tcBorders>
              <w:bottom w:val="single" w:sz="8" w:color="004483"/>
            </w:tcBorders>
          </w:tcPr>
          <w:p>
            <w:pPr>
              <w:spacing w:after="0"/>
              <w:rPr>
                <w:sz w:val="11"/>
                <w:szCs w:val="11"/>
                <w:color w:val="auto"/>
              </w:rPr>
            </w:pPr>
          </w:p>
        </w:tc>
        <w:tc>
          <w:tcPr>
            <w:tcW w:w="140" w:type="dxa"/>
            <w:vAlign w:val="bottom"/>
            <w:tcBorders>
              <w:bottom w:val="single" w:sz="8" w:color="004483"/>
            </w:tcBorders>
          </w:tcPr>
          <w:p>
            <w:pPr>
              <w:spacing w:after="0"/>
              <w:rPr>
                <w:sz w:val="11"/>
                <w:szCs w:val="11"/>
                <w:color w:val="auto"/>
              </w:rPr>
            </w:pPr>
          </w:p>
        </w:tc>
        <w:tc>
          <w:tcPr>
            <w:tcW w:w="14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20,416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Payments</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gridSpan w:val="3"/>
          </w:tcPr>
          <w:p>
            <w:pPr>
              <w:jc w:val="right"/>
              <w:ind w:right="112"/>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50,769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20"/>
                <w:szCs w:val="20"/>
                <w:color w:val="auto"/>
              </w:rPr>
            </w:pPr>
            <w:r>
              <w:rPr>
                <w:rFonts w:ascii="Arial" w:cs="Arial" w:eastAsia="Arial" w:hAnsi="Arial"/>
                <w:sz w:val="11"/>
                <w:szCs w:val="11"/>
                <w:color w:val="004483"/>
              </w:rPr>
              <w:t>Less: Imputed Interest</w:t>
            </w: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1"/>
                <w:szCs w:val="11"/>
                <w:color w:val="auto"/>
              </w:rPr>
              <w:t>(9,982)</w:t>
            </w:r>
          </w:p>
        </w:tc>
        <w:tc>
          <w:tcPr>
            <w:tcW w:w="0" w:type="dxa"/>
            <w:vAlign w:val="bottom"/>
          </w:tcPr>
          <w:p>
            <w:pPr>
              <w:spacing w:after="0"/>
              <w:rPr>
                <w:sz w:val="1"/>
                <w:szCs w:val="1"/>
                <w:color w:val="auto"/>
              </w:rPr>
            </w:pPr>
          </w:p>
        </w:tc>
      </w:tr>
      <w:tr>
        <w:trPr>
          <w:trHeight w:val="142"/>
        </w:trPr>
        <w:tc>
          <w:tcPr>
            <w:tcW w:w="41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Present Value of Lease Liabilities</w:t>
            </w:r>
          </w:p>
        </w:tc>
        <w:tc>
          <w:tcPr>
            <w:tcW w:w="3360" w:type="dxa"/>
            <w:vAlign w:val="bottom"/>
            <w:tcBorders>
              <w:top w:val="single" w:sz="8" w:color="A6A6A6"/>
              <w:bottom w:val="single" w:sz="8" w:color="A6A6A6"/>
            </w:tcBorders>
          </w:tcPr>
          <w:p>
            <w:pPr>
              <w:spacing w:after="0"/>
              <w:rPr>
                <w:sz w:val="12"/>
                <w:szCs w:val="12"/>
                <w:color w:val="auto"/>
              </w:rPr>
            </w:pPr>
          </w:p>
        </w:tc>
        <w:tc>
          <w:tcPr>
            <w:tcW w:w="200" w:type="dxa"/>
            <w:vAlign w:val="bottom"/>
            <w:tcBorders>
              <w:top w:val="single" w:sz="8" w:color="A6A6A6"/>
              <w:bottom w:val="single" w:sz="8" w:color="A6A6A6"/>
            </w:tcBorders>
          </w:tcPr>
          <w:p>
            <w:pPr>
              <w:spacing w:after="0"/>
              <w:rPr>
                <w:sz w:val="12"/>
                <w:szCs w:val="12"/>
                <w:color w:val="auto"/>
              </w:rPr>
            </w:pPr>
          </w:p>
        </w:tc>
        <w:tc>
          <w:tcPr>
            <w:tcW w:w="260" w:type="dxa"/>
            <w:vAlign w:val="bottom"/>
            <w:tcBorders>
              <w:top w:val="single" w:sz="8" w:color="A6A6A6"/>
              <w:bottom w:val="single" w:sz="8" w:color="A6A6A6"/>
            </w:tcBorders>
          </w:tcPr>
          <w:p>
            <w:pPr>
              <w:spacing w:after="0"/>
              <w:rPr>
                <w:sz w:val="12"/>
                <w:szCs w:val="12"/>
                <w:color w:val="auto"/>
              </w:rPr>
            </w:pPr>
          </w:p>
        </w:tc>
        <w:tc>
          <w:tcPr>
            <w:tcW w:w="1140" w:type="dxa"/>
            <w:vAlign w:val="bottom"/>
            <w:tcBorders>
              <w:top w:val="single" w:sz="8" w:color="A6A6A6"/>
              <w:bottom w:val="single" w:sz="8" w:color="A6A6A6"/>
            </w:tcBorders>
            <w:gridSpan w:val="2"/>
          </w:tcPr>
          <w:p>
            <w:pPr>
              <w:spacing w:after="0"/>
              <w:rPr>
                <w:sz w:val="12"/>
                <w:szCs w:val="12"/>
                <w:color w:val="auto"/>
              </w:rPr>
            </w:pPr>
          </w:p>
        </w:tc>
        <w:tc>
          <w:tcPr>
            <w:tcW w:w="220" w:type="dxa"/>
            <w:vAlign w:val="bottom"/>
            <w:tcBorders>
              <w:top w:val="single" w:sz="8" w:color="004483"/>
              <w:bottom w:val="single" w:sz="8" w:color="004483"/>
            </w:tcBorders>
          </w:tcPr>
          <w:p>
            <w:pPr>
              <w:jc w:val="right"/>
              <w:ind w:right="11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004483"/>
              <w:bottom w:val="single" w:sz="8" w:color="004483"/>
            </w:tcBorders>
          </w:tcPr>
          <w:p>
            <w:pPr>
              <w:spacing w:after="0"/>
              <w:rPr>
                <w:sz w:val="12"/>
                <w:szCs w:val="12"/>
                <w:color w:val="auto"/>
              </w:rPr>
            </w:pPr>
          </w:p>
        </w:tc>
        <w:tc>
          <w:tcPr>
            <w:tcW w:w="200" w:type="dxa"/>
            <w:vAlign w:val="bottom"/>
            <w:tcBorders>
              <w:top w:val="single" w:sz="8" w:color="004483"/>
              <w:bottom w:val="single" w:sz="8" w:color="004483"/>
            </w:tcBorders>
          </w:tcPr>
          <w:p>
            <w:pPr>
              <w:spacing w:after="0"/>
              <w:rPr>
                <w:sz w:val="12"/>
                <w:szCs w:val="12"/>
                <w:color w:val="auto"/>
              </w:rPr>
            </w:pPr>
          </w:p>
        </w:tc>
        <w:tc>
          <w:tcPr>
            <w:tcW w:w="140" w:type="dxa"/>
            <w:vAlign w:val="bottom"/>
            <w:tcBorders>
              <w:top w:val="single" w:sz="8" w:color="004483"/>
              <w:bottom w:val="single" w:sz="8" w:color="004483"/>
            </w:tcBorders>
          </w:tcPr>
          <w:p>
            <w:pPr>
              <w:spacing w:after="0"/>
              <w:rPr>
                <w:sz w:val="12"/>
                <w:szCs w:val="12"/>
                <w:color w:val="auto"/>
              </w:rPr>
            </w:pPr>
          </w:p>
        </w:tc>
        <w:tc>
          <w:tcPr>
            <w:tcW w:w="14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40,787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Borders>
              <w:bottom w:val="single" w:sz="8" w:color="A6A6A6"/>
            </w:tcBorders>
          </w:tcPr>
          <w:p>
            <w:pPr>
              <w:spacing w:after="0"/>
              <w:rPr>
                <w:sz w:val="12"/>
                <w:szCs w:val="12"/>
                <w:color w:val="auto"/>
              </w:rPr>
            </w:pPr>
          </w:p>
        </w:tc>
        <w:tc>
          <w:tcPr>
            <w:tcW w:w="3360" w:type="dxa"/>
            <w:vAlign w:val="bottom"/>
            <w:tcBorders>
              <w:bottom w:val="single" w:sz="8" w:color="A6A6A6"/>
            </w:tcBorders>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260" w:type="dxa"/>
            <w:vAlign w:val="bottom"/>
            <w:tcBorders>
              <w:bottom w:val="single" w:sz="8" w:color="A6A6A6"/>
            </w:tcBorders>
          </w:tcPr>
          <w:p>
            <w:pPr>
              <w:spacing w:after="0"/>
              <w:rPr>
                <w:sz w:val="12"/>
                <w:szCs w:val="12"/>
                <w:color w:val="auto"/>
              </w:rPr>
            </w:pPr>
          </w:p>
        </w:tc>
        <w:tc>
          <w:tcPr>
            <w:tcW w:w="1060" w:type="dxa"/>
            <w:vAlign w:val="bottom"/>
            <w:tcBorders>
              <w:bottom w:val="single" w:sz="8" w:color="A6A6A6"/>
            </w:tcBorders>
          </w:tcPr>
          <w:p>
            <w:pPr>
              <w:spacing w:after="0"/>
              <w:rPr>
                <w:sz w:val="12"/>
                <w:szCs w:val="12"/>
                <w:color w:val="auto"/>
              </w:rPr>
            </w:pPr>
          </w:p>
        </w:tc>
        <w:tc>
          <w:tcPr>
            <w:tcW w:w="8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60" w:type="dxa"/>
            <w:vAlign w:val="bottom"/>
            <w:tcBorders>
              <w:bottom w:val="single" w:sz="8" w:color="A6A6A6"/>
            </w:tcBorders>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140" w:type="dxa"/>
            <w:vAlign w:val="bottom"/>
            <w:tcBorders>
              <w:bottom w:val="single" w:sz="8" w:color="A6A6A6"/>
            </w:tcBorders>
          </w:tcPr>
          <w:p>
            <w:pPr>
              <w:spacing w:after="0"/>
              <w:rPr>
                <w:sz w:val="12"/>
                <w:szCs w:val="12"/>
                <w:color w:val="auto"/>
              </w:rPr>
            </w:pPr>
          </w:p>
        </w:tc>
        <w:tc>
          <w:tcPr>
            <w:tcW w:w="1400" w:type="dxa"/>
            <w:vAlign w:val="bottom"/>
            <w:tcBorders>
              <w:bottom w:val="single" w:sz="8" w:color="A6A6A6"/>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 Average Remaining Lease Term (in years)</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10.5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20"/>
                <w:szCs w:val="20"/>
                <w:color w:val="auto"/>
              </w:rPr>
            </w:pPr>
            <w:r>
              <w:rPr>
                <w:rFonts w:ascii="Arial" w:cs="Arial" w:eastAsia="Arial" w:hAnsi="Arial"/>
                <w:sz w:val="11"/>
                <w:szCs w:val="11"/>
                <w:b w:val="1"/>
                <w:bCs w:val="1"/>
                <w:color w:val="auto"/>
              </w:rPr>
              <w:t>Weighted Average Discount Rate</w:t>
            </w: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3.79%</w:t>
            </w:r>
          </w:p>
        </w:tc>
        <w:tc>
          <w:tcPr>
            <w:tcW w:w="0" w:type="dxa"/>
            <w:vAlign w:val="bottom"/>
          </w:tcPr>
          <w:p>
            <w:pPr>
              <w:spacing w:after="0"/>
              <w:rPr>
                <w:sz w:val="1"/>
                <w:szCs w:val="1"/>
                <w:color w:val="auto"/>
              </w:rPr>
            </w:pPr>
          </w:p>
        </w:tc>
      </w:tr>
      <w:tr>
        <w:trPr>
          <w:trHeight w:val="290"/>
        </w:trPr>
        <w:tc>
          <w:tcPr>
            <w:tcW w:w="4180" w:type="dxa"/>
            <w:vAlign w:val="bottom"/>
            <w:tcBorders>
              <w:top w:val="single" w:sz="8" w:color="A6A6A6"/>
            </w:tcBorders>
          </w:tcPr>
          <w:p>
            <w:pPr>
              <w:spacing w:after="0"/>
              <w:rPr>
                <w:sz w:val="20"/>
                <w:szCs w:val="20"/>
                <w:color w:val="auto"/>
              </w:rPr>
            </w:pPr>
            <w:r>
              <w:rPr>
                <w:rFonts w:ascii="Arial" w:cs="Arial" w:eastAsia="Arial" w:hAnsi="Arial"/>
                <w:sz w:val="13"/>
                <w:szCs w:val="13"/>
                <w:b w:val="1"/>
                <w:bCs w:val="1"/>
                <w:color w:val="004483"/>
              </w:rPr>
              <w:t>(G) INDEBTEDNESS</w:t>
            </w:r>
          </w:p>
        </w:tc>
        <w:tc>
          <w:tcPr>
            <w:tcW w:w="3360" w:type="dxa"/>
            <w:vAlign w:val="bottom"/>
            <w:tcBorders>
              <w:top w:val="single" w:sz="8" w:color="A6A6A6"/>
            </w:tcBorders>
          </w:tcPr>
          <w:p>
            <w:pPr>
              <w:spacing w:after="0"/>
              <w:rPr>
                <w:sz w:val="24"/>
                <w:szCs w:val="24"/>
                <w:color w:val="auto"/>
              </w:rPr>
            </w:pPr>
          </w:p>
        </w:tc>
        <w:tc>
          <w:tcPr>
            <w:tcW w:w="200" w:type="dxa"/>
            <w:vAlign w:val="bottom"/>
            <w:tcBorders>
              <w:top w:val="single" w:sz="8" w:color="A6A6A6"/>
            </w:tcBorders>
          </w:tcPr>
          <w:p>
            <w:pPr>
              <w:spacing w:after="0"/>
              <w:rPr>
                <w:sz w:val="24"/>
                <w:szCs w:val="24"/>
                <w:color w:val="auto"/>
              </w:rPr>
            </w:pPr>
          </w:p>
        </w:tc>
        <w:tc>
          <w:tcPr>
            <w:tcW w:w="260" w:type="dxa"/>
            <w:vAlign w:val="bottom"/>
            <w:tcBorders>
              <w:top w:val="single" w:sz="8" w:color="A6A6A6"/>
            </w:tcBorders>
          </w:tcPr>
          <w:p>
            <w:pPr>
              <w:spacing w:after="0"/>
              <w:rPr>
                <w:sz w:val="24"/>
                <w:szCs w:val="24"/>
                <w:color w:val="auto"/>
              </w:rPr>
            </w:pPr>
          </w:p>
        </w:tc>
        <w:tc>
          <w:tcPr>
            <w:tcW w:w="1060" w:type="dxa"/>
            <w:vAlign w:val="bottom"/>
            <w:tcBorders>
              <w:top w:val="single" w:sz="8" w:color="A6A6A6"/>
            </w:tcBorders>
          </w:tcPr>
          <w:p>
            <w:pPr>
              <w:spacing w:after="0"/>
              <w:rPr>
                <w:sz w:val="24"/>
                <w:szCs w:val="24"/>
                <w:color w:val="auto"/>
              </w:rPr>
            </w:pPr>
          </w:p>
        </w:tc>
        <w:tc>
          <w:tcPr>
            <w:tcW w:w="80" w:type="dxa"/>
            <w:vAlign w:val="bottom"/>
            <w:tcBorders>
              <w:top w:val="single" w:sz="8" w:color="A6A6A6"/>
            </w:tcBorders>
          </w:tcPr>
          <w:p>
            <w:pPr>
              <w:spacing w:after="0"/>
              <w:rPr>
                <w:sz w:val="24"/>
                <w:szCs w:val="24"/>
                <w:color w:val="auto"/>
              </w:rPr>
            </w:pPr>
          </w:p>
        </w:tc>
        <w:tc>
          <w:tcPr>
            <w:tcW w:w="220" w:type="dxa"/>
            <w:vAlign w:val="bottom"/>
            <w:tcBorders>
              <w:top w:val="single" w:sz="8" w:color="A6A6A6"/>
            </w:tcBorders>
          </w:tcPr>
          <w:p>
            <w:pPr>
              <w:spacing w:after="0"/>
              <w:rPr>
                <w:sz w:val="24"/>
                <w:szCs w:val="24"/>
                <w:color w:val="auto"/>
              </w:rPr>
            </w:pPr>
          </w:p>
        </w:tc>
        <w:tc>
          <w:tcPr>
            <w:tcW w:w="60" w:type="dxa"/>
            <w:vAlign w:val="bottom"/>
            <w:tcBorders>
              <w:top w:val="single" w:sz="8" w:color="A6A6A6"/>
            </w:tcBorders>
          </w:tcPr>
          <w:p>
            <w:pPr>
              <w:spacing w:after="0"/>
              <w:rPr>
                <w:sz w:val="24"/>
                <w:szCs w:val="24"/>
                <w:color w:val="auto"/>
              </w:rPr>
            </w:pPr>
          </w:p>
        </w:tc>
        <w:tc>
          <w:tcPr>
            <w:tcW w:w="200" w:type="dxa"/>
            <w:vAlign w:val="bottom"/>
            <w:tcBorders>
              <w:top w:val="single" w:sz="8" w:color="A6A6A6"/>
            </w:tcBorders>
          </w:tcPr>
          <w:p>
            <w:pPr>
              <w:spacing w:after="0"/>
              <w:rPr>
                <w:sz w:val="24"/>
                <w:szCs w:val="24"/>
                <w:color w:val="auto"/>
              </w:rPr>
            </w:pPr>
          </w:p>
        </w:tc>
        <w:tc>
          <w:tcPr>
            <w:tcW w:w="140" w:type="dxa"/>
            <w:vAlign w:val="bottom"/>
            <w:tcBorders>
              <w:top w:val="single" w:sz="8" w:color="A6A6A6"/>
            </w:tcBorders>
          </w:tcPr>
          <w:p>
            <w:pPr>
              <w:spacing w:after="0"/>
              <w:rPr>
                <w:sz w:val="24"/>
                <w:szCs w:val="24"/>
                <w:color w:val="auto"/>
              </w:rPr>
            </w:pPr>
          </w:p>
        </w:tc>
        <w:tc>
          <w:tcPr>
            <w:tcW w:w="1400" w:type="dxa"/>
            <w:vAlign w:val="bottom"/>
            <w:tcBorders>
              <w:top w:val="single" w:sz="8" w:color="A6A6A6"/>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2"/>
                <w:szCs w:val="12"/>
                <w:color w:val="auto"/>
              </w:rPr>
              <w:t>Long-term debt consists of the following:</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10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620" w:type="dxa"/>
            <w:vAlign w:val="bottom"/>
            <w:gridSpan w:val="4"/>
            <w:shd w:val="clear" w:color="auto" w:fill="004483"/>
          </w:tcPr>
          <w:p>
            <w:pPr>
              <w:jc w:val="right"/>
              <w:spacing w:after="0"/>
              <w:rPr>
                <w:sz w:val="20"/>
                <w:szCs w:val="20"/>
                <w:color w:val="auto"/>
              </w:rPr>
            </w:pPr>
            <w:r>
              <w:rPr>
                <w:rFonts w:ascii="Arial" w:cs="Arial" w:eastAsia="Arial" w:hAnsi="Arial"/>
                <w:sz w:val="8"/>
                <w:szCs w:val="8"/>
                <w:b w:val="1"/>
                <w:bCs w:val="1"/>
                <w:color w:val="FFFFFF"/>
              </w:rPr>
              <w:t>As of March 31,</w:t>
            </w:r>
          </w:p>
        </w:tc>
        <w:tc>
          <w:tcPr>
            <w:tcW w:w="1400" w:type="dxa"/>
            <w:vAlign w:val="bottom"/>
            <w:shd w:val="clear" w:color="auto" w:fill="004483"/>
          </w:tcPr>
          <w:p>
            <w:pPr>
              <w:spacing w:after="0"/>
              <w:rPr>
                <w:sz w:val="13"/>
                <w:szCs w:val="13"/>
                <w:color w:val="auto"/>
              </w:rPr>
            </w:pPr>
          </w:p>
        </w:tc>
        <w:tc>
          <w:tcPr>
            <w:tcW w:w="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1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3"/>
          </w:tcPr>
          <w:p>
            <w:pPr>
              <w:jc w:val="right"/>
              <w:ind w:right="12"/>
              <w:spacing w:after="0"/>
              <w:rPr>
                <w:sz w:val="20"/>
                <w:szCs w:val="20"/>
                <w:color w:val="auto"/>
              </w:rPr>
            </w:pPr>
            <w:r>
              <w:rPr>
                <w:rFonts w:ascii="Arial" w:cs="Arial" w:eastAsia="Arial" w:hAnsi="Arial"/>
                <w:sz w:val="8"/>
                <w:szCs w:val="8"/>
                <w:b w:val="1"/>
                <w:bCs w:val="1"/>
                <w:color w:val="auto"/>
              </w:rPr>
              <w:t>2021</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80" w:type="dxa"/>
            <w:vAlign w:val="bottom"/>
            <w:tcBorders>
              <w:bottom w:val="single" w:sz="8" w:color="004483"/>
            </w:tcBorders>
          </w:tcPr>
          <w:p>
            <w:pPr>
              <w:spacing w:after="0"/>
              <w:rPr>
                <w:sz w:val="8"/>
                <w:szCs w:val="8"/>
                <w:color w:val="auto"/>
              </w:rPr>
            </w:pPr>
          </w:p>
        </w:tc>
        <w:tc>
          <w:tcPr>
            <w:tcW w:w="3360" w:type="dxa"/>
            <w:vAlign w:val="bottom"/>
            <w:tcBorders>
              <w:bottom w:val="single" w:sz="8" w:color="004483"/>
            </w:tcBorders>
          </w:tcPr>
          <w:p>
            <w:pPr>
              <w:spacing w:after="0"/>
              <w:rPr>
                <w:sz w:val="8"/>
                <w:szCs w:val="8"/>
                <w:color w:val="auto"/>
              </w:rPr>
            </w:pPr>
          </w:p>
        </w:tc>
        <w:tc>
          <w:tcPr>
            <w:tcW w:w="200" w:type="dxa"/>
            <w:vAlign w:val="bottom"/>
            <w:tcBorders>
              <w:bottom w:val="single" w:sz="8" w:color="004483"/>
            </w:tcBorders>
          </w:tcPr>
          <w:p>
            <w:pPr>
              <w:spacing w:after="0"/>
              <w:rPr>
                <w:sz w:val="8"/>
                <w:szCs w:val="8"/>
                <w:color w:val="auto"/>
              </w:rPr>
            </w:pPr>
          </w:p>
        </w:tc>
        <w:tc>
          <w:tcPr>
            <w:tcW w:w="260" w:type="dxa"/>
            <w:vAlign w:val="bottom"/>
            <w:tcBorders>
              <w:bottom w:val="single" w:sz="8" w:color="004483"/>
            </w:tcBorders>
          </w:tcPr>
          <w:p>
            <w:pPr>
              <w:spacing w:after="0"/>
              <w:rPr>
                <w:sz w:val="8"/>
                <w:szCs w:val="8"/>
                <w:color w:val="auto"/>
              </w:rPr>
            </w:pPr>
          </w:p>
        </w:tc>
        <w:tc>
          <w:tcPr>
            <w:tcW w:w="10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8"/>
          </w:tcPr>
          <w:p>
            <w:pPr>
              <w:jc w:val="right"/>
              <w:ind w:right="1480"/>
              <w:spacing w:after="0"/>
              <w:rPr>
                <w:sz w:val="20"/>
                <w:szCs w:val="20"/>
                <w:color w:val="auto"/>
              </w:rPr>
            </w:pPr>
            <w:r>
              <w:rPr>
                <w:rFonts w:ascii="Arial" w:cs="Arial" w:eastAsia="Arial" w:hAnsi="Arial"/>
                <w:sz w:val="8"/>
                <w:szCs w:val="8"/>
                <w:color w:val="auto"/>
                <w:w w:val="96"/>
              </w:rPr>
              <w:t>(dollars in thousands)</w:t>
            </w:r>
          </w:p>
        </w:tc>
        <w:tc>
          <w:tcPr>
            <w:tcW w:w="0" w:type="dxa"/>
            <w:vAlign w:val="bottom"/>
          </w:tcPr>
          <w:p>
            <w:pPr>
              <w:spacing w:after="0"/>
              <w:rPr>
                <w:sz w:val="1"/>
                <w:szCs w:val="1"/>
                <w:color w:val="auto"/>
              </w:rPr>
            </w:pPr>
          </w:p>
        </w:tc>
      </w:tr>
      <w:tr>
        <w:trPr>
          <w:trHeight w:val="131"/>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Bank Credit Facility</w:t>
            </w:r>
          </w:p>
        </w:tc>
        <w:tc>
          <w:tcPr>
            <w:tcW w:w="3820" w:type="dxa"/>
            <w:vAlign w:val="bottom"/>
            <w:tcBorders>
              <w:bottom w:val="single" w:sz="8" w:color="A6A6A6"/>
            </w:tcBorders>
            <w:gridSpan w:val="3"/>
          </w:tcPr>
          <w:p>
            <w:pPr>
              <w:jc w:val="right"/>
              <w:ind w:right="151"/>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jc w:val="right"/>
              <w:ind w:right="12"/>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6A6A6"/>
            </w:tcBorders>
            <w:gridSpan w:val="3"/>
          </w:tcPr>
          <w:p>
            <w:pPr>
              <w:jc w:val="right"/>
              <w:ind w:right="73"/>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560,000</w:t>
            </w:r>
          </w:p>
        </w:tc>
        <w:tc>
          <w:tcPr>
            <w:tcW w:w="12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4.500% Senior Unsecured Notes Due 2026</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gridSpan w:val="3"/>
          </w:tcPr>
          <w:p>
            <w:pPr>
              <w:jc w:val="right"/>
              <w:ind w:right="12"/>
              <w:spacing w:after="0"/>
              <w:rPr>
                <w:sz w:val="20"/>
                <w:szCs w:val="20"/>
                <w:color w:val="auto"/>
              </w:rPr>
            </w:pPr>
            <w:r>
              <w:rPr>
                <w:rFonts w:ascii="Arial" w:cs="Arial" w:eastAsia="Arial" w:hAnsi="Arial"/>
                <w:sz w:val="11"/>
                <w:szCs w:val="11"/>
                <w:color w:val="auto"/>
              </w:rPr>
              <w:t>350,000</w:t>
            </w: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350,000</w:t>
            </w:r>
          </w:p>
        </w:tc>
        <w:tc>
          <w:tcPr>
            <w:tcW w:w="12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Term Loan</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gridSpan w:val="3"/>
          </w:tcPr>
          <w:p>
            <w:pPr>
              <w:jc w:val="right"/>
              <w:ind w:right="12"/>
              <w:spacing w:after="0"/>
              <w:rPr>
                <w:sz w:val="20"/>
                <w:szCs w:val="20"/>
                <w:color w:val="auto"/>
              </w:rPr>
            </w:pPr>
            <w:r>
              <w:rPr>
                <w:rFonts w:ascii="Arial" w:cs="Arial" w:eastAsia="Arial" w:hAnsi="Arial"/>
                <w:sz w:val="11"/>
                <w:szCs w:val="11"/>
                <w:color w:val="auto"/>
              </w:rPr>
              <w:t>665,000</w:t>
            </w:r>
          </w:p>
        </w:tc>
        <w:tc>
          <w:tcPr>
            <w:tcW w:w="60" w:type="dxa"/>
            <w:vAlign w:val="bottom"/>
            <w:tcBorders>
              <w:bottom w:val="single" w:sz="8" w:color="004483"/>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004483"/>
            </w:tcBorders>
          </w:tcPr>
          <w:p>
            <w:pPr>
              <w:spacing w:after="0"/>
              <w:rPr>
                <w:sz w:val="11"/>
                <w:szCs w:val="11"/>
                <w:color w:val="auto"/>
              </w:rPr>
            </w:pPr>
          </w:p>
        </w:tc>
        <w:tc>
          <w:tcPr>
            <w:tcW w:w="1420" w:type="dxa"/>
            <w:vAlign w:val="bottom"/>
            <w:tcBorders>
              <w:bottom w:val="single" w:sz="8" w:color="004483"/>
            </w:tcBorders>
            <w:gridSpan w:val="2"/>
          </w:tcPr>
          <w:p>
            <w:pPr>
              <w:jc w:val="right"/>
              <w:spacing w:after="0"/>
              <w:rPr>
                <w:sz w:val="20"/>
                <w:szCs w:val="20"/>
                <w:color w:val="auto"/>
              </w:rPr>
            </w:pPr>
            <w:r>
              <w:rPr>
                <w:rFonts w:ascii="Arial" w:cs="Arial" w:eastAsia="Arial" w:hAnsi="Arial"/>
                <w:sz w:val="11"/>
                <w:szCs w:val="11"/>
                <w:color w:val="auto"/>
              </w:rPr>
              <w:t>665,000</w:t>
            </w:r>
          </w:p>
        </w:tc>
        <w:tc>
          <w:tcPr>
            <w:tcW w:w="120" w:type="dxa"/>
            <w:vAlign w:val="bottom"/>
            <w:tcBorders>
              <w:bottom w:val="single" w:sz="8" w:color="004483"/>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Total Debt</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gridSpan w:val="3"/>
          </w:tcPr>
          <w:p>
            <w:pPr>
              <w:jc w:val="right"/>
              <w:ind w:right="12"/>
              <w:spacing w:after="0"/>
              <w:rPr>
                <w:sz w:val="20"/>
                <w:szCs w:val="20"/>
                <w:color w:val="auto"/>
              </w:rPr>
            </w:pPr>
            <w:r>
              <w:rPr>
                <w:rFonts w:ascii="Arial" w:cs="Arial" w:eastAsia="Arial" w:hAnsi="Arial"/>
                <w:sz w:val="11"/>
                <w:szCs w:val="11"/>
                <w:color w:val="auto"/>
              </w:rPr>
              <w:t>1,015,000</w:t>
            </w:r>
          </w:p>
        </w:tc>
        <w:tc>
          <w:tcPr>
            <w:tcW w:w="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1,575,000</w:t>
            </w:r>
          </w:p>
        </w:tc>
        <w:tc>
          <w:tcPr>
            <w:tcW w:w="12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Less: Debt Origination Costs</w:t>
            </w:r>
          </w:p>
        </w:tc>
        <w:tc>
          <w:tcPr>
            <w:tcW w:w="33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6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gridSpan w:val="3"/>
          </w:tcPr>
          <w:p>
            <w:pPr>
              <w:jc w:val="right"/>
              <w:spacing w:after="0"/>
              <w:rPr>
                <w:sz w:val="20"/>
                <w:szCs w:val="20"/>
                <w:color w:val="auto"/>
              </w:rPr>
            </w:pPr>
            <w:r>
              <w:rPr>
                <w:rFonts w:ascii="Arial" w:cs="Arial" w:eastAsia="Arial" w:hAnsi="Arial"/>
                <w:sz w:val="11"/>
                <w:szCs w:val="11"/>
                <w:color w:val="auto"/>
              </w:rPr>
              <w:t>(6,384)</w:t>
            </w:r>
          </w:p>
        </w:tc>
        <w:tc>
          <w:tcPr>
            <w:tcW w:w="60" w:type="dxa"/>
            <w:vAlign w:val="bottom"/>
            <w:tcBorders>
              <w:bottom w:val="single" w:sz="8" w:color="004483"/>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140" w:type="dxa"/>
            <w:vAlign w:val="bottom"/>
            <w:tcBorders>
              <w:bottom w:val="single" w:sz="8" w:color="004483"/>
            </w:tcBorders>
          </w:tcPr>
          <w:p>
            <w:pPr>
              <w:spacing w:after="0"/>
              <w:rPr>
                <w:sz w:val="11"/>
                <w:szCs w:val="11"/>
                <w:color w:val="auto"/>
              </w:rPr>
            </w:pPr>
          </w:p>
        </w:tc>
        <w:tc>
          <w:tcPr>
            <w:tcW w:w="1540" w:type="dxa"/>
            <w:vAlign w:val="bottom"/>
            <w:tcBorders>
              <w:bottom w:val="single" w:sz="8" w:color="004483"/>
            </w:tcBorders>
            <w:gridSpan w:val="3"/>
          </w:tcPr>
          <w:p>
            <w:pPr>
              <w:jc w:val="right"/>
              <w:ind w:right="80"/>
              <w:spacing w:after="0"/>
              <w:rPr>
                <w:sz w:val="20"/>
                <w:szCs w:val="20"/>
                <w:color w:val="auto"/>
              </w:rPr>
            </w:pPr>
            <w:r>
              <w:rPr>
                <w:rFonts w:ascii="Arial" w:cs="Arial" w:eastAsia="Arial" w:hAnsi="Arial"/>
                <w:sz w:val="11"/>
                <w:szCs w:val="11"/>
                <w:color w:val="auto"/>
              </w:rPr>
              <w:t>(7,685)</w:t>
            </w:r>
          </w:p>
        </w:tc>
        <w:tc>
          <w:tcPr>
            <w:tcW w:w="0" w:type="dxa"/>
            <w:vAlign w:val="bottom"/>
          </w:tcPr>
          <w:p>
            <w:pPr>
              <w:spacing w:after="0"/>
              <w:rPr>
                <w:sz w:val="1"/>
                <w:szCs w:val="1"/>
                <w:color w:val="auto"/>
              </w:rPr>
            </w:pPr>
          </w:p>
        </w:tc>
      </w:tr>
      <w:tr>
        <w:trPr>
          <w:trHeight w:val="142"/>
        </w:trPr>
        <w:tc>
          <w:tcPr>
            <w:tcW w:w="4180" w:type="dxa"/>
            <w:vAlign w:val="bottom"/>
          </w:tcPr>
          <w:p>
            <w:pPr>
              <w:ind w:left="160"/>
              <w:spacing w:after="0"/>
              <w:rPr>
                <w:sz w:val="20"/>
                <w:szCs w:val="20"/>
                <w:color w:val="auto"/>
              </w:rPr>
            </w:pPr>
            <w:r>
              <w:rPr>
                <w:rFonts w:ascii="Arial" w:cs="Arial" w:eastAsia="Arial" w:hAnsi="Arial"/>
                <w:sz w:val="11"/>
                <w:szCs w:val="11"/>
                <w:b w:val="1"/>
                <w:bCs w:val="1"/>
                <w:color w:val="auto"/>
              </w:rPr>
              <w:t>Long-term Debt</w:t>
            </w:r>
          </w:p>
        </w:tc>
        <w:tc>
          <w:tcPr>
            <w:tcW w:w="3560" w:type="dxa"/>
            <w:vAlign w:val="bottom"/>
            <w:gridSpan w:val="2"/>
          </w:tcPr>
          <w:p>
            <w:pPr>
              <w:spacing w:after="0"/>
              <w:rPr>
                <w:sz w:val="12"/>
                <w:szCs w:val="12"/>
                <w:color w:val="auto"/>
              </w:rPr>
            </w:pPr>
          </w:p>
        </w:tc>
        <w:tc>
          <w:tcPr>
            <w:tcW w:w="260" w:type="dxa"/>
            <w:vAlign w:val="bottom"/>
            <w:tcBorders>
              <w:bottom w:val="single" w:sz="8" w:color="004483"/>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004483"/>
            </w:tcBorders>
            <w:gridSpan w:val="3"/>
          </w:tcPr>
          <w:p>
            <w:pPr>
              <w:jc w:val="right"/>
              <w:ind w:right="12"/>
              <w:spacing w:after="0"/>
              <w:rPr>
                <w:sz w:val="20"/>
                <w:szCs w:val="20"/>
                <w:color w:val="auto"/>
              </w:rPr>
            </w:pPr>
            <w:r>
              <w:rPr>
                <w:rFonts w:ascii="Arial" w:cs="Arial" w:eastAsia="Arial" w:hAnsi="Arial"/>
                <w:sz w:val="11"/>
                <w:szCs w:val="11"/>
                <w:b w:val="1"/>
                <w:bCs w:val="1"/>
                <w:color w:val="auto"/>
              </w:rPr>
              <w:t>1,008,616</w:t>
            </w:r>
          </w:p>
        </w:tc>
        <w:tc>
          <w:tcPr>
            <w:tcW w:w="60" w:type="dxa"/>
            <w:vAlign w:val="bottom"/>
            <w:tcBorders>
              <w:bottom w:val="single" w:sz="8" w:color="004483"/>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004483"/>
            </w:tcBorders>
          </w:tcPr>
          <w:p>
            <w:pPr>
              <w:jc w:val="right"/>
              <w:ind w:right="73"/>
              <w:spacing w:after="0"/>
              <w:rPr>
                <w:sz w:val="20"/>
                <w:szCs w:val="20"/>
                <w:color w:val="auto"/>
              </w:rPr>
            </w:pPr>
            <w:r>
              <w:rPr>
                <w:rFonts w:ascii="Arial" w:cs="Arial" w:eastAsia="Arial" w:hAnsi="Arial"/>
                <w:sz w:val="5"/>
                <w:szCs w:val="5"/>
                <w:b w:val="1"/>
                <w:bCs w:val="1"/>
                <w:color w:val="auto"/>
                <w:w w:val="70"/>
              </w:rPr>
              <w:t>$</w:t>
            </w:r>
          </w:p>
        </w:tc>
        <w:tc>
          <w:tcPr>
            <w:tcW w:w="1420" w:type="dxa"/>
            <w:vAlign w:val="bottom"/>
            <w:tcBorders>
              <w:bottom w:val="single" w:sz="8" w:color="004483"/>
            </w:tcBorders>
            <w:gridSpan w:val="2"/>
          </w:tcPr>
          <w:p>
            <w:pPr>
              <w:jc w:val="right"/>
              <w:spacing w:after="0"/>
              <w:rPr>
                <w:sz w:val="20"/>
                <w:szCs w:val="20"/>
                <w:color w:val="auto"/>
              </w:rPr>
            </w:pPr>
            <w:r>
              <w:rPr>
                <w:rFonts w:ascii="Arial" w:cs="Arial" w:eastAsia="Arial" w:hAnsi="Arial"/>
                <w:sz w:val="11"/>
                <w:szCs w:val="11"/>
                <w:b w:val="1"/>
                <w:bCs w:val="1"/>
                <w:color w:val="auto"/>
              </w:rPr>
              <w:t>1,567,315</w:t>
            </w:r>
          </w:p>
        </w:tc>
        <w:tc>
          <w:tcPr>
            <w:tcW w:w="120" w:type="dxa"/>
            <w:vAlign w:val="bottom"/>
            <w:tcBorders>
              <w:bottom w:val="single" w:sz="8" w:color="004483"/>
            </w:tcBorders>
          </w:tcPr>
          <w:p>
            <w:pPr>
              <w:spacing w:after="0"/>
              <w:rPr>
                <w:sz w:val="12"/>
                <w:szCs w:val="12"/>
                <w:color w:val="auto"/>
              </w:rPr>
            </w:pPr>
          </w:p>
        </w:tc>
        <w:tc>
          <w:tcPr>
            <w:tcW w:w="0" w:type="dxa"/>
            <w:vAlign w:val="bottom"/>
          </w:tcPr>
          <w:p>
            <w:pPr>
              <w:spacing w:after="0"/>
              <w:rPr>
                <w:sz w:val="1"/>
                <w:szCs w:val="1"/>
                <w:color w:val="auto"/>
              </w:rPr>
            </w:pPr>
          </w:p>
        </w:tc>
      </w:tr>
      <w:tr>
        <w:trPr>
          <w:trHeight w:val="711"/>
        </w:trPr>
        <w:tc>
          <w:tcPr>
            <w:tcW w:w="4180" w:type="dxa"/>
            <w:vAlign w:val="bottom"/>
          </w:tcPr>
          <w:p>
            <w:pPr>
              <w:spacing w:after="0"/>
              <w:rPr>
                <w:sz w:val="24"/>
                <w:szCs w:val="24"/>
                <w:color w:val="auto"/>
              </w:rPr>
            </w:pPr>
          </w:p>
        </w:tc>
        <w:tc>
          <w:tcPr>
            <w:tcW w:w="3360" w:type="dxa"/>
            <w:vAlign w:val="bottom"/>
          </w:tcPr>
          <w:p>
            <w:pPr>
              <w:jc w:val="right"/>
              <w:ind w:right="1765"/>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180" w:type="dxa"/>
            <w:vAlign w:val="bottom"/>
            <w:tcBorders>
              <w:bottom w:val="single" w:sz="8" w:color="9A9A9A"/>
            </w:tcBorders>
          </w:tcPr>
          <w:p>
            <w:pPr>
              <w:spacing w:after="0"/>
              <w:rPr>
                <w:sz w:val="5"/>
                <w:szCs w:val="5"/>
                <w:color w:val="auto"/>
              </w:rPr>
            </w:pPr>
          </w:p>
        </w:tc>
        <w:tc>
          <w:tcPr>
            <w:tcW w:w="33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01" w:right="299" w:bottom="1440" w:gutter="0" w:footer="0" w:header="0"/>
        </w:sectPr>
      </w:pPr>
    </w:p>
    <w:bookmarkStart w:id="77" w:name="page78"/>
    <w:bookmarkEnd w:id="77"/>
    <w:p>
      <w:pPr>
        <w:ind w:left="8" w:right="340"/>
        <w:spacing w:after="0" w:line="277" w:lineRule="auto"/>
        <w:rPr>
          <w:sz w:val="20"/>
          <w:szCs w:val="20"/>
          <w:color w:val="auto"/>
        </w:rPr>
      </w:pPr>
      <w:r>
        <w:rPr>
          <w:rFonts w:ascii="Arial" w:cs="Arial" w:eastAsia="Arial" w:hAnsi="Arial"/>
          <w:sz w:val="12"/>
          <w:szCs w:val="12"/>
          <w:color w:val="auto"/>
        </w:rPr>
        <w:t>The weighted-average interest rate of borrowings under our Revolving Credit Facility during fiscal years 2021, 2020, and 2019 was 2.8%, 3.6%, and 3.4%, respectively. The interest rate on the Revolving Credit Facility was 2.8% at March 31, 2020. There was no balance outstanding at March 31, 2021.</w:t>
      </w:r>
    </w:p>
    <w:p>
      <w:pPr>
        <w:spacing w:after="0" w:line="59" w:lineRule="exact"/>
        <w:rPr>
          <w:sz w:val="20"/>
          <w:szCs w:val="20"/>
          <w:color w:val="auto"/>
        </w:rPr>
      </w:pPr>
    </w:p>
    <w:p>
      <w:pPr>
        <w:ind w:left="8" w:right="40"/>
        <w:spacing w:after="0" w:line="277" w:lineRule="auto"/>
        <w:rPr>
          <w:sz w:val="20"/>
          <w:szCs w:val="20"/>
          <w:color w:val="auto"/>
        </w:rPr>
      </w:pPr>
      <w:r>
        <w:rPr>
          <w:rFonts w:ascii="Arial" w:cs="Arial" w:eastAsia="Arial" w:hAnsi="Arial"/>
          <w:sz w:val="12"/>
          <w:szCs w:val="12"/>
          <w:color w:val="auto"/>
        </w:rPr>
        <w:t>The weighted-average interest rate of borrowings under our Term Loan during fiscal 2021 and 2020 was 2.5% and 2.8%, respectively. The interest rate on the Term Loan was 1.4% and 2.8% at March 31, 2021 and 2020, respectively.</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maturities of long-term debt during the next five fiscal years and thereafter are as follows: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01"/>
        </w:trPr>
        <w:tc>
          <w:tcPr>
            <w:tcW w:w="9280" w:type="dxa"/>
            <w:vAlign w:val="bottom"/>
            <w:tcBorders>
              <w:bottom w:val="single" w:sz="8" w:color="004483"/>
            </w:tcBorders>
          </w:tcPr>
          <w:p>
            <w:pPr>
              <w:spacing w:after="0"/>
              <w:rPr>
                <w:sz w:val="20"/>
                <w:szCs w:val="20"/>
                <w:color w:val="auto"/>
              </w:rPr>
            </w:pPr>
            <w:r>
              <w:rPr>
                <w:rFonts w:ascii="Arial" w:cs="Arial" w:eastAsia="Arial" w:hAnsi="Arial"/>
                <w:sz w:val="8"/>
                <w:szCs w:val="8"/>
                <w:b w:val="1"/>
                <w:bCs w:val="1"/>
                <w:color w:val="auto"/>
              </w:rPr>
              <w:t>Fiscal Year</w:t>
            </w:r>
          </w:p>
        </w:tc>
        <w:tc>
          <w:tcPr>
            <w:tcW w:w="760" w:type="dxa"/>
            <w:vAlign w:val="bottom"/>
            <w:tcBorders>
              <w:bottom w:val="single" w:sz="8" w:color="004483"/>
            </w:tcBorders>
          </w:tcPr>
          <w:p>
            <w:pPr>
              <w:spacing w:after="0"/>
              <w:rPr>
                <w:sz w:val="8"/>
                <w:szCs w:val="8"/>
                <w:color w:val="auto"/>
              </w:rPr>
            </w:pPr>
          </w:p>
        </w:tc>
        <w:tc>
          <w:tcPr>
            <w:tcW w:w="1260" w:type="dxa"/>
            <w:vAlign w:val="bottom"/>
            <w:tcBorders>
              <w:bottom w:val="single" w:sz="8" w:color="004483"/>
            </w:tcBorders>
          </w:tcPr>
          <w:p>
            <w:pPr>
              <w:jc w:val="right"/>
              <w:ind w:right="68"/>
              <w:spacing w:after="0"/>
              <w:rPr>
                <w:sz w:val="20"/>
                <w:szCs w:val="20"/>
                <w:color w:val="auto"/>
              </w:rPr>
            </w:pPr>
            <w:r>
              <w:rPr>
                <w:rFonts w:ascii="Arial" w:cs="Arial" w:eastAsia="Arial" w:hAnsi="Arial"/>
                <w:sz w:val="8"/>
                <w:szCs w:val="8"/>
                <w:b w:val="1"/>
                <w:bCs w:val="1"/>
                <w:color w:val="auto"/>
              </w:rPr>
              <w:t>Amount</w:t>
            </w:r>
          </w:p>
        </w:tc>
      </w:tr>
      <w:tr>
        <w:trPr>
          <w:trHeight w:val="131"/>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2022</w:t>
            </w:r>
          </w:p>
        </w:tc>
        <w:tc>
          <w:tcPr>
            <w:tcW w:w="760" w:type="dxa"/>
            <w:vAlign w:val="bottom"/>
            <w:tcBorders>
              <w:bottom w:val="single" w:sz="8" w:color="A6A6A6"/>
            </w:tcBorders>
          </w:tcPr>
          <w:p>
            <w:pPr>
              <w:jc w:val="right"/>
              <w:ind w:right="65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2023</w:t>
            </w:r>
          </w:p>
        </w:tc>
        <w:tc>
          <w:tcPr>
            <w:tcW w:w="76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2024</w:t>
            </w:r>
          </w:p>
        </w:tc>
        <w:tc>
          <w:tcPr>
            <w:tcW w:w="76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665,000</w:t>
            </w: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2025</w:t>
            </w:r>
          </w:p>
        </w:tc>
        <w:tc>
          <w:tcPr>
            <w:tcW w:w="76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2026</w:t>
            </w:r>
          </w:p>
        </w:tc>
        <w:tc>
          <w:tcPr>
            <w:tcW w:w="76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w:t>
            </w: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Thereafter</w:t>
            </w:r>
          </w:p>
        </w:tc>
        <w:tc>
          <w:tcPr>
            <w:tcW w:w="760" w:type="dxa"/>
            <w:vAlign w:val="bottom"/>
            <w:tcBorders>
              <w:bottom w:val="single" w:sz="8" w:color="17385E"/>
            </w:tcBorders>
          </w:tcPr>
          <w:p>
            <w:pPr>
              <w:spacing w:after="0"/>
              <w:rPr>
                <w:sz w:val="11"/>
                <w:szCs w:val="11"/>
                <w:color w:val="auto"/>
              </w:rPr>
            </w:pPr>
          </w:p>
        </w:tc>
        <w:tc>
          <w:tcPr>
            <w:tcW w:w="1260" w:type="dxa"/>
            <w:vAlign w:val="bottom"/>
            <w:tcBorders>
              <w:bottom w:val="single" w:sz="8" w:color="17385E"/>
            </w:tcBorders>
          </w:tcPr>
          <w:p>
            <w:pPr>
              <w:jc w:val="right"/>
              <w:ind w:right="68"/>
              <w:spacing w:after="0"/>
              <w:rPr>
                <w:sz w:val="20"/>
                <w:szCs w:val="20"/>
                <w:color w:val="auto"/>
              </w:rPr>
            </w:pPr>
            <w:r>
              <w:rPr>
                <w:rFonts w:ascii="Arial" w:cs="Arial" w:eastAsia="Arial" w:hAnsi="Arial"/>
                <w:sz w:val="11"/>
                <w:szCs w:val="11"/>
                <w:color w:val="auto"/>
              </w:rPr>
              <w:t>350,000</w:t>
            </w:r>
          </w:p>
        </w:tc>
      </w:tr>
      <w:tr>
        <w:trPr>
          <w:trHeight w:val="142"/>
        </w:trPr>
        <w:tc>
          <w:tcPr>
            <w:tcW w:w="928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004483"/>
            </w:tcBorders>
          </w:tcPr>
          <w:p>
            <w:pPr>
              <w:jc w:val="right"/>
              <w:ind w:right="651"/>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1,015,000</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004483"/>
        </w:rPr>
        <w:t>Credit Facility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04483"/>
        </w:rPr>
        <w:t>REVOLVING CREDIT FACILITY</w:t>
      </w:r>
    </w:p>
    <w:p>
      <w:pPr>
        <w:spacing w:after="0" w:line="101" w:lineRule="exact"/>
        <w:rPr>
          <w:sz w:val="20"/>
          <w:szCs w:val="20"/>
          <w:color w:val="auto"/>
        </w:rPr>
      </w:pPr>
    </w:p>
    <w:p>
      <w:pPr>
        <w:jc w:val="both"/>
        <w:ind w:left="8" w:right="120"/>
        <w:spacing w:after="0" w:line="277" w:lineRule="auto"/>
        <w:rPr>
          <w:sz w:val="20"/>
          <w:szCs w:val="20"/>
          <w:color w:val="auto"/>
        </w:rPr>
      </w:pPr>
      <w:r>
        <w:rPr>
          <w:rFonts w:ascii="Arial" w:cs="Arial" w:eastAsia="Arial" w:hAnsi="Arial"/>
          <w:sz w:val="12"/>
          <w:szCs w:val="12"/>
          <w:color w:val="auto"/>
        </w:rPr>
        <w:t>We have a $750.0 million revolving credit facility (the Revolving Credit Facility), that was amended on March 3, 2021 to extend the termination date to August 2, 2023. The Revolving Credit Facility also includes a swingline loan sublimit of $25.0 million.</w:t>
      </w:r>
    </w:p>
    <w:p>
      <w:pPr>
        <w:spacing w:after="0" w:line="59" w:lineRule="exact"/>
        <w:rPr>
          <w:sz w:val="20"/>
          <w:szCs w:val="20"/>
          <w:color w:val="auto"/>
        </w:rPr>
      </w:pPr>
    </w:p>
    <w:p>
      <w:pPr>
        <w:ind w:left="8" w:right="20"/>
        <w:spacing w:after="0" w:line="290" w:lineRule="auto"/>
        <w:rPr>
          <w:sz w:val="20"/>
          <w:szCs w:val="20"/>
          <w:color w:val="auto"/>
        </w:rPr>
      </w:pPr>
      <w:r>
        <w:rPr>
          <w:rFonts w:ascii="Arial" w:cs="Arial" w:eastAsia="Arial" w:hAnsi="Arial"/>
          <w:sz w:val="11"/>
          <w:szCs w:val="11"/>
          <w:color w:val="auto"/>
        </w:rPr>
        <w:t>Borrowings under the Revolving Credit Facility are guaranteed by all of the Company’s material subsidiaries. The debt under the Revolving Credit Facility is not rated by ratings agencies. At the Company’s option, principal amounts outstanding under the Revolving Credit Facility bear interest at a variable rate equal to either (i) the Adjusted LIBO Rate (as defined in the Revolving Credit Facility) plus an agreed spread (ranging from 125 to 200 basis points), which is established quarterly based on the Company's then Leverage Ratio; or (ii) an Alternate Base Rate (as defined in the Revolving Credit Facility), which is the highest of</w:t>
      </w:r>
    </w:p>
    <w:p>
      <w:pPr>
        <w:ind w:left="8" w:right="40" w:hanging="8"/>
        <w:spacing w:after="0" w:line="267" w:lineRule="auto"/>
        <w:tabs>
          <w:tab w:leader="none" w:pos="18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Prime Rate (as defined in the Revolving Credit Facility), (b) the New York Federal Reserve Bank (NYFRB) (as defined in the Revolving Credit Facility) plus ½ of 1%, and (c) the Adjusted LIBO Rate for a one-month interest period on such day, plus 1.0%, in each case plus an agreed upon spread (ranging from 25 to 100 basis points), which is established quarterly based on the Company's then Leverage Ratio. In the case of loans bearing interest at a rate based on the Alternate Base Rate, interest payments are payable quarterly. In the case of loans bearing interest at a rate based on the Adjusted LIBO Rate, interest is payable at the end of the relevant Interest Period (as defined in the Revolving Credit Facility) for such borrowing unless such Interest Period is for more than three months duration, in which case such interest is payable at intervals of three months duration after the first day of such Interest Period, which can be up to six months at the option of the Company. The Company is also required to pay a commitment fee on unused available borrowings under the Revolving Credit Facility (ranging from 15 to 30 basis points), which is established quarterly based on the Company's then Leverage Ratio. The Revolving Credit Facility contains customary covenants that restrict the Company’s and its Restricted Subsidiaries’ ability to incur additional debt; encumber assets; merge with or transfer or sell assets to other persons; make or enter into certain investments, loans, or guaranties; enter into certain swap agreements; enter into affiliate transactions or restrictive transactions; make restricted payments; prepay subordinated indebtedness; and enter into sale and leaseback arrangements. The Revolving Credit Facility also requires the Company to maintain at the end of each fiscal quarter a</w:t>
      </w:r>
    </w:p>
    <w:p>
      <w:pPr>
        <w:spacing w:after="0" w:line="4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2" w:right="299" w:bottom="1440" w:gutter="0" w:footer="0" w:header="0"/>
        </w:sectPr>
      </w:pPr>
    </w:p>
    <w:bookmarkStart w:id="78" w:name="page79"/>
    <w:bookmarkEnd w:id="78"/>
    <w:p>
      <w:pPr>
        <w:jc w:val="both"/>
        <w:ind w:right="80"/>
        <w:spacing w:after="0" w:line="271" w:lineRule="auto"/>
        <w:rPr>
          <w:sz w:val="20"/>
          <w:szCs w:val="20"/>
          <w:color w:val="auto"/>
        </w:rPr>
      </w:pPr>
      <w:r>
        <w:rPr>
          <w:rFonts w:ascii="Arial" w:cs="Arial" w:eastAsia="Arial" w:hAnsi="Arial"/>
          <w:sz w:val="12"/>
          <w:szCs w:val="12"/>
          <w:color w:val="auto"/>
        </w:rPr>
        <w:t>Leverage Ratio of 3.50:1.00 or less and an Interest Coverage Ratio (as defined in the Revolving Credit Facility) equal to or greater than 2.50:1.00. We were in compliance with all financial ratios and tests at March 31, 2021. We had no outstanding borrowings under the Revolving Credit Facility at March 31, 2021. We had $745.7 million of available borrowings under the Revolving Credit Facility, net of the outstanding letters of credit, at March 31, 2021, all of which was available for future borrowings based on our current Leverage Ratio.</w:t>
      </w:r>
    </w:p>
    <w:p>
      <w:pPr>
        <w:spacing w:after="0" w:line="64"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The Revolving Credit Facility has a $40.0 million letter of credit facility. The Company pays each lender a participation fee with respect to such lender’s participations in letters of credit, which accrues at the same Applicable Rate (as defined in the Revolving Credit Facility) used to determine the interest rate applicable to Eurodollar Revolving Loans (as defined in the Revolving Credit Facility), plus a one-time letter of credit fee to the issuing bank of such letters of credit in an amount equal to 0.125% of the initial stated amount. At March 31, 2021, we had $4.3 million of outstanding letters of credit. We previously provided an irrevocable stand-by letter of credit for any borrowings made by our Joint Venture under its credit facility; however, this credit facility was terminated and the letter of credit cancelled in July 2020.</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TERM LOAN</w:t>
      </w:r>
    </w:p>
    <w:p>
      <w:pPr>
        <w:spacing w:after="0" w:line="101" w:lineRule="exact"/>
        <w:rPr>
          <w:sz w:val="20"/>
          <w:szCs w:val="20"/>
          <w:color w:val="auto"/>
        </w:rPr>
      </w:pPr>
    </w:p>
    <w:p>
      <w:pPr>
        <w:ind w:right="240"/>
        <w:spacing w:after="0" w:line="271" w:lineRule="auto"/>
        <w:rPr>
          <w:sz w:val="20"/>
          <w:szCs w:val="20"/>
          <w:color w:val="auto"/>
        </w:rPr>
      </w:pPr>
      <w:r>
        <w:rPr>
          <w:rFonts w:ascii="Arial" w:cs="Arial" w:eastAsia="Arial" w:hAnsi="Arial"/>
          <w:sz w:val="12"/>
          <w:szCs w:val="12"/>
          <w:color w:val="auto"/>
        </w:rPr>
        <w:t>We have a term loan credit agreement (the Term Loan Agreement) establishing a $665.0 million term loan facility which we used to pay a portion of the purchase price for the Kosmos Acquisition and fees and expenses incurred in connection with the Kosmos Acquisition in March 2020. On March 3, 2021, we amended the Term Loan Agreement and extended the maturity date thereof to August 2, 2023, and modified certain other provisions, as noted below, that are similar to those provisions in the Revolving Credit Agreement as set forth above.</w:t>
      </w:r>
    </w:p>
    <w:p>
      <w:pPr>
        <w:spacing w:after="0" w:line="64"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Borrowings under the Term Loan Agreement bear interest, at our option, at a variable rate equal to either (i) the Alternate Base Rate (as defined in the Term Loan Agreement and consistent with the Revolving Credit Facility), plus an agreed spread (ranging from 25 to 100 basis points), or (ii) the Adjusted LIBO Rate (as defined in the Term Loan Agreement), plus an agreed spread (ranging from 125 to 200 basis points), which is established quarterly based on the Company's then Leverage Ratio (as defined in the Term Loan Agreement and consistent with the Revolving Credit Facility). The Company must also maintain a Leverage Ratio and Interest Coverage Ratio consistent with the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4.500% Senior Unsecured Notes Due 2026</w:t>
      </w:r>
    </w:p>
    <w:p>
      <w:pPr>
        <w:spacing w:after="0" w:line="102"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On August 2, 2016, the Company issued $350.0 million aggregate principal amount of 4.500% senior notes (Senior Unsecured Notes) due August 2026. Interest on the Senior Unsecured Notes is payable semi-annually on February 1 and August 1 of each year until all outstanding notes are paid. The Senior Unsecured Notes rank equal to existing and future senior indebtedness, including the Revolving Credit Facility and Term Loan. Prior to August 1, 2021, we may redeem some or all of the Senior Unsecured Notes at a price equal to 100% of the principal amount, plus a make-whole premium. Beginning August 1, 2021, we may redeem some or all of the Senior Unsecured Notes at the redemption prices set forth below (expressed as a percentage of the principal amount being redeemed):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800" w:type="dxa"/>
            <w:vAlign w:val="bottom"/>
            <w:tcBorders>
              <w:bottom w:val="single" w:sz="8" w:color="004483"/>
            </w:tcBorders>
          </w:tcPr>
          <w:p>
            <w:pPr>
              <w:spacing w:after="0"/>
              <w:rPr>
                <w:sz w:val="8"/>
                <w:szCs w:val="8"/>
                <w:color w:val="auto"/>
              </w:rPr>
            </w:pPr>
          </w:p>
        </w:tc>
        <w:tc>
          <w:tcPr>
            <w:tcW w:w="5500" w:type="dxa"/>
            <w:vAlign w:val="bottom"/>
            <w:tcBorders>
              <w:bottom w:val="single" w:sz="8" w:color="004483"/>
            </w:tcBorders>
          </w:tcPr>
          <w:p>
            <w:pPr>
              <w:jc w:val="right"/>
              <w:ind w:right="148"/>
              <w:spacing w:after="0"/>
              <w:rPr>
                <w:sz w:val="20"/>
                <w:szCs w:val="20"/>
                <w:color w:val="auto"/>
              </w:rPr>
            </w:pPr>
            <w:r>
              <w:rPr>
                <w:rFonts w:ascii="Arial" w:cs="Arial" w:eastAsia="Arial" w:hAnsi="Arial"/>
                <w:sz w:val="8"/>
                <w:szCs w:val="8"/>
                <w:b w:val="1"/>
                <w:bCs w:val="1"/>
                <w:color w:val="auto"/>
              </w:rPr>
              <w:t>Percentage</w:t>
            </w:r>
          </w:p>
        </w:tc>
      </w:tr>
      <w:tr>
        <w:trPr>
          <w:trHeight w:val="131"/>
        </w:trPr>
        <w:tc>
          <w:tcPr>
            <w:tcW w:w="58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2021</w:t>
            </w:r>
          </w:p>
        </w:tc>
        <w:tc>
          <w:tcPr>
            <w:tcW w:w="5500" w:type="dxa"/>
            <w:vAlign w:val="bottom"/>
            <w:tcBorders>
              <w:bottom w:val="single" w:sz="8" w:color="A6A6A6"/>
            </w:tcBorders>
          </w:tcPr>
          <w:p>
            <w:pPr>
              <w:jc w:val="right"/>
              <w:ind w:right="48"/>
              <w:spacing w:after="0"/>
              <w:rPr>
                <w:sz w:val="20"/>
                <w:szCs w:val="20"/>
                <w:color w:val="auto"/>
              </w:rPr>
            </w:pPr>
            <w:r>
              <w:rPr>
                <w:rFonts w:ascii="Arial" w:cs="Arial" w:eastAsia="Arial" w:hAnsi="Arial"/>
                <w:sz w:val="11"/>
                <w:szCs w:val="11"/>
                <w:color w:val="auto"/>
              </w:rPr>
              <w:t>102.25%</w:t>
            </w:r>
          </w:p>
        </w:tc>
      </w:tr>
      <w:tr>
        <w:trPr>
          <w:trHeight w:val="133"/>
        </w:trPr>
        <w:tc>
          <w:tcPr>
            <w:tcW w:w="58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2022</w:t>
            </w:r>
          </w:p>
        </w:tc>
        <w:tc>
          <w:tcPr>
            <w:tcW w:w="5500" w:type="dxa"/>
            <w:vAlign w:val="bottom"/>
            <w:tcBorders>
              <w:bottom w:val="single" w:sz="8" w:color="A6A6A6"/>
            </w:tcBorders>
          </w:tcPr>
          <w:p>
            <w:pPr>
              <w:jc w:val="right"/>
              <w:ind w:right="48"/>
              <w:spacing w:after="0"/>
              <w:rPr>
                <w:sz w:val="20"/>
                <w:szCs w:val="20"/>
                <w:color w:val="auto"/>
              </w:rPr>
            </w:pPr>
            <w:r>
              <w:rPr>
                <w:rFonts w:ascii="Arial" w:cs="Arial" w:eastAsia="Arial" w:hAnsi="Arial"/>
                <w:sz w:val="11"/>
                <w:szCs w:val="11"/>
                <w:color w:val="auto"/>
              </w:rPr>
              <w:t>101.50%</w:t>
            </w:r>
          </w:p>
        </w:tc>
      </w:tr>
      <w:tr>
        <w:trPr>
          <w:trHeight w:val="133"/>
        </w:trPr>
        <w:tc>
          <w:tcPr>
            <w:tcW w:w="58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2023</w:t>
            </w:r>
          </w:p>
        </w:tc>
        <w:tc>
          <w:tcPr>
            <w:tcW w:w="5500" w:type="dxa"/>
            <w:vAlign w:val="bottom"/>
            <w:tcBorders>
              <w:bottom w:val="single" w:sz="8" w:color="A6A6A6"/>
            </w:tcBorders>
          </w:tcPr>
          <w:p>
            <w:pPr>
              <w:jc w:val="right"/>
              <w:ind w:right="48"/>
              <w:spacing w:after="0"/>
              <w:rPr>
                <w:sz w:val="20"/>
                <w:szCs w:val="20"/>
                <w:color w:val="auto"/>
              </w:rPr>
            </w:pPr>
            <w:r>
              <w:rPr>
                <w:rFonts w:ascii="Arial" w:cs="Arial" w:eastAsia="Arial" w:hAnsi="Arial"/>
                <w:sz w:val="11"/>
                <w:szCs w:val="11"/>
                <w:color w:val="auto"/>
              </w:rPr>
              <w:t>100.75%</w:t>
            </w:r>
          </w:p>
        </w:tc>
      </w:tr>
      <w:tr>
        <w:trPr>
          <w:trHeight w:val="133"/>
        </w:trPr>
        <w:tc>
          <w:tcPr>
            <w:tcW w:w="58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2024 and thereafter</w:t>
            </w:r>
          </w:p>
        </w:tc>
        <w:tc>
          <w:tcPr>
            <w:tcW w:w="5500" w:type="dxa"/>
            <w:vAlign w:val="bottom"/>
            <w:tcBorders>
              <w:bottom w:val="single" w:sz="8" w:color="A6A6A6"/>
            </w:tcBorders>
          </w:tcPr>
          <w:p>
            <w:pPr>
              <w:jc w:val="right"/>
              <w:ind w:right="48"/>
              <w:spacing w:after="0"/>
              <w:rPr>
                <w:sz w:val="20"/>
                <w:szCs w:val="20"/>
                <w:color w:val="auto"/>
              </w:rPr>
            </w:pPr>
            <w:r>
              <w:rPr>
                <w:rFonts w:ascii="Arial" w:cs="Arial" w:eastAsia="Arial" w:hAnsi="Arial"/>
                <w:sz w:val="11"/>
                <w:szCs w:val="11"/>
                <w:color w:val="auto"/>
              </w:rPr>
              <w:t>100.00%</w:t>
            </w: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79" w:name="page80"/>
    <w:bookmarkEnd w:id="79"/>
    <w:p>
      <w:pPr>
        <w:ind w:right="340"/>
        <w:spacing w:after="0" w:line="271" w:lineRule="auto"/>
        <w:rPr>
          <w:sz w:val="20"/>
          <w:szCs w:val="20"/>
          <w:color w:val="auto"/>
        </w:rPr>
      </w:pPr>
      <w:r>
        <w:rPr>
          <w:rFonts w:ascii="Arial" w:cs="Arial" w:eastAsia="Arial" w:hAnsi="Arial"/>
          <w:sz w:val="12"/>
          <w:szCs w:val="12"/>
          <w:color w:val="auto"/>
        </w:rPr>
        <w:t>The Senior Unsecured Notes contain covenants that limit our ability and/or our guarantor subsidiaries' ability to create or permit existence of certain liens; enter into sale and leaseback transactions; and consolidate, merge, or transfer all or substantially all of our assets. The Company’s Senior Unsecured Notes are guaranteed by all of the Company’s wholly-owned subsidiaries, and all guarantees are full and unconditional, and are joint and several. The same subsidiaries are also guarantors under the Revolving Credit Facility and Term Loan.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Other Information</w:t>
      </w:r>
    </w:p>
    <w:p>
      <w:pPr>
        <w:spacing w:after="0" w:line="102"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We previously leased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were equal in amount to the payments required to be made by the city of Sugar Creek to the holders of the industrial revenue bonds. Because we held all outstanding industrial revenue bonds, no debt was reflected on our financial statements in connection with our lease of the cement plant. Upon expiration of the lease in December 2020, we exercised our option and purchased the cement plant for a nominal amount.</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(H) FAIR VALUE OF FINANCIAL INSTRUMENTS</w:t>
      </w:r>
    </w:p>
    <w:p>
      <w:pPr>
        <w:spacing w:after="0" w:line="102"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The fair value of our senior notes has been estimated based upon our current incremental borrowing rates for similar types of borrowing arrangements. The fair value of our Senior Unsecured Notes at March 31, 2021 are as follows:</w:t>
      </w:r>
    </w:p>
    <w:p>
      <w:pPr>
        <w:spacing w:after="0" w:line="31" w:lineRule="exact"/>
        <w:rPr>
          <w:sz w:val="20"/>
          <w:szCs w:val="20"/>
          <w:color w:val="auto"/>
        </w:rPr>
      </w:pPr>
    </w:p>
    <w:p>
      <w:pPr>
        <w:jc w:val="right"/>
        <w:ind w:right="120"/>
        <w:spacing w:after="0"/>
        <w:rPr>
          <w:sz w:val="20"/>
          <w:szCs w:val="20"/>
          <w:color w:val="auto"/>
        </w:rPr>
      </w:pPr>
      <w:r>
        <w:rPr>
          <w:rFonts w:ascii="Arial" w:cs="Arial" w:eastAsia="Arial" w:hAnsi="Arial"/>
          <w:sz w:val="8"/>
          <w:szCs w:val="8"/>
          <w:b w:val="1"/>
          <w:bCs w:val="1"/>
          <w:color w:val="auto"/>
        </w:rPr>
        <w:t>Fair Value</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8"/>
          <w:szCs w:val="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tabs>
          <w:tab w:leader="none" w:pos="9160" w:val="left"/>
          <w:tab w:leader="none" w:pos="10800" w:val="left"/>
        </w:tabs>
        <w:rPr>
          <w:sz w:val="20"/>
          <w:szCs w:val="20"/>
          <w:color w:val="auto"/>
        </w:rPr>
      </w:pPr>
      <w:r>
        <w:rPr>
          <w:rFonts w:ascii="Arial" w:cs="Arial" w:eastAsia="Arial" w:hAnsi="Arial"/>
          <w:sz w:val="11"/>
          <w:szCs w:val="11"/>
          <w:b w:val="1"/>
          <w:bCs w:val="1"/>
          <w:color w:val="004483"/>
        </w:rPr>
        <w:t>4.500% Senior Unsecured Notes Due 2026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361,675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The estimated fair value of our long-term debt was based on quoted prices of similar debt instruments with similar terms that are publicly traded (level 2 input). The carrying values of cash and cash equivalents, restricted cash, accounts and notes receivable, accounts payable, and accrued liabilities approximate their fair values at March 31, 2021, due to the short-term maturities of these assets and liabilities. The fair value of our Revolving Credit Facility and Term Loan also approximates their carrying values at March 31,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color w:val="004483"/>
        </w:rPr>
        <w:t>(I) BUSINESS SEGMENTS</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59"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7"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Kentucky, Missouri, Nebraska, Nevada, Ohio, Oklahoma, and Texas. We operate 26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 operate five gypsum wallboard plants and a recycled paperboard mill. We distribute gypsum wallboard and recycled paperboard throughout the continental U.S., with the exception of the Northeast.</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355" w:right="35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The following tables below set forth certain financial information relating to our operations by segment. We do not allocate interest or taxes at the segment level, only at the consolidated company level.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9"/>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Revenue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944,556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752,002</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656,759</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168,829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182,775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140,173</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77943C"/>
              </w:rPr>
              <w:t>Gypsum Wallboard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539,009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508,145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532,712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163,507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159,963</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167,656</w:t>
            </w:r>
          </w:p>
        </w:tc>
      </w:tr>
      <w:tr>
        <w:trPr>
          <w:trHeight w:val="133"/>
        </w:trPr>
        <w:tc>
          <w:tcPr>
            <w:tcW w:w="66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1,815,901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1,602,885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1,497,300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Less: Intersegment Revenue</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(88,068)</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9"/>
              <w:spacing w:after="0"/>
              <w:rPr>
                <w:sz w:val="20"/>
                <w:szCs w:val="20"/>
                <w:color w:val="auto"/>
              </w:rPr>
            </w:pPr>
            <w:r>
              <w:rPr>
                <w:rFonts w:ascii="Arial" w:cs="Arial" w:eastAsia="Arial" w:hAnsi="Arial"/>
                <w:sz w:val="11"/>
                <w:szCs w:val="11"/>
                <w:color w:val="auto"/>
              </w:rPr>
              <w:t>(85,316)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(82,553)</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Less: Joint Venture Revenue</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(105,191)</w:t>
            </w:r>
          </w:p>
        </w:tc>
        <w:tc>
          <w:tcPr>
            <w:tcW w:w="160" w:type="dxa"/>
            <w:vAlign w:val="bottom"/>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9"/>
              <w:spacing w:after="0"/>
              <w:rPr>
                <w:sz w:val="20"/>
                <w:szCs w:val="20"/>
                <w:color w:val="auto"/>
              </w:rPr>
            </w:pPr>
            <w:r>
              <w:rPr>
                <w:rFonts w:ascii="Arial" w:cs="Arial" w:eastAsia="Arial" w:hAnsi="Arial"/>
                <w:sz w:val="11"/>
                <w:szCs w:val="11"/>
                <w:color w:val="auto"/>
              </w:rPr>
              <w:t>(113,536)</w:t>
            </w:r>
          </w:p>
        </w:tc>
        <w:tc>
          <w:tcPr>
            <w:tcW w:w="160" w:type="dxa"/>
            <w:vAlign w:val="bottom"/>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(104,493)</w:t>
            </w:r>
          </w:p>
        </w:tc>
      </w:tr>
      <w:tr>
        <w:trPr>
          <w:trHeight w:val="142"/>
        </w:trPr>
        <w:tc>
          <w:tcPr>
            <w:tcW w:w="6660" w:type="dxa"/>
            <w:vAlign w:val="bottom"/>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1,622,642</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1,404,033</w:t>
            </w:r>
          </w:p>
        </w:tc>
        <w:tc>
          <w:tcPr>
            <w:tcW w:w="160" w:type="dxa"/>
            <w:vAlign w:val="bottom"/>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1,310,254</w:t>
            </w:r>
          </w:p>
        </w:tc>
      </w:tr>
      <w:tr>
        <w:trPr>
          <w:trHeight w:val="126"/>
        </w:trPr>
        <w:tc>
          <w:tcPr>
            <w:tcW w:w="6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3"/>
        </w:trPr>
        <w:tc>
          <w:tcPr>
            <w:tcW w:w="666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9"/>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Intersegment Revenue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20,862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21,499</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14,408</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106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1,502</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1,422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67,100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62,315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66,723</w:t>
            </w:r>
          </w:p>
        </w:tc>
      </w:tr>
      <w:tr>
        <w:trPr>
          <w:trHeight w:val="153"/>
        </w:trPr>
        <w:tc>
          <w:tcPr>
            <w:tcW w:w="6660" w:type="dxa"/>
            <w:vAlign w:val="bottom"/>
            <w:tcBorders>
              <w:bottom w:val="single" w:sz="8" w:color="A6A6A6"/>
            </w:tcBorders>
          </w:tcPr>
          <w:p>
            <w:pPr>
              <w:spacing w:after="0"/>
              <w:rPr>
                <w:sz w:val="13"/>
                <w:szCs w:val="13"/>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88,068</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85,316</w:t>
            </w:r>
          </w:p>
        </w:tc>
        <w:tc>
          <w:tcPr>
            <w:tcW w:w="160" w:type="dxa"/>
            <w:vAlign w:val="bottom"/>
            <w:tcBorders>
              <w:bottom w:val="single" w:sz="8" w:color="A6A6A6"/>
            </w:tcBorders>
          </w:tcPr>
          <w:p>
            <w:pPr>
              <w:spacing w:after="0"/>
              <w:rPr>
                <w:sz w:val="13"/>
                <w:szCs w:val="13"/>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82,553</w:t>
            </w:r>
          </w:p>
        </w:tc>
      </w:tr>
      <w:tr>
        <w:trPr>
          <w:trHeight w:val="127"/>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004483"/>
              </w:rPr>
              <w:t>Cement Sales Volume (M tons)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7"/>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Wholly Owned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6,576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4,975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4,441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Joint Venture</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890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color w:val="auto"/>
              </w:rPr>
              <w:t>956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899</w:t>
            </w:r>
          </w:p>
        </w:tc>
      </w:tr>
      <w:tr>
        <w:trPr>
          <w:trHeight w:val="142"/>
        </w:trPr>
        <w:tc>
          <w:tcPr>
            <w:tcW w:w="6660" w:type="dxa"/>
            <w:vAlign w:val="bottom"/>
          </w:tcPr>
          <w:p>
            <w:pPr>
              <w:spacing w:after="0"/>
              <w:rPr>
                <w:sz w:val="12"/>
                <w:szCs w:val="12"/>
                <w:color w:val="auto"/>
              </w:rPr>
            </w:pPr>
          </w:p>
        </w:tc>
        <w:tc>
          <w:tcPr>
            <w:tcW w:w="460" w:type="dxa"/>
            <w:vAlign w:val="bottom"/>
            <w:tcBorders>
              <w:bottom w:val="single" w:sz="8" w:color="004483"/>
            </w:tcBorders>
          </w:tcPr>
          <w:p>
            <w:pPr>
              <w:spacing w:after="0"/>
              <w:rPr>
                <w:sz w:val="12"/>
                <w:szCs w:val="12"/>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7,466</w:t>
            </w:r>
          </w:p>
        </w:tc>
        <w:tc>
          <w:tcPr>
            <w:tcW w:w="160" w:type="dxa"/>
            <w:vAlign w:val="bottom"/>
          </w:tcPr>
          <w:p>
            <w:pPr>
              <w:spacing w:after="0"/>
              <w:rPr>
                <w:sz w:val="12"/>
                <w:szCs w:val="12"/>
                <w:color w:val="auto"/>
              </w:rPr>
            </w:pPr>
          </w:p>
        </w:tc>
        <w:tc>
          <w:tcPr>
            <w:tcW w:w="80" w:type="dxa"/>
            <w:vAlign w:val="bottom"/>
            <w:tcBorders>
              <w:bottom w:val="single" w:sz="8" w:color="004483"/>
            </w:tcBorders>
          </w:tcPr>
          <w:p>
            <w:pPr>
              <w:spacing w:after="0"/>
              <w:rPr>
                <w:sz w:val="12"/>
                <w:szCs w:val="12"/>
                <w:color w:val="auto"/>
              </w:rPr>
            </w:pPr>
          </w:p>
        </w:tc>
        <w:tc>
          <w:tcPr>
            <w:tcW w:w="136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rPr>
              <w:t>5,931</w:t>
            </w:r>
          </w:p>
        </w:tc>
        <w:tc>
          <w:tcPr>
            <w:tcW w:w="160" w:type="dxa"/>
            <w:vAlign w:val="bottom"/>
          </w:tcPr>
          <w:p>
            <w:pPr>
              <w:spacing w:after="0"/>
              <w:rPr>
                <w:sz w:val="12"/>
                <w:szCs w:val="12"/>
                <w:color w:val="auto"/>
              </w:rPr>
            </w:pPr>
          </w:p>
        </w:tc>
        <w:tc>
          <w:tcPr>
            <w:tcW w:w="460" w:type="dxa"/>
            <w:vAlign w:val="bottom"/>
            <w:tcBorders>
              <w:bottom w:val="single" w:sz="8" w:color="004483"/>
            </w:tcBorders>
          </w:tcPr>
          <w:p>
            <w:pPr>
              <w:spacing w:after="0"/>
              <w:rPr>
                <w:sz w:val="12"/>
                <w:szCs w:val="12"/>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5,340</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46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ind w:left="260"/>
              <w:spacing w:after="0"/>
              <w:rPr>
                <w:sz w:val="20"/>
                <w:szCs w:val="20"/>
                <w:color w:val="auto"/>
              </w:rPr>
            </w:pPr>
            <w:r>
              <w:rPr>
                <w:rFonts w:ascii="Arial" w:cs="Arial" w:eastAsia="Arial" w:hAnsi="Arial"/>
                <w:sz w:val="8"/>
                <w:szCs w:val="8"/>
                <w:color w:val="auto"/>
              </w:rPr>
              <w:t>(dollars in thousands)</w:t>
            </w: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Earnings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233,957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181,330</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164,782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19,054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17,558</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12,866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77943C"/>
              </w:rPr>
              <w:t>Gypsum Wallboard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167,336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154,614</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180,831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25,449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34,979</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35,349</w:t>
            </w: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004483"/>
              </w:rPr>
              <w:t>Other</w:t>
            </w:r>
          </w:p>
        </w:tc>
        <w:tc>
          <w:tcPr>
            <w:tcW w:w="460" w:type="dxa"/>
            <w:vAlign w:val="bottom"/>
          </w:tcPr>
          <w:p>
            <w:pPr>
              <w:spacing w:after="0"/>
              <w:rPr>
                <w:sz w:val="11"/>
                <w:szCs w:val="1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360" w:type="dxa"/>
            <w:vAlign w:val="bottom"/>
          </w:tcPr>
          <w:p>
            <w:pPr>
              <w:jc w:val="right"/>
              <w:ind w:right="28"/>
              <w:spacing w:after="0"/>
              <w:rPr>
                <w:sz w:val="20"/>
                <w:szCs w:val="20"/>
                <w:color w:val="auto"/>
              </w:rPr>
            </w:pPr>
            <w:r>
              <w:rPr>
                <w:rFonts w:ascii="Arial" w:cs="Arial" w:eastAsia="Arial" w:hAnsi="Arial"/>
                <w:sz w:val="11"/>
                <w:szCs w:val="11"/>
                <w:color w:val="auto"/>
              </w:rPr>
              <w:t>(3,230)</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(7,161)</w:t>
            </w:r>
          </w:p>
        </w:tc>
      </w:tr>
      <w:tr>
        <w:trPr>
          <w:trHeight w:val="133"/>
        </w:trPr>
        <w:tc>
          <w:tcPr>
            <w:tcW w:w="666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004483"/>
              </w:rPr>
              <w:t>Sub-Total</w:t>
            </w:r>
          </w:p>
        </w:tc>
        <w:tc>
          <w:tcPr>
            <w:tcW w:w="460" w:type="dxa"/>
            <w:vAlign w:val="bottom"/>
            <w:tcBorders>
              <w:top w:val="single" w:sz="8" w:color="004483"/>
              <w:bottom w:val="single" w:sz="8" w:color="A6A6A6"/>
            </w:tcBorders>
          </w:tcPr>
          <w:p>
            <w:pPr>
              <w:spacing w:after="0"/>
              <w:rPr>
                <w:sz w:val="11"/>
                <w:szCs w:val="11"/>
                <w:color w:val="auto"/>
              </w:rPr>
            </w:pPr>
          </w:p>
        </w:tc>
        <w:tc>
          <w:tcPr>
            <w:tcW w:w="98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445,796</w:t>
            </w:r>
          </w:p>
        </w:tc>
        <w:tc>
          <w:tcPr>
            <w:tcW w:w="160" w:type="dxa"/>
            <w:vAlign w:val="bottom"/>
            <w:tcBorders>
              <w:top w:val="single" w:sz="8" w:color="A6A6A6"/>
              <w:bottom w:val="single" w:sz="8" w:color="A6A6A6"/>
            </w:tcBorders>
          </w:tcPr>
          <w:p>
            <w:pPr>
              <w:spacing w:after="0"/>
              <w:rPr>
                <w:sz w:val="11"/>
                <w:szCs w:val="11"/>
                <w:color w:val="auto"/>
              </w:rPr>
            </w:pPr>
          </w:p>
        </w:tc>
        <w:tc>
          <w:tcPr>
            <w:tcW w:w="80" w:type="dxa"/>
            <w:vAlign w:val="bottom"/>
            <w:tcBorders>
              <w:top w:val="single" w:sz="8" w:color="004483"/>
              <w:bottom w:val="single" w:sz="8" w:color="A6A6A6"/>
            </w:tcBorders>
          </w:tcPr>
          <w:p>
            <w:pPr>
              <w:spacing w:after="0"/>
              <w:rPr>
                <w:sz w:val="11"/>
                <w:szCs w:val="11"/>
                <w:color w:val="auto"/>
              </w:rPr>
            </w:pPr>
          </w:p>
        </w:tc>
        <w:tc>
          <w:tcPr>
            <w:tcW w:w="1360" w:type="dxa"/>
            <w:vAlign w:val="bottom"/>
            <w:tcBorders>
              <w:top w:val="single" w:sz="8" w:color="004483"/>
              <w:bottom w:val="single" w:sz="8" w:color="A6A6A6"/>
            </w:tcBorders>
          </w:tcPr>
          <w:p>
            <w:pPr>
              <w:jc w:val="right"/>
              <w:ind w:right="68"/>
              <w:spacing w:after="0"/>
              <w:rPr>
                <w:sz w:val="20"/>
                <w:szCs w:val="20"/>
                <w:color w:val="auto"/>
              </w:rPr>
            </w:pPr>
            <w:r>
              <w:rPr>
                <w:rFonts w:ascii="Arial" w:cs="Arial" w:eastAsia="Arial" w:hAnsi="Arial"/>
                <w:sz w:val="11"/>
                <w:szCs w:val="11"/>
                <w:color w:val="auto"/>
              </w:rPr>
              <w:t>385,251</w:t>
            </w:r>
          </w:p>
        </w:tc>
        <w:tc>
          <w:tcPr>
            <w:tcW w:w="160" w:type="dxa"/>
            <w:vAlign w:val="bottom"/>
            <w:tcBorders>
              <w:top w:val="single" w:sz="8" w:color="A6A6A6"/>
              <w:bottom w:val="single" w:sz="8" w:color="A6A6A6"/>
            </w:tcBorders>
          </w:tcPr>
          <w:p>
            <w:pPr>
              <w:spacing w:after="0"/>
              <w:rPr>
                <w:sz w:val="11"/>
                <w:szCs w:val="11"/>
                <w:color w:val="auto"/>
              </w:rPr>
            </w:pPr>
          </w:p>
        </w:tc>
        <w:tc>
          <w:tcPr>
            <w:tcW w:w="460" w:type="dxa"/>
            <w:vAlign w:val="bottom"/>
            <w:tcBorders>
              <w:top w:val="single" w:sz="8" w:color="004483"/>
              <w:bottom w:val="single" w:sz="8" w:color="A6A6A6"/>
            </w:tcBorders>
          </w:tcPr>
          <w:p>
            <w:pPr>
              <w:spacing w:after="0"/>
              <w:rPr>
                <w:sz w:val="11"/>
                <w:szCs w:val="11"/>
                <w:color w:val="auto"/>
              </w:rPr>
            </w:pPr>
          </w:p>
        </w:tc>
        <w:tc>
          <w:tcPr>
            <w:tcW w:w="98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386,667</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Corporate General and Administrative Expense</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(49,511)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(65,410)</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(37,371)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Gain on Sale of Businesses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51,973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5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Impairment Losses</w:t>
            </w:r>
          </w:p>
        </w:tc>
        <w:tc>
          <w:tcPr>
            <w:tcW w:w="46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(25,131)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(37,179)</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Litigation Settlements and Losses</w:t>
            </w:r>
          </w:p>
        </w:tc>
        <w:tc>
          <w:tcPr>
            <w:tcW w:w="46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5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(1,800)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Other Non-Operating Income (Loss)</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20,274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(594)</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1,835</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Earnings Before Interest and Income Taxes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468,532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294,116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312,152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Interest Expense, net</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(44,420)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(38,421)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(28,374)</w:t>
            </w:r>
          </w:p>
        </w:tc>
      </w:tr>
      <w:tr>
        <w:trPr>
          <w:trHeight w:val="15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Earnings Before Income Taxes</w:t>
            </w: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424,112</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255,695</w:t>
            </w:r>
          </w:p>
        </w:tc>
        <w:tc>
          <w:tcPr>
            <w:tcW w:w="160" w:type="dxa"/>
            <w:vAlign w:val="bottom"/>
            <w:tcBorders>
              <w:bottom w:val="single" w:sz="8" w:color="A6A6A6"/>
            </w:tcBorders>
          </w:tcPr>
          <w:p>
            <w:pPr>
              <w:spacing w:after="0"/>
              <w:rPr>
                <w:sz w:val="13"/>
                <w:szCs w:val="13"/>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283,778</w:t>
            </w:r>
          </w:p>
        </w:tc>
      </w:tr>
      <w:tr>
        <w:trPr>
          <w:trHeight w:val="126"/>
        </w:trPr>
        <w:tc>
          <w:tcPr>
            <w:tcW w:w="6660" w:type="dxa"/>
            <w:vAlign w:val="bottom"/>
            <w:tcBorders>
              <w:bottom w:val="single" w:sz="8" w:color="A6A6A6"/>
            </w:tcBorders>
          </w:tcPr>
          <w:p>
            <w:pPr>
              <w:spacing w:after="0" w:line="120" w:lineRule="exact"/>
              <w:rPr>
                <w:sz w:val="20"/>
                <w:szCs w:val="20"/>
                <w:color w:val="auto"/>
              </w:rPr>
            </w:pPr>
            <w:r>
              <w:rPr>
                <w:rFonts w:ascii="Arial" w:cs="Arial" w:eastAsia="Arial" w:hAnsi="Arial"/>
                <w:sz w:val="11"/>
                <w:szCs w:val="11"/>
                <w:color w:val="004483"/>
              </w:rPr>
              <w:t>Cement Operating Earnings -</w:t>
            </w:r>
          </w:p>
        </w:tc>
        <w:tc>
          <w:tcPr>
            <w:tcW w:w="460" w:type="dxa"/>
            <w:vAlign w:val="bottom"/>
            <w:tcBorders>
              <w:bottom w:val="single" w:sz="8" w:color="A6A6A6"/>
            </w:tcBorders>
          </w:tcPr>
          <w:p>
            <w:pPr>
              <w:spacing w:after="0"/>
              <w:rPr>
                <w:sz w:val="10"/>
                <w:szCs w:val="10"/>
                <w:color w:val="auto"/>
              </w:rPr>
            </w:pPr>
          </w:p>
        </w:tc>
        <w:tc>
          <w:tcPr>
            <w:tcW w:w="980" w:type="dxa"/>
            <w:vAlign w:val="bottom"/>
            <w:tcBorders>
              <w:bottom w:val="single" w:sz="8" w:color="A6A6A6"/>
            </w:tcBorders>
          </w:tcPr>
          <w:p>
            <w:pPr>
              <w:spacing w:after="0"/>
              <w:rPr>
                <w:sz w:val="10"/>
                <w:szCs w:val="10"/>
                <w:color w:val="auto"/>
              </w:rPr>
            </w:pPr>
          </w:p>
        </w:tc>
        <w:tc>
          <w:tcPr>
            <w:tcW w:w="160" w:type="dxa"/>
            <w:vAlign w:val="bottom"/>
            <w:tcBorders>
              <w:bottom w:val="single" w:sz="8" w:color="A6A6A6"/>
            </w:tcBorders>
          </w:tcPr>
          <w:p>
            <w:pPr>
              <w:spacing w:after="0"/>
              <w:rPr>
                <w:sz w:val="10"/>
                <w:szCs w:val="10"/>
                <w:color w:val="auto"/>
              </w:rPr>
            </w:pPr>
          </w:p>
        </w:tc>
        <w:tc>
          <w:tcPr>
            <w:tcW w:w="80" w:type="dxa"/>
            <w:vAlign w:val="bottom"/>
            <w:tcBorders>
              <w:bottom w:val="single" w:sz="8" w:color="A6A6A6"/>
            </w:tcBorders>
          </w:tcPr>
          <w:p>
            <w:pPr>
              <w:spacing w:after="0"/>
              <w:rPr>
                <w:sz w:val="10"/>
                <w:szCs w:val="10"/>
                <w:color w:val="auto"/>
              </w:rPr>
            </w:pPr>
          </w:p>
        </w:tc>
        <w:tc>
          <w:tcPr>
            <w:tcW w:w="1360" w:type="dxa"/>
            <w:vAlign w:val="bottom"/>
            <w:tcBorders>
              <w:bottom w:val="single" w:sz="8" w:color="A6A6A6"/>
            </w:tcBorders>
          </w:tcPr>
          <w:p>
            <w:pPr>
              <w:spacing w:after="0"/>
              <w:rPr>
                <w:sz w:val="10"/>
                <w:szCs w:val="10"/>
                <w:color w:val="auto"/>
              </w:rPr>
            </w:pPr>
          </w:p>
        </w:tc>
        <w:tc>
          <w:tcPr>
            <w:tcW w:w="160" w:type="dxa"/>
            <w:vAlign w:val="bottom"/>
            <w:tcBorders>
              <w:bottom w:val="single" w:sz="8" w:color="A6A6A6"/>
            </w:tcBorders>
          </w:tcPr>
          <w:p>
            <w:pPr>
              <w:spacing w:after="0"/>
              <w:rPr>
                <w:sz w:val="10"/>
                <w:szCs w:val="10"/>
                <w:color w:val="auto"/>
              </w:rPr>
            </w:pPr>
          </w:p>
        </w:tc>
        <w:tc>
          <w:tcPr>
            <w:tcW w:w="460" w:type="dxa"/>
            <w:vAlign w:val="bottom"/>
            <w:tcBorders>
              <w:bottom w:val="single" w:sz="8" w:color="A6A6A6"/>
            </w:tcBorders>
          </w:tcPr>
          <w:p>
            <w:pPr>
              <w:spacing w:after="0"/>
              <w:rPr>
                <w:sz w:val="10"/>
                <w:szCs w:val="10"/>
                <w:color w:val="auto"/>
              </w:rPr>
            </w:pPr>
          </w:p>
        </w:tc>
        <w:tc>
          <w:tcPr>
            <w:tcW w:w="980" w:type="dxa"/>
            <w:vAlign w:val="bottom"/>
            <w:tcBorders>
              <w:bottom w:val="single" w:sz="8" w:color="A6A6A6"/>
            </w:tcBorders>
          </w:tcPr>
          <w:p>
            <w:pPr>
              <w:spacing w:after="0"/>
              <w:rPr>
                <w:sz w:val="10"/>
                <w:szCs w:val="10"/>
                <w:color w:val="auto"/>
              </w:rPr>
            </w:pPr>
          </w:p>
        </w:tc>
      </w:tr>
      <w:tr>
        <w:trPr>
          <w:trHeight w:val="138"/>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Wholly Owned</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196,516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138,745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126,217</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Joint Venture</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37,441</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42,585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38,565</w:t>
            </w:r>
          </w:p>
        </w:tc>
      </w:tr>
      <w:tr>
        <w:trPr>
          <w:trHeight w:val="153"/>
        </w:trPr>
        <w:tc>
          <w:tcPr>
            <w:tcW w:w="6660" w:type="dxa"/>
            <w:vAlign w:val="bottom"/>
            <w:tcBorders>
              <w:bottom w:val="single" w:sz="8" w:color="A6A6A6"/>
            </w:tcBorders>
          </w:tcPr>
          <w:p>
            <w:pPr>
              <w:spacing w:after="0"/>
              <w:rPr>
                <w:sz w:val="13"/>
                <w:szCs w:val="13"/>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233,957</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181,330</w:t>
            </w:r>
          </w:p>
        </w:tc>
        <w:tc>
          <w:tcPr>
            <w:tcW w:w="160" w:type="dxa"/>
            <w:vAlign w:val="bottom"/>
            <w:tcBorders>
              <w:bottom w:val="single" w:sz="8" w:color="A6A6A6"/>
            </w:tcBorders>
          </w:tcPr>
          <w:p>
            <w:pPr>
              <w:spacing w:after="0"/>
              <w:rPr>
                <w:sz w:val="13"/>
                <w:szCs w:val="13"/>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164,782</w:t>
            </w:r>
          </w:p>
        </w:tc>
      </w:tr>
      <w:tr>
        <w:trPr>
          <w:trHeight w:val="126"/>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Capital Expenditures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7"/>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26,708</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44,776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76,504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3,114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11,898</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6,649</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77943C"/>
              </w:rPr>
              <w:t>Gypsum Wallboard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12,889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12,771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10,724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11,222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62,528</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16,603</w:t>
            </w: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004483"/>
              </w:rPr>
              <w:t>Corporate and Other</w:t>
            </w:r>
          </w:p>
        </w:tc>
        <w:tc>
          <w:tcPr>
            <w:tcW w:w="460" w:type="dxa"/>
            <w:vAlign w:val="bottom"/>
          </w:tcPr>
          <w:p>
            <w:pPr>
              <w:spacing w:after="0"/>
              <w:rPr>
                <w:sz w:val="11"/>
                <w:szCs w:val="1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6,107</w:t>
            </w:r>
          </w:p>
        </w:tc>
      </w:tr>
      <w:tr>
        <w:trPr>
          <w:trHeight w:val="153"/>
        </w:trPr>
        <w:tc>
          <w:tcPr>
            <w:tcW w:w="6660" w:type="dxa"/>
            <w:vAlign w:val="bottom"/>
            <w:tcBorders>
              <w:top w:val="single" w:sz="8" w:color="A6A6A6"/>
              <w:bottom w:val="single" w:sz="8" w:color="A6A6A6"/>
            </w:tcBorders>
          </w:tcPr>
          <w:p>
            <w:pPr>
              <w:spacing w:after="0"/>
              <w:rPr>
                <w:sz w:val="13"/>
                <w:szCs w:val="13"/>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53,933</w:t>
            </w:r>
          </w:p>
        </w:tc>
        <w:tc>
          <w:tcPr>
            <w:tcW w:w="160" w:type="dxa"/>
            <w:vAlign w:val="bottom"/>
            <w:tcBorders>
              <w:top w:val="single" w:sz="8" w:color="A6A6A6"/>
              <w:bottom w:val="single" w:sz="8" w:color="A6A6A6"/>
            </w:tcBorders>
          </w:tcPr>
          <w:p>
            <w:pPr>
              <w:spacing w:after="0"/>
              <w:rPr>
                <w:sz w:val="13"/>
                <w:szCs w:val="13"/>
                <w:color w:val="auto"/>
              </w:rPr>
            </w:pPr>
          </w:p>
        </w:tc>
        <w:tc>
          <w:tcPr>
            <w:tcW w:w="80" w:type="dxa"/>
            <w:vAlign w:val="bottom"/>
            <w:tcBorders>
              <w:top w:val="single" w:sz="8" w:color="004483"/>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131,973</w:t>
            </w:r>
          </w:p>
        </w:tc>
        <w:tc>
          <w:tcPr>
            <w:tcW w:w="160" w:type="dxa"/>
            <w:vAlign w:val="bottom"/>
            <w:tcBorders>
              <w:top w:val="single" w:sz="8" w:color="A6A6A6"/>
              <w:bottom w:val="single" w:sz="8" w:color="A6A6A6"/>
            </w:tcBorders>
          </w:tcPr>
          <w:p>
            <w:pPr>
              <w:spacing w:after="0"/>
              <w:rPr>
                <w:sz w:val="13"/>
                <w:szCs w:val="13"/>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116,587</w:t>
            </w:r>
          </w:p>
        </w:tc>
      </w:tr>
      <w:tr>
        <w:trPr>
          <w:trHeight w:val="127"/>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Depreciation, Depletion, and Amortization -</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7"/>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77,524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59,081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52,802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10,807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11,142</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8,176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77943C"/>
              </w:rPr>
              <w:t>Gypsum Wallboard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21,646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20,320</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20,020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13,913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8,945</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8,541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Corporate and Other</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4,976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2,720</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1,668</w:t>
            </w:r>
          </w:p>
        </w:tc>
      </w:tr>
      <w:tr>
        <w:trPr>
          <w:trHeight w:val="142"/>
        </w:trPr>
        <w:tc>
          <w:tcPr>
            <w:tcW w:w="6660" w:type="dxa"/>
            <w:vAlign w:val="bottom"/>
            <w:tcBorders>
              <w:bottom w:val="single" w:sz="8" w:color="A6A6A6"/>
            </w:tcBorders>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128,866</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102,208</w:t>
            </w:r>
          </w:p>
        </w:tc>
        <w:tc>
          <w:tcPr>
            <w:tcW w:w="160" w:type="dxa"/>
            <w:vAlign w:val="bottom"/>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91,207</w:t>
            </w:r>
          </w:p>
        </w:tc>
      </w:tr>
      <w:tr>
        <w:trPr>
          <w:trHeight w:val="153"/>
        </w:trPr>
        <w:tc>
          <w:tcPr>
            <w:tcW w:w="6660" w:type="dxa"/>
            <w:vAlign w:val="bottom"/>
            <w:tcBorders>
              <w:bottom w:val="single" w:sz="8" w:color="A6A6A6"/>
            </w:tcBorders>
          </w:tcPr>
          <w:p>
            <w:pPr>
              <w:spacing w:after="0"/>
              <w:rPr>
                <w:sz w:val="13"/>
                <w:szCs w:val="13"/>
                <w:color w:val="auto"/>
              </w:rPr>
            </w:pPr>
          </w:p>
        </w:tc>
        <w:tc>
          <w:tcPr>
            <w:tcW w:w="4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A6A6A6"/>
            </w:tcBorders>
          </w:tcPr>
          <w:p>
            <w:pPr>
              <w:spacing w:after="0"/>
              <w:rPr>
                <w:sz w:val="13"/>
                <w:szCs w:val="13"/>
                <w:color w:val="auto"/>
              </w:rPr>
            </w:pPr>
          </w:p>
        </w:tc>
        <w:tc>
          <w:tcPr>
            <w:tcW w:w="1360" w:type="dxa"/>
            <w:vAlign w:val="bottom"/>
            <w:tcBorders>
              <w:bottom w:val="single" w:sz="8" w:color="A6A6A6"/>
            </w:tcBorders>
          </w:tcPr>
          <w:p>
            <w:pPr>
              <w:spacing w:after="0"/>
              <w:rPr>
                <w:sz w:val="13"/>
                <w:szCs w:val="13"/>
                <w:color w:val="auto"/>
              </w:rPr>
            </w:pPr>
          </w:p>
        </w:tc>
        <w:tc>
          <w:tcPr>
            <w:tcW w:w="160" w:type="dxa"/>
            <w:vAlign w:val="bottom"/>
            <w:tcBorders>
              <w:bottom w:val="single" w:sz="8" w:color="A6A6A6"/>
            </w:tcBorders>
          </w:tcPr>
          <w:p>
            <w:pPr>
              <w:spacing w:after="0"/>
              <w:rPr>
                <w:sz w:val="13"/>
                <w:szCs w:val="13"/>
                <w:color w:val="auto"/>
              </w:rPr>
            </w:pPr>
          </w:p>
        </w:tc>
        <w:tc>
          <w:tcPr>
            <w:tcW w:w="460" w:type="dxa"/>
            <w:vAlign w:val="bottom"/>
            <w:tcBorders>
              <w:bottom w:val="single" w:sz="8" w:color="A6A6A6"/>
            </w:tcBorders>
          </w:tcPr>
          <w:p>
            <w:pPr>
              <w:spacing w:after="0"/>
              <w:rPr>
                <w:sz w:val="13"/>
                <w:szCs w:val="13"/>
                <w:color w:val="auto"/>
              </w:rPr>
            </w:pPr>
          </w:p>
        </w:tc>
        <w:tc>
          <w:tcPr>
            <w:tcW w:w="980" w:type="dxa"/>
            <w:vAlign w:val="bottom"/>
            <w:tcBorders>
              <w:bottom w:val="single" w:sz="8" w:color="A6A6A6"/>
            </w:tcBorders>
          </w:tcPr>
          <w:p>
            <w:pPr>
              <w:spacing w:after="0"/>
              <w:rPr>
                <w:sz w:val="13"/>
                <w:szCs w:val="13"/>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Discontinued Operations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42"/>
        </w:trPr>
        <w:tc>
          <w:tcPr>
            <w:tcW w:w="6660" w:type="dxa"/>
            <w:vAlign w:val="bottom"/>
          </w:tcPr>
          <w:p>
            <w:pPr>
              <w:ind w:left="160"/>
              <w:spacing w:after="0"/>
              <w:rPr>
                <w:sz w:val="20"/>
                <w:szCs w:val="20"/>
                <w:color w:val="auto"/>
              </w:rPr>
            </w:pPr>
            <w:r>
              <w:rPr>
                <w:rFonts w:ascii="Arial" w:cs="Arial" w:eastAsia="Arial" w:hAnsi="Arial"/>
                <w:sz w:val="11"/>
                <w:szCs w:val="11"/>
                <w:color w:val="004483"/>
              </w:rPr>
              <w:t>Capital Expenditures</w:t>
            </w:r>
          </w:p>
        </w:tc>
        <w:tc>
          <w:tcPr>
            <w:tcW w:w="460" w:type="dxa"/>
            <w:vAlign w:val="bottom"/>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Pr>
          <w:p>
            <w:pPr>
              <w:jc w:val="right"/>
              <w:ind w:right="68"/>
              <w:spacing w:after="0"/>
              <w:rPr>
                <w:sz w:val="20"/>
                <w:szCs w:val="20"/>
                <w:color w:val="auto"/>
              </w:rPr>
            </w:pPr>
            <w:r>
              <w:rPr>
                <w:rFonts w:ascii="Arial" w:cs="Arial" w:eastAsia="Arial" w:hAnsi="Arial"/>
                <w:sz w:val="11"/>
                <w:szCs w:val="11"/>
                <w:b w:val="1"/>
                <w:bCs w:val="1"/>
                <w:color w:val="auto"/>
              </w:rPr>
              <w:t>146</w:t>
            </w:r>
          </w:p>
        </w:tc>
        <w:tc>
          <w:tcPr>
            <w:tcW w:w="160" w:type="dxa"/>
            <w:vAlign w:val="bottom"/>
          </w:tcPr>
          <w:p>
            <w:pPr>
              <w:spacing w:after="0"/>
              <w:rPr>
                <w:sz w:val="12"/>
                <w:szCs w:val="12"/>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ind w:right="67"/>
              <w:spacing w:after="0"/>
              <w:rPr>
                <w:sz w:val="20"/>
                <w:szCs w:val="20"/>
                <w:color w:val="auto"/>
              </w:rPr>
            </w:pPr>
            <w:r>
              <w:rPr>
                <w:rFonts w:ascii="Arial" w:cs="Arial" w:eastAsia="Arial" w:hAnsi="Arial"/>
                <w:sz w:val="11"/>
                <w:szCs w:val="11"/>
                <w:b w:val="1"/>
                <w:bCs w:val="1"/>
                <w:color w:val="auto"/>
              </w:rPr>
              <w:t>52,286</w:t>
            </w:r>
          </w:p>
        </w:tc>
      </w:tr>
      <w:tr>
        <w:trPr>
          <w:trHeight w:val="151"/>
        </w:trPr>
        <w:tc>
          <w:tcPr>
            <w:tcW w:w="666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004483"/>
              </w:rPr>
              <w:t>Depreciation, Depletion, and Amortization</w:t>
            </w: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221</w:t>
            </w:r>
          </w:p>
        </w:tc>
        <w:tc>
          <w:tcPr>
            <w:tcW w:w="160" w:type="dxa"/>
            <w:vAlign w:val="bottom"/>
            <w:tcBorders>
              <w:top w:val="single" w:sz="8" w:color="A6A6A6"/>
              <w:bottom w:val="single" w:sz="8" w:color="A6A6A6"/>
            </w:tcBorders>
          </w:tcPr>
          <w:p>
            <w:pPr>
              <w:spacing w:after="0"/>
              <w:rPr>
                <w:sz w:val="13"/>
                <w:szCs w:val="13"/>
                <w:color w:val="auto"/>
              </w:rPr>
            </w:pPr>
          </w:p>
        </w:tc>
        <w:tc>
          <w:tcPr>
            <w:tcW w:w="80" w:type="dxa"/>
            <w:vAlign w:val="bottom"/>
            <w:tcBorders>
              <w:top w:val="single" w:sz="8" w:color="004483"/>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11,310</w:t>
            </w:r>
          </w:p>
        </w:tc>
        <w:tc>
          <w:tcPr>
            <w:tcW w:w="160" w:type="dxa"/>
            <w:vAlign w:val="bottom"/>
            <w:tcBorders>
              <w:top w:val="single" w:sz="8" w:color="A6A6A6"/>
              <w:bottom w:val="single" w:sz="8" w:color="A6A6A6"/>
            </w:tcBorders>
          </w:tcPr>
          <w:p>
            <w:pPr>
              <w:spacing w:after="0"/>
              <w:rPr>
                <w:sz w:val="13"/>
                <w:szCs w:val="13"/>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31,328</w:t>
            </w:r>
          </w:p>
        </w:tc>
      </w:tr>
      <w:tr>
        <w:trPr>
          <w:trHeight w:val="144"/>
        </w:trPr>
        <w:tc>
          <w:tcPr>
            <w:tcW w:w="6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3"/>
        </w:trPr>
        <w:tc>
          <w:tcPr>
            <w:tcW w:w="6660" w:type="dxa"/>
            <w:vAlign w:val="bottom"/>
          </w:tcPr>
          <w:p>
            <w:pPr>
              <w:spacing w:after="0"/>
              <w:rPr>
                <w:sz w:val="11"/>
                <w:szCs w:val="11"/>
                <w:color w:val="auto"/>
              </w:rPr>
            </w:pPr>
          </w:p>
        </w:tc>
        <w:tc>
          <w:tcPr>
            <w:tcW w:w="460" w:type="dxa"/>
            <w:vAlign w:val="bottom"/>
            <w:tcBorders>
              <w:bottom w:val="single" w:sz="8" w:color="004483"/>
            </w:tcBorders>
            <w:shd w:val="clear" w:color="auto" w:fill="004483"/>
          </w:tcPr>
          <w:p>
            <w:pPr>
              <w:spacing w:after="0"/>
              <w:rPr>
                <w:sz w:val="11"/>
                <w:szCs w:val="11"/>
                <w:color w:val="auto"/>
              </w:rPr>
            </w:pPr>
          </w:p>
        </w:tc>
        <w:tc>
          <w:tcPr>
            <w:tcW w:w="980" w:type="dxa"/>
            <w:vAlign w:val="bottom"/>
            <w:tcBorders>
              <w:bottom w:val="single" w:sz="8" w:color="004483"/>
            </w:tcBorders>
            <w:shd w:val="clear" w:color="auto" w:fill="004483"/>
          </w:tcPr>
          <w:p>
            <w:pPr>
              <w:spacing w:after="0"/>
              <w:rPr>
                <w:sz w:val="11"/>
                <w:szCs w:val="11"/>
                <w:color w:val="auto"/>
              </w:rPr>
            </w:pPr>
          </w:p>
        </w:tc>
        <w:tc>
          <w:tcPr>
            <w:tcW w:w="160" w:type="dxa"/>
            <w:vAlign w:val="bottom"/>
            <w:tcBorders>
              <w:bottom w:val="single" w:sz="8" w:color="004483"/>
            </w:tcBorders>
            <w:shd w:val="clear" w:color="auto" w:fill="004483"/>
          </w:tcPr>
          <w:p>
            <w:pPr>
              <w:spacing w:after="0"/>
              <w:rPr>
                <w:sz w:val="11"/>
                <w:szCs w:val="11"/>
                <w:color w:val="auto"/>
              </w:rPr>
            </w:pPr>
          </w:p>
        </w:tc>
        <w:tc>
          <w:tcPr>
            <w:tcW w:w="80" w:type="dxa"/>
            <w:vAlign w:val="bottom"/>
            <w:tcBorders>
              <w:bottom w:val="single" w:sz="8" w:color="004483"/>
            </w:tcBorders>
            <w:shd w:val="clear" w:color="auto" w:fill="004483"/>
          </w:tcPr>
          <w:p>
            <w:pPr>
              <w:spacing w:after="0"/>
              <w:rPr>
                <w:sz w:val="11"/>
                <w:szCs w:val="11"/>
                <w:color w:val="auto"/>
              </w:rPr>
            </w:pPr>
          </w:p>
        </w:tc>
        <w:tc>
          <w:tcPr>
            <w:tcW w:w="1520" w:type="dxa"/>
            <w:vAlign w:val="bottom"/>
            <w:tcBorders>
              <w:bottom w:val="single" w:sz="8" w:color="004483"/>
            </w:tcBorders>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4"/>
              </w:rPr>
              <w:t>As of March 31,</w:t>
            </w:r>
          </w:p>
        </w:tc>
        <w:tc>
          <w:tcPr>
            <w:tcW w:w="460" w:type="dxa"/>
            <w:vAlign w:val="bottom"/>
            <w:tcBorders>
              <w:bottom w:val="single" w:sz="8" w:color="004483"/>
            </w:tcBorders>
            <w:shd w:val="clear" w:color="auto" w:fill="004483"/>
          </w:tcPr>
          <w:p>
            <w:pPr>
              <w:spacing w:after="0"/>
              <w:rPr>
                <w:sz w:val="11"/>
                <w:szCs w:val="11"/>
                <w:color w:val="auto"/>
              </w:rPr>
            </w:pPr>
          </w:p>
        </w:tc>
        <w:tc>
          <w:tcPr>
            <w:tcW w:w="980" w:type="dxa"/>
            <w:vAlign w:val="bottom"/>
            <w:tcBorders>
              <w:bottom w:val="single" w:sz="8" w:color="004483"/>
            </w:tcBorders>
            <w:shd w:val="clear" w:color="auto" w:fill="004483"/>
          </w:tcPr>
          <w:p>
            <w:pPr>
              <w:spacing w:after="0"/>
              <w:rPr>
                <w:sz w:val="11"/>
                <w:szCs w:val="11"/>
                <w:color w:val="auto"/>
              </w:rPr>
            </w:pPr>
          </w:p>
        </w:tc>
      </w:tr>
      <w:tr>
        <w:trPr>
          <w:trHeight w:val="99"/>
        </w:trPr>
        <w:tc>
          <w:tcPr>
            <w:tcW w:w="6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460" w:type="dxa"/>
            <w:vAlign w:val="bottom"/>
            <w:tcBorders>
              <w:bottom w:val="single" w:sz="8" w:color="004483"/>
            </w:tcBorders>
          </w:tcPr>
          <w:p>
            <w:pPr>
              <w:spacing w:after="0"/>
              <w:rPr>
                <w:sz w:val="8"/>
                <w:szCs w:val="8"/>
                <w:color w:val="auto"/>
              </w:rPr>
            </w:pPr>
          </w:p>
        </w:tc>
        <w:tc>
          <w:tcPr>
            <w:tcW w:w="98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Identifiable Assets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3983C5"/>
              </w:rPr>
              <w:t>Cement</w:t>
            </w: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1,898,930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1,980,306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1,289,468</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AAC6"/>
              </w:rPr>
              <w:t>Concrete and Aggregates</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88,410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136,041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95,084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77943C"/>
              </w:rPr>
              <w:t>Gypsum Wallboard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366,352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375,946</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372,206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EB949"/>
              </w:rPr>
              <w:t>Paperboard</w:t>
            </w: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186,156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183,288</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138,614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B88736"/>
              </w:rPr>
              <w:t>Assets of Discontinued Operations</w:t>
            </w:r>
          </w:p>
        </w:tc>
        <w:tc>
          <w:tcPr>
            <w:tcW w:w="46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13,831</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222,890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Corporate and Other, net</w:t>
            </w: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298,833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271,608</w:t>
            </w:r>
          </w:p>
        </w:tc>
        <w:tc>
          <w:tcPr>
            <w:tcW w:w="160" w:type="dxa"/>
            <w:vAlign w:val="bottom"/>
            <w:tcBorders>
              <w:bottom w:val="single" w:sz="8" w:color="A6A6A6"/>
            </w:tcBorders>
          </w:tcPr>
          <w:p>
            <w:pPr>
              <w:spacing w:after="0"/>
              <w:rPr>
                <w:sz w:val="11"/>
                <w:szCs w:val="11"/>
                <w:color w:val="auto"/>
              </w:rPr>
            </w:pPr>
          </w:p>
        </w:tc>
        <w:tc>
          <w:tcPr>
            <w:tcW w:w="46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50,901</w:t>
            </w:r>
          </w:p>
        </w:tc>
      </w:tr>
      <w:tr>
        <w:trPr>
          <w:trHeight w:val="142"/>
        </w:trPr>
        <w:tc>
          <w:tcPr>
            <w:tcW w:w="6660" w:type="dxa"/>
            <w:vAlign w:val="bottom"/>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2,838,681</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2,961,020</w:t>
            </w:r>
          </w:p>
        </w:tc>
        <w:tc>
          <w:tcPr>
            <w:tcW w:w="160" w:type="dxa"/>
            <w:vAlign w:val="bottom"/>
          </w:tcPr>
          <w:p>
            <w:pPr>
              <w:spacing w:after="0"/>
              <w:rPr>
                <w:sz w:val="12"/>
                <w:szCs w:val="12"/>
                <w:color w:val="auto"/>
              </w:rPr>
            </w:pPr>
          </w:p>
        </w:tc>
        <w:tc>
          <w:tcPr>
            <w:tcW w:w="460" w:type="dxa"/>
            <w:vAlign w:val="bottom"/>
            <w:tcBorders>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2,169,163</w:t>
            </w: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64" w:right="299" w:bottom="1440" w:gutter="0" w:footer="0" w:header="0"/>
        </w:sectPr>
      </w:pPr>
    </w:p>
    <w:bookmarkStart w:id="83" w:name="page84"/>
    <w:bookmarkEnd w:id="83"/>
    <w:p>
      <w:pPr>
        <w:jc w:val="both"/>
        <w:ind w:right="100"/>
        <w:spacing w:after="0" w:line="271" w:lineRule="auto"/>
        <w:rPr>
          <w:sz w:val="20"/>
          <w:szCs w:val="20"/>
          <w:color w:val="auto"/>
        </w:rPr>
      </w:pPr>
      <w:r>
        <w:rPr>
          <w:rFonts w:ascii="Arial" w:cs="Arial" w:eastAsia="Arial" w:hAnsi="Arial"/>
          <w:sz w:val="12"/>
          <w:szCs w:val="12"/>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don’t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64" w:lineRule="exact"/>
        <w:rPr>
          <w:sz w:val="20"/>
          <w:szCs w:val="20"/>
          <w:color w:val="auto"/>
        </w:rPr>
      </w:pPr>
    </w:p>
    <w:p>
      <w:pPr>
        <w:ind w:right="460"/>
        <w:spacing w:after="0" w:line="277" w:lineRule="auto"/>
        <w:rPr>
          <w:sz w:val="20"/>
          <w:szCs w:val="20"/>
          <w:color w:val="auto"/>
        </w:rPr>
      </w:pPr>
      <w:r>
        <w:rPr>
          <w:rFonts w:ascii="Arial" w:cs="Arial" w:eastAsia="Arial" w:hAnsi="Arial"/>
          <w:sz w:val="12"/>
          <w:szCs w:val="12"/>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segment breakdown of Goodwill at March 31, 2021 and 2020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373"/>
              <w:spacing w:after="0"/>
              <w:rPr>
                <w:sz w:val="20"/>
                <w:szCs w:val="20"/>
                <w:color w:val="auto"/>
              </w:rPr>
            </w:pPr>
            <w:r>
              <w:rPr>
                <w:rFonts w:ascii="Arial" w:cs="Arial" w:eastAsia="Arial" w:hAnsi="Arial"/>
                <w:sz w:val="8"/>
                <w:szCs w:val="8"/>
                <w:b w:val="1"/>
                <w:bCs w:val="1"/>
                <w:color w:val="FFFFFF"/>
              </w:rPr>
              <w:t>For the Years Ended March 31,</w:t>
            </w:r>
          </w:p>
        </w:tc>
        <w:tc>
          <w:tcPr>
            <w:tcW w:w="88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jc w:val="right"/>
              <w:ind w:right="71"/>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2060" w:type="dxa"/>
            <w:vAlign w:val="bottom"/>
            <w:tcBorders>
              <w:bottom w:val="single" w:sz="8" w:color="004483"/>
            </w:tcBorders>
            <w:gridSpan w:val="3"/>
          </w:tcPr>
          <w:p>
            <w:pPr>
              <w:jc w:val="right"/>
              <w:ind w:right="573"/>
              <w:spacing w:after="0"/>
              <w:rPr>
                <w:sz w:val="20"/>
                <w:szCs w:val="20"/>
                <w:color w:val="auto"/>
              </w:rPr>
            </w:pPr>
            <w:r>
              <w:rPr>
                <w:rFonts w:ascii="Arial" w:cs="Arial" w:eastAsia="Arial" w:hAnsi="Arial"/>
                <w:sz w:val="8"/>
                <w:szCs w:val="8"/>
                <w:color w:val="auto"/>
              </w:rPr>
              <w:t>(dollars in thousands)</w:t>
            </w:r>
          </w:p>
        </w:tc>
        <w:tc>
          <w:tcPr>
            <w:tcW w:w="88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3983C5"/>
              </w:rPr>
              <w:t>Cement</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203,342</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733"/>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205,797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00AAC6"/>
              </w:rPr>
              <w:t>Concrete and Aggregates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1,639</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1,639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77943C"/>
              </w:rPr>
              <w:t>Gypsum Wallboard</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116,618</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116,618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EB949"/>
              </w:rPr>
              <w:t>Paperboard</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7,538</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004483"/>
            </w:tcBorders>
          </w:tcPr>
          <w:p>
            <w:pPr>
              <w:spacing w:after="0"/>
              <w:rPr>
                <w:sz w:val="11"/>
                <w:szCs w:val="11"/>
                <w:color w:val="auto"/>
              </w:rPr>
            </w:pPr>
          </w:p>
        </w:tc>
        <w:tc>
          <w:tcPr>
            <w:tcW w:w="88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7,538</w:t>
            </w:r>
          </w:p>
        </w:tc>
      </w:tr>
      <w:tr>
        <w:trPr>
          <w:trHeight w:val="142"/>
        </w:trPr>
        <w:tc>
          <w:tcPr>
            <w:tcW w:w="7740" w:type="dxa"/>
            <w:vAlign w:val="bottom"/>
          </w:tcPr>
          <w:p>
            <w:pPr>
              <w:spacing w:after="0"/>
              <w:rPr>
                <w:sz w:val="12"/>
                <w:szCs w:val="12"/>
                <w:color w:val="auto"/>
              </w:rPr>
            </w:pP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329,137</w:t>
            </w:r>
          </w:p>
        </w:tc>
        <w:tc>
          <w:tcPr>
            <w:tcW w:w="200" w:type="dxa"/>
            <w:vAlign w:val="bottom"/>
          </w:tcPr>
          <w:p>
            <w:pPr>
              <w:spacing w:after="0"/>
              <w:rPr>
                <w:sz w:val="12"/>
                <w:szCs w:val="12"/>
                <w:color w:val="auto"/>
              </w:rPr>
            </w:pPr>
          </w:p>
        </w:tc>
        <w:tc>
          <w:tcPr>
            <w:tcW w:w="800" w:type="dxa"/>
            <w:vAlign w:val="bottom"/>
            <w:tcBorders>
              <w:bottom w:val="single" w:sz="8" w:color="004483"/>
            </w:tcBorders>
          </w:tcPr>
          <w:p>
            <w:pPr>
              <w:jc w:val="right"/>
              <w:ind w:right="733"/>
              <w:spacing w:after="0"/>
              <w:rPr>
                <w:sz w:val="20"/>
                <w:szCs w:val="20"/>
                <w:color w:val="auto"/>
              </w:rPr>
            </w:pPr>
            <w:r>
              <w:rPr>
                <w:rFonts w:ascii="Arial" w:cs="Arial" w:eastAsia="Arial" w:hAnsi="Arial"/>
                <w:sz w:val="5"/>
                <w:szCs w:val="5"/>
                <w:b w:val="1"/>
                <w:bCs w:val="1"/>
                <w:color w:val="auto"/>
                <w:w w:val="70"/>
              </w:rPr>
              <w:t>$</w:t>
            </w:r>
          </w:p>
        </w:tc>
        <w:tc>
          <w:tcPr>
            <w:tcW w:w="88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331,592</w:t>
            </w:r>
          </w:p>
        </w:tc>
      </w:tr>
    </w:tbl>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The reduction in Goodwill in our Cement segment during fiscal 2021 was due to our finalizing the purchase price allocation related to the Kosmos Acquisition during fiscal 2021, which resulted in a lower amount of Goodwill. See Footnote (B) for more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(J)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The provision for income taxes from continuing operations includes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70"/>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Current Provision (Benefit) -</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Federal</w:t>
            </w: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67,913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30"/>
              <w:spacing w:after="0"/>
              <w:rPr>
                <w:sz w:val="20"/>
                <w:szCs w:val="20"/>
                <w:color w:val="auto"/>
              </w:rPr>
            </w:pPr>
            <w:r>
              <w:rPr>
                <w:rFonts w:ascii="Arial" w:cs="Arial" w:eastAsia="Arial" w:hAnsi="Arial"/>
                <w:sz w:val="11"/>
                <w:szCs w:val="11"/>
                <w:color w:val="auto"/>
              </w:rPr>
              <w:t>(91,304)</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53,570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State</w:t>
            </w: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9,587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color w:val="auto"/>
              </w:rPr>
              <w:t>3,004</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9,414</w:t>
            </w:r>
          </w:p>
        </w:tc>
      </w:tr>
      <w:tr>
        <w:trPr>
          <w:trHeight w:val="133"/>
        </w:trPr>
        <w:tc>
          <w:tcPr>
            <w:tcW w:w="66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77,500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30"/>
              <w:spacing w:after="0"/>
              <w:rPr>
                <w:sz w:val="20"/>
                <w:szCs w:val="20"/>
                <w:color w:val="auto"/>
              </w:rPr>
            </w:pPr>
            <w:r>
              <w:rPr>
                <w:rFonts w:ascii="Arial" w:cs="Arial" w:eastAsia="Arial" w:hAnsi="Arial"/>
                <w:sz w:val="11"/>
                <w:szCs w:val="11"/>
                <w:color w:val="auto"/>
              </w:rPr>
              <w:t>(88,300)</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62,984</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Deferred Provision (Benefit) -</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Federal</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7,207</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108,467</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(726)</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State</w:t>
            </w: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5,239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color w:val="auto"/>
              </w:rPr>
              <w:t>4,337</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(1,986)</w:t>
            </w:r>
          </w:p>
        </w:tc>
      </w:tr>
      <w:tr>
        <w:trPr>
          <w:trHeight w:val="133"/>
        </w:trPr>
        <w:tc>
          <w:tcPr>
            <w:tcW w:w="66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12,446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color w:val="auto"/>
              </w:rPr>
              <w:t>112,804</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(2,712)</w:t>
            </w:r>
          </w:p>
        </w:tc>
      </w:tr>
      <w:tr>
        <w:trPr>
          <w:trHeight w:val="142"/>
        </w:trPr>
        <w:tc>
          <w:tcPr>
            <w:tcW w:w="6660" w:type="dxa"/>
            <w:vAlign w:val="bottom"/>
          </w:tcPr>
          <w:p>
            <w:pPr>
              <w:spacing w:after="0"/>
              <w:rPr>
                <w:sz w:val="20"/>
                <w:szCs w:val="20"/>
                <w:color w:val="auto"/>
              </w:rPr>
            </w:pPr>
            <w:r>
              <w:rPr>
                <w:rFonts w:ascii="Arial" w:cs="Arial" w:eastAsia="Arial" w:hAnsi="Arial"/>
                <w:sz w:val="11"/>
                <w:szCs w:val="11"/>
                <w:b w:val="1"/>
                <w:bCs w:val="1"/>
                <w:color w:val="004483"/>
              </w:rPr>
              <w:t>Provision for Income Taxes</w:t>
            </w: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89,946</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70"/>
              <w:spacing w:after="0"/>
              <w:rPr>
                <w:sz w:val="20"/>
                <w:szCs w:val="20"/>
                <w:color w:val="auto"/>
              </w:rPr>
            </w:pPr>
            <w:r>
              <w:rPr>
                <w:rFonts w:ascii="Arial" w:cs="Arial" w:eastAsia="Arial" w:hAnsi="Arial"/>
                <w:sz w:val="11"/>
                <w:szCs w:val="11"/>
                <w:b w:val="1"/>
                <w:bCs w:val="1"/>
                <w:color w:val="auto"/>
              </w:rPr>
              <w:t>24,504</w:t>
            </w: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60,272</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84" w:name="page85"/>
    <w:bookmarkEnd w:id="84"/>
    <w:p>
      <w:pPr>
        <w:spacing w:after="0"/>
        <w:rPr>
          <w:sz w:val="20"/>
          <w:szCs w:val="20"/>
          <w:color w:val="auto"/>
        </w:rPr>
      </w:pPr>
      <w:r>
        <w:rPr>
          <w:rFonts w:ascii="Arial" w:cs="Arial" w:eastAsia="Arial" w:hAnsi="Arial"/>
          <w:sz w:val="12"/>
          <w:szCs w:val="12"/>
          <w:color w:val="auto"/>
        </w:rPr>
        <w:t>The effective tax rates vary from the federal statutory rates due to the following items: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9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0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jc w:val="right"/>
              <w:ind w:right="6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jc w:val="right"/>
              <w:ind w:right="67"/>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20" w:type="dxa"/>
            <w:vAlign w:val="bottom"/>
            <w:tcBorders>
              <w:bottom w:val="single" w:sz="8" w:color="004483"/>
            </w:tcBorders>
          </w:tcPr>
          <w:p>
            <w:pPr>
              <w:spacing w:after="0"/>
              <w:rPr>
                <w:sz w:val="8"/>
                <w:szCs w:val="8"/>
                <w:color w:val="auto"/>
              </w:rPr>
            </w:pPr>
          </w:p>
        </w:tc>
        <w:tc>
          <w:tcPr>
            <w:tcW w:w="9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50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tcPr>
          <w:p>
            <w:pPr>
              <w:spacing w:after="0"/>
              <w:rPr>
                <w:sz w:val="8"/>
                <w:szCs w:val="8"/>
                <w:color w:val="auto"/>
              </w:rPr>
            </w:pPr>
          </w:p>
        </w:tc>
      </w:tr>
      <w:tr>
        <w:trPr>
          <w:trHeight w:val="15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Earnings Before Income Taxes</w:t>
            </w:r>
          </w:p>
        </w:tc>
        <w:tc>
          <w:tcPr>
            <w:tcW w:w="520" w:type="dxa"/>
            <w:vAlign w:val="bottom"/>
            <w:tcBorders>
              <w:bottom w:val="single" w:sz="8" w:color="004483"/>
            </w:tcBorders>
          </w:tcPr>
          <w:p>
            <w:pPr>
              <w:jc w:val="right"/>
              <w:ind w:right="41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424,112</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255,695</w:t>
            </w:r>
          </w:p>
        </w:tc>
        <w:tc>
          <w:tcPr>
            <w:tcW w:w="160" w:type="dxa"/>
            <w:vAlign w:val="bottom"/>
            <w:tcBorders>
              <w:bottom w:val="single" w:sz="8" w:color="A6A6A6"/>
            </w:tcBorders>
          </w:tcPr>
          <w:p>
            <w:pPr>
              <w:spacing w:after="0"/>
              <w:rPr>
                <w:sz w:val="13"/>
                <w:szCs w:val="13"/>
                <w:color w:val="auto"/>
              </w:rPr>
            </w:pPr>
          </w:p>
        </w:tc>
        <w:tc>
          <w:tcPr>
            <w:tcW w:w="500" w:type="dxa"/>
            <w:vAlign w:val="bottom"/>
            <w:tcBorders>
              <w:bottom w:val="single" w:sz="8" w:color="004483"/>
            </w:tcBorders>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283,778</w:t>
            </w:r>
          </w:p>
        </w:tc>
      </w:tr>
      <w:tr>
        <w:trPr>
          <w:trHeight w:val="131"/>
        </w:trPr>
        <w:tc>
          <w:tcPr>
            <w:tcW w:w="666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004483"/>
              </w:rPr>
              <w:t>Income Taxes at Statutory Rate</w:t>
            </w:r>
          </w:p>
        </w:tc>
        <w:tc>
          <w:tcPr>
            <w:tcW w:w="520" w:type="dxa"/>
            <w:vAlign w:val="bottom"/>
            <w:tcBorders>
              <w:bottom w:val="single" w:sz="8" w:color="A6A6A6"/>
            </w:tcBorders>
          </w:tcPr>
          <w:p>
            <w:pPr>
              <w:jc w:val="right"/>
              <w:ind w:right="4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89,063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53,998</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59,690</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Increases (Decreases) in Tax Resulting from -</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State Income Taxes, net</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11,713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3,579</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5,868</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Statutory Depletion in Excess of Cost</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(5,263)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(3,078)</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(3,834)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Excess Tax Benefit from Stock Compensation</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(3,229)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307</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(651)</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Meals and Entertainment Disallowance</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220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537</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610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Limitation on Officers’ Compensation</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1,503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1,018</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1,434</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Impact of CARES Act of 2020</w:t>
            </w:r>
          </w:p>
        </w:tc>
        <w:tc>
          <w:tcPr>
            <w:tcW w:w="520" w:type="dxa"/>
            <w:vAlign w:val="bottom"/>
            <w:tcBorders>
              <w:bottom w:val="single" w:sz="8" w:color="A6A6A6"/>
            </w:tcBorders>
          </w:tcPr>
          <w:p>
            <w:pPr>
              <w:spacing w:after="0"/>
              <w:rPr>
                <w:sz w:val="11"/>
                <w:szCs w:val="11"/>
                <w:color w:val="auto"/>
              </w:rPr>
            </w:pPr>
          </w:p>
        </w:tc>
        <w:tc>
          <w:tcPr>
            <w:tcW w:w="108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(35,936)</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Credits</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(400)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(2,150)</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(940)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Valuation Allowance</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300</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2,212</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(2,100)</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Change in Reserves</w:t>
            </w:r>
          </w:p>
        </w:tc>
        <w:tc>
          <w:tcPr>
            <w:tcW w:w="52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(2,916)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4,200</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Other</w:t>
            </w:r>
          </w:p>
        </w:tc>
        <w:tc>
          <w:tcPr>
            <w:tcW w:w="52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(1,045)</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28"/>
              <w:spacing w:after="0"/>
              <w:rPr>
                <w:sz w:val="20"/>
                <w:szCs w:val="20"/>
                <w:color w:val="auto"/>
              </w:rPr>
            </w:pPr>
            <w:r>
              <w:rPr>
                <w:rFonts w:ascii="Arial" w:cs="Arial" w:eastAsia="Arial" w:hAnsi="Arial"/>
                <w:sz w:val="11"/>
                <w:szCs w:val="11"/>
                <w:color w:val="auto"/>
              </w:rPr>
              <w:t>(183)</w:t>
            </w: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195</w:t>
            </w:r>
          </w:p>
        </w:tc>
      </w:tr>
      <w:tr>
        <w:trPr>
          <w:trHeight w:val="15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Provision for Income Taxes</w:t>
            </w:r>
          </w:p>
        </w:tc>
        <w:tc>
          <w:tcPr>
            <w:tcW w:w="520" w:type="dxa"/>
            <w:vAlign w:val="bottom"/>
            <w:tcBorders>
              <w:bottom w:val="single" w:sz="8" w:color="004483"/>
            </w:tcBorders>
          </w:tcPr>
          <w:p>
            <w:pPr>
              <w:jc w:val="right"/>
              <w:ind w:right="41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89,946</w:t>
            </w:r>
          </w:p>
        </w:tc>
        <w:tc>
          <w:tcPr>
            <w:tcW w:w="160" w:type="dxa"/>
            <w:vAlign w:val="bottom"/>
            <w:tcBorders>
              <w:bottom w:val="single" w:sz="8" w:color="A6A6A6"/>
            </w:tcBorders>
          </w:tcPr>
          <w:p>
            <w:pPr>
              <w:spacing w:after="0"/>
              <w:rPr>
                <w:sz w:val="13"/>
                <w:szCs w:val="13"/>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24,504</w:t>
            </w:r>
          </w:p>
        </w:tc>
        <w:tc>
          <w:tcPr>
            <w:tcW w:w="160" w:type="dxa"/>
            <w:vAlign w:val="bottom"/>
            <w:tcBorders>
              <w:bottom w:val="single" w:sz="8" w:color="A6A6A6"/>
            </w:tcBorders>
          </w:tcPr>
          <w:p>
            <w:pPr>
              <w:spacing w:after="0"/>
              <w:rPr>
                <w:sz w:val="13"/>
                <w:szCs w:val="13"/>
                <w:color w:val="auto"/>
              </w:rPr>
            </w:pPr>
          </w:p>
        </w:tc>
        <w:tc>
          <w:tcPr>
            <w:tcW w:w="500" w:type="dxa"/>
            <w:vAlign w:val="bottom"/>
            <w:tcBorders>
              <w:bottom w:val="single" w:sz="8" w:color="004483"/>
            </w:tcBorders>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60,272</w:t>
            </w:r>
          </w:p>
        </w:tc>
      </w:tr>
      <w:tr>
        <w:trPr>
          <w:trHeight w:val="129"/>
        </w:trPr>
        <w:tc>
          <w:tcPr>
            <w:tcW w:w="6660" w:type="dxa"/>
            <w:vAlign w:val="bottom"/>
          </w:tcPr>
          <w:p>
            <w:pPr>
              <w:spacing w:after="0" w:line="121" w:lineRule="exact"/>
              <w:rPr>
                <w:sz w:val="20"/>
                <w:szCs w:val="20"/>
                <w:color w:val="auto"/>
              </w:rPr>
            </w:pPr>
            <w:r>
              <w:rPr>
                <w:rFonts w:ascii="Arial" w:cs="Arial" w:eastAsia="Arial" w:hAnsi="Arial"/>
                <w:sz w:val="11"/>
                <w:szCs w:val="11"/>
                <w:b w:val="1"/>
                <w:bCs w:val="1"/>
                <w:color w:val="004483"/>
              </w:rPr>
              <w:t>Effective Tax Rate</w:t>
            </w: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Components of deferred income taxes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1960" w:type="dxa"/>
            <w:vAlign w:val="bottom"/>
            <w:gridSpan w:val="3"/>
            <w:shd w:val="clear" w:color="auto" w:fill="004483"/>
          </w:tcPr>
          <w:p>
            <w:pPr>
              <w:jc w:val="right"/>
              <w:ind w:right="653"/>
              <w:spacing w:after="0"/>
              <w:rPr>
                <w:sz w:val="20"/>
                <w:szCs w:val="20"/>
                <w:color w:val="auto"/>
              </w:rPr>
            </w:pPr>
            <w:r>
              <w:rPr>
                <w:rFonts w:ascii="Arial" w:cs="Arial" w:eastAsia="Arial" w:hAnsi="Arial"/>
                <w:sz w:val="8"/>
                <w:szCs w:val="8"/>
                <w:b w:val="1"/>
                <w:bCs w:val="1"/>
                <w:color w:val="FFFFFF"/>
              </w:rPr>
              <w:t>March 31,</w:t>
            </w:r>
          </w:p>
        </w:tc>
        <w:tc>
          <w:tcPr>
            <w:tcW w:w="98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1960" w:type="dxa"/>
            <w:vAlign w:val="bottom"/>
            <w:tcBorders>
              <w:bottom w:val="single" w:sz="8" w:color="004483"/>
            </w:tcBorders>
            <w:gridSpan w:val="3"/>
          </w:tcPr>
          <w:p>
            <w:pPr>
              <w:jc w:val="right"/>
              <w:ind w:right="473"/>
              <w:spacing w:after="0"/>
              <w:rPr>
                <w:sz w:val="20"/>
                <w:szCs w:val="20"/>
                <w:color w:val="auto"/>
              </w:rPr>
            </w:pPr>
            <w:r>
              <w:rPr>
                <w:rFonts w:ascii="Arial" w:cs="Arial" w:eastAsia="Arial" w:hAnsi="Arial"/>
                <w:sz w:val="8"/>
                <w:szCs w:val="8"/>
                <w:color w:val="auto"/>
              </w:rPr>
              <w:t>(dollars in thousands)</w:t>
            </w:r>
          </w:p>
        </w:tc>
        <w:tc>
          <w:tcPr>
            <w:tcW w:w="98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Items Giving Rise to Deferred Tax Liabilities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Excess Tax Depreciation and Amortization</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(220,269)</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(199,096)</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State Income Taxes, net</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(21,923)</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(12,225)</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Depletable Assets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(3,540)</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Right-of-Use Assets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(6,271)</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(5,441)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Other</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(6,332)</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(5,764)</w:t>
            </w:r>
          </w:p>
        </w:tc>
      </w:tr>
      <w:tr>
        <w:trPr>
          <w:trHeight w:val="15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Total Deferred Tax Liabilities</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b w:val="1"/>
                <w:bCs w:val="1"/>
                <w:color w:val="auto"/>
              </w:rPr>
              <w:t>(258,335)</w:t>
            </w:r>
          </w:p>
        </w:tc>
        <w:tc>
          <w:tcPr>
            <w:tcW w:w="200" w:type="dxa"/>
            <w:vAlign w:val="bottom"/>
            <w:tcBorders>
              <w:bottom w:val="single" w:sz="8" w:color="A6A6A6"/>
            </w:tcBorders>
          </w:tcPr>
          <w:p>
            <w:pPr>
              <w:spacing w:after="0"/>
              <w:rPr>
                <w:sz w:val="13"/>
                <w:szCs w:val="13"/>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b w:val="1"/>
                <w:bCs w:val="1"/>
                <w:color w:val="auto"/>
              </w:rPr>
              <w:t>(222,526)</w:t>
            </w: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Items Giving Rise to Deferred Tax Assets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Change in Accruals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12,046</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9,373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Depletable Assets</w:t>
            </w:r>
          </w:p>
        </w:tc>
        <w:tc>
          <w:tcPr>
            <w:tcW w:w="62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12,632</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Inventory</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1,243</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7,217</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Bad Debts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1,812</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2,642</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Long-term Incentive Compensation Plan</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3,396</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5,590</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Credits and Other Carryforwards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17,338</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19,861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Lease Liability</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9,369</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11,384</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Pension</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906</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937</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Subtotal</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46,110</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69,636</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Valuation Allowance</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(13,761)</w:t>
            </w: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(13,777)</w:t>
            </w:r>
          </w:p>
        </w:tc>
      </w:tr>
      <w:tr>
        <w:trPr>
          <w:trHeight w:val="142"/>
        </w:trPr>
        <w:tc>
          <w:tcPr>
            <w:tcW w:w="7740" w:type="dxa"/>
            <w:vAlign w:val="bottom"/>
          </w:tcPr>
          <w:p>
            <w:pPr>
              <w:ind w:left="160"/>
              <w:spacing w:after="0"/>
              <w:rPr>
                <w:sz w:val="20"/>
                <w:szCs w:val="20"/>
                <w:color w:val="auto"/>
              </w:rPr>
            </w:pPr>
            <w:r>
              <w:rPr>
                <w:rFonts w:ascii="Arial" w:cs="Arial" w:eastAsia="Arial" w:hAnsi="Arial"/>
                <w:sz w:val="11"/>
                <w:szCs w:val="11"/>
                <w:b w:val="1"/>
                <w:bCs w:val="1"/>
                <w:color w:val="004483"/>
              </w:rPr>
              <w:t>Total Deferred Tax Assets</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32,349</w:t>
            </w: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55,859</w:t>
            </w:r>
          </w:p>
        </w:tc>
      </w:tr>
    </w:tbl>
    <w:p>
      <w:pPr>
        <w:spacing w:after="0" w:line="161"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We have state net operating loss carryforwards of $3.7 million at March 31, 2021, and approximately $5.4 million at March 31, 2020. We have federal Research and Development (R&amp;D) and state income tax credits of $1.1 million at March 31, 2021, and $2.2 million at March 31, 2020, net of Valuation Allowances.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The federal R&amp;D credits can be carried forward 20 years and the state income tax credits may be carried forward indefinitely.</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We file income tax returns in U.S. federal and various state jurisdictions. The Company is currently subject to U.S. federal income tax examinations for the year ended March 31, 2018 and forward.</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4483"/>
        </w:rPr>
        <w:t>Uncertain tax positions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59"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We review and assess all tax positions subject to uncertainty on a more-likely-than-not standard with respect to ultimate outcome if challenged. We measure and record tax benefit or expense only when the more-likely-than-not threshold is met. The change in unrecognized tax benefits for the years ended March 31, 2021, 2020, and 2019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660" w:type="dxa"/>
            <w:vAlign w:val="bottom"/>
          </w:tcPr>
          <w:p>
            <w:pPr>
              <w:spacing w:after="0"/>
              <w:rPr>
                <w:sz w:val="12"/>
                <w:szCs w:val="12"/>
                <w:color w:val="auto"/>
              </w:rPr>
            </w:pPr>
          </w:p>
        </w:tc>
        <w:tc>
          <w:tcPr>
            <w:tcW w:w="540" w:type="dxa"/>
            <w:vAlign w:val="bottom"/>
            <w:shd w:val="clear" w:color="auto" w:fill="004483"/>
          </w:tcPr>
          <w:p>
            <w:pPr>
              <w:spacing w:after="0"/>
              <w:rPr>
                <w:sz w:val="12"/>
                <w:szCs w:val="12"/>
                <w:color w:val="auto"/>
              </w:rPr>
            </w:pPr>
          </w:p>
        </w:tc>
        <w:tc>
          <w:tcPr>
            <w:tcW w:w="78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160" w:type="dxa"/>
            <w:vAlign w:val="bottom"/>
            <w:shd w:val="clear" w:color="auto" w:fill="004483"/>
          </w:tcPr>
          <w:p>
            <w:pPr>
              <w:spacing w:after="0"/>
              <w:rPr>
                <w:sz w:val="12"/>
                <w:szCs w:val="12"/>
                <w:color w:val="auto"/>
              </w:rPr>
            </w:pPr>
          </w:p>
        </w:tc>
        <w:tc>
          <w:tcPr>
            <w:tcW w:w="80" w:type="dxa"/>
            <w:vAlign w:val="bottom"/>
            <w:shd w:val="clear" w:color="auto" w:fill="004483"/>
          </w:tcPr>
          <w:p>
            <w:pPr>
              <w:spacing w:after="0"/>
              <w:rPr>
                <w:sz w:val="12"/>
                <w:szCs w:val="12"/>
                <w:color w:val="auto"/>
              </w:rPr>
            </w:pPr>
          </w:p>
        </w:tc>
        <w:tc>
          <w:tcPr>
            <w:tcW w:w="1520" w:type="dxa"/>
            <w:vAlign w:val="bottom"/>
            <w:gridSpan w:val="3"/>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600" w:type="dxa"/>
            <w:vAlign w:val="bottom"/>
            <w:shd w:val="clear" w:color="auto" w:fill="004483"/>
          </w:tcPr>
          <w:p>
            <w:pPr>
              <w:spacing w:after="0"/>
              <w:rPr>
                <w:sz w:val="12"/>
                <w:szCs w:val="12"/>
                <w:color w:val="auto"/>
              </w:rPr>
            </w:pPr>
          </w:p>
        </w:tc>
        <w:tc>
          <w:tcPr>
            <w:tcW w:w="72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r>
      <w:tr>
        <w:trPr>
          <w:trHeight w:val="99"/>
        </w:trPr>
        <w:tc>
          <w:tcPr>
            <w:tcW w:w="6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3"/>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600" w:type="dxa"/>
            <w:vAlign w:val="bottom"/>
            <w:tcBorders>
              <w:bottom w:val="single" w:sz="8" w:color="004483"/>
            </w:tcBorders>
          </w:tcPr>
          <w:p>
            <w:pPr>
              <w:spacing w:after="0"/>
              <w:rPr>
                <w:sz w:val="8"/>
                <w:szCs w:val="8"/>
                <w:color w:val="auto"/>
              </w:rPr>
            </w:pPr>
          </w:p>
        </w:tc>
        <w:tc>
          <w:tcPr>
            <w:tcW w:w="7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Balance at Beginning of Year</w:t>
            </w: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4,200</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Increase Related to Current Tax Positions</w:t>
            </w: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1,284</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4,200</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b w:val="1"/>
                <w:bCs w:val="1"/>
                <w:color w:val="004483"/>
              </w:rPr>
              <w:t>Decrease Related to Current Tax Positions</w:t>
            </w:r>
          </w:p>
        </w:tc>
        <w:tc>
          <w:tcPr>
            <w:tcW w:w="54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(4,200)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66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004483"/>
              </w:rPr>
              <w:t>Payments</w:t>
            </w:r>
          </w:p>
        </w:tc>
        <w:tc>
          <w:tcPr>
            <w:tcW w:w="54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80" w:type="dxa"/>
            <w:vAlign w:val="bottom"/>
            <w:tcBorders>
              <w:top w:val="single" w:sz="8" w:color="A6A6A6"/>
              <w:bottom w:val="single" w:sz="8" w:color="004483"/>
            </w:tcBorders>
          </w:tcPr>
          <w:p>
            <w:pPr>
              <w:spacing w:after="0"/>
              <w:rPr>
                <w:sz w:val="11"/>
                <w:szCs w:val="11"/>
                <w:color w:val="auto"/>
              </w:rPr>
            </w:pPr>
          </w:p>
        </w:tc>
        <w:tc>
          <w:tcPr>
            <w:tcW w:w="12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600" w:type="dxa"/>
            <w:vAlign w:val="bottom"/>
            <w:tcBorders>
              <w:top w:val="single" w:sz="8" w:color="A6A6A6"/>
              <w:bottom w:val="single" w:sz="8" w:color="004483"/>
            </w:tcBorders>
          </w:tcPr>
          <w:p>
            <w:pPr>
              <w:spacing w:after="0"/>
              <w:rPr>
                <w:sz w:val="11"/>
                <w:szCs w:val="11"/>
                <w:color w:val="auto"/>
              </w:rPr>
            </w:pPr>
          </w:p>
        </w:tc>
        <w:tc>
          <w:tcPr>
            <w:tcW w:w="7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42"/>
        </w:trPr>
        <w:tc>
          <w:tcPr>
            <w:tcW w:w="66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1,284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r>
    </w:tbl>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We recorded a $4.2 million reserve as a result of a position we took on our fiscal 2020 federal tax return, which is related to the interest limitation under IRC Section 163(j) and the resulting carryback allowed under the CARES Act. This tax return position reflected an expected update to U.S. Department of the Treasury regulations. During fiscal 2021, the U.S. Department of Treasury issued updated regulations under IRC Section 163(j). As a result, in fiscal 2021 we reversed the reserve recorded in fiscal 2020.</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We classify interest and penalties related to uncertain tax positions as current income tax expense. We recorded no interest and penalties for each of the fiscal years ended March 31, 2021, 2020, and 2019.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4483"/>
        </w:rPr>
        <w:t>Tax Cuts and Jobs Act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4483"/>
        </w:rPr>
        <w:t>CARES Act</w:t>
      </w:r>
    </w:p>
    <w:p>
      <w:pPr>
        <w:spacing w:after="0" w:line="101"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The CARES Act was enacted on March 27, 2020. The CARES Act, among other changes, allows for a five-year carryback of net operating losses (NOL) generated beginning in 2018 and ending before 2021. In March 2020, we recorded a tax benefit of $35.9 million related to the carryback and utilization of NOLs in prior-year tax periods at higher rates than the current statutory rate.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color w:val="004483"/>
        </w:rPr>
        <w:t>(K) COMMITMENTS AND CONTINGENCIES</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which are identified as potential exposures under these laws and regulations are carefully reviewed by management to determine our potential liability. Although management is not aware of any material exposures which require an accrual under generally accepted accounting principles, there can be no assurance that prior or future operations will not ultimately result in violations, claims, or other liabilities associated with these regulations.</w:t>
      </w:r>
    </w:p>
    <w:p>
      <w:pPr>
        <w:spacing w:after="0" w:line="67"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2021, we had contingent liabilities under these outstanding letters of credit of approximately $4.3 million. We previously provided an irrevocable stand-by letter of credit for any borrowings made by our Joint Venture under its credit facility; however, this credit facility was terminated and the letter of credit cancelled in July 2020.</w:t>
      </w:r>
    </w:p>
    <w:p>
      <w:pPr>
        <w:spacing w:after="0" w:line="65"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We are currently contingently liable for performance under $24.3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Other</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We have certain forward purchase contracts, primarily for natural gas, that expire during calendar 2021 and 2022. The contracts are for approximately 30% of our anticipated natural gas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55"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4483"/>
        </w:rPr>
        <w:t>(L) STOCK OPTION PLANS</w:t>
      </w:r>
    </w:p>
    <w:p>
      <w:pPr>
        <w:spacing w:after="0" w:line="102"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On August 7, 2013, our stockholders approved the Eagle Materials Inc. Amended and Restated Incentive Plan (the Plan), which increased the shares we are authorized to issue as awards by 3,000,000 (1,500,000 of which may be stock awards). Under the terms of the Plan, we may issue equity awards, including stock options, restricted stock units (RSUs), restricted stock, and stock appreciation rights to employees of the Company and members of the Board of Directors. Awards that were already outstanding prior to the approval of the Plan remained outstanding. The Compensation Committee of our Board of Directors specifies the terms for grants of equity awards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Long-Term Compensation Plans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OPTIONS</w:t>
      </w:r>
    </w:p>
    <w:p>
      <w:pPr>
        <w:spacing w:after="0" w:line="92" w:lineRule="exact"/>
        <w:rPr>
          <w:sz w:val="20"/>
          <w:szCs w:val="20"/>
          <w:color w:val="auto"/>
        </w:rPr>
      </w:pPr>
    </w:p>
    <w:p>
      <w:pPr>
        <w:ind w:right="20"/>
        <w:spacing w:after="0" w:line="267" w:lineRule="auto"/>
        <w:rPr>
          <w:sz w:val="20"/>
          <w:szCs w:val="20"/>
          <w:color w:val="auto"/>
        </w:rPr>
      </w:pPr>
      <w:r>
        <w:rPr>
          <w:rFonts w:ascii="Arial" w:cs="Arial" w:eastAsia="Arial" w:hAnsi="Arial"/>
          <w:sz w:val="12"/>
          <w:szCs w:val="12"/>
          <w:color w:val="auto"/>
        </w:rPr>
        <w:t>In May 2020, the Compensation Committee of the Board of Directors approved the granting to certain officers and key employees an aggregate of 96,476 performance vesting stock options that would be earned only if certain performance conditions were satisfied (the Fiscal 2021 Employee Performance Stock Option Grant). The performance criterion for the Fiscal 2021 Employee Performance Stock Option Grant was based upon the achievement of certain levels of return on equity (as defined in the option agreements), ranging from 10.0% to 20.0%, for the fiscal year ending March 31, 2021. All stock options would be earned if the return on equity was 20.0% or greater, and the percentage of shares earned are reduced proportionately to approximately 66.7% if the return on equity was 10.0%. If the Company does not achieve a return on equity of at least 10.0%, all stock options granted would have been forfeited. During fiscal 2021, our adjusted return on equity was approximately 20.0%; therefore, all 96,476 options were earned. The earned stock options will vest ratably over four years, with the first fourth vesting promptly following the determination date, and the remaining options vesting on March 31, 2022 through 2024. The Compensation Committee also approved the granting of 80,396 time-vesting stock options to the same officers and key employees, which vest ratably over a four-year period (the Fiscal 2021 Employee Time-Vesting Stock Option Grant). All of our stock options have a term of 10 years from the date of grant.</w:t>
      </w:r>
    </w:p>
    <w:p>
      <w:pPr>
        <w:spacing w:after="0" w:line="68"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All stock options issued during fiscal 2021 and 2020 were valued at the grant date using the Black-Scholes option pricing model. The weighted-average assumptions used in the Black-Scholes model to value the option awards in fiscal 2021 and 2020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000" w:type="dxa"/>
            <w:vAlign w:val="bottom"/>
            <w:tcBorders>
              <w:bottom w:val="single" w:sz="8" w:color="004483"/>
            </w:tcBorders>
          </w:tcPr>
          <w:p>
            <w:pPr>
              <w:spacing w:after="0"/>
              <w:rPr>
                <w:sz w:val="8"/>
                <w:szCs w:val="8"/>
                <w:color w:val="auto"/>
              </w:rPr>
            </w:pPr>
          </w:p>
        </w:tc>
        <w:tc>
          <w:tcPr>
            <w:tcW w:w="5100" w:type="dxa"/>
            <w:vAlign w:val="bottom"/>
            <w:tcBorders>
              <w:bottom w:val="single" w:sz="8" w:color="004483"/>
            </w:tcBorders>
          </w:tcPr>
          <w:p>
            <w:pPr>
              <w:jc w:val="right"/>
              <w:ind w:right="748"/>
              <w:spacing w:after="0"/>
              <w:rPr>
                <w:sz w:val="20"/>
                <w:szCs w:val="20"/>
                <w:color w:val="auto"/>
              </w:rPr>
            </w:pPr>
            <w:r>
              <w:rPr>
                <w:rFonts w:ascii="Arial" w:cs="Arial" w:eastAsia="Arial" w:hAnsi="Arial"/>
                <w:sz w:val="8"/>
                <w:szCs w:val="8"/>
                <w:b w:val="1"/>
                <w:bCs w:val="1"/>
                <w:color w:val="auto"/>
              </w:rPr>
              <w:t>2021</w:t>
            </w:r>
          </w:p>
        </w:tc>
        <w:tc>
          <w:tcPr>
            <w:tcW w:w="1200" w:type="dxa"/>
            <w:vAlign w:val="bottom"/>
            <w:tcBorders>
              <w:bottom w:val="single" w:sz="8" w:color="004483"/>
            </w:tcBorders>
          </w:tcPr>
          <w:p>
            <w:pPr>
              <w:jc w:val="right"/>
              <w:ind w:right="68"/>
              <w:spacing w:after="0"/>
              <w:rPr>
                <w:sz w:val="20"/>
                <w:szCs w:val="20"/>
                <w:color w:val="auto"/>
              </w:rPr>
            </w:pPr>
            <w:r>
              <w:rPr>
                <w:rFonts w:ascii="Arial" w:cs="Arial" w:eastAsia="Arial" w:hAnsi="Arial"/>
                <w:sz w:val="8"/>
                <w:szCs w:val="8"/>
                <w:b w:val="1"/>
                <w:bCs w:val="1"/>
                <w:color w:val="auto"/>
              </w:rPr>
              <w:t>2020</w:t>
            </w:r>
          </w:p>
        </w:tc>
      </w:tr>
      <w:tr>
        <w:trPr>
          <w:trHeight w:val="131"/>
        </w:trPr>
        <w:tc>
          <w:tcPr>
            <w:tcW w:w="50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Dividend Yield</w:t>
            </w:r>
          </w:p>
        </w:tc>
        <w:tc>
          <w:tcPr>
            <w:tcW w:w="5100" w:type="dxa"/>
            <w:vAlign w:val="bottom"/>
            <w:tcBorders>
              <w:bottom w:val="single" w:sz="8" w:color="A6A6A6"/>
            </w:tcBorders>
          </w:tcPr>
          <w:p>
            <w:pPr>
              <w:jc w:val="right"/>
              <w:ind w:right="648"/>
              <w:spacing w:after="0"/>
              <w:rPr>
                <w:sz w:val="20"/>
                <w:szCs w:val="20"/>
                <w:color w:val="auto"/>
              </w:rPr>
            </w:pPr>
            <w:r>
              <w:rPr>
                <w:rFonts w:ascii="Arial" w:cs="Arial" w:eastAsia="Arial" w:hAnsi="Arial"/>
                <w:sz w:val="11"/>
                <w:szCs w:val="11"/>
                <w:color w:val="auto"/>
              </w:rPr>
              <w:t>0.0%</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w:t>
            </w:r>
          </w:p>
        </w:tc>
      </w:tr>
      <w:tr>
        <w:trPr>
          <w:trHeight w:val="133"/>
        </w:trPr>
        <w:tc>
          <w:tcPr>
            <w:tcW w:w="50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Expected Volatility</w:t>
            </w:r>
          </w:p>
        </w:tc>
        <w:tc>
          <w:tcPr>
            <w:tcW w:w="5100" w:type="dxa"/>
            <w:vAlign w:val="bottom"/>
            <w:tcBorders>
              <w:bottom w:val="single" w:sz="8" w:color="A6A6A6"/>
            </w:tcBorders>
          </w:tcPr>
          <w:p>
            <w:pPr>
              <w:jc w:val="right"/>
              <w:ind w:right="648"/>
              <w:spacing w:after="0"/>
              <w:rPr>
                <w:sz w:val="20"/>
                <w:szCs w:val="20"/>
                <w:color w:val="auto"/>
              </w:rPr>
            </w:pPr>
            <w:r>
              <w:rPr>
                <w:rFonts w:ascii="Arial" w:cs="Arial" w:eastAsia="Arial" w:hAnsi="Arial"/>
                <w:sz w:val="11"/>
                <w:szCs w:val="11"/>
                <w:color w:val="auto"/>
              </w:rPr>
              <w:t>37.9%</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31.4%</w:t>
            </w:r>
          </w:p>
        </w:tc>
      </w:tr>
      <w:tr>
        <w:trPr>
          <w:trHeight w:val="133"/>
        </w:trPr>
        <w:tc>
          <w:tcPr>
            <w:tcW w:w="50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Risk-Free Interest Rate</w:t>
            </w:r>
          </w:p>
        </w:tc>
        <w:tc>
          <w:tcPr>
            <w:tcW w:w="5100" w:type="dxa"/>
            <w:vAlign w:val="bottom"/>
            <w:tcBorders>
              <w:bottom w:val="single" w:sz="8" w:color="A6A6A6"/>
            </w:tcBorders>
          </w:tcPr>
          <w:p>
            <w:pPr>
              <w:jc w:val="right"/>
              <w:ind w:right="648"/>
              <w:spacing w:after="0"/>
              <w:rPr>
                <w:sz w:val="20"/>
                <w:szCs w:val="20"/>
                <w:color w:val="auto"/>
              </w:rPr>
            </w:pPr>
            <w:r>
              <w:rPr>
                <w:rFonts w:ascii="Arial" w:cs="Arial" w:eastAsia="Arial" w:hAnsi="Arial"/>
                <w:sz w:val="11"/>
                <w:szCs w:val="11"/>
                <w:color w:val="auto"/>
              </w:rPr>
              <w:t>0.44%</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2.31%</w:t>
            </w:r>
          </w:p>
        </w:tc>
      </w:tr>
      <w:tr>
        <w:trPr>
          <w:trHeight w:val="133"/>
        </w:trPr>
        <w:tc>
          <w:tcPr>
            <w:tcW w:w="50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Expected Life</w:t>
            </w:r>
          </w:p>
        </w:tc>
        <w:tc>
          <w:tcPr>
            <w:tcW w:w="5100" w:type="dxa"/>
            <w:vAlign w:val="bottom"/>
            <w:tcBorders>
              <w:bottom w:val="single" w:sz="8" w:color="A6A6A6"/>
            </w:tcBorders>
          </w:tcPr>
          <w:p>
            <w:pPr>
              <w:jc w:val="right"/>
              <w:ind w:right="748"/>
              <w:spacing w:after="0"/>
              <w:rPr>
                <w:sz w:val="20"/>
                <w:szCs w:val="20"/>
                <w:color w:val="auto"/>
              </w:rPr>
            </w:pPr>
            <w:r>
              <w:rPr>
                <w:rFonts w:ascii="Arial" w:cs="Arial" w:eastAsia="Arial" w:hAnsi="Arial"/>
                <w:sz w:val="11"/>
                <w:szCs w:val="11"/>
                <w:color w:val="auto"/>
              </w:rPr>
              <w:t>6.0 years</w:t>
            </w:r>
          </w:p>
        </w:tc>
        <w:tc>
          <w:tcPr>
            <w:tcW w:w="12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6.0 years</w:t>
            </w: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88" w:name="page89"/>
    <w:bookmarkEnd w:id="88"/>
    <w:p>
      <w:pPr>
        <w:ind w:right="260"/>
        <w:spacing w:after="0" w:line="277" w:lineRule="auto"/>
        <w:rPr>
          <w:sz w:val="20"/>
          <w:szCs w:val="20"/>
          <w:color w:val="auto"/>
        </w:rPr>
      </w:pPr>
      <w:r>
        <w:rPr>
          <w:rFonts w:ascii="Arial" w:cs="Arial" w:eastAsia="Arial" w:hAnsi="Arial"/>
          <w:sz w:val="12"/>
          <w:szCs w:val="12"/>
          <w:color w:val="auto"/>
        </w:rPr>
        <w:t>Stock option expense for all outstanding stock option awards was approximately $4.9 million, $4.5 million, and $3.8 million for the years ended March 31, 2021, 2020, and 2019, respectively. At March 31, 2021, there was approximately $7.0 million of unrecognized compensation cost related to outstanding stock options, which is expected to be recognized over a weighted-average period of 2.4 years.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stock option activity for the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4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240" w:type="dxa"/>
            <w:vAlign w:val="bottom"/>
            <w:gridSpan w:val="8"/>
            <w:shd w:val="clear" w:color="auto" w:fill="004483"/>
          </w:tcPr>
          <w:p>
            <w:pPr>
              <w:ind w:left="460"/>
              <w:spacing w:after="0"/>
              <w:rPr>
                <w:sz w:val="20"/>
                <w:szCs w:val="20"/>
                <w:color w:val="auto"/>
              </w:rPr>
            </w:pPr>
            <w:r>
              <w:rPr>
                <w:rFonts w:ascii="Arial" w:cs="Arial" w:eastAsia="Arial" w:hAnsi="Arial"/>
                <w:sz w:val="8"/>
                <w:szCs w:val="8"/>
                <w:b w:val="1"/>
                <w:bCs w:val="1"/>
                <w:color w:val="FFFFFF"/>
              </w:rPr>
              <w:t>For the Years Ended March 31,</w:t>
            </w:r>
          </w:p>
        </w:tc>
        <w:tc>
          <w:tcPr>
            <w:tcW w:w="9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34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r>
      <w:tr>
        <w:trPr>
          <w:trHeight w:val="99"/>
        </w:trPr>
        <w:tc>
          <w:tcPr>
            <w:tcW w:w="4680" w:type="dxa"/>
            <w:vAlign w:val="bottom"/>
          </w:tcPr>
          <w:p>
            <w:pPr>
              <w:spacing w:after="0"/>
              <w:rPr>
                <w:sz w:val="8"/>
                <w:szCs w:val="8"/>
                <w:color w:val="auto"/>
              </w:rPr>
            </w:pPr>
          </w:p>
        </w:tc>
        <w:tc>
          <w:tcPr>
            <w:tcW w:w="40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gridSpan w:val="3"/>
          </w:tcPr>
          <w:p>
            <w:pPr>
              <w:jc w:val="right"/>
              <w:spacing w:after="0"/>
              <w:rPr>
                <w:sz w:val="20"/>
                <w:szCs w:val="20"/>
                <w:color w:val="auto"/>
              </w:rPr>
            </w:pPr>
            <w:r>
              <w:rPr>
                <w:rFonts w:ascii="Arial" w:cs="Arial" w:eastAsia="Arial" w:hAnsi="Arial"/>
                <w:sz w:val="8"/>
                <w:szCs w:val="8"/>
                <w:b w:val="1"/>
                <w:bCs w:val="1"/>
                <w:color w:val="auto"/>
              </w:rPr>
              <w:t>2021</w:t>
            </w:r>
          </w:p>
        </w:tc>
        <w:tc>
          <w:tcPr>
            <w:tcW w:w="520" w:type="dxa"/>
            <w:vAlign w:val="bottom"/>
            <w:tcBorders>
              <w:bottom w:val="single" w:sz="8" w:color="004483"/>
            </w:tcBorders>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58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8"/>
                <w:szCs w:val="8"/>
                <w:b w:val="1"/>
                <w:bCs w:val="1"/>
                <w:color w:val="auto"/>
              </w:rPr>
              <w:t>2020</w:t>
            </w:r>
          </w:p>
        </w:tc>
        <w:tc>
          <w:tcPr>
            <w:tcW w:w="18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004483"/>
            </w:tcBorders>
            <w:gridSpan w:val="3"/>
          </w:tcPr>
          <w:p>
            <w:pPr>
              <w:jc w:val="right"/>
              <w:spacing w:after="0"/>
              <w:rPr>
                <w:sz w:val="20"/>
                <w:szCs w:val="20"/>
                <w:color w:val="auto"/>
              </w:rPr>
            </w:pPr>
            <w:r>
              <w:rPr>
                <w:rFonts w:ascii="Arial" w:cs="Arial" w:eastAsia="Arial" w:hAnsi="Arial"/>
                <w:sz w:val="8"/>
                <w:szCs w:val="8"/>
                <w:b w:val="1"/>
                <w:bCs w:val="1"/>
                <w:color w:val="auto"/>
              </w:rPr>
              <w:t>2019</w:t>
            </w:r>
          </w:p>
        </w:tc>
        <w:tc>
          <w:tcPr>
            <w:tcW w:w="34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r>
      <w:tr>
        <w:trPr>
          <w:trHeight w:val="77"/>
        </w:trPr>
        <w:tc>
          <w:tcPr>
            <w:tcW w:w="4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jc w:val="right"/>
              <w:ind w:right="71"/>
              <w:spacing w:after="0" w:line="78" w:lineRule="exact"/>
              <w:rPr>
                <w:sz w:val="20"/>
                <w:szCs w:val="20"/>
                <w:color w:val="auto"/>
              </w:rPr>
            </w:pPr>
            <w:r>
              <w:rPr>
                <w:rFonts w:ascii="Arial" w:cs="Arial" w:eastAsia="Arial" w:hAnsi="Arial"/>
                <w:sz w:val="8"/>
                <w:szCs w:val="8"/>
                <w:b w:val="1"/>
                <w:bCs w:val="1"/>
                <w:color w:val="auto"/>
                <w:w w:val="92"/>
              </w:rPr>
              <w:t>Weighted-</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3"/>
          </w:tcPr>
          <w:p>
            <w:pPr>
              <w:jc w:val="right"/>
              <w:ind w:right="100"/>
              <w:spacing w:after="0" w:line="78" w:lineRule="exact"/>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jc w:val="right"/>
              <w:ind w:right="71"/>
              <w:spacing w:after="0" w:line="78" w:lineRule="exact"/>
              <w:rPr>
                <w:sz w:val="20"/>
                <w:szCs w:val="20"/>
                <w:color w:val="auto"/>
              </w:rPr>
            </w:pPr>
            <w:r>
              <w:rPr>
                <w:rFonts w:ascii="Arial" w:cs="Arial" w:eastAsia="Arial" w:hAnsi="Arial"/>
                <w:sz w:val="8"/>
                <w:szCs w:val="8"/>
                <w:b w:val="1"/>
                <w:bCs w:val="1"/>
                <w:color w:val="auto"/>
              </w:rPr>
              <w:t>Weighted-</w:t>
            </w:r>
          </w:p>
        </w:tc>
      </w:tr>
      <w:tr>
        <w:trPr>
          <w:trHeight w:val="90"/>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rPr>
              <w:t>Average</w:t>
            </w: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4"/>
          </w:tcPr>
          <w:p>
            <w:pPr>
              <w:jc w:val="right"/>
              <w:ind w:right="220"/>
              <w:spacing w:after="0" w:line="90" w:lineRule="exact"/>
              <w:rPr>
                <w:sz w:val="20"/>
                <w:szCs w:val="20"/>
                <w:color w:val="auto"/>
              </w:rPr>
            </w:pPr>
            <w:r>
              <w:rPr>
                <w:rFonts w:ascii="Arial" w:cs="Arial" w:eastAsia="Arial" w:hAnsi="Arial"/>
                <w:sz w:val="8"/>
                <w:szCs w:val="8"/>
                <w:b w:val="1"/>
                <w:bCs w:val="1"/>
                <w:color w:val="auto"/>
              </w:rPr>
              <w:t>Average</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Average</w:t>
            </w:r>
          </w:p>
        </w:tc>
      </w:tr>
      <w:tr>
        <w:trPr>
          <w:trHeight w:val="90"/>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ind w:right="78"/>
              <w:spacing w:after="0" w:line="90" w:lineRule="exact"/>
              <w:rPr>
                <w:sz w:val="20"/>
                <w:szCs w:val="20"/>
                <w:color w:val="auto"/>
              </w:rPr>
            </w:pPr>
            <w:r>
              <w:rPr>
                <w:rFonts w:ascii="Arial" w:cs="Arial" w:eastAsia="Arial" w:hAnsi="Arial"/>
                <w:sz w:val="8"/>
                <w:szCs w:val="8"/>
                <w:b w:val="1"/>
                <w:bCs w:val="1"/>
                <w:color w:val="auto"/>
              </w:rPr>
              <w:t>Number</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rPr>
              <w:t>Exercise</w:t>
            </w:r>
          </w:p>
        </w:tc>
        <w:tc>
          <w:tcPr>
            <w:tcW w:w="540" w:type="dxa"/>
            <w:vAlign w:val="bottom"/>
          </w:tcPr>
          <w:p>
            <w:pPr>
              <w:spacing w:after="0"/>
              <w:rPr>
                <w:sz w:val="7"/>
                <w:szCs w:val="7"/>
                <w:color w:val="auto"/>
              </w:rPr>
            </w:pPr>
          </w:p>
        </w:tc>
        <w:tc>
          <w:tcPr>
            <w:tcW w:w="58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rPr>
              <w:t>Number</w:t>
            </w:r>
          </w:p>
        </w:tc>
        <w:tc>
          <w:tcPr>
            <w:tcW w:w="180" w:type="dxa"/>
            <w:vAlign w:val="bottom"/>
          </w:tcPr>
          <w:p>
            <w:pPr>
              <w:spacing w:after="0"/>
              <w:rPr>
                <w:sz w:val="7"/>
                <w:szCs w:val="7"/>
                <w:color w:val="auto"/>
              </w:rPr>
            </w:pPr>
          </w:p>
        </w:tc>
        <w:tc>
          <w:tcPr>
            <w:tcW w:w="940" w:type="dxa"/>
            <w:vAlign w:val="bottom"/>
            <w:gridSpan w:val="4"/>
          </w:tcPr>
          <w:p>
            <w:pPr>
              <w:jc w:val="right"/>
              <w:ind w:right="220"/>
              <w:spacing w:after="0" w:line="90" w:lineRule="exact"/>
              <w:rPr>
                <w:sz w:val="20"/>
                <w:szCs w:val="20"/>
                <w:color w:val="auto"/>
              </w:rPr>
            </w:pPr>
            <w:r>
              <w:rPr>
                <w:rFonts w:ascii="Arial" w:cs="Arial" w:eastAsia="Arial" w:hAnsi="Arial"/>
                <w:sz w:val="8"/>
                <w:szCs w:val="8"/>
                <w:b w:val="1"/>
                <w:bCs w:val="1"/>
                <w:color w:val="auto"/>
              </w:rPr>
              <w:t>Exercise</w:t>
            </w:r>
          </w:p>
        </w:tc>
        <w:tc>
          <w:tcPr>
            <w:tcW w:w="102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Number</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Exercise</w:t>
            </w:r>
          </w:p>
        </w:tc>
      </w:tr>
      <w:tr>
        <w:trPr>
          <w:trHeight w:val="101"/>
        </w:trPr>
        <w:tc>
          <w:tcPr>
            <w:tcW w:w="4680" w:type="dxa"/>
            <w:vAlign w:val="bottom"/>
            <w:tcBorders>
              <w:bottom w:val="single" w:sz="8" w:color="004483"/>
            </w:tcBorders>
          </w:tcPr>
          <w:p>
            <w:pPr>
              <w:spacing w:after="0"/>
              <w:rPr>
                <w:sz w:val="8"/>
                <w:szCs w:val="8"/>
                <w:color w:val="auto"/>
              </w:rPr>
            </w:pPr>
          </w:p>
        </w:tc>
        <w:tc>
          <w:tcPr>
            <w:tcW w:w="4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480" w:type="dxa"/>
            <w:vAlign w:val="bottom"/>
            <w:tcBorders>
              <w:bottom w:val="single" w:sz="8" w:color="004483"/>
            </w:tcBorders>
          </w:tcPr>
          <w:p>
            <w:pPr>
              <w:jc w:val="right"/>
              <w:ind w:right="78"/>
              <w:spacing w:after="0"/>
              <w:rPr>
                <w:sz w:val="20"/>
                <w:szCs w:val="20"/>
                <w:color w:val="auto"/>
              </w:rPr>
            </w:pPr>
            <w:r>
              <w:rPr>
                <w:rFonts w:ascii="Arial" w:cs="Arial" w:eastAsia="Arial" w:hAnsi="Arial"/>
                <w:sz w:val="8"/>
                <w:szCs w:val="8"/>
                <w:b w:val="1"/>
                <w:bCs w:val="1"/>
                <w:color w:val="auto"/>
                <w:w w:val="93"/>
              </w:rPr>
              <w:t>of Shares</w:t>
            </w:r>
          </w:p>
        </w:tc>
        <w:tc>
          <w:tcPr>
            <w:tcW w:w="100" w:type="dxa"/>
            <w:vAlign w:val="bottom"/>
            <w:tcBorders>
              <w:bottom w:val="single" w:sz="8" w:color="004483"/>
            </w:tcBorders>
          </w:tcPr>
          <w:p>
            <w:pPr>
              <w:spacing w:after="0"/>
              <w:rPr>
                <w:sz w:val="8"/>
                <w:szCs w:val="8"/>
                <w:color w:val="auto"/>
              </w:rPr>
            </w:pPr>
          </w:p>
        </w:tc>
        <w:tc>
          <w:tcPr>
            <w:tcW w:w="52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gridSpan w:val="2"/>
          </w:tcPr>
          <w:p>
            <w:pPr>
              <w:jc w:val="right"/>
              <w:ind w:right="220"/>
              <w:spacing w:after="0"/>
              <w:rPr>
                <w:sz w:val="20"/>
                <w:szCs w:val="20"/>
                <w:color w:val="auto"/>
              </w:rPr>
            </w:pPr>
            <w:r>
              <w:rPr>
                <w:rFonts w:ascii="Arial" w:cs="Arial" w:eastAsia="Arial" w:hAnsi="Arial"/>
                <w:sz w:val="8"/>
                <w:szCs w:val="8"/>
                <w:b w:val="1"/>
                <w:bCs w:val="1"/>
                <w:color w:val="auto"/>
              </w:rPr>
              <w:t>Price</w:t>
            </w:r>
          </w:p>
        </w:tc>
        <w:tc>
          <w:tcPr>
            <w:tcW w:w="540" w:type="dxa"/>
            <w:vAlign w:val="bottom"/>
            <w:tcBorders>
              <w:bottom w:val="single" w:sz="8" w:color="004483"/>
            </w:tcBorders>
          </w:tcPr>
          <w:p>
            <w:pPr>
              <w:spacing w:after="0"/>
              <w:rPr>
                <w:sz w:val="8"/>
                <w:szCs w:val="8"/>
                <w:color w:val="auto"/>
              </w:rPr>
            </w:pPr>
          </w:p>
        </w:tc>
        <w:tc>
          <w:tcPr>
            <w:tcW w:w="580" w:type="dxa"/>
            <w:vAlign w:val="bottom"/>
            <w:tcBorders>
              <w:bottom w:val="single" w:sz="8" w:color="004483"/>
            </w:tcBorders>
            <w:gridSpan w:val="2"/>
          </w:tcPr>
          <w:p>
            <w:pPr>
              <w:jc w:val="right"/>
              <w:ind w:right="220"/>
              <w:spacing w:after="0"/>
              <w:rPr>
                <w:sz w:val="20"/>
                <w:szCs w:val="20"/>
                <w:color w:val="auto"/>
              </w:rPr>
            </w:pPr>
            <w:r>
              <w:rPr>
                <w:rFonts w:ascii="Arial" w:cs="Arial" w:eastAsia="Arial" w:hAnsi="Arial"/>
                <w:sz w:val="8"/>
                <w:szCs w:val="8"/>
                <w:b w:val="1"/>
                <w:bCs w:val="1"/>
                <w:color w:val="auto"/>
                <w:w w:val="93"/>
              </w:rPr>
              <w:t>of Shares</w:t>
            </w:r>
          </w:p>
        </w:tc>
        <w:tc>
          <w:tcPr>
            <w:tcW w:w="18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gridSpan w:val="4"/>
          </w:tcPr>
          <w:p>
            <w:pPr>
              <w:jc w:val="right"/>
              <w:ind w:right="220"/>
              <w:spacing w:after="0"/>
              <w:rPr>
                <w:sz w:val="20"/>
                <w:szCs w:val="20"/>
                <w:color w:val="auto"/>
              </w:rPr>
            </w:pPr>
            <w:r>
              <w:rPr>
                <w:rFonts w:ascii="Arial" w:cs="Arial" w:eastAsia="Arial" w:hAnsi="Arial"/>
                <w:sz w:val="8"/>
                <w:szCs w:val="8"/>
                <w:b w:val="1"/>
                <w:bCs w:val="1"/>
                <w:color w:val="auto"/>
              </w:rPr>
              <w:t>Price</w:t>
            </w:r>
          </w:p>
        </w:tc>
        <w:tc>
          <w:tcPr>
            <w:tcW w:w="1020" w:type="dxa"/>
            <w:vAlign w:val="bottom"/>
            <w:tcBorders>
              <w:bottom w:val="single" w:sz="8" w:color="004483"/>
            </w:tcBorders>
            <w:gridSpan w:val="2"/>
          </w:tcPr>
          <w:p>
            <w:pPr>
              <w:jc w:val="right"/>
              <w:ind w:right="120"/>
              <w:spacing w:after="0"/>
              <w:rPr>
                <w:sz w:val="20"/>
                <w:szCs w:val="20"/>
                <w:color w:val="auto"/>
              </w:rPr>
            </w:pPr>
            <w:r>
              <w:rPr>
                <w:rFonts w:ascii="Arial" w:cs="Arial" w:eastAsia="Arial" w:hAnsi="Arial"/>
                <w:sz w:val="8"/>
                <w:szCs w:val="8"/>
                <w:b w:val="1"/>
                <w:bCs w:val="1"/>
                <w:color w:val="auto"/>
              </w:rPr>
              <w:t>of Shares</w:t>
            </w:r>
          </w:p>
        </w:tc>
        <w:tc>
          <w:tcPr>
            <w:tcW w:w="1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jc w:val="right"/>
              <w:ind w:right="71"/>
              <w:spacing w:after="0"/>
              <w:rPr>
                <w:sz w:val="20"/>
                <w:szCs w:val="20"/>
                <w:color w:val="auto"/>
              </w:rPr>
            </w:pPr>
            <w:r>
              <w:rPr>
                <w:rFonts w:ascii="Arial" w:cs="Arial" w:eastAsia="Arial" w:hAnsi="Arial"/>
                <w:sz w:val="8"/>
                <w:szCs w:val="8"/>
                <w:b w:val="1"/>
                <w:bCs w:val="1"/>
                <w:color w:val="auto"/>
              </w:rPr>
              <w:t>Price</w:t>
            </w:r>
          </w:p>
        </w:tc>
      </w:tr>
      <w:tr>
        <w:trPr>
          <w:trHeight w:val="131"/>
        </w:trPr>
        <w:tc>
          <w:tcPr>
            <w:tcW w:w="508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Outstanding Options at Beginning of Year</w:t>
            </w:r>
          </w:p>
        </w:tc>
        <w:tc>
          <w:tcPr>
            <w:tcW w:w="600" w:type="dxa"/>
            <w:vAlign w:val="bottom"/>
            <w:tcBorders>
              <w:bottom w:val="single" w:sz="8" w:color="A6A6A6"/>
            </w:tcBorders>
            <w:gridSpan w:val="2"/>
          </w:tcPr>
          <w:p>
            <w:pPr>
              <w:jc w:val="right"/>
              <w:ind w:right="78"/>
              <w:spacing w:after="0"/>
              <w:rPr>
                <w:sz w:val="20"/>
                <w:szCs w:val="20"/>
                <w:color w:val="auto"/>
              </w:rPr>
            </w:pPr>
            <w:r>
              <w:rPr>
                <w:rFonts w:ascii="Arial" w:cs="Arial" w:eastAsia="Arial" w:hAnsi="Arial"/>
                <w:sz w:val="11"/>
                <w:szCs w:val="11"/>
                <w:color w:val="auto"/>
                <w:w w:val="93"/>
              </w:rPr>
              <w:t>1,160,091</w:t>
            </w:r>
          </w:p>
        </w:tc>
        <w:tc>
          <w:tcPr>
            <w:tcW w:w="620" w:type="dxa"/>
            <w:vAlign w:val="bottom"/>
            <w:tcBorders>
              <w:bottom w:val="single" w:sz="8" w:color="A6A6A6"/>
            </w:tcBorders>
            <w:gridSpan w:val="2"/>
          </w:tcPr>
          <w:p>
            <w:pPr>
              <w:jc w:val="right"/>
              <w:ind w:right="41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80.36</w:t>
            </w:r>
          </w:p>
        </w:tc>
        <w:tc>
          <w:tcPr>
            <w:tcW w:w="10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gridSpan w:val="2"/>
          </w:tcPr>
          <w:p>
            <w:pPr>
              <w:jc w:val="right"/>
              <w:ind w:right="69"/>
              <w:spacing w:after="0"/>
              <w:rPr>
                <w:sz w:val="20"/>
                <w:szCs w:val="20"/>
                <w:color w:val="auto"/>
              </w:rPr>
            </w:pPr>
            <w:r>
              <w:rPr>
                <w:rFonts w:ascii="Arial" w:cs="Arial" w:eastAsia="Arial" w:hAnsi="Arial"/>
                <w:sz w:val="11"/>
                <w:szCs w:val="11"/>
                <w:color w:val="auto"/>
              </w:rPr>
              <w:t>1,042,925</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76.88</w:t>
            </w:r>
          </w:p>
        </w:tc>
        <w:tc>
          <w:tcPr>
            <w:tcW w:w="1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gridSpan w:val="2"/>
          </w:tcPr>
          <w:p>
            <w:pPr>
              <w:jc w:val="right"/>
              <w:ind w:right="120"/>
              <w:spacing w:after="0"/>
              <w:rPr>
                <w:sz w:val="20"/>
                <w:szCs w:val="20"/>
                <w:color w:val="auto"/>
              </w:rPr>
            </w:pPr>
            <w:r>
              <w:rPr>
                <w:rFonts w:ascii="Arial" w:cs="Arial" w:eastAsia="Arial" w:hAnsi="Arial"/>
                <w:sz w:val="11"/>
                <w:szCs w:val="11"/>
                <w:color w:val="auto"/>
              </w:rPr>
              <w:t>958,136</w:t>
            </w:r>
          </w:p>
        </w:tc>
        <w:tc>
          <w:tcPr>
            <w:tcW w:w="440" w:type="dxa"/>
            <w:vAlign w:val="bottom"/>
            <w:tcBorders>
              <w:bottom w:val="single" w:sz="8" w:color="A6A6A6"/>
            </w:tcBorders>
            <w:gridSpan w:val="2"/>
          </w:tcPr>
          <w:p>
            <w:pPr>
              <w:jc w:val="right"/>
              <w:ind w:right="231"/>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72.52</w:t>
            </w:r>
          </w:p>
        </w:tc>
      </w:tr>
      <w:tr>
        <w:trPr>
          <w:trHeight w:val="133"/>
        </w:trPr>
        <w:tc>
          <w:tcPr>
            <w:tcW w:w="508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Granted</w:t>
            </w:r>
          </w:p>
        </w:tc>
        <w:tc>
          <w:tcPr>
            <w:tcW w:w="600" w:type="dxa"/>
            <w:vAlign w:val="bottom"/>
            <w:tcBorders>
              <w:bottom w:val="single" w:sz="8" w:color="A6A6A6"/>
            </w:tcBorders>
            <w:gridSpan w:val="2"/>
          </w:tcPr>
          <w:p>
            <w:pPr>
              <w:jc w:val="right"/>
              <w:ind w:right="78"/>
              <w:spacing w:after="0"/>
              <w:rPr>
                <w:sz w:val="20"/>
                <w:szCs w:val="20"/>
                <w:color w:val="auto"/>
              </w:rPr>
            </w:pPr>
            <w:r>
              <w:rPr>
                <w:rFonts w:ascii="Arial" w:cs="Arial" w:eastAsia="Arial" w:hAnsi="Arial"/>
                <w:sz w:val="11"/>
                <w:szCs w:val="11"/>
                <w:color w:val="auto"/>
              </w:rPr>
              <w:t>187,121</w:t>
            </w:r>
          </w:p>
        </w:tc>
        <w:tc>
          <w:tcPr>
            <w:tcW w:w="620" w:type="dxa"/>
            <w:vAlign w:val="bottom"/>
            <w:tcBorders>
              <w:bottom w:val="single" w:sz="8" w:color="A6A6A6"/>
            </w:tcBorders>
            <w:gridSpan w:val="2"/>
          </w:tcPr>
          <w:p>
            <w:pPr>
              <w:jc w:val="right"/>
              <w:ind w:right="41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61.92</w:t>
            </w: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w w:val="85"/>
              </w:rPr>
              <w:t>187,375</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91.58</w:t>
            </w:r>
          </w:p>
        </w:tc>
        <w:tc>
          <w:tcPr>
            <w:tcW w:w="1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gridSpan w:val="2"/>
          </w:tcPr>
          <w:p>
            <w:pPr>
              <w:jc w:val="right"/>
              <w:ind w:right="120"/>
              <w:spacing w:after="0"/>
              <w:rPr>
                <w:sz w:val="20"/>
                <w:szCs w:val="20"/>
                <w:color w:val="auto"/>
              </w:rPr>
            </w:pPr>
            <w:r>
              <w:rPr>
                <w:rFonts w:ascii="Arial" w:cs="Arial" w:eastAsia="Arial" w:hAnsi="Arial"/>
                <w:sz w:val="11"/>
                <w:szCs w:val="11"/>
                <w:color w:val="auto"/>
              </w:rPr>
              <w:t>125,734</w:t>
            </w:r>
          </w:p>
        </w:tc>
        <w:tc>
          <w:tcPr>
            <w:tcW w:w="440" w:type="dxa"/>
            <w:vAlign w:val="bottom"/>
            <w:tcBorders>
              <w:bottom w:val="single" w:sz="8" w:color="A6A6A6"/>
            </w:tcBorders>
            <w:gridSpan w:val="2"/>
          </w:tcPr>
          <w:p>
            <w:pPr>
              <w:jc w:val="right"/>
              <w:ind w:right="231"/>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103.53</w:t>
            </w:r>
          </w:p>
        </w:tc>
      </w:tr>
      <w:tr>
        <w:trPr>
          <w:trHeight w:val="133"/>
        </w:trPr>
        <w:tc>
          <w:tcPr>
            <w:tcW w:w="508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Exercised</w:t>
            </w:r>
          </w:p>
        </w:tc>
        <w:tc>
          <w:tcPr>
            <w:tcW w:w="600" w:type="dxa"/>
            <w:vAlign w:val="bottom"/>
            <w:tcBorders>
              <w:bottom w:val="single" w:sz="8" w:color="A6A6A6"/>
            </w:tcBorders>
            <w:gridSpan w:val="2"/>
          </w:tcPr>
          <w:p>
            <w:pPr>
              <w:jc w:val="right"/>
              <w:ind w:right="38"/>
              <w:spacing w:after="0"/>
              <w:rPr>
                <w:sz w:val="20"/>
                <w:szCs w:val="20"/>
                <w:color w:val="auto"/>
              </w:rPr>
            </w:pPr>
            <w:r>
              <w:rPr>
                <w:rFonts w:ascii="Arial" w:cs="Arial" w:eastAsia="Arial" w:hAnsi="Arial"/>
                <w:sz w:val="11"/>
                <w:szCs w:val="11"/>
                <w:color w:val="auto"/>
              </w:rPr>
              <w:t>(623,617)</w:t>
            </w:r>
          </w:p>
        </w:tc>
        <w:tc>
          <w:tcPr>
            <w:tcW w:w="620" w:type="dxa"/>
            <w:vAlign w:val="bottom"/>
            <w:tcBorders>
              <w:bottom w:val="single" w:sz="8" w:color="A6A6A6"/>
            </w:tcBorders>
            <w:gridSpan w:val="2"/>
          </w:tcPr>
          <w:p>
            <w:pPr>
              <w:jc w:val="right"/>
              <w:ind w:right="41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70.57</w:t>
            </w: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jc w:val="right"/>
              <w:ind w:right="29"/>
              <w:spacing w:after="0"/>
              <w:rPr>
                <w:sz w:val="20"/>
                <w:szCs w:val="20"/>
                <w:color w:val="auto"/>
              </w:rPr>
            </w:pPr>
            <w:r>
              <w:rPr>
                <w:rFonts w:ascii="Arial" w:cs="Arial" w:eastAsia="Arial" w:hAnsi="Arial"/>
                <w:sz w:val="11"/>
                <w:szCs w:val="11"/>
                <w:color w:val="auto"/>
                <w:w w:val="92"/>
              </w:rPr>
              <w:t>(62,326)</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88.28</w:t>
            </w:r>
          </w:p>
        </w:tc>
        <w:tc>
          <w:tcPr>
            <w:tcW w:w="1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gridSpan w:val="2"/>
          </w:tcPr>
          <w:p>
            <w:pPr>
              <w:jc w:val="right"/>
              <w:ind w:right="80"/>
              <w:spacing w:after="0"/>
              <w:rPr>
                <w:sz w:val="20"/>
                <w:szCs w:val="20"/>
                <w:color w:val="auto"/>
              </w:rPr>
            </w:pPr>
            <w:r>
              <w:rPr>
                <w:rFonts w:ascii="Arial" w:cs="Arial" w:eastAsia="Arial" w:hAnsi="Arial"/>
                <w:sz w:val="11"/>
                <w:szCs w:val="11"/>
                <w:color w:val="auto"/>
              </w:rPr>
              <w:t>(38,748)</w:t>
            </w:r>
          </w:p>
        </w:tc>
        <w:tc>
          <w:tcPr>
            <w:tcW w:w="440" w:type="dxa"/>
            <w:vAlign w:val="bottom"/>
            <w:tcBorders>
              <w:bottom w:val="single" w:sz="8" w:color="A6A6A6"/>
            </w:tcBorders>
            <w:gridSpan w:val="2"/>
          </w:tcPr>
          <w:p>
            <w:pPr>
              <w:jc w:val="right"/>
              <w:ind w:right="231"/>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54.27</w:t>
            </w:r>
          </w:p>
        </w:tc>
      </w:tr>
      <w:tr>
        <w:trPr>
          <w:trHeight w:val="133"/>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Cancelled</w:t>
            </w:r>
          </w:p>
        </w:tc>
        <w:tc>
          <w:tcPr>
            <w:tcW w:w="400" w:type="dxa"/>
            <w:vAlign w:val="bottom"/>
            <w:tcBorders>
              <w:bottom w:val="single" w:sz="8" w:color="004483"/>
            </w:tcBorders>
          </w:tcPr>
          <w:p>
            <w:pPr>
              <w:spacing w:after="0"/>
              <w:rPr>
                <w:sz w:val="11"/>
                <w:szCs w:val="11"/>
                <w:color w:val="auto"/>
              </w:rPr>
            </w:pPr>
          </w:p>
        </w:tc>
        <w:tc>
          <w:tcPr>
            <w:tcW w:w="600" w:type="dxa"/>
            <w:vAlign w:val="bottom"/>
            <w:tcBorders>
              <w:bottom w:val="single" w:sz="8" w:color="004483"/>
            </w:tcBorders>
            <w:gridSpan w:val="2"/>
          </w:tcPr>
          <w:p>
            <w:pPr>
              <w:jc w:val="right"/>
              <w:ind w:right="38"/>
              <w:spacing w:after="0"/>
              <w:rPr>
                <w:sz w:val="20"/>
                <w:szCs w:val="20"/>
                <w:color w:val="auto"/>
              </w:rPr>
            </w:pPr>
            <w:r>
              <w:rPr>
                <w:rFonts w:ascii="Arial" w:cs="Arial" w:eastAsia="Arial" w:hAnsi="Arial"/>
                <w:sz w:val="11"/>
                <w:szCs w:val="11"/>
                <w:color w:val="auto"/>
              </w:rPr>
              <w:t>(15,094)</w:t>
            </w:r>
          </w:p>
        </w:tc>
        <w:tc>
          <w:tcPr>
            <w:tcW w:w="100" w:type="dxa"/>
            <w:vAlign w:val="bottom"/>
            <w:tcBorders>
              <w:bottom w:val="single" w:sz="8" w:color="A6A6A6"/>
            </w:tcBorders>
          </w:tcPr>
          <w:p>
            <w:pPr>
              <w:spacing w:after="0"/>
              <w:rPr>
                <w:sz w:val="11"/>
                <w:szCs w:val="11"/>
                <w:color w:val="auto"/>
              </w:rPr>
            </w:pPr>
          </w:p>
        </w:tc>
        <w:tc>
          <w:tcPr>
            <w:tcW w:w="520" w:type="dxa"/>
            <w:vAlign w:val="bottom"/>
            <w:tcBorders>
              <w:bottom w:val="single" w:sz="8" w:color="004483"/>
            </w:tcBorders>
          </w:tcPr>
          <w:p>
            <w:pPr>
              <w:jc w:val="right"/>
              <w:ind w:right="41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92.51</w:t>
            </w: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480" w:type="dxa"/>
            <w:vAlign w:val="bottom"/>
            <w:tcBorders>
              <w:bottom w:val="single" w:sz="8" w:color="004483"/>
            </w:tcBorders>
          </w:tcPr>
          <w:p>
            <w:pPr>
              <w:jc w:val="right"/>
              <w:ind w:right="29"/>
              <w:spacing w:after="0"/>
              <w:rPr>
                <w:sz w:val="20"/>
                <w:szCs w:val="20"/>
                <w:color w:val="auto"/>
              </w:rPr>
            </w:pPr>
            <w:r>
              <w:rPr>
                <w:rFonts w:ascii="Arial" w:cs="Arial" w:eastAsia="Arial" w:hAnsi="Arial"/>
                <w:sz w:val="11"/>
                <w:szCs w:val="11"/>
                <w:color w:val="auto"/>
              </w:rPr>
              <w:t>(7,883)</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004483"/>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1"/>
                <w:szCs w:val="11"/>
                <w:color w:val="auto"/>
              </w:rPr>
              <w:t>102.69</w:t>
            </w:r>
          </w:p>
        </w:tc>
        <w:tc>
          <w:tcPr>
            <w:tcW w:w="100" w:type="dxa"/>
            <w:vAlign w:val="bottom"/>
            <w:tcBorders>
              <w:bottom w:val="single" w:sz="8" w:color="004483"/>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20" w:type="dxa"/>
            <w:vAlign w:val="bottom"/>
            <w:tcBorders>
              <w:bottom w:val="single" w:sz="8" w:color="004483"/>
            </w:tcBorders>
            <w:gridSpan w:val="2"/>
          </w:tcPr>
          <w:p>
            <w:pPr>
              <w:jc w:val="right"/>
              <w:ind w:right="80"/>
              <w:spacing w:after="0"/>
              <w:rPr>
                <w:sz w:val="20"/>
                <w:szCs w:val="20"/>
                <w:color w:val="auto"/>
              </w:rPr>
            </w:pPr>
            <w:r>
              <w:rPr>
                <w:rFonts w:ascii="Arial" w:cs="Arial" w:eastAsia="Arial" w:hAnsi="Arial"/>
                <w:sz w:val="11"/>
                <w:szCs w:val="11"/>
                <w:color w:val="auto"/>
              </w:rPr>
              <w:t>(2,197)</w:t>
            </w:r>
          </w:p>
        </w:tc>
        <w:tc>
          <w:tcPr>
            <w:tcW w:w="100" w:type="dxa"/>
            <w:vAlign w:val="bottom"/>
            <w:tcBorders>
              <w:bottom w:val="single" w:sz="8" w:color="A6A6A6"/>
            </w:tcBorders>
          </w:tcPr>
          <w:p>
            <w:pPr>
              <w:spacing w:after="0"/>
              <w:rPr>
                <w:sz w:val="11"/>
                <w:szCs w:val="11"/>
                <w:color w:val="auto"/>
              </w:rPr>
            </w:pPr>
          </w:p>
        </w:tc>
        <w:tc>
          <w:tcPr>
            <w:tcW w:w="340" w:type="dxa"/>
            <w:vAlign w:val="bottom"/>
            <w:tcBorders>
              <w:bottom w:val="single" w:sz="8" w:color="004483"/>
            </w:tcBorders>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100.88</w:t>
            </w:r>
          </w:p>
        </w:tc>
      </w:tr>
      <w:tr>
        <w:trPr>
          <w:trHeight w:val="155"/>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Outstanding Options at End of Year</w:t>
            </w:r>
          </w:p>
        </w:tc>
        <w:tc>
          <w:tcPr>
            <w:tcW w:w="400" w:type="dxa"/>
            <w:vAlign w:val="bottom"/>
            <w:tcBorders>
              <w:bottom w:val="single" w:sz="8" w:color="004483"/>
            </w:tcBorders>
          </w:tcPr>
          <w:p>
            <w:pPr>
              <w:spacing w:after="0"/>
              <w:rPr>
                <w:sz w:val="13"/>
                <w:szCs w:val="13"/>
                <w:color w:val="auto"/>
              </w:rPr>
            </w:pPr>
          </w:p>
        </w:tc>
        <w:tc>
          <w:tcPr>
            <w:tcW w:w="600" w:type="dxa"/>
            <w:vAlign w:val="bottom"/>
            <w:tcBorders>
              <w:bottom w:val="single" w:sz="8" w:color="004483"/>
            </w:tcBorders>
            <w:gridSpan w:val="2"/>
          </w:tcPr>
          <w:p>
            <w:pPr>
              <w:jc w:val="right"/>
              <w:ind w:right="78"/>
              <w:spacing w:after="0"/>
              <w:rPr>
                <w:sz w:val="20"/>
                <w:szCs w:val="20"/>
                <w:color w:val="auto"/>
              </w:rPr>
            </w:pPr>
            <w:r>
              <w:rPr>
                <w:rFonts w:ascii="Arial" w:cs="Arial" w:eastAsia="Arial" w:hAnsi="Arial"/>
                <w:sz w:val="11"/>
                <w:szCs w:val="11"/>
                <w:b w:val="1"/>
                <w:bCs w:val="1"/>
                <w:color w:val="auto"/>
              </w:rPr>
              <w:t>708,501</w:t>
            </w:r>
          </w:p>
        </w:tc>
        <w:tc>
          <w:tcPr>
            <w:tcW w:w="620" w:type="dxa"/>
            <w:vAlign w:val="bottom"/>
            <w:tcBorders>
              <w:bottom w:val="single" w:sz="8" w:color="A6A6A6"/>
            </w:tcBorders>
            <w:gridSpan w:val="2"/>
          </w:tcPr>
          <w:p>
            <w:pPr>
              <w:jc w:val="right"/>
              <w:ind w:right="41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83.85</w:t>
            </w:r>
          </w:p>
        </w:tc>
        <w:tc>
          <w:tcPr>
            <w:tcW w:w="100" w:type="dxa"/>
            <w:vAlign w:val="bottom"/>
            <w:tcBorders>
              <w:bottom w:val="single" w:sz="8" w:color="A6A6A6"/>
            </w:tcBorders>
          </w:tcPr>
          <w:p>
            <w:pPr>
              <w:spacing w:after="0"/>
              <w:rPr>
                <w:sz w:val="13"/>
                <w:szCs w:val="13"/>
                <w:color w:val="auto"/>
              </w:rPr>
            </w:pPr>
          </w:p>
        </w:tc>
        <w:tc>
          <w:tcPr>
            <w:tcW w:w="1020" w:type="dxa"/>
            <w:vAlign w:val="bottom"/>
            <w:tcBorders>
              <w:bottom w:val="single" w:sz="8" w:color="004483"/>
            </w:tcBorders>
            <w:gridSpan w:val="2"/>
          </w:tcPr>
          <w:p>
            <w:pPr>
              <w:jc w:val="right"/>
              <w:ind w:right="69"/>
              <w:spacing w:after="0"/>
              <w:rPr>
                <w:sz w:val="20"/>
                <w:szCs w:val="20"/>
                <w:color w:val="auto"/>
              </w:rPr>
            </w:pPr>
            <w:r>
              <w:rPr>
                <w:rFonts w:ascii="Arial" w:cs="Arial" w:eastAsia="Arial" w:hAnsi="Arial"/>
                <w:sz w:val="11"/>
                <w:szCs w:val="11"/>
                <w:b w:val="1"/>
                <w:bCs w:val="1"/>
                <w:color w:val="auto"/>
              </w:rPr>
              <w:t>1,160,091</w:t>
            </w:r>
          </w:p>
        </w:tc>
        <w:tc>
          <w:tcPr>
            <w:tcW w:w="10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80.36</w:t>
            </w:r>
          </w:p>
        </w:tc>
        <w:tc>
          <w:tcPr>
            <w:tcW w:w="100" w:type="dxa"/>
            <w:vAlign w:val="bottom"/>
            <w:tcBorders>
              <w:bottom w:val="single" w:sz="8" w:color="A6A6A6"/>
            </w:tcBorders>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1020" w:type="dxa"/>
            <w:vAlign w:val="bottom"/>
            <w:tcBorders>
              <w:bottom w:val="single" w:sz="8" w:color="004483"/>
            </w:tcBorders>
            <w:gridSpan w:val="2"/>
          </w:tcPr>
          <w:p>
            <w:pPr>
              <w:jc w:val="right"/>
              <w:ind w:right="120"/>
              <w:spacing w:after="0"/>
              <w:rPr>
                <w:sz w:val="20"/>
                <w:szCs w:val="20"/>
                <w:color w:val="auto"/>
              </w:rPr>
            </w:pPr>
            <w:r>
              <w:rPr>
                <w:rFonts w:ascii="Arial" w:cs="Arial" w:eastAsia="Arial" w:hAnsi="Arial"/>
                <w:sz w:val="11"/>
                <w:szCs w:val="11"/>
                <w:b w:val="1"/>
                <w:bCs w:val="1"/>
                <w:color w:val="auto"/>
              </w:rPr>
              <w:t>1,042,925</w:t>
            </w:r>
          </w:p>
        </w:tc>
        <w:tc>
          <w:tcPr>
            <w:tcW w:w="440" w:type="dxa"/>
            <w:vAlign w:val="bottom"/>
            <w:tcBorders>
              <w:bottom w:val="single" w:sz="8" w:color="A6A6A6"/>
            </w:tcBorders>
            <w:gridSpan w:val="2"/>
          </w:tcPr>
          <w:p>
            <w:pPr>
              <w:jc w:val="right"/>
              <w:ind w:right="231"/>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76.88</w:t>
            </w:r>
          </w:p>
        </w:tc>
      </w:tr>
      <w:tr>
        <w:trPr>
          <w:trHeight w:val="149"/>
        </w:trPr>
        <w:tc>
          <w:tcPr>
            <w:tcW w:w="468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004483"/>
              </w:rPr>
              <w:t>Options Exercisable at End of Year</w:t>
            </w:r>
          </w:p>
        </w:tc>
        <w:tc>
          <w:tcPr>
            <w:tcW w:w="400" w:type="dxa"/>
            <w:vAlign w:val="bottom"/>
            <w:tcBorders>
              <w:bottom w:val="single" w:sz="8" w:color="004483"/>
            </w:tcBorders>
          </w:tcPr>
          <w:p>
            <w:pPr>
              <w:spacing w:after="0"/>
              <w:rPr>
                <w:sz w:val="12"/>
                <w:szCs w:val="12"/>
                <w:color w:val="auto"/>
              </w:rPr>
            </w:pPr>
          </w:p>
        </w:tc>
        <w:tc>
          <w:tcPr>
            <w:tcW w:w="600" w:type="dxa"/>
            <w:vAlign w:val="bottom"/>
            <w:tcBorders>
              <w:bottom w:val="single" w:sz="8" w:color="004483"/>
            </w:tcBorders>
            <w:gridSpan w:val="2"/>
          </w:tcPr>
          <w:p>
            <w:pPr>
              <w:jc w:val="right"/>
              <w:ind w:right="78"/>
              <w:spacing w:after="0"/>
              <w:rPr>
                <w:sz w:val="20"/>
                <w:szCs w:val="20"/>
                <w:color w:val="auto"/>
              </w:rPr>
            </w:pPr>
            <w:r>
              <w:rPr>
                <w:rFonts w:ascii="Arial" w:cs="Arial" w:eastAsia="Arial" w:hAnsi="Arial"/>
                <w:sz w:val="11"/>
                <w:szCs w:val="11"/>
                <w:b w:val="1"/>
                <w:bCs w:val="1"/>
                <w:color w:val="auto"/>
              </w:rPr>
              <w:t>416,817</w:t>
            </w:r>
          </w:p>
        </w:tc>
        <w:tc>
          <w:tcPr>
            <w:tcW w:w="100" w:type="dxa"/>
            <w:vAlign w:val="bottom"/>
            <w:tcBorders>
              <w:bottom w:val="single" w:sz="8" w:color="A6A6A6"/>
            </w:tcBorders>
          </w:tcPr>
          <w:p>
            <w:pPr>
              <w:spacing w:after="0"/>
              <w:rPr>
                <w:sz w:val="12"/>
                <w:szCs w:val="12"/>
                <w:color w:val="auto"/>
              </w:rPr>
            </w:pPr>
          </w:p>
        </w:tc>
        <w:tc>
          <w:tcPr>
            <w:tcW w:w="520" w:type="dxa"/>
            <w:vAlign w:val="bottom"/>
            <w:tcBorders>
              <w:bottom w:val="single" w:sz="8" w:color="A6A6A6"/>
            </w:tcBorders>
          </w:tcPr>
          <w:p>
            <w:pPr>
              <w:spacing w:after="0"/>
              <w:rPr>
                <w:sz w:val="12"/>
                <w:szCs w:val="12"/>
                <w:color w:val="auto"/>
              </w:rPr>
            </w:pPr>
          </w:p>
        </w:tc>
        <w:tc>
          <w:tcPr>
            <w:tcW w:w="50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540" w:type="dxa"/>
            <w:vAlign w:val="bottom"/>
            <w:tcBorders>
              <w:bottom w:val="single" w:sz="8" w:color="004483"/>
            </w:tcBorders>
          </w:tcPr>
          <w:p>
            <w:pPr>
              <w:spacing w:after="0"/>
              <w:rPr>
                <w:sz w:val="12"/>
                <w:szCs w:val="12"/>
                <w:color w:val="auto"/>
              </w:rPr>
            </w:pPr>
          </w:p>
        </w:tc>
        <w:tc>
          <w:tcPr>
            <w:tcW w:w="480" w:type="dxa"/>
            <w:vAlign w:val="bottom"/>
            <w:tcBorders>
              <w:bottom w:val="single" w:sz="8" w:color="004483"/>
            </w:tcBorders>
          </w:tcPr>
          <w:p>
            <w:pPr>
              <w:jc w:val="right"/>
              <w:ind w:right="69"/>
              <w:spacing w:after="0"/>
              <w:rPr>
                <w:sz w:val="20"/>
                <w:szCs w:val="20"/>
                <w:color w:val="auto"/>
              </w:rPr>
            </w:pPr>
            <w:r>
              <w:rPr>
                <w:rFonts w:ascii="Arial" w:cs="Arial" w:eastAsia="Arial" w:hAnsi="Arial"/>
                <w:sz w:val="11"/>
                <w:szCs w:val="11"/>
                <w:b w:val="1"/>
                <w:bCs w:val="1"/>
                <w:color w:val="auto"/>
                <w:w w:val="85"/>
              </w:rPr>
              <w:t>868,081</w:t>
            </w:r>
          </w:p>
        </w:tc>
        <w:tc>
          <w:tcPr>
            <w:tcW w:w="10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6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020" w:type="dxa"/>
            <w:vAlign w:val="bottom"/>
            <w:tcBorders>
              <w:bottom w:val="single" w:sz="8" w:color="004483"/>
            </w:tcBorders>
            <w:gridSpan w:val="2"/>
          </w:tcPr>
          <w:p>
            <w:pPr>
              <w:jc w:val="right"/>
              <w:ind w:right="120"/>
              <w:spacing w:after="0"/>
              <w:rPr>
                <w:sz w:val="20"/>
                <w:szCs w:val="20"/>
                <w:color w:val="auto"/>
              </w:rPr>
            </w:pPr>
            <w:r>
              <w:rPr>
                <w:rFonts w:ascii="Arial" w:cs="Arial" w:eastAsia="Arial" w:hAnsi="Arial"/>
                <w:sz w:val="11"/>
                <w:szCs w:val="11"/>
                <w:b w:val="1"/>
                <w:bCs w:val="1"/>
                <w:color w:val="auto"/>
              </w:rPr>
              <w:t>761,564</w:t>
            </w:r>
          </w:p>
        </w:tc>
        <w:tc>
          <w:tcPr>
            <w:tcW w:w="100" w:type="dxa"/>
            <w:vAlign w:val="bottom"/>
            <w:tcBorders>
              <w:bottom w:val="single" w:sz="8" w:color="A6A6A6"/>
            </w:tcBorders>
          </w:tcPr>
          <w:p>
            <w:pPr>
              <w:spacing w:after="0"/>
              <w:rPr>
                <w:sz w:val="12"/>
                <w:szCs w:val="12"/>
                <w:color w:val="auto"/>
              </w:rPr>
            </w:pPr>
          </w:p>
        </w:tc>
        <w:tc>
          <w:tcPr>
            <w:tcW w:w="34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r>
      <w:tr>
        <w:trPr>
          <w:trHeight w:val="115"/>
        </w:trPr>
        <w:tc>
          <w:tcPr>
            <w:tcW w:w="4680" w:type="dxa"/>
            <w:vAlign w:val="bottom"/>
          </w:tcPr>
          <w:p>
            <w:pPr>
              <w:spacing w:after="0" w:line="115" w:lineRule="exact"/>
              <w:rPr>
                <w:sz w:val="20"/>
                <w:szCs w:val="20"/>
                <w:color w:val="auto"/>
              </w:rPr>
            </w:pPr>
            <w:r>
              <w:rPr>
                <w:rFonts w:ascii="Arial" w:cs="Arial" w:eastAsia="Arial" w:hAnsi="Arial"/>
                <w:sz w:val="11"/>
                <w:szCs w:val="11"/>
                <w:b w:val="1"/>
                <w:bCs w:val="1"/>
                <w:color w:val="004483"/>
              </w:rPr>
              <w:t>Weighted-Average Fair Value of Options Granted</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42"/>
        </w:trPr>
        <w:tc>
          <w:tcPr>
            <w:tcW w:w="508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during the Year</w:t>
            </w:r>
          </w:p>
        </w:tc>
        <w:tc>
          <w:tcPr>
            <w:tcW w:w="120" w:type="dxa"/>
            <w:vAlign w:val="bottom"/>
            <w:tcBorders>
              <w:bottom w:val="single" w:sz="8" w:color="A6A6A6"/>
            </w:tcBorders>
          </w:tcPr>
          <w:p>
            <w:pPr>
              <w:spacing w:after="0"/>
              <w:rPr>
                <w:sz w:val="12"/>
                <w:szCs w:val="12"/>
                <w:color w:val="auto"/>
              </w:rPr>
            </w:pPr>
          </w:p>
        </w:tc>
        <w:tc>
          <w:tcPr>
            <w:tcW w:w="480" w:type="dxa"/>
            <w:vAlign w:val="bottom"/>
            <w:tcBorders>
              <w:bottom w:val="single" w:sz="8" w:color="A6A6A6"/>
            </w:tcBorders>
          </w:tcPr>
          <w:p>
            <w:pPr>
              <w:spacing w:after="0"/>
              <w:rPr>
                <w:sz w:val="12"/>
                <w:szCs w:val="12"/>
                <w:color w:val="auto"/>
              </w:rPr>
            </w:pPr>
          </w:p>
        </w:tc>
        <w:tc>
          <w:tcPr>
            <w:tcW w:w="620" w:type="dxa"/>
            <w:vAlign w:val="bottom"/>
            <w:tcBorders>
              <w:bottom w:val="single" w:sz="8" w:color="A6A6A6"/>
            </w:tcBorders>
            <w:gridSpan w:val="2"/>
          </w:tcPr>
          <w:p>
            <w:pPr>
              <w:jc w:val="right"/>
              <w:ind w:right="41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22.68</w:t>
            </w:r>
          </w:p>
        </w:tc>
        <w:tc>
          <w:tcPr>
            <w:tcW w:w="100" w:type="dxa"/>
            <w:vAlign w:val="bottom"/>
            <w:tcBorders>
              <w:bottom w:val="single" w:sz="8" w:color="A6A6A6"/>
            </w:tcBorders>
          </w:tcPr>
          <w:p>
            <w:pPr>
              <w:spacing w:after="0"/>
              <w:rPr>
                <w:sz w:val="12"/>
                <w:szCs w:val="12"/>
                <w:color w:val="auto"/>
              </w:rPr>
            </w:pPr>
          </w:p>
        </w:tc>
        <w:tc>
          <w:tcPr>
            <w:tcW w:w="540" w:type="dxa"/>
            <w:vAlign w:val="bottom"/>
            <w:tcBorders>
              <w:bottom w:val="single" w:sz="8" w:color="A6A6A6"/>
            </w:tcBorders>
          </w:tcPr>
          <w:p>
            <w:pPr>
              <w:spacing w:after="0"/>
              <w:rPr>
                <w:sz w:val="12"/>
                <w:szCs w:val="12"/>
                <w:color w:val="auto"/>
              </w:rPr>
            </w:pPr>
          </w:p>
        </w:tc>
        <w:tc>
          <w:tcPr>
            <w:tcW w:w="48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1"/>
                <w:szCs w:val="11"/>
                <w:color w:val="auto"/>
              </w:rPr>
              <w:t>27.35</w:t>
            </w:r>
          </w:p>
        </w:tc>
        <w:tc>
          <w:tcPr>
            <w:tcW w:w="1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9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440" w:type="dxa"/>
            <w:vAlign w:val="bottom"/>
            <w:tcBorders>
              <w:bottom w:val="single" w:sz="8" w:color="A6A6A6"/>
            </w:tcBorders>
            <w:gridSpan w:val="2"/>
          </w:tcPr>
          <w:p>
            <w:pPr>
              <w:jc w:val="right"/>
              <w:ind w:right="231"/>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33.11</w:t>
            </w:r>
          </w:p>
        </w:tc>
      </w:tr>
      <w:tr>
        <w:trPr>
          <w:trHeight w:val="342"/>
        </w:trPr>
        <w:tc>
          <w:tcPr>
            <w:tcW w:w="5080" w:type="dxa"/>
            <w:vAlign w:val="bottom"/>
            <w:gridSpan w:val="2"/>
          </w:tcPr>
          <w:p>
            <w:pPr>
              <w:spacing w:after="0"/>
              <w:rPr>
                <w:sz w:val="20"/>
                <w:szCs w:val="20"/>
                <w:color w:val="auto"/>
              </w:rPr>
            </w:pPr>
            <w:r>
              <w:rPr>
                <w:rFonts w:ascii="Arial" w:cs="Arial" w:eastAsia="Arial" w:hAnsi="Arial"/>
                <w:sz w:val="12"/>
                <w:szCs w:val="12"/>
                <w:color w:val="auto"/>
                <w:w w:val="99"/>
              </w:rPr>
              <w:t>The following table summarizes information about stock options outstanding at March 31, 2021: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4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r>
      <w:tr>
        <w:trPr>
          <w:trHeight w:val="153"/>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1140" w:type="dxa"/>
            <w:vAlign w:val="bottom"/>
            <w:gridSpan w:val="3"/>
            <w:shd w:val="clear" w:color="auto" w:fill="004483"/>
          </w:tcPr>
          <w:p>
            <w:pPr>
              <w:jc w:val="right"/>
              <w:ind w:right="72"/>
              <w:spacing w:after="0"/>
              <w:rPr>
                <w:sz w:val="20"/>
                <w:szCs w:val="20"/>
                <w:color w:val="auto"/>
              </w:rPr>
            </w:pPr>
            <w:r>
              <w:rPr>
                <w:rFonts w:ascii="Arial" w:cs="Arial" w:eastAsia="Arial" w:hAnsi="Arial"/>
                <w:sz w:val="8"/>
                <w:szCs w:val="8"/>
                <w:b w:val="1"/>
                <w:bCs w:val="1"/>
                <w:color w:val="FFFFFF"/>
              </w:rPr>
              <w:t>Options Outstanding</w:t>
            </w:r>
          </w:p>
        </w:tc>
        <w:tc>
          <w:tcPr>
            <w:tcW w:w="4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460" w:type="dxa"/>
            <w:vAlign w:val="bottom"/>
            <w:gridSpan w:val="4"/>
            <w:shd w:val="clear" w:color="auto" w:fill="004483"/>
          </w:tcPr>
          <w:p>
            <w:pPr>
              <w:jc w:val="right"/>
              <w:ind w:right="151"/>
              <w:spacing w:after="0"/>
              <w:rPr>
                <w:sz w:val="20"/>
                <w:szCs w:val="20"/>
                <w:color w:val="auto"/>
              </w:rPr>
            </w:pPr>
            <w:r>
              <w:rPr>
                <w:rFonts w:ascii="Arial" w:cs="Arial" w:eastAsia="Arial" w:hAnsi="Arial"/>
                <w:sz w:val="8"/>
                <w:szCs w:val="8"/>
                <w:b w:val="1"/>
                <w:bCs w:val="1"/>
                <w:color w:val="FFFFFF"/>
              </w:rPr>
              <w:t>Options Exercisable</w:t>
            </w:r>
          </w:p>
        </w:tc>
        <w:tc>
          <w:tcPr>
            <w:tcW w:w="700" w:type="dxa"/>
            <w:vAlign w:val="bottom"/>
            <w:shd w:val="clear" w:color="auto" w:fill="004483"/>
          </w:tcPr>
          <w:p>
            <w:pPr>
              <w:spacing w:after="0"/>
              <w:rPr>
                <w:sz w:val="13"/>
                <w:szCs w:val="13"/>
                <w:color w:val="auto"/>
              </w:rPr>
            </w:pPr>
          </w:p>
        </w:tc>
      </w:tr>
      <w:tr>
        <w:trPr>
          <w:trHeight w:val="88"/>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Weighted-</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90"/>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Average</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4"/>
          </w:tcPr>
          <w:p>
            <w:pPr>
              <w:jc w:val="right"/>
              <w:ind w:right="460"/>
              <w:spacing w:after="0" w:line="90" w:lineRule="exact"/>
              <w:rPr>
                <w:sz w:val="20"/>
                <w:szCs w:val="20"/>
                <w:color w:val="auto"/>
              </w:rPr>
            </w:pPr>
            <w:r>
              <w:rPr>
                <w:rFonts w:ascii="Arial" w:cs="Arial" w:eastAsia="Arial" w:hAnsi="Arial"/>
                <w:sz w:val="8"/>
                <w:szCs w:val="8"/>
                <w:b w:val="1"/>
                <w:bCs w:val="1"/>
                <w:color w:val="auto"/>
              </w:rPr>
              <w:t>Weighted-</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Weighted-</w:t>
            </w:r>
          </w:p>
        </w:tc>
      </w:tr>
      <w:tr>
        <w:trPr>
          <w:trHeight w:val="90"/>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56"/>
              <w:spacing w:after="0" w:line="90" w:lineRule="exact"/>
              <w:rPr>
                <w:sz w:val="20"/>
                <w:szCs w:val="20"/>
                <w:color w:val="auto"/>
              </w:rPr>
            </w:pPr>
            <w:r>
              <w:rPr>
                <w:rFonts w:ascii="Arial" w:cs="Arial" w:eastAsia="Arial" w:hAnsi="Arial"/>
                <w:sz w:val="8"/>
                <w:szCs w:val="8"/>
                <w:b w:val="1"/>
                <w:bCs w:val="1"/>
                <w:color w:val="auto"/>
                <w:w w:val="99"/>
              </w:rPr>
              <w:t>Number of</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Remaining</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4"/>
          </w:tcPr>
          <w:p>
            <w:pPr>
              <w:jc w:val="right"/>
              <w:ind w:right="460"/>
              <w:spacing w:after="0" w:line="90" w:lineRule="exact"/>
              <w:rPr>
                <w:sz w:val="20"/>
                <w:szCs w:val="20"/>
                <w:color w:val="auto"/>
              </w:rPr>
            </w:pPr>
            <w:r>
              <w:rPr>
                <w:rFonts w:ascii="Arial" w:cs="Arial" w:eastAsia="Arial" w:hAnsi="Arial"/>
                <w:sz w:val="8"/>
                <w:szCs w:val="8"/>
                <w:b w:val="1"/>
                <w:bCs w:val="1"/>
                <w:color w:val="auto"/>
              </w:rPr>
              <w:t>Average</w:t>
            </w:r>
          </w:p>
        </w:tc>
        <w:tc>
          <w:tcPr>
            <w:tcW w:w="1020" w:type="dxa"/>
            <w:vAlign w:val="bottom"/>
            <w:gridSpan w:val="2"/>
          </w:tcPr>
          <w:p>
            <w:pPr>
              <w:jc w:val="right"/>
              <w:ind w:right="240"/>
              <w:spacing w:after="0" w:line="90" w:lineRule="exact"/>
              <w:rPr>
                <w:sz w:val="20"/>
                <w:szCs w:val="20"/>
                <w:color w:val="auto"/>
              </w:rPr>
            </w:pPr>
            <w:r>
              <w:rPr>
                <w:rFonts w:ascii="Arial" w:cs="Arial" w:eastAsia="Arial" w:hAnsi="Arial"/>
                <w:sz w:val="8"/>
                <w:szCs w:val="8"/>
                <w:b w:val="1"/>
                <w:bCs w:val="1"/>
                <w:color w:val="auto"/>
              </w:rPr>
              <w:t>Number of</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Average</w:t>
            </w:r>
          </w:p>
        </w:tc>
      </w:tr>
      <w:tr>
        <w:trPr>
          <w:trHeight w:val="90"/>
        </w:trPr>
        <w:tc>
          <w:tcPr>
            <w:tcW w:w="4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56"/>
              <w:spacing w:after="0" w:line="90" w:lineRule="exact"/>
              <w:rPr>
                <w:sz w:val="20"/>
                <w:szCs w:val="20"/>
                <w:color w:val="auto"/>
              </w:rPr>
            </w:pPr>
            <w:r>
              <w:rPr>
                <w:rFonts w:ascii="Arial" w:cs="Arial" w:eastAsia="Arial" w:hAnsi="Arial"/>
                <w:sz w:val="8"/>
                <w:szCs w:val="8"/>
                <w:b w:val="1"/>
                <w:bCs w:val="1"/>
                <w:color w:val="auto"/>
              </w:rPr>
              <w:t>Shares</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Contractual</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4"/>
          </w:tcPr>
          <w:p>
            <w:pPr>
              <w:jc w:val="right"/>
              <w:ind w:right="460"/>
              <w:spacing w:after="0" w:line="90" w:lineRule="exact"/>
              <w:rPr>
                <w:sz w:val="20"/>
                <w:szCs w:val="20"/>
                <w:color w:val="auto"/>
              </w:rPr>
            </w:pPr>
            <w:r>
              <w:rPr>
                <w:rFonts w:ascii="Arial" w:cs="Arial" w:eastAsia="Arial" w:hAnsi="Arial"/>
                <w:sz w:val="8"/>
                <w:szCs w:val="8"/>
                <w:b w:val="1"/>
                <w:bCs w:val="1"/>
                <w:color w:val="auto"/>
              </w:rPr>
              <w:t>Exercise</w:t>
            </w:r>
          </w:p>
        </w:tc>
        <w:tc>
          <w:tcPr>
            <w:tcW w:w="1020" w:type="dxa"/>
            <w:vAlign w:val="bottom"/>
            <w:gridSpan w:val="2"/>
          </w:tcPr>
          <w:p>
            <w:pPr>
              <w:jc w:val="right"/>
              <w:ind w:right="240"/>
              <w:spacing w:after="0" w:line="90" w:lineRule="exact"/>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jc w:val="right"/>
              <w:ind w:right="71"/>
              <w:spacing w:after="0" w:line="90" w:lineRule="exact"/>
              <w:rPr>
                <w:sz w:val="20"/>
                <w:szCs w:val="20"/>
                <w:color w:val="auto"/>
              </w:rPr>
            </w:pPr>
            <w:r>
              <w:rPr>
                <w:rFonts w:ascii="Arial" w:cs="Arial" w:eastAsia="Arial" w:hAnsi="Arial"/>
                <w:sz w:val="8"/>
                <w:szCs w:val="8"/>
                <w:b w:val="1"/>
                <w:bCs w:val="1"/>
                <w:color w:val="auto"/>
              </w:rPr>
              <w:t>Exercise</w:t>
            </w:r>
          </w:p>
        </w:tc>
      </w:tr>
      <w:tr>
        <w:trPr>
          <w:trHeight w:val="101"/>
        </w:trPr>
        <w:tc>
          <w:tcPr>
            <w:tcW w:w="5080" w:type="dxa"/>
            <w:vAlign w:val="bottom"/>
            <w:tcBorders>
              <w:bottom w:val="single" w:sz="8" w:color="004483"/>
            </w:tcBorders>
            <w:gridSpan w:val="2"/>
          </w:tcPr>
          <w:p>
            <w:pPr>
              <w:spacing w:after="0"/>
              <w:rPr>
                <w:sz w:val="20"/>
                <w:szCs w:val="20"/>
                <w:color w:val="auto"/>
              </w:rPr>
            </w:pPr>
            <w:r>
              <w:rPr>
                <w:rFonts w:ascii="Arial" w:cs="Arial" w:eastAsia="Arial" w:hAnsi="Arial"/>
                <w:sz w:val="8"/>
                <w:szCs w:val="8"/>
                <w:b w:val="1"/>
                <w:bCs w:val="1"/>
                <w:color w:val="auto"/>
              </w:rPr>
              <w:t>Range of Exercise Prices</w:t>
            </w:r>
          </w:p>
        </w:tc>
        <w:tc>
          <w:tcPr>
            <w:tcW w:w="120" w:type="dxa"/>
            <w:vAlign w:val="bottom"/>
            <w:tcBorders>
              <w:bottom w:val="single" w:sz="8" w:color="004483"/>
            </w:tcBorders>
          </w:tcPr>
          <w:p>
            <w:pPr>
              <w:spacing w:after="0"/>
              <w:rPr>
                <w:sz w:val="8"/>
                <w:szCs w:val="8"/>
                <w:color w:val="auto"/>
              </w:rPr>
            </w:pPr>
          </w:p>
        </w:tc>
        <w:tc>
          <w:tcPr>
            <w:tcW w:w="48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gridSpan w:val="2"/>
          </w:tcPr>
          <w:p>
            <w:pPr>
              <w:jc w:val="right"/>
              <w:ind w:right="56"/>
              <w:spacing w:after="0"/>
              <w:rPr>
                <w:sz w:val="20"/>
                <w:szCs w:val="20"/>
                <w:color w:val="auto"/>
              </w:rPr>
            </w:pPr>
            <w:r>
              <w:rPr>
                <w:rFonts w:ascii="Arial" w:cs="Arial" w:eastAsia="Arial" w:hAnsi="Arial"/>
                <w:sz w:val="8"/>
                <w:szCs w:val="8"/>
                <w:b w:val="1"/>
                <w:bCs w:val="1"/>
                <w:color w:val="auto"/>
              </w:rPr>
              <w:t>Outstanding</w:t>
            </w:r>
          </w:p>
        </w:tc>
        <w:tc>
          <w:tcPr>
            <w:tcW w:w="50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Life</w:t>
            </w:r>
          </w:p>
        </w:tc>
        <w:tc>
          <w:tcPr>
            <w:tcW w:w="48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8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gridSpan w:val="4"/>
          </w:tcPr>
          <w:p>
            <w:pPr>
              <w:jc w:val="right"/>
              <w:ind w:right="460"/>
              <w:spacing w:after="0"/>
              <w:rPr>
                <w:sz w:val="20"/>
                <w:szCs w:val="20"/>
                <w:color w:val="auto"/>
              </w:rPr>
            </w:pPr>
            <w:r>
              <w:rPr>
                <w:rFonts w:ascii="Arial" w:cs="Arial" w:eastAsia="Arial" w:hAnsi="Arial"/>
                <w:sz w:val="8"/>
                <w:szCs w:val="8"/>
                <w:b w:val="1"/>
                <w:bCs w:val="1"/>
                <w:color w:val="auto"/>
              </w:rPr>
              <w:t>Price</w:t>
            </w:r>
          </w:p>
        </w:tc>
        <w:tc>
          <w:tcPr>
            <w:tcW w:w="1020" w:type="dxa"/>
            <w:vAlign w:val="bottom"/>
            <w:tcBorders>
              <w:bottom w:val="single" w:sz="8" w:color="004483"/>
            </w:tcBorders>
            <w:gridSpan w:val="2"/>
          </w:tcPr>
          <w:p>
            <w:pPr>
              <w:jc w:val="right"/>
              <w:ind w:right="240"/>
              <w:spacing w:after="0"/>
              <w:rPr>
                <w:sz w:val="20"/>
                <w:szCs w:val="20"/>
                <w:color w:val="auto"/>
              </w:rPr>
            </w:pPr>
            <w:r>
              <w:rPr>
                <w:rFonts w:ascii="Arial" w:cs="Arial" w:eastAsia="Arial" w:hAnsi="Arial"/>
                <w:sz w:val="8"/>
                <w:szCs w:val="8"/>
                <w:b w:val="1"/>
                <w:bCs w:val="1"/>
                <w:color w:val="auto"/>
              </w:rPr>
              <w:t>Outstanding</w:t>
            </w:r>
          </w:p>
        </w:tc>
        <w:tc>
          <w:tcPr>
            <w:tcW w:w="1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jc w:val="right"/>
              <w:ind w:right="71"/>
              <w:spacing w:after="0"/>
              <w:rPr>
                <w:sz w:val="20"/>
                <w:szCs w:val="20"/>
                <w:color w:val="auto"/>
              </w:rPr>
            </w:pPr>
            <w:r>
              <w:rPr>
                <w:rFonts w:ascii="Arial" w:cs="Arial" w:eastAsia="Arial" w:hAnsi="Arial"/>
                <w:sz w:val="8"/>
                <w:szCs w:val="8"/>
                <w:b w:val="1"/>
                <w:bCs w:val="1"/>
                <w:color w:val="auto"/>
              </w:rPr>
              <w:t>Price</w:t>
            </w:r>
          </w:p>
        </w:tc>
      </w:tr>
      <w:tr>
        <w:trPr>
          <w:trHeight w:val="131"/>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$33.43 - $37.34</w:t>
            </w:r>
          </w:p>
        </w:tc>
        <w:tc>
          <w:tcPr>
            <w:tcW w:w="4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620" w:type="dxa"/>
            <w:vAlign w:val="bottom"/>
            <w:tcBorders>
              <w:bottom w:val="single" w:sz="8" w:color="A6A6A6"/>
            </w:tcBorders>
            <w:gridSpan w:val="2"/>
          </w:tcPr>
          <w:p>
            <w:pPr>
              <w:jc w:val="right"/>
              <w:ind w:right="56"/>
              <w:spacing w:after="0"/>
              <w:rPr>
                <w:sz w:val="20"/>
                <w:szCs w:val="20"/>
                <w:color w:val="auto"/>
              </w:rPr>
            </w:pPr>
            <w:r>
              <w:rPr>
                <w:rFonts w:ascii="Arial" w:cs="Arial" w:eastAsia="Arial" w:hAnsi="Arial"/>
                <w:sz w:val="11"/>
                <w:szCs w:val="11"/>
                <w:color w:val="auto"/>
              </w:rPr>
              <w:t>14,373</w:t>
            </w:r>
          </w:p>
        </w:tc>
        <w:tc>
          <w:tcPr>
            <w:tcW w:w="5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1.20</w:t>
            </w:r>
          </w:p>
        </w:tc>
        <w:tc>
          <w:tcPr>
            <w:tcW w:w="480" w:type="dxa"/>
            <w:vAlign w:val="bottom"/>
            <w:tcBorders>
              <w:bottom w:val="single" w:sz="8" w:color="A6A6A6"/>
            </w:tcBorders>
          </w:tcPr>
          <w:p>
            <w:pPr>
              <w:jc w:val="right"/>
              <w:ind w:right="12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34.37</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14,373</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34.37</w:t>
            </w:r>
          </w:p>
        </w:tc>
      </w:tr>
      <w:tr>
        <w:trPr>
          <w:trHeight w:val="133"/>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$59.32 - $81.56</w:t>
            </w:r>
          </w:p>
        </w:tc>
        <w:tc>
          <w:tcPr>
            <w:tcW w:w="4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spacing w:after="0"/>
              <w:rPr>
                <w:sz w:val="11"/>
                <w:szCs w:val="11"/>
                <w:color w:val="auto"/>
              </w:rPr>
            </w:pPr>
          </w:p>
        </w:tc>
        <w:tc>
          <w:tcPr>
            <w:tcW w:w="620" w:type="dxa"/>
            <w:vAlign w:val="bottom"/>
            <w:tcBorders>
              <w:bottom w:val="single" w:sz="8" w:color="A6A6A6"/>
            </w:tcBorders>
            <w:gridSpan w:val="2"/>
          </w:tcPr>
          <w:p>
            <w:pPr>
              <w:jc w:val="right"/>
              <w:ind w:right="56"/>
              <w:spacing w:after="0"/>
              <w:rPr>
                <w:sz w:val="20"/>
                <w:szCs w:val="20"/>
                <w:color w:val="auto"/>
              </w:rPr>
            </w:pPr>
            <w:r>
              <w:rPr>
                <w:rFonts w:ascii="Arial" w:cs="Arial" w:eastAsia="Arial" w:hAnsi="Arial"/>
                <w:sz w:val="11"/>
                <w:szCs w:val="11"/>
                <w:color w:val="auto"/>
              </w:rPr>
              <w:t>260,670</w:t>
            </w:r>
          </w:p>
        </w:tc>
        <w:tc>
          <w:tcPr>
            <w:tcW w:w="5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7.72</w:t>
            </w:r>
          </w:p>
        </w:tc>
        <w:tc>
          <w:tcPr>
            <w:tcW w:w="480" w:type="dxa"/>
            <w:vAlign w:val="bottom"/>
            <w:tcBorders>
              <w:bottom w:val="single" w:sz="8" w:color="A6A6A6"/>
            </w:tcBorders>
          </w:tcPr>
          <w:p>
            <w:pPr>
              <w:jc w:val="right"/>
              <w:ind w:right="12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65.46</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96,420</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73.32</w:t>
            </w:r>
          </w:p>
        </w:tc>
      </w:tr>
      <w:tr>
        <w:trPr>
          <w:trHeight w:val="133"/>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$87.34 - $106.24</w:t>
            </w:r>
          </w:p>
        </w:tc>
        <w:tc>
          <w:tcPr>
            <w:tcW w:w="40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480" w:type="dxa"/>
            <w:vAlign w:val="bottom"/>
            <w:tcBorders>
              <w:bottom w:val="single" w:sz="8" w:color="004483"/>
            </w:tcBorders>
          </w:tcPr>
          <w:p>
            <w:pPr>
              <w:spacing w:after="0"/>
              <w:rPr>
                <w:sz w:val="11"/>
                <w:szCs w:val="11"/>
                <w:color w:val="auto"/>
              </w:rPr>
            </w:pPr>
          </w:p>
        </w:tc>
        <w:tc>
          <w:tcPr>
            <w:tcW w:w="620" w:type="dxa"/>
            <w:vAlign w:val="bottom"/>
            <w:tcBorders>
              <w:bottom w:val="single" w:sz="8" w:color="004483"/>
            </w:tcBorders>
            <w:gridSpan w:val="2"/>
          </w:tcPr>
          <w:p>
            <w:pPr>
              <w:jc w:val="right"/>
              <w:ind w:right="56"/>
              <w:spacing w:after="0"/>
              <w:rPr>
                <w:sz w:val="20"/>
                <w:szCs w:val="20"/>
                <w:color w:val="auto"/>
              </w:rPr>
            </w:pPr>
            <w:r>
              <w:rPr>
                <w:rFonts w:ascii="Arial" w:cs="Arial" w:eastAsia="Arial" w:hAnsi="Arial"/>
                <w:sz w:val="11"/>
                <w:szCs w:val="11"/>
                <w:color w:val="auto"/>
              </w:rPr>
              <w:t>433,458</w:t>
            </w:r>
          </w:p>
        </w:tc>
        <w:tc>
          <w:tcPr>
            <w:tcW w:w="5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6.74</w:t>
            </w:r>
          </w:p>
        </w:tc>
        <w:tc>
          <w:tcPr>
            <w:tcW w:w="480" w:type="dxa"/>
            <w:vAlign w:val="bottom"/>
            <w:tcBorders>
              <w:bottom w:val="single" w:sz="8" w:color="A6A6A6"/>
            </w:tcBorders>
          </w:tcPr>
          <w:p>
            <w:pPr>
              <w:jc w:val="right"/>
              <w:ind w:right="12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96.55</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004483"/>
            </w:tcBorders>
          </w:tcPr>
          <w:p>
            <w:pPr>
              <w:spacing w:after="0"/>
              <w:rPr>
                <w:sz w:val="11"/>
                <w:szCs w:val="11"/>
                <w:color w:val="auto"/>
              </w:rPr>
            </w:pPr>
          </w:p>
        </w:tc>
        <w:tc>
          <w:tcPr>
            <w:tcW w:w="12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306,024</w:t>
            </w: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96.93</w:t>
            </w:r>
          </w:p>
        </w:tc>
      </w:tr>
      <w:tr>
        <w:trPr>
          <w:trHeight w:val="142"/>
        </w:trPr>
        <w:tc>
          <w:tcPr>
            <w:tcW w:w="4680" w:type="dxa"/>
            <w:vAlign w:val="bottom"/>
            <w:tcBorders>
              <w:bottom w:val="single" w:sz="8" w:color="A6A6A6"/>
            </w:tcBorders>
          </w:tcPr>
          <w:p>
            <w:pPr>
              <w:spacing w:after="0"/>
              <w:rPr>
                <w:sz w:val="12"/>
                <w:szCs w:val="12"/>
                <w:color w:val="auto"/>
              </w:rPr>
            </w:pPr>
          </w:p>
        </w:tc>
        <w:tc>
          <w:tcPr>
            <w:tcW w:w="4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480" w:type="dxa"/>
            <w:vAlign w:val="bottom"/>
            <w:tcBorders>
              <w:bottom w:val="single" w:sz="8" w:color="004483"/>
            </w:tcBorders>
          </w:tcPr>
          <w:p>
            <w:pPr>
              <w:spacing w:after="0"/>
              <w:rPr>
                <w:sz w:val="12"/>
                <w:szCs w:val="12"/>
                <w:color w:val="auto"/>
              </w:rPr>
            </w:pPr>
          </w:p>
        </w:tc>
        <w:tc>
          <w:tcPr>
            <w:tcW w:w="620" w:type="dxa"/>
            <w:vAlign w:val="bottom"/>
            <w:tcBorders>
              <w:bottom w:val="single" w:sz="8" w:color="004483"/>
            </w:tcBorders>
            <w:gridSpan w:val="2"/>
          </w:tcPr>
          <w:p>
            <w:pPr>
              <w:jc w:val="right"/>
              <w:ind w:right="56"/>
              <w:spacing w:after="0"/>
              <w:rPr>
                <w:sz w:val="20"/>
                <w:szCs w:val="20"/>
                <w:color w:val="auto"/>
              </w:rPr>
            </w:pPr>
            <w:r>
              <w:rPr>
                <w:rFonts w:ascii="Arial" w:cs="Arial" w:eastAsia="Arial" w:hAnsi="Arial"/>
                <w:sz w:val="11"/>
                <w:szCs w:val="11"/>
                <w:b w:val="1"/>
                <w:bCs w:val="1"/>
                <w:color w:val="auto"/>
              </w:rPr>
              <w:t>708,501</w:t>
            </w:r>
          </w:p>
        </w:tc>
        <w:tc>
          <w:tcPr>
            <w:tcW w:w="50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6.99</w:t>
            </w:r>
          </w:p>
        </w:tc>
        <w:tc>
          <w:tcPr>
            <w:tcW w:w="480" w:type="dxa"/>
            <w:vAlign w:val="bottom"/>
            <w:tcBorders>
              <w:bottom w:val="single" w:sz="8" w:color="A6A6A6"/>
            </w:tcBorders>
          </w:tcPr>
          <w:p>
            <w:pPr>
              <w:jc w:val="right"/>
              <w:ind w:right="12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60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83.85</w:t>
            </w:r>
          </w:p>
        </w:tc>
        <w:tc>
          <w:tcPr>
            <w:tcW w:w="120" w:type="dxa"/>
            <w:vAlign w:val="bottom"/>
            <w:tcBorders>
              <w:bottom w:val="single" w:sz="8" w:color="A6A6A6"/>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120" w:type="dxa"/>
            <w:vAlign w:val="bottom"/>
            <w:tcBorders>
              <w:bottom w:val="single" w:sz="8" w:color="004483"/>
            </w:tcBorders>
          </w:tcPr>
          <w:p>
            <w:pPr>
              <w:spacing w:after="0"/>
              <w:rPr>
                <w:sz w:val="12"/>
                <w:szCs w:val="12"/>
                <w:color w:val="auto"/>
              </w:rPr>
            </w:pPr>
          </w:p>
        </w:tc>
        <w:tc>
          <w:tcPr>
            <w:tcW w:w="90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416,817</w:t>
            </w:r>
          </w:p>
        </w:tc>
        <w:tc>
          <w:tcPr>
            <w:tcW w:w="12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ind w:left="340"/>
              <w:spacing w:after="0"/>
              <w:rPr>
                <w:sz w:val="20"/>
                <w:szCs w:val="20"/>
                <w:color w:val="auto"/>
              </w:rPr>
            </w:pPr>
            <w:r>
              <w:rPr>
                <w:rFonts w:ascii="Arial" w:cs="Arial" w:eastAsia="Arial" w:hAnsi="Arial"/>
                <w:sz w:val="11"/>
                <w:szCs w:val="11"/>
                <w:color w:val="auto"/>
              </w:rPr>
              <w:t>89.31</w:t>
            </w:r>
          </w:p>
        </w:tc>
      </w:tr>
    </w:tbl>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At March 31, 2021, the aggregate intrinsic value for outstanding and exercisable options was approximately $35.8 million and $18.8 million, respectively. The total intrinsic value of options exercised during the fiscal years ended March 31, 2021, 2020, and 2019 was approximately $26.4 million, $2.2 million and $2.1 million,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color w:val="004483"/>
        </w:rPr>
        <w:t>RESTRICTED STOCK</w:t>
      </w:r>
    </w:p>
    <w:p>
      <w:pPr>
        <w:spacing w:after="0" w:line="92"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In May 2020, the Compensation Committee approved the granting to certain officers and key employees an aggregate of 82,722 shares of performance vesting restricted stock that would be earned only if certain performance conditions were satisfied (the Fiscal 2021 Employee Restricted Stock Performance Award). The performance criterion for the Fiscal 2020 Employee Restricted Stock Performance Award is based upon the achievement of certain levels of return on equity (as defined in the agreement), ranging from 10.0% to 20.0%, for the fiscal year ended March 31, 2021. All restricted shares would be earned if the return on equity was 20.0% or greater, and the percentage of shares earned will be reduced proportionately to approximately 66.7% if the return on equity was 10.0%. If the Company did not achieve a return on equity of at least 10.0%, all awards would have been be forfeited. During fiscal 2021, the return on equity was approximately 20.0%; therefore all 82,722 shares were earned. Restrictions on the earned shares will lapse ratably over four years, with the first fourth lapsing promptly following the determination date and the remaining restrictions lapsing on March 31, 2022 through 2024. The Compensation Committee also approved the granting of 68,936 shares of time-vesting restricted stock to the same officers and key employees, which vest ratably over four years (the Fiscal 2021 Employee Restricted Stock Time-Vesting Award). Both of the Fiscal 2021 Employee Restricted Stock Performance Award and the Fiscal 2021 Employee Restricted Stock Time-Vesting Award were valued at the closing price of the stock on the date of grant and are being expensed over a four-year period.</w:t>
      </w:r>
    </w:p>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In August 2020, we granted to members of the Board of Directors 26,064 shares of restricted stock (the Board of Directors Fiscal 2021 Restricted Stock Award), which vested six months after the grant date. The Board of Directors Fiscal 2021 Restricted Stock Awards were valued at the closing price of the stock on the date of the grant and were expensed over a six-month period.</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The fair value of restricted stock is estimated based on the stock price at the date of the grant. The following table summarizes the activity for nonvested restricted shares during the fiscal years ended March 31, 2021,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600" w:type="dxa"/>
            <w:vAlign w:val="bottom"/>
            <w:gridSpan w:val="4"/>
            <w:shd w:val="clear" w:color="auto" w:fill="004483"/>
          </w:tcPr>
          <w:p>
            <w:pPr>
              <w:jc w:val="right"/>
              <w:spacing w:after="0"/>
              <w:rPr>
                <w:sz w:val="20"/>
                <w:szCs w:val="20"/>
                <w:color w:val="auto"/>
              </w:rPr>
            </w:pPr>
            <w:r>
              <w:rPr>
                <w:rFonts w:ascii="Arial" w:cs="Arial" w:eastAsia="Arial" w:hAnsi="Arial"/>
                <w:sz w:val="8"/>
                <w:szCs w:val="8"/>
                <w:b w:val="1"/>
                <w:bCs w:val="1"/>
                <w:color w:val="FFFFFF"/>
              </w:rPr>
              <w:t>For the Years Ended March 31,</w:t>
            </w:r>
          </w:p>
        </w:tc>
        <w:tc>
          <w:tcPr>
            <w:tcW w:w="4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4680" w:type="dxa"/>
            <w:vAlign w:val="bottom"/>
          </w:tcPr>
          <w:p>
            <w:pPr>
              <w:spacing w:after="0"/>
              <w:rPr>
                <w:sz w:val="8"/>
                <w:szCs w:val="8"/>
                <w:color w:val="auto"/>
              </w:rPr>
            </w:pPr>
          </w:p>
        </w:tc>
        <w:tc>
          <w:tcPr>
            <w:tcW w:w="1100" w:type="dxa"/>
            <w:vAlign w:val="bottom"/>
            <w:tcBorders>
              <w:bottom w:val="single" w:sz="8" w:color="004483"/>
            </w:tcBorders>
            <w:gridSpan w:val="3"/>
          </w:tcPr>
          <w:p>
            <w:pPr>
              <w:jc w:val="right"/>
              <w:ind w:right="20"/>
              <w:spacing w:after="0"/>
              <w:rPr>
                <w:sz w:val="20"/>
                <w:szCs w:val="20"/>
                <w:color w:val="auto"/>
              </w:rPr>
            </w:pPr>
            <w:r>
              <w:rPr>
                <w:rFonts w:ascii="Arial" w:cs="Arial" w:eastAsia="Arial" w:hAnsi="Arial"/>
                <w:sz w:val="8"/>
                <w:szCs w:val="8"/>
                <w:b w:val="1"/>
                <w:bCs w:val="1"/>
                <w:color w:val="auto"/>
              </w:rPr>
              <w:t>2021</w:t>
            </w:r>
          </w:p>
        </w:tc>
        <w:tc>
          <w:tcPr>
            <w:tcW w:w="28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bottom w:val="single" w:sz="8" w:color="004483"/>
            </w:tcBorders>
            <w:gridSpan w:val="3"/>
          </w:tcPr>
          <w:p>
            <w:pPr>
              <w:jc w:val="right"/>
              <w:ind w:right="20"/>
              <w:spacing w:after="0"/>
              <w:rPr>
                <w:sz w:val="20"/>
                <w:szCs w:val="20"/>
                <w:color w:val="auto"/>
              </w:rPr>
            </w:pPr>
            <w:r>
              <w:rPr>
                <w:rFonts w:ascii="Arial" w:cs="Arial" w:eastAsia="Arial" w:hAnsi="Arial"/>
                <w:sz w:val="8"/>
                <w:szCs w:val="8"/>
                <w:b w:val="1"/>
                <w:bCs w:val="1"/>
                <w:color w:val="auto"/>
              </w:rPr>
              <w:t>2020</w:t>
            </w:r>
          </w:p>
        </w:tc>
        <w:tc>
          <w:tcPr>
            <w:tcW w:w="480" w:type="dxa"/>
            <w:vAlign w:val="bottom"/>
            <w:tcBorders>
              <w:bottom w:val="single" w:sz="8" w:color="004483"/>
            </w:tcBorders>
          </w:tcPr>
          <w:p>
            <w:pPr>
              <w:spacing w:after="0"/>
              <w:rPr>
                <w:sz w:val="8"/>
                <w:szCs w:val="8"/>
                <w:color w:val="auto"/>
              </w:rPr>
            </w:pPr>
          </w:p>
        </w:tc>
        <w:tc>
          <w:tcPr>
            <w:tcW w:w="420" w:type="dxa"/>
            <w:vAlign w:val="bottom"/>
            <w:tcBorders>
              <w:bottom w:val="single" w:sz="8" w:color="004483"/>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004483"/>
            </w:tcBorders>
            <w:gridSpan w:val="3"/>
          </w:tcPr>
          <w:p>
            <w:pPr>
              <w:jc w:val="right"/>
              <w:ind w:right="20"/>
              <w:spacing w:after="0"/>
              <w:rPr>
                <w:sz w:val="20"/>
                <w:szCs w:val="20"/>
                <w:color w:val="auto"/>
              </w:rPr>
            </w:pPr>
            <w:r>
              <w:rPr>
                <w:rFonts w:ascii="Arial" w:cs="Arial" w:eastAsia="Arial" w:hAnsi="Arial"/>
                <w:sz w:val="8"/>
                <w:szCs w:val="8"/>
                <w:b w:val="1"/>
                <w:bCs w:val="1"/>
                <w:color w:val="auto"/>
              </w:rPr>
              <w:t>2019</w:t>
            </w:r>
          </w:p>
        </w:tc>
        <w:tc>
          <w:tcPr>
            <w:tcW w:w="28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77"/>
        </w:trPr>
        <w:tc>
          <w:tcPr>
            <w:tcW w:w="4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jc w:val="right"/>
              <w:spacing w:after="0" w:line="78" w:lineRule="exact"/>
              <w:rPr>
                <w:sz w:val="20"/>
                <w:szCs w:val="20"/>
                <w:color w:val="auto"/>
              </w:rPr>
            </w:pPr>
            <w:r>
              <w:rPr>
                <w:rFonts w:ascii="Arial" w:cs="Arial" w:eastAsia="Arial" w:hAnsi="Arial"/>
                <w:sz w:val="8"/>
                <w:szCs w:val="8"/>
                <w:b w:val="1"/>
                <w:bCs w:val="1"/>
                <w:color w:val="auto"/>
              </w:rPr>
              <w:t>Weighted-</w:t>
            </w:r>
          </w:p>
        </w:tc>
        <w:tc>
          <w:tcPr>
            <w:tcW w:w="22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jc w:val="right"/>
              <w:spacing w:after="0" w:line="78" w:lineRule="exact"/>
              <w:rPr>
                <w:sz w:val="20"/>
                <w:szCs w:val="20"/>
                <w:color w:val="auto"/>
              </w:rPr>
            </w:pPr>
            <w:r>
              <w:rPr>
                <w:rFonts w:ascii="Arial" w:cs="Arial" w:eastAsia="Arial" w:hAnsi="Arial"/>
                <w:sz w:val="8"/>
                <w:szCs w:val="8"/>
                <w:b w:val="1"/>
                <w:bCs w:val="1"/>
                <w:color w:val="auto"/>
              </w:rPr>
              <w:t>Weighted-</w:t>
            </w:r>
          </w:p>
        </w:tc>
        <w:tc>
          <w:tcPr>
            <w:tcW w:w="220" w:type="dxa"/>
            <w:vAlign w:val="bottom"/>
            <w:gridSpan w:val="2"/>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jc w:val="right"/>
              <w:spacing w:after="0" w:line="78" w:lineRule="exact"/>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6"/>
                <w:szCs w:val="6"/>
                <w:color w:val="auto"/>
              </w:rPr>
            </w:pPr>
          </w:p>
        </w:tc>
      </w:tr>
      <w:tr>
        <w:trPr>
          <w:trHeight w:val="90"/>
        </w:trPr>
        <w:tc>
          <w:tcPr>
            <w:tcW w:w="4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Average</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Average</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Average</w:t>
            </w:r>
          </w:p>
        </w:tc>
      </w:tr>
      <w:tr>
        <w:trPr>
          <w:trHeight w:val="90"/>
        </w:trPr>
        <w:tc>
          <w:tcPr>
            <w:tcW w:w="4680" w:type="dxa"/>
            <w:vAlign w:val="bottom"/>
          </w:tcPr>
          <w:p>
            <w:pPr>
              <w:spacing w:after="0"/>
              <w:rPr>
                <w:sz w:val="7"/>
                <w:szCs w:val="7"/>
                <w:color w:val="auto"/>
              </w:rPr>
            </w:pPr>
          </w:p>
        </w:tc>
        <w:tc>
          <w:tcPr>
            <w:tcW w:w="110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Number</w:t>
            </w:r>
          </w:p>
        </w:tc>
        <w:tc>
          <w:tcPr>
            <w:tcW w:w="280" w:type="dxa"/>
            <w:vAlign w:val="bottom"/>
          </w:tcPr>
          <w:p>
            <w:pPr>
              <w:spacing w:after="0"/>
              <w:rPr>
                <w:sz w:val="7"/>
                <w:szCs w:val="7"/>
                <w:color w:val="auto"/>
              </w:rPr>
            </w:pPr>
          </w:p>
        </w:tc>
        <w:tc>
          <w:tcPr>
            <w:tcW w:w="84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Grant Date</w:t>
            </w:r>
          </w:p>
        </w:tc>
        <w:tc>
          <w:tcPr>
            <w:tcW w:w="112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Number</w:t>
            </w:r>
          </w:p>
        </w:tc>
        <w:tc>
          <w:tcPr>
            <w:tcW w:w="480" w:type="dxa"/>
            <w:vAlign w:val="bottom"/>
          </w:tcPr>
          <w:p>
            <w:pPr>
              <w:spacing w:after="0"/>
              <w:rPr>
                <w:sz w:val="7"/>
                <w:szCs w:val="7"/>
                <w:color w:val="auto"/>
              </w:rPr>
            </w:pPr>
          </w:p>
        </w:tc>
        <w:tc>
          <w:tcPr>
            <w:tcW w:w="64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w w:val="97"/>
              </w:rPr>
              <w:t>Grant Date</w:t>
            </w:r>
          </w:p>
        </w:tc>
        <w:tc>
          <w:tcPr>
            <w:tcW w:w="1120" w:type="dxa"/>
            <w:vAlign w:val="bottom"/>
            <w:gridSpan w:val="3"/>
          </w:tcPr>
          <w:p>
            <w:pPr>
              <w:jc w:val="right"/>
              <w:ind w:right="220"/>
              <w:spacing w:after="0" w:line="90" w:lineRule="exact"/>
              <w:rPr>
                <w:sz w:val="20"/>
                <w:szCs w:val="20"/>
                <w:color w:val="auto"/>
              </w:rPr>
            </w:pPr>
            <w:r>
              <w:rPr>
                <w:rFonts w:ascii="Arial" w:cs="Arial" w:eastAsia="Arial" w:hAnsi="Arial"/>
                <w:sz w:val="8"/>
                <w:szCs w:val="8"/>
                <w:b w:val="1"/>
                <w:bCs w:val="1"/>
                <w:color w:val="auto"/>
              </w:rPr>
              <w:t>Number</w:t>
            </w:r>
          </w:p>
        </w:tc>
        <w:tc>
          <w:tcPr>
            <w:tcW w:w="2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Grant Date</w:t>
            </w:r>
          </w:p>
        </w:tc>
      </w:tr>
      <w:tr>
        <w:trPr>
          <w:trHeight w:val="101"/>
        </w:trPr>
        <w:tc>
          <w:tcPr>
            <w:tcW w:w="4680" w:type="dxa"/>
            <w:vAlign w:val="bottom"/>
          </w:tcPr>
          <w:p>
            <w:pPr>
              <w:spacing w:after="0"/>
              <w:rPr>
                <w:sz w:val="8"/>
                <w:szCs w:val="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of Shares</w:t>
            </w:r>
          </w:p>
        </w:tc>
        <w:tc>
          <w:tcPr>
            <w:tcW w:w="280" w:type="dxa"/>
            <w:vAlign w:val="bottom"/>
          </w:tcPr>
          <w:p>
            <w:pPr>
              <w:spacing w:after="0"/>
              <w:rPr>
                <w:sz w:val="8"/>
                <w:szCs w:val="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Fair Value</w:t>
            </w:r>
          </w:p>
        </w:tc>
        <w:tc>
          <w:tcPr>
            <w:tcW w:w="112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of Shares</w:t>
            </w:r>
          </w:p>
        </w:tc>
        <w:tc>
          <w:tcPr>
            <w:tcW w:w="480" w:type="dxa"/>
            <w:vAlign w:val="bottom"/>
          </w:tcPr>
          <w:p>
            <w:pPr>
              <w:spacing w:after="0"/>
              <w:rPr>
                <w:sz w:val="8"/>
                <w:szCs w:val="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Fair Value</w:t>
            </w:r>
          </w:p>
        </w:tc>
        <w:tc>
          <w:tcPr>
            <w:tcW w:w="112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of Shares</w:t>
            </w:r>
          </w:p>
        </w:tc>
        <w:tc>
          <w:tcPr>
            <w:tcW w:w="2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Fair Value</w:t>
            </w:r>
          </w:p>
        </w:tc>
      </w:tr>
      <w:tr>
        <w:trPr>
          <w:trHeight w:val="131"/>
        </w:trPr>
        <w:tc>
          <w:tcPr>
            <w:tcW w:w="46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004483"/>
              </w:rPr>
              <w:t>Nonvested Restricted Stock at Beginning of Year</w:t>
            </w: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233,120</w:t>
            </w:r>
          </w:p>
        </w:tc>
        <w:tc>
          <w:tcPr>
            <w:tcW w:w="100" w:type="dxa"/>
            <w:vAlign w:val="bottom"/>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280" w:type="dxa"/>
            <w:vAlign w:val="bottom"/>
            <w:tcBorders>
              <w:top w:val="single" w:sz="8" w:color="004483"/>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75.35</w:t>
            </w:r>
          </w:p>
        </w:tc>
        <w:tc>
          <w:tcPr>
            <w:tcW w:w="120" w:type="dxa"/>
            <w:vAlign w:val="bottom"/>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300,115</w:t>
            </w:r>
          </w:p>
        </w:tc>
        <w:tc>
          <w:tcPr>
            <w:tcW w:w="120" w:type="dxa"/>
            <w:vAlign w:val="bottom"/>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480" w:type="dxa"/>
            <w:vAlign w:val="bottom"/>
            <w:tcBorders>
              <w:top w:val="single" w:sz="8" w:color="004483"/>
              <w:bottom w:val="single" w:sz="8" w:color="A6A6A6"/>
            </w:tcBorders>
          </w:tcPr>
          <w:p>
            <w:pPr>
              <w:jc w:val="right"/>
              <w:ind w:right="37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78.94</w:t>
            </w:r>
          </w:p>
        </w:tc>
        <w:tc>
          <w:tcPr>
            <w:tcW w:w="10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328,059</w:t>
            </w:r>
          </w:p>
        </w:tc>
        <w:tc>
          <w:tcPr>
            <w:tcW w:w="120" w:type="dxa"/>
            <w:vAlign w:val="bottom"/>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280" w:type="dxa"/>
            <w:vAlign w:val="bottom"/>
            <w:tcBorders>
              <w:top w:val="single" w:sz="8" w:color="004483"/>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72.52</w:t>
            </w:r>
          </w:p>
        </w:tc>
        <w:tc>
          <w:tcPr>
            <w:tcW w:w="120" w:type="dxa"/>
            <w:vAlign w:val="bottom"/>
          </w:tcPr>
          <w:p>
            <w:pPr>
              <w:spacing w:after="0"/>
              <w:rPr>
                <w:sz w:val="11"/>
                <w:szCs w:val="11"/>
                <w:color w:val="auto"/>
              </w:rPr>
            </w:pPr>
          </w:p>
        </w:tc>
      </w:tr>
      <w:tr>
        <w:trPr>
          <w:trHeight w:val="133"/>
        </w:trPr>
        <w:tc>
          <w:tcPr>
            <w:tcW w:w="4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Granted</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179,377</w:t>
            </w:r>
          </w:p>
        </w:tc>
        <w:tc>
          <w:tcPr>
            <w:tcW w:w="100" w:type="dxa"/>
            <w:vAlign w:val="bottom"/>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63.83</w:t>
            </w:r>
          </w:p>
        </w:tc>
        <w:tc>
          <w:tcPr>
            <w:tcW w:w="120" w:type="dxa"/>
            <w:vAlign w:val="bottom"/>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118,292</w:t>
            </w:r>
          </w:p>
        </w:tc>
        <w:tc>
          <w:tcPr>
            <w:tcW w:w="120" w:type="dxa"/>
            <w:vAlign w:val="bottom"/>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480" w:type="dxa"/>
            <w:vAlign w:val="bottom"/>
            <w:tcBorders>
              <w:bottom w:val="single" w:sz="8" w:color="A6A6A6"/>
            </w:tcBorders>
          </w:tcPr>
          <w:p>
            <w:pPr>
              <w:jc w:val="right"/>
              <w:ind w:right="37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90.08</w:t>
            </w:r>
          </w:p>
        </w:tc>
        <w:tc>
          <w:tcPr>
            <w:tcW w:w="10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121,836</w:t>
            </w:r>
          </w:p>
        </w:tc>
        <w:tc>
          <w:tcPr>
            <w:tcW w:w="120" w:type="dxa"/>
            <w:vAlign w:val="bottom"/>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105.73</w:t>
            </w:r>
          </w:p>
        </w:tc>
        <w:tc>
          <w:tcPr>
            <w:tcW w:w="120" w:type="dxa"/>
            <w:vAlign w:val="bottom"/>
          </w:tcPr>
          <w:p>
            <w:pPr>
              <w:spacing w:after="0"/>
              <w:rPr>
                <w:sz w:val="11"/>
                <w:szCs w:val="11"/>
                <w:color w:val="auto"/>
              </w:rPr>
            </w:pPr>
          </w:p>
        </w:tc>
      </w:tr>
      <w:tr>
        <w:trPr>
          <w:trHeight w:val="133"/>
        </w:trPr>
        <w:tc>
          <w:tcPr>
            <w:tcW w:w="4680" w:type="dxa"/>
            <w:vAlign w:val="bottom"/>
          </w:tcPr>
          <w:p>
            <w:pPr>
              <w:spacing w:after="0"/>
              <w:rPr>
                <w:sz w:val="20"/>
                <w:szCs w:val="20"/>
                <w:color w:val="auto"/>
              </w:rPr>
            </w:pPr>
            <w:r>
              <w:rPr>
                <w:rFonts w:ascii="Arial" w:cs="Arial" w:eastAsia="Arial" w:hAnsi="Arial"/>
                <w:sz w:val="11"/>
                <w:szCs w:val="11"/>
                <w:b w:val="1"/>
                <w:bCs w:val="1"/>
                <w:color w:val="004483"/>
              </w:rPr>
              <w:t>Vested</w:t>
            </w:r>
          </w:p>
        </w:tc>
        <w:tc>
          <w:tcPr>
            <w:tcW w:w="1000" w:type="dxa"/>
            <w:vAlign w:val="bottom"/>
            <w:gridSpan w:val="2"/>
          </w:tcPr>
          <w:p>
            <w:pPr>
              <w:jc w:val="right"/>
              <w:ind w:right="80"/>
              <w:spacing w:after="0"/>
              <w:rPr>
                <w:sz w:val="20"/>
                <w:szCs w:val="20"/>
                <w:color w:val="auto"/>
              </w:rPr>
            </w:pPr>
            <w:r>
              <w:rPr>
                <w:rFonts w:ascii="Arial" w:cs="Arial" w:eastAsia="Arial" w:hAnsi="Arial"/>
                <w:sz w:val="11"/>
                <w:szCs w:val="11"/>
                <w:color w:val="auto"/>
              </w:rPr>
              <w:t>(136,280)</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78.89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(169,347)</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92.98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(147,790)</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75.94</w:t>
            </w:r>
          </w:p>
        </w:tc>
        <w:tc>
          <w:tcPr>
            <w:tcW w:w="120" w:type="dxa"/>
            <w:vAlign w:val="bottom"/>
          </w:tcPr>
          <w:p>
            <w:pPr>
              <w:spacing w:after="0"/>
              <w:rPr>
                <w:sz w:val="11"/>
                <w:szCs w:val="11"/>
                <w:color w:val="auto"/>
              </w:rPr>
            </w:pPr>
          </w:p>
        </w:tc>
      </w:tr>
      <w:tr>
        <w:trPr>
          <w:trHeight w:val="20"/>
        </w:trPr>
        <w:tc>
          <w:tcPr>
            <w:tcW w:w="468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680" w:type="dxa"/>
            <w:vAlign w:val="bottom"/>
          </w:tcPr>
          <w:p>
            <w:pPr>
              <w:spacing w:after="0"/>
              <w:rPr>
                <w:sz w:val="20"/>
                <w:szCs w:val="20"/>
                <w:color w:val="auto"/>
              </w:rPr>
            </w:pPr>
            <w:r>
              <w:rPr>
                <w:rFonts w:ascii="Arial" w:cs="Arial" w:eastAsia="Arial" w:hAnsi="Arial"/>
                <w:sz w:val="11"/>
                <w:szCs w:val="11"/>
                <w:b w:val="1"/>
                <w:bCs w:val="1"/>
                <w:color w:val="004483"/>
              </w:rPr>
              <w:t>Cancelled</w:t>
            </w:r>
          </w:p>
        </w:tc>
        <w:tc>
          <w:tcPr>
            <w:tcW w:w="1000" w:type="dxa"/>
            <w:vAlign w:val="bottom"/>
            <w:gridSpan w:val="2"/>
          </w:tcPr>
          <w:p>
            <w:pPr>
              <w:jc w:val="right"/>
              <w:ind w:right="80"/>
              <w:spacing w:after="0"/>
              <w:rPr>
                <w:sz w:val="20"/>
                <w:szCs w:val="20"/>
                <w:color w:val="auto"/>
              </w:rPr>
            </w:pPr>
            <w:r>
              <w:rPr>
                <w:rFonts w:ascii="Arial" w:cs="Arial" w:eastAsia="Arial" w:hAnsi="Arial"/>
                <w:sz w:val="11"/>
                <w:szCs w:val="11"/>
                <w:color w:val="auto"/>
              </w:rPr>
              <w:t>(9,127)</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71.46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(15,940)</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58.64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(1,990)</w:t>
            </w:r>
          </w:p>
        </w:tc>
        <w:tc>
          <w:tcPr>
            <w:tcW w:w="100" w:type="dxa"/>
            <w:vAlign w:val="bottom"/>
          </w:tcPr>
          <w:p>
            <w:pPr>
              <w:spacing w:after="0"/>
              <w:rPr>
                <w:sz w:val="11"/>
                <w:szCs w:val="11"/>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100.88</w:t>
            </w:r>
          </w:p>
        </w:tc>
        <w:tc>
          <w:tcPr>
            <w:tcW w:w="120" w:type="dxa"/>
            <w:vAlign w:val="bottom"/>
          </w:tcPr>
          <w:p>
            <w:pPr>
              <w:spacing w:after="0"/>
              <w:rPr>
                <w:sz w:val="11"/>
                <w:szCs w:val="11"/>
                <w:color w:val="auto"/>
              </w:rPr>
            </w:pPr>
          </w:p>
        </w:tc>
      </w:tr>
      <w:tr>
        <w:trPr>
          <w:trHeight w:val="142"/>
        </w:trPr>
        <w:tc>
          <w:tcPr>
            <w:tcW w:w="46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004483"/>
              </w:rPr>
              <w:t>Nonvested Restricted Stock at End of Year</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267,090</w:t>
            </w:r>
          </w:p>
        </w:tc>
        <w:tc>
          <w:tcPr>
            <w:tcW w:w="100" w:type="dxa"/>
            <w:vAlign w:val="bottom"/>
          </w:tcPr>
          <w:p>
            <w:pPr>
              <w:spacing w:after="0"/>
              <w:rPr>
                <w:sz w:val="12"/>
                <w:szCs w:val="12"/>
                <w:color w:val="auto"/>
              </w:rPr>
            </w:pPr>
          </w:p>
        </w:tc>
        <w:tc>
          <w:tcPr>
            <w:tcW w:w="100" w:type="dxa"/>
            <w:vAlign w:val="bottom"/>
            <w:tcBorders>
              <w:top w:val="single" w:sz="8" w:color="A6A6A6"/>
              <w:bottom w:val="single" w:sz="8" w:color="A6A6A6"/>
            </w:tcBorders>
          </w:tcPr>
          <w:p>
            <w:pPr>
              <w:spacing w:after="0"/>
              <w:rPr>
                <w:sz w:val="12"/>
                <w:szCs w:val="12"/>
                <w:color w:val="auto"/>
              </w:rPr>
            </w:pPr>
          </w:p>
        </w:tc>
        <w:tc>
          <w:tcPr>
            <w:tcW w:w="280" w:type="dxa"/>
            <w:vAlign w:val="bottom"/>
            <w:tcBorders>
              <w:top w:val="single" w:sz="8" w:color="004483"/>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62.56</w:t>
            </w:r>
          </w:p>
        </w:tc>
        <w:tc>
          <w:tcPr>
            <w:tcW w:w="120" w:type="dxa"/>
            <w:vAlign w:val="bottom"/>
          </w:tcPr>
          <w:p>
            <w:pPr>
              <w:spacing w:after="0"/>
              <w:rPr>
                <w:sz w:val="12"/>
                <w:szCs w:val="12"/>
                <w:color w:val="auto"/>
              </w:rPr>
            </w:pPr>
          </w:p>
        </w:tc>
        <w:tc>
          <w:tcPr>
            <w:tcW w:w="100" w:type="dxa"/>
            <w:vAlign w:val="bottom"/>
            <w:tcBorders>
              <w:top w:val="single" w:sz="8" w:color="A6A6A6"/>
              <w:bottom w:val="single" w:sz="8" w:color="A6A6A6"/>
            </w:tcBorders>
          </w:tcPr>
          <w:p>
            <w:pPr>
              <w:spacing w:after="0"/>
              <w:rPr>
                <w:sz w:val="12"/>
                <w:szCs w:val="12"/>
                <w:color w:val="auto"/>
              </w:rPr>
            </w:pP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233,120</w:t>
            </w:r>
          </w:p>
        </w:tc>
        <w:tc>
          <w:tcPr>
            <w:tcW w:w="120" w:type="dxa"/>
            <w:vAlign w:val="bottom"/>
          </w:tcPr>
          <w:p>
            <w:pPr>
              <w:spacing w:after="0"/>
              <w:rPr>
                <w:sz w:val="12"/>
                <w:szCs w:val="12"/>
                <w:color w:val="auto"/>
              </w:rPr>
            </w:pPr>
          </w:p>
        </w:tc>
        <w:tc>
          <w:tcPr>
            <w:tcW w:w="100" w:type="dxa"/>
            <w:vAlign w:val="bottom"/>
            <w:tcBorders>
              <w:top w:val="single" w:sz="8" w:color="A6A6A6"/>
              <w:bottom w:val="single" w:sz="8" w:color="A6A6A6"/>
            </w:tcBorders>
          </w:tcPr>
          <w:p>
            <w:pPr>
              <w:spacing w:after="0"/>
              <w:rPr>
                <w:sz w:val="12"/>
                <w:szCs w:val="12"/>
                <w:color w:val="auto"/>
              </w:rPr>
            </w:pPr>
          </w:p>
        </w:tc>
        <w:tc>
          <w:tcPr>
            <w:tcW w:w="480" w:type="dxa"/>
            <w:vAlign w:val="bottom"/>
            <w:tcBorders>
              <w:top w:val="single" w:sz="8" w:color="004483"/>
              <w:bottom w:val="single" w:sz="8" w:color="A6A6A6"/>
            </w:tcBorders>
          </w:tcPr>
          <w:p>
            <w:pPr>
              <w:jc w:val="right"/>
              <w:ind w:right="37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75.35</w:t>
            </w:r>
          </w:p>
        </w:tc>
        <w:tc>
          <w:tcPr>
            <w:tcW w:w="100" w:type="dxa"/>
            <w:vAlign w:val="bottom"/>
          </w:tcPr>
          <w:p>
            <w:pPr>
              <w:spacing w:after="0"/>
              <w:rPr>
                <w:sz w:val="12"/>
                <w:szCs w:val="12"/>
                <w:color w:val="auto"/>
              </w:rPr>
            </w:pPr>
          </w:p>
        </w:tc>
        <w:tc>
          <w:tcPr>
            <w:tcW w:w="120" w:type="dxa"/>
            <w:vAlign w:val="bottom"/>
            <w:tcBorders>
              <w:top w:val="single" w:sz="8" w:color="A6A6A6"/>
              <w:bottom w:val="single" w:sz="8" w:color="A6A6A6"/>
            </w:tcBorders>
          </w:tcPr>
          <w:p>
            <w:pPr>
              <w:spacing w:after="0"/>
              <w:rPr>
                <w:sz w:val="12"/>
                <w:szCs w:val="12"/>
                <w:color w:val="auto"/>
              </w:rPr>
            </w:pP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300,115</w:t>
            </w:r>
          </w:p>
        </w:tc>
        <w:tc>
          <w:tcPr>
            <w:tcW w:w="120" w:type="dxa"/>
            <w:vAlign w:val="bottom"/>
          </w:tcPr>
          <w:p>
            <w:pPr>
              <w:spacing w:after="0"/>
              <w:rPr>
                <w:sz w:val="12"/>
                <w:szCs w:val="12"/>
                <w:color w:val="auto"/>
              </w:rPr>
            </w:pPr>
          </w:p>
        </w:tc>
        <w:tc>
          <w:tcPr>
            <w:tcW w:w="100" w:type="dxa"/>
            <w:vAlign w:val="bottom"/>
            <w:tcBorders>
              <w:top w:val="single" w:sz="8" w:color="A6A6A6"/>
              <w:bottom w:val="single" w:sz="8" w:color="A6A6A6"/>
            </w:tcBorders>
          </w:tcPr>
          <w:p>
            <w:pPr>
              <w:spacing w:after="0"/>
              <w:rPr>
                <w:sz w:val="12"/>
                <w:szCs w:val="12"/>
                <w:color w:val="auto"/>
              </w:rPr>
            </w:pPr>
          </w:p>
        </w:tc>
        <w:tc>
          <w:tcPr>
            <w:tcW w:w="280" w:type="dxa"/>
            <w:vAlign w:val="bottom"/>
            <w:tcBorders>
              <w:top w:val="single" w:sz="8" w:color="004483"/>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78.94</w:t>
            </w:r>
          </w:p>
        </w:tc>
        <w:tc>
          <w:tcPr>
            <w:tcW w:w="120" w:type="dxa"/>
            <w:vAlign w:val="bottom"/>
          </w:tcPr>
          <w:p>
            <w:pPr>
              <w:spacing w:after="0"/>
              <w:rPr>
                <w:sz w:val="12"/>
                <w:szCs w:val="12"/>
                <w:color w:val="auto"/>
              </w:rPr>
            </w:pPr>
          </w:p>
        </w:tc>
      </w:tr>
    </w:tbl>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Expense related to restricted shares was $10.4 million, $15.3 million, and $11.3 million in fiscal years ended March 31, 2021, 2020, and 2019, respectively. At March 31, 2021, there were approximately 267,000 shares with remaining restrictions, for which $12.6 million of unearned compensation will be recognized over a weighted-average period of 2.4 years.</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The number of shares available for future grants of stock options, restricted stock units, stock appreciation rights, and restricted stock under the Plan was 3,449,686 at March 31, 2021. Of the available shares, a total of 1,085,034 shares can be used for future restricted stock and restricted stock unit grants.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color w:val="004483"/>
        </w:rPr>
        <w:t>(M) NET 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components are included within Interest Expense,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71"/>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4"/>
              </w:rPr>
              <w:t>(dollars in thousands)</w:t>
            </w: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Interest Income</w:t>
            </w: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(66)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31"/>
              <w:spacing w:after="0"/>
              <w:rPr>
                <w:sz w:val="20"/>
                <w:szCs w:val="20"/>
                <w:color w:val="auto"/>
              </w:rPr>
            </w:pPr>
            <w:r>
              <w:rPr>
                <w:rFonts w:ascii="Arial" w:cs="Arial" w:eastAsia="Arial" w:hAnsi="Arial"/>
                <w:sz w:val="11"/>
                <w:szCs w:val="11"/>
                <w:color w:val="auto"/>
              </w:rPr>
              <w:t>(34)</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(123)</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Interest Expense</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40,624</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36,956</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27,329</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Other Expenses</w:t>
            </w: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3,862</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004483"/>
            </w:tcBorders>
          </w:tcPr>
          <w:p>
            <w:pPr>
              <w:spacing w:after="0"/>
              <w:rPr>
                <w:sz w:val="11"/>
                <w:szCs w:val="11"/>
                <w:color w:val="auto"/>
              </w:rPr>
            </w:pPr>
          </w:p>
        </w:tc>
        <w:tc>
          <w:tcPr>
            <w:tcW w:w="136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color w:val="auto"/>
              </w:rPr>
              <w:t>1,499</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1,168</w:t>
            </w:r>
          </w:p>
        </w:tc>
      </w:tr>
      <w:tr>
        <w:trPr>
          <w:trHeight w:val="142"/>
        </w:trPr>
        <w:tc>
          <w:tcPr>
            <w:tcW w:w="6660" w:type="dxa"/>
            <w:vAlign w:val="bottom"/>
          </w:tcPr>
          <w:p>
            <w:pPr>
              <w:spacing w:after="0"/>
              <w:rPr>
                <w:sz w:val="20"/>
                <w:szCs w:val="20"/>
                <w:color w:val="auto"/>
              </w:rPr>
            </w:pPr>
            <w:r>
              <w:rPr>
                <w:rFonts w:ascii="Arial" w:cs="Arial" w:eastAsia="Arial" w:hAnsi="Arial"/>
                <w:sz w:val="11"/>
                <w:szCs w:val="11"/>
                <w:b w:val="1"/>
                <w:bCs w:val="1"/>
                <w:color w:val="004483"/>
              </w:rPr>
              <w:t>Interest Expense, net</w:t>
            </w: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44,420</w:t>
            </w:r>
          </w:p>
        </w:tc>
        <w:tc>
          <w:tcPr>
            <w:tcW w:w="160" w:type="dxa"/>
            <w:vAlign w:val="bottom"/>
          </w:tcPr>
          <w:p>
            <w:pPr>
              <w:spacing w:after="0"/>
              <w:rPr>
                <w:sz w:val="12"/>
                <w:szCs w:val="12"/>
                <w:color w:val="auto"/>
              </w:rPr>
            </w:pPr>
          </w:p>
        </w:tc>
        <w:tc>
          <w:tcPr>
            <w:tcW w:w="80" w:type="dxa"/>
            <w:vAlign w:val="bottom"/>
            <w:tcBorders>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38,421</w:t>
            </w: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28,374</w:t>
            </w:r>
          </w:p>
        </w:tc>
      </w:tr>
    </w:tbl>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Interest Income includes interest earned on investments of excess Cash and Restricted Cash. Components of Interest Expense include interest associated with the Revolving Credit Facility, Term Loan, Senior Unsecured Notes, Private Placement Senior Unsecured Notes (retired in October 2019), and commitment fees based on the unused portion of the Revolving Credit Facility. Other Expenses include amortization of debt issuance costs and Revolving Credit Facility and Term Loan costs.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004483"/>
        </w:rPr>
        <w:t>(N) PENSION AND PROFIT SHARING PLANS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We offer our employees multiple retirement and profit sharing plans.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Pension Plans</w:t>
      </w:r>
    </w:p>
    <w:p>
      <w:pPr>
        <w:spacing w:after="0" w:line="102"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We have several defined benefit and defined contribution retirement plans which together cover substantially all of our employees. Benefits paid under the defined benefit plans covering certain hourly employees are based on years of service and each employee’s qualifying compensation over the last few years of employment. During fiscal 2020, the last of our pension plans that was still accruing benefits was frozen; therefore, none of our pension plans are accruing additional benefits.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color w:val="auto"/>
        </w:rPr>
        <w:t>The following table provides a reconciliation of the Obligations and Fair Values of Plan Assets for all defined benefit plans over the two-year period ended March 31, 2021, and a statement of the funded status as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31,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2100" w:type="dxa"/>
            <w:vAlign w:val="bottom"/>
            <w:gridSpan w:val="3"/>
            <w:shd w:val="clear" w:color="auto" w:fill="004483"/>
          </w:tcPr>
          <w:p>
            <w:pPr>
              <w:jc w:val="right"/>
              <w:ind w:right="413"/>
              <w:spacing w:after="0"/>
              <w:rPr>
                <w:sz w:val="20"/>
                <w:szCs w:val="20"/>
                <w:color w:val="auto"/>
              </w:rPr>
            </w:pPr>
            <w:r>
              <w:rPr>
                <w:rFonts w:ascii="Arial" w:cs="Arial" w:eastAsia="Arial" w:hAnsi="Arial"/>
                <w:sz w:val="8"/>
                <w:szCs w:val="8"/>
                <w:b w:val="1"/>
                <w:bCs w:val="1"/>
                <w:color w:val="FFFFFF"/>
              </w:rPr>
              <w:t>For the Years Ended March 31,</w:t>
            </w:r>
          </w:p>
        </w:tc>
        <w:tc>
          <w:tcPr>
            <w:tcW w:w="84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jc w:val="right"/>
              <w:ind w:right="67"/>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2100" w:type="dxa"/>
            <w:vAlign w:val="bottom"/>
            <w:tcBorders>
              <w:bottom w:val="single" w:sz="8" w:color="004483"/>
            </w:tcBorders>
            <w:gridSpan w:val="3"/>
          </w:tcPr>
          <w:p>
            <w:pPr>
              <w:jc w:val="right"/>
              <w:ind w:right="613"/>
              <w:spacing w:after="0"/>
              <w:rPr>
                <w:sz w:val="20"/>
                <w:szCs w:val="20"/>
                <w:color w:val="auto"/>
              </w:rPr>
            </w:pPr>
            <w:r>
              <w:rPr>
                <w:rFonts w:ascii="Arial" w:cs="Arial" w:eastAsia="Arial" w:hAnsi="Arial"/>
                <w:sz w:val="8"/>
                <w:szCs w:val="8"/>
                <w:color w:val="auto"/>
              </w:rPr>
              <w:t>(dollars in thousands)</w:t>
            </w:r>
          </w:p>
        </w:tc>
        <w:tc>
          <w:tcPr>
            <w:tcW w:w="8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Reconciliation of Benefit Obligations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Benefit Obligation at April 1,</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36,701</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73"/>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33,730</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Service Cost - Benefits Earned During the Period</w:t>
            </w:r>
          </w:p>
        </w:tc>
        <w:tc>
          <w:tcPr>
            <w:tcW w:w="62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339</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Interest Cost on Projected Benefit Obligation</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1,216</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1,351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Actuarial (Gain) Loss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1,714</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2,464</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Benefits Paid</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(1,251)</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(1,183)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Sale of Business</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(2,536)</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Benefit Obligation at March 31,</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35,844</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jc w:val="right"/>
              <w:ind w:right="773"/>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36,701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Reconciliation of Fair Value of Plan Assets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Fair Value of Plan Assets at April 1,</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39,009</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73"/>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36,541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Actual Return on Plan Assets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2,939</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3,651</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Benefits Paid</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8"/>
              <w:spacing w:after="0"/>
              <w:rPr>
                <w:sz w:val="20"/>
                <w:szCs w:val="20"/>
                <w:color w:val="auto"/>
              </w:rPr>
            </w:pPr>
            <w:r>
              <w:rPr>
                <w:rFonts w:ascii="Arial" w:cs="Arial" w:eastAsia="Arial" w:hAnsi="Arial"/>
                <w:sz w:val="11"/>
                <w:szCs w:val="11"/>
                <w:color w:val="auto"/>
              </w:rPr>
              <w:t>(1,251)</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27"/>
              <w:spacing w:after="0"/>
              <w:rPr>
                <w:sz w:val="20"/>
                <w:szCs w:val="20"/>
                <w:color w:val="auto"/>
              </w:rPr>
            </w:pPr>
            <w:r>
              <w:rPr>
                <w:rFonts w:ascii="Arial" w:cs="Arial" w:eastAsia="Arial" w:hAnsi="Arial"/>
                <w:sz w:val="11"/>
                <w:szCs w:val="11"/>
                <w:color w:val="auto"/>
              </w:rPr>
              <w:t>(1,183)</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Sale of Business</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(2,790)</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Fair Value of Plan Assets at March 31,</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color w:val="auto"/>
              </w:rPr>
              <w:t>37,907</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color w:val="auto"/>
              </w:rPr>
              <w:t>39,009</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Funded Status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5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Funded Status at March 31,</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2,063</w:t>
            </w:r>
          </w:p>
        </w:tc>
        <w:tc>
          <w:tcPr>
            <w:tcW w:w="200" w:type="dxa"/>
            <w:vAlign w:val="bottom"/>
            <w:tcBorders>
              <w:bottom w:val="single" w:sz="8" w:color="A6A6A6"/>
            </w:tcBorders>
          </w:tcPr>
          <w:p>
            <w:pPr>
              <w:spacing w:after="0"/>
              <w:rPr>
                <w:sz w:val="13"/>
                <w:szCs w:val="13"/>
                <w:color w:val="auto"/>
              </w:rPr>
            </w:pPr>
          </w:p>
        </w:tc>
        <w:tc>
          <w:tcPr>
            <w:tcW w:w="840" w:type="dxa"/>
            <w:vAlign w:val="bottom"/>
            <w:tcBorders>
              <w:bottom w:val="single" w:sz="8" w:color="004483"/>
            </w:tcBorders>
          </w:tcPr>
          <w:p>
            <w:pPr>
              <w:jc w:val="right"/>
              <w:ind w:right="773"/>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2,308</w:t>
            </w:r>
          </w:p>
        </w:tc>
      </w:tr>
      <w:tr>
        <w:trPr>
          <w:trHeight w:val="126"/>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004483"/>
              </w:rPr>
              <w:t>Amounts Recognized in the Balance Sheet Consist of -</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Other Assets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2,063</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73"/>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2,308</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004483"/>
              </w:rPr>
              <w:t>Accumulated Other Comprehensive Losses: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Net Actuarial Loss</w:t>
            </w:r>
          </w:p>
        </w:tc>
        <w:tc>
          <w:tcPr>
            <w:tcW w:w="62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4,524</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1"/>
                <w:szCs w:val="11"/>
                <w:color w:val="auto"/>
              </w:rPr>
              <w:t>4,709</w:t>
            </w:r>
          </w:p>
        </w:tc>
      </w:tr>
      <w:tr>
        <w:trPr>
          <w:trHeight w:val="133"/>
        </w:trPr>
        <w:tc>
          <w:tcPr>
            <w:tcW w:w="7740" w:type="dxa"/>
            <w:vAlign w:val="bottom"/>
          </w:tcPr>
          <w:p>
            <w:pPr>
              <w:ind w:left="320"/>
              <w:spacing w:after="0"/>
              <w:rPr>
                <w:sz w:val="20"/>
                <w:szCs w:val="20"/>
                <w:color w:val="auto"/>
              </w:rPr>
            </w:pPr>
            <w:r>
              <w:rPr>
                <w:rFonts w:ascii="Arial" w:cs="Arial" w:eastAsia="Arial" w:hAnsi="Arial"/>
                <w:sz w:val="11"/>
                <w:szCs w:val="11"/>
                <w:color w:val="004483"/>
              </w:rPr>
              <w:t>Prior Service Cost</w:t>
            </w:r>
          </w:p>
        </w:tc>
        <w:tc>
          <w:tcPr>
            <w:tcW w:w="620" w:type="dxa"/>
            <w:vAlign w:val="bottom"/>
          </w:tcPr>
          <w:p>
            <w:pPr>
              <w:spacing w:after="0"/>
              <w:rPr>
                <w:sz w:val="11"/>
                <w:szCs w:val="1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004483"/>
              </w:rPr>
              <w:t>Accumulated Other Comprehensive Losses</w:t>
            </w:r>
          </w:p>
        </w:tc>
        <w:tc>
          <w:tcPr>
            <w:tcW w:w="620" w:type="dxa"/>
            <w:vAlign w:val="bottom"/>
            <w:tcBorders>
              <w:top w:val="single" w:sz="8" w:color="004483"/>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004483"/>
              <w:bottom w:val="single" w:sz="8" w:color="A6A6A6"/>
            </w:tcBorders>
          </w:tcPr>
          <w:p>
            <w:pPr>
              <w:jc w:val="right"/>
              <w:ind w:right="68"/>
              <w:spacing w:after="0"/>
              <w:rPr>
                <w:sz w:val="20"/>
                <w:szCs w:val="20"/>
                <w:color w:val="auto"/>
              </w:rPr>
            </w:pPr>
            <w:r>
              <w:rPr>
                <w:rFonts w:ascii="Arial" w:cs="Arial" w:eastAsia="Arial" w:hAnsi="Arial"/>
                <w:sz w:val="11"/>
                <w:szCs w:val="11"/>
                <w:color w:val="auto"/>
              </w:rPr>
              <w:t>4,524</w:t>
            </w:r>
          </w:p>
        </w:tc>
        <w:tc>
          <w:tcPr>
            <w:tcW w:w="20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004483"/>
              <w:bottom w:val="single" w:sz="8" w:color="A6A6A6"/>
            </w:tcBorders>
          </w:tcPr>
          <w:p>
            <w:pPr>
              <w:jc w:val="right"/>
              <w:ind w:right="773"/>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004483"/>
              <w:bottom w:val="single" w:sz="8" w:color="A6A6A6"/>
            </w:tcBorders>
          </w:tcPr>
          <w:p>
            <w:pPr>
              <w:jc w:val="right"/>
              <w:ind w:right="67"/>
              <w:spacing w:after="0"/>
              <w:rPr>
                <w:sz w:val="20"/>
                <w:szCs w:val="20"/>
                <w:color w:val="auto"/>
              </w:rPr>
            </w:pPr>
            <w:r>
              <w:rPr>
                <w:rFonts w:ascii="Arial" w:cs="Arial" w:eastAsia="Arial" w:hAnsi="Arial"/>
                <w:sz w:val="11"/>
                <w:szCs w:val="11"/>
                <w:color w:val="auto"/>
              </w:rPr>
              <w:t>4,709</w:t>
            </w: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004483"/>
              </w:rPr>
              <w:t>Tax impact</w:t>
            </w:r>
          </w:p>
        </w:tc>
        <w:tc>
          <w:tcPr>
            <w:tcW w:w="620" w:type="dxa"/>
            <w:vAlign w:val="bottom"/>
            <w:tcBorders>
              <w:bottom w:val="single" w:sz="8" w:color="004483"/>
            </w:tcBorders>
          </w:tcPr>
          <w:p>
            <w:pPr>
              <w:spacing w:after="0"/>
              <w:rPr>
                <w:sz w:val="11"/>
                <w:szCs w:val="11"/>
                <w:color w:val="auto"/>
              </w:rPr>
            </w:pPr>
          </w:p>
        </w:tc>
        <w:tc>
          <w:tcPr>
            <w:tcW w:w="1060" w:type="dxa"/>
            <w:vAlign w:val="bottom"/>
            <w:tcBorders>
              <w:bottom w:val="single" w:sz="8" w:color="004483"/>
            </w:tcBorders>
          </w:tcPr>
          <w:p>
            <w:pPr>
              <w:jc w:val="right"/>
              <w:ind w:right="8"/>
              <w:spacing w:after="0"/>
              <w:rPr>
                <w:sz w:val="20"/>
                <w:szCs w:val="20"/>
                <w:color w:val="auto"/>
              </w:rPr>
            </w:pPr>
            <w:r>
              <w:rPr>
                <w:rFonts w:ascii="Arial" w:cs="Arial" w:eastAsia="Arial" w:hAnsi="Arial"/>
                <w:sz w:val="11"/>
                <w:szCs w:val="11"/>
                <w:color w:val="auto"/>
              </w:rPr>
              <w:t>(1,086)</w:t>
            </w:r>
          </w:p>
        </w:tc>
        <w:tc>
          <w:tcPr>
            <w:tcW w:w="20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ind w:right="27"/>
              <w:spacing w:after="0"/>
              <w:rPr>
                <w:sz w:val="20"/>
                <w:szCs w:val="20"/>
                <w:color w:val="auto"/>
              </w:rPr>
            </w:pPr>
            <w:r>
              <w:rPr>
                <w:rFonts w:ascii="Arial" w:cs="Arial" w:eastAsia="Arial" w:hAnsi="Arial"/>
                <w:sz w:val="11"/>
                <w:szCs w:val="11"/>
                <w:color w:val="auto"/>
              </w:rPr>
              <w:t>(1,128)</w:t>
            </w:r>
          </w:p>
        </w:tc>
      </w:tr>
      <w:tr>
        <w:trPr>
          <w:trHeight w:val="142"/>
        </w:trPr>
        <w:tc>
          <w:tcPr>
            <w:tcW w:w="7740" w:type="dxa"/>
            <w:vAlign w:val="bottom"/>
          </w:tcPr>
          <w:p>
            <w:pPr>
              <w:ind w:left="160"/>
              <w:spacing w:after="0"/>
              <w:rPr>
                <w:sz w:val="20"/>
                <w:szCs w:val="20"/>
                <w:color w:val="auto"/>
              </w:rPr>
            </w:pPr>
            <w:r>
              <w:rPr>
                <w:rFonts w:ascii="Arial" w:cs="Arial" w:eastAsia="Arial" w:hAnsi="Arial"/>
                <w:sz w:val="11"/>
                <w:szCs w:val="11"/>
                <w:b w:val="1"/>
                <w:bCs w:val="1"/>
                <w:color w:val="004483"/>
              </w:rPr>
              <w:t>Accumulated Other Comprehensive Losses, net of tax</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3,438</w:t>
            </w:r>
          </w:p>
        </w:tc>
        <w:tc>
          <w:tcPr>
            <w:tcW w:w="200" w:type="dxa"/>
            <w:vAlign w:val="bottom"/>
          </w:tcPr>
          <w:p>
            <w:pPr>
              <w:spacing w:after="0"/>
              <w:rPr>
                <w:sz w:val="12"/>
                <w:szCs w:val="12"/>
                <w:color w:val="auto"/>
              </w:rPr>
            </w:pPr>
          </w:p>
        </w:tc>
        <w:tc>
          <w:tcPr>
            <w:tcW w:w="840" w:type="dxa"/>
            <w:vAlign w:val="bottom"/>
            <w:tcBorders>
              <w:bottom w:val="single" w:sz="8" w:color="004483"/>
            </w:tcBorders>
          </w:tcPr>
          <w:p>
            <w:pPr>
              <w:jc w:val="right"/>
              <w:ind w:right="773"/>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1"/>
                <w:szCs w:val="11"/>
                <w:b w:val="1"/>
                <w:bCs w:val="1"/>
                <w:color w:val="auto"/>
              </w:rPr>
              <w:t>3,581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summarizes the Company’s Projected Benefit Obligation, Accumulated Benefit Obligation, and Fair Value of Plan Assets at March 31,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960" w:type="dxa"/>
            <w:vAlign w:val="bottom"/>
            <w:gridSpan w:val="2"/>
            <w:shd w:val="clear" w:color="auto" w:fill="004483"/>
          </w:tcPr>
          <w:p>
            <w:pPr>
              <w:jc w:val="right"/>
              <w:ind w:right="666"/>
              <w:spacing w:after="0"/>
              <w:rPr>
                <w:sz w:val="20"/>
                <w:szCs w:val="20"/>
                <w:color w:val="auto"/>
              </w:rPr>
            </w:pPr>
            <w:r>
              <w:rPr>
                <w:rFonts w:ascii="Arial" w:cs="Arial" w:eastAsia="Arial" w:hAnsi="Arial"/>
                <w:sz w:val="8"/>
                <w:szCs w:val="8"/>
                <w:b w:val="1"/>
                <w:bCs w:val="1"/>
                <w:color w:val="FFFFFF"/>
              </w:rPr>
              <w:t>March 31,</w:t>
            </w:r>
          </w:p>
        </w:tc>
        <w:tc>
          <w:tcPr>
            <w:tcW w:w="94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jc w:val="right"/>
              <w:ind w:right="112"/>
              <w:spacing w:after="0"/>
              <w:rPr>
                <w:sz w:val="20"/>
                <w:szCs w:val="20"/>
                <w:color w:val="auto"/>
              </w:rPr>
            </w:pPr>
            <w:r>
              <w:rPr>
                <w:rFonts w:ascii="Arial" w:cs="Arial" w:eastAsia="Arial" w:hAnsi="Arial"/>
                <w:sz w:val="8"/>
                <w:szCs w:val="8"/>
                <w:b w:val="1"/>
                <w:bCs w:val="1"/>
                <w:color w:val="auto"/>
              </w:rPr>
              <w:t>2021</w:t>
            </w:r>
          </w:p>
        </w:tc>
        <w:tc>
          <w:tcPr>
            <w:tcW w:w="900" w:type="dxa"/>
            <w:vAlign w:val="bottom"/>
          </w:tcPr>
          <w:p>
            <w:pPr>
              <w:spacing w:after="0"/>
              <w:rPr>
                <w:sz w:val="8"/>
                <w:szCs w:val="8"/>
                <w:color w:val="auto"/>
              </w:rPr>
            </w:pPr>
          </w:p>
        </w:tc>
        <w:tc>
          <w:tcPr>
            <w:tcW w:w="940" w:type="dxa"/>
            <w:vAlign w:val="bottom"/>
          </w:tcPr>
          <w:p>
            <w:pPr>
              <w:jc w:val="right"/>
              <w:ind w:right="69"/>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60" w:type="dxa"/>
            <w:vAlign w:val="bottom"/>
            <w:tcBorders>
              <w:bottom w:val="single" w:sz="8" w:color="004483"/>
            </w:tcBorders>
            <w:gridSpan w:val="2"/>
          </w:tcPr>
          <w:p>
            <w:pPr>
              <w:jc w:val="right"/>
              <w:ind w:right="486"/>
              <w:spacing w:after="0"/>
              <w:rPr>
                <w:sz w:val="20"/>
                <w:szCs w:val="20"/>
                <w:color w:val="auto"/>
              </w:rPr>
            </w:pPr>
            <w:r>
              <w:rPr>
                <w:rFonts w:ascii="Arial" w:cs="Arial" w:eastAsia="Arial" w:hAnsi="Arial"/>
                <w:sz w:val="8"/>
                <w:szCs w:val="8"/>
                <w:color w:val="auto"/>
              </w:rPr>
              <w:t>(dollars in thousands)</w:t>
            </w:r>
          </w:p>
        </w:tc>
        <w:tc>
          <w:tcPr>
            <w:tcW w:w="9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Projected Benefit Obligation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35,844</w:t>
            </w:r>
          </w:p>
        </w:tc>
        <w:tc>
          <w:tcPr>
            <w:tcW w:w="900" w:type="dxa"/>
            <w:vAlign w:val="bottom"/>
            <w:tcBorders>
              <w:bottom w:val="single" w:sz="8" w:color="A6A6A6"/>
            </w:tcBorders>
          </w:tcPr>
          <w:p>
            <w:pPr>
              <w:jc w:val="right"/>
              <w:ind w:right="6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36,701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Accumulated Benefit Obligation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35,844</w:t>
            </w:r>
          </w:p>
        </w:tc>
        <w:tc>
          <w:tcPr>
            <w:tcW w:w="900" w:type="dxa"/>
            <w:vAlign w:val="bottom"/>
            <w:tcBorders>
              <w:bottom w:val="single" w:sz="8" w:color="A6A6A6"/>
            </w:tcBorders>
          </w:tcPr>
          <w:p>
            <w:pPr>
              <w:jc w:val="right"/>
              <w:ind w:right="6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36,701</w:t>
            </w:r>
          </w:p>
        </w:tc>
      </w:tr>
      <w:tr>
        <w:trPr>
          <w:trHeight w:val="133"/>
        </w:trPr>
        <w:tc>
          <w:tcPr>
            <w:tcW w:w="774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004483"/>
              </w:rPr>
              <w:t>Fair Value of Plan Assets</w:t>
            </w:r>
          </w:p>
        </w:tc>
        <w:tc>
          <w:tcPr>
            <w:tcW w:w="660" w:type="dxa"/>
            <w:vAlign w:val="bottom"/>
            <w:tcBorders>
              <w:bottom w:val="single" w:sz="8" w:color="A3A3A3"/>
            </w:tcBorders>
          </w:tcPr>
          <w:p>
            <w:pPr>
              <w:jc w:val="right"/>
              <w:ind w:right="55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3A3A3"/>
            </w:tcBorders>
          </w:tcPr>
          <w:p>
            <w:pPr>
              <w:jc w:val="right"/>
              <w:ind w:right="112"/>
              <w:spacing w:after="0"/>
              <w:rPr>
                <w:sz w:val="20"/>
                <w:szCs w:val="20"/>
                <w:color w:val="auto"/>
              </w:rPr>
            </w:pPr>
            <w:r>
              <w:rPr>
                <w:rFonts w:ascii="Arial" w:cs="Arial" w:eastAsia="Arial" w:hAnsi="Arial"/>
                <w:sz w:val="11"/>
                <w:szCs w:val="11"/>
                <w:color w:val="auto"/>
              </w:rPr>
              <w:t>37,907</w:t>
            </w:r>
          </w:p>
        </w:tc>
        <w:tc>
          <w:tcPr>
            <w:tcW w:w="900" w:type="dxa"/>
            <w:vAlign w:val="bottom"/>
            <w:tcBorders>
              <w:bottom w:val="single" w:sz="8" w:color="A3A3A3"/>
            </w:tcBorders>
          </w:tcPr>
          <w:p>
            <w:pPr>
              <w:jc w:val="right"/>
              <w:ind w:right="6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3A3A3"/>
            </w:tcBorders>
          </w:tcPr>
          <w:p>
            <w:pPr>
              <w:jc w:val="right"/>
              <w:ind w:right="69"/>
              <w:spacing w:after="0"/>
              <w:rPr>
                <w:sz w:val="20"/>
                <w:szCs w:val="20"/>
                <w:color w:val="auto"/>
              </w:rPr>
            </w:pPr>
            <w:r>
              <w:rPr>
                <w:rFonts w:ascii="Arial" w:cs="Arial" w:eastAsia="Arial" w:hAnsi="Arial"/>
                <w:sz w:val="11"/>
                <w:szCs w:val="11"/>
                <w:color w:val="auto"/>
              </w:rPr>
              <w:t>39,009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Net periodic pension cost for the fiscal years ended March 31, 2021, 2020, and 2019, included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52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For the Years Ended March 31,</w:t>
            </w:r>
          </w:p>
        </w:tc>
        <w:tc>
          <w:tcPr>
            <w:tcW w:w="54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jc w:val="right"/>
              <w:ind w:right="70"/>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jc w:val="right"/>
              <w:ind w:right="68"/>
              <w:spacing w:after="0"/>
              <w:rPr>
                <w:sz w:val="20"/>
                <w:szCs w:val="20"/>
                <w:color w:val="auto"/>
              </w:rPr>
            </w:pPr>
            <w:r>
              <w:rPr>
                <w:rFonts w:ascii="Arial" w:cs="Arial" w:eastAsia="Arial" w:hAnsi="Arial"/>
                <w:sz w:val="8"/>
                <w:szCs w:val="8"/>
                <w:b w:val="1"/>
                <w:bCs w:val="1"/>
                <w:color w:val="auto"/>
              </w:rPr>
              <w:t>2019</w:t>
            </w:r>
          </w:p>
        </w:tc>
      </w:tr>
      <w:tr>
        <w:trPr>
          <w:trHeight w:val="99"/>
        </w:trPr>
        <w:tc>
          <w:tcPr>
            <w:tcW w:w="66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2"/>
          </w:tcPr>
          <w:p>
            <w:pPr>
              <w:jc w:val="center"/>
              <w:ind w:right="360"/>
              <w:spacing w:after="0"/>
              <w:rPr>
                <w:sz w:val="20"/>
                <w:szCs w:val="20"/>
                <w:color w:val="auto"/>
              </w:rPr>
            </w:pPr>
            <w:r>
              <w:rPr>
                <w:rFonts w:ascii="Arial" w:cs="Arial" w:eastAsia="Arial" w:hAnsi="Arial"/>
                <w:sz w:val="8"/>
                <w:szCs w:val="8"/>
                <w:color w:val="auto"/>
                <w:w w:val="93"/>
              </w:rPr>
              <w:t>(dollar in thousands)</w:t>
            </w:r>
          </w:p>
        </w:tc>
        <w:tc>
          <w:tcPr>
            <w:tcW w:w="540" w:type="dxa"/>
            <w:vAlign w:val="bottom"/>
            <w:tcBorders>
              <w:bottom w:val="single" w:sz="8" w:color="004483"/>
            </w:tcBorders>
          </w:tcPr>
          <w:p>
            <w:pPr>
              <w:spacing w:after="0"/>
              <w:rPr>
                <w:sz w:val="8"/>
                <w:szCs w:val="8"/>
                <w:color w:val="auto"/>
              </w:rPr>
            </w:pPr>
          </w:p>
        </w:tc>
        <w:tc>
          <w:tcPr>
            <w:tcW w:w="900" w:type="dxa"/>
            <w:vAlign w:val="bottom"/>
            <w:tcBorders>
              <w:bottom w:val="single" w:sz="8" w:color="004483"/>
            </w:tcBorders>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Service Cost - Benefits Earned During the Period</w:t>
            </w: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6A6A6"/>
            </w:tcBorders>
          </w:tcPr>
          <w:p>
            <w:pPr>
              <w:jc w:val="right"/>
              <w:ind w:right="13"/>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339</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399</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Interest Cost of Projected Benefit Obligation</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1,216</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1,351</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1,347</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Expected Return on Plan Assets</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(1,419)</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30"/>
              <w:spacing w:after="0"/>
              <w:rPr>
                <w:sz w:val="20"/>
                <w:szCs w:val="20"/>
                <w:color w:val="auto"/>
              </w:rPr>
            </w:pPr>
            <w:r>
              <w:rPr>
                <w:rFonts w:ascii="Arial" w:cs="Arial" w:eastAsia="Arial" w:hAnsi="Arial"/>
                <w:sz w:val="11"/>
                <w:szCs w:val="11"/>
                <w:color w:val="auto"/>
              </w:rPr>
              <w:t>(1,702)</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28"/>
              <w:spacing w:after="0"/>
              <w:rPr>
                <w:sz w:val="20"/>
                <w:szCs w:val="20"/>
                <w:color w:val="auto"/>
              </w:rPr>
            </w:pPr>
            <w:r>
              <w:rPr>
                <w:rFonts w:ascii="Arial" w:cs="Arial" w:eastAsia="Arial" w:hAnsi="Arial"/>
                <w:sz w:val="11"/>
                <w:szCs w:val="11"/>
                <w:color w:val="auto"/>
              </w:rPr>
              <w:t>(1,853)</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Recognized Net Actuarial Loss</w:t>
            </w: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133</w:t>
            </w:r>
          </w:p>
        </w:tc>
        <w:tc>
          <w:tcPr>
            <w:tcW w:w="160" w:type="dxa"/>
            <w:vAlign w:val="bottom"/>
            <w:tcBorders>
              <w:bottom w:val="single" w:sz="8" w:color="A6A6A6"/>
            </w:tcBorders>
          </w:tcPr>
          <w:p>
            <w:pPr>
              <w:spacing w:after="0"/>
              <w:rPr>
                <w:sz w:val="11"/>
                <w:szCs w:val="11"/>
                <w:color w:val="auto"/>
              </w:rPr>
            </w:pPr>
          </w:p>
        </w:tc>
        <w:tc>
          <w:tcPr>
            <w:tcW w:w="80" w:type="dxa"/>
            <w:vAlign w:val="bottom"/>
            <w:tcBorders>
              <w:bottom w:val="single" w:sz="8" w:color="A6A6A6"/>
            </w:tcBorders>
          </w:tcPr>
          <w:p>
            <w:pPr>
              <w:spacing w:after="0"/>
              <w:rPr>
                <w:sz w:val="11"/>
                <w:szCs w:val="11"/>
                <w:color w:val="auto"/>
              </w:rPr>
            </w:pPr>
          </w:p>
        </w:tc>
        <w:tc>
          <w:tcPr>
            <w:tcW w:w="136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153</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230</w:t>
            </w:r>
          </w:p>
        </w:tc>
      </w:tr>
      <w:tr>
        <w:trPr>
          <w:trHeight w:val="133"/>
        </w:trPr>
        <w:tc>
          <w:tcPr>
            <w:tcW w:w="6660" w:type="dxa"/>
            <w:vAlign w:val="bottom"/>
          </w:tcPr>
          <w:p>
            <w:pPr>
              <w:spacing w:after="0"/>
              <w:rPr>
                <w:sz w:val="20"/>
                <w:szCs w:val="20"/>
                <w:color w:val="auto"/>
              </w:rPr>
            </w:pPr>
            <w:r>
              <w:rPr>
                <w:rFonts w:ascii="Arial" w:cs="Arial" w:eastAsia="Arial" w:hAnsi="Arial"/>
                <w:sz w:val="11"/>
                <w:szCs w:val="11"/>
                <w:b w:val="1"/>
                <w:bCs w:val="1"/>
                <w:color w:val="004483"/>
              </w:rPr>
              <w:t>Amortization of Prior-Service Cost</w:t>
            </w:r>
          </w:p>
        </w:tc>
        <w:tc>
          <w:tcPr>
            <w:tcW w:w="540" w:type="dxa"/>
            <w:vAlign w:val="bottom"/>
          </w:tcPr>
          <w:p>
            <w:pPr>
              <w:spacing w:after="0"/>
              <w:rPr>
                <w:sz w:val="11"/>
                <w:szCs w:val="1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360" w:type="dxa"/>
            <w:vAlign w:val="bottom"/>
          </w:tcPr>
          <w:p>
            <w:pPr>
              <w:jc w:val="right"/>
              <w:ind w:right="70"/>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ind w:right="68"/>
              <w:spacing w:after="0"/>
              <w:rPr>
                <w:sz w:val="20"/>
                <w:szCs w:val="20"/>
                <w:color w:val="auto"/>
              </w:rPr>
            </w:pPr>
            <w:r>
              <w:rPr>
                <w:rFonts w:ascii="Arial" w:cs="Arial" w:eastAsia="Arial" w:hAnsi="Arial"/>
                <w:sz w:val="11"/>
                <w:szCs w:val="11"/>
                <w:color w:val="auto"/>
              </w:rPr>
              <w:t>61</w:t>
            </w:r>
          </w:p>
        </w:tc>
      </w:tr>
      <w:tr>
        <w:trPr>
          <w:trHeight w:val="142"/>
        </w:trPr>
        <w:tc>
          <w:tcPr>
            <w:tcW w:w="666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004483"/>
              </w:rPr>
              <w:t>Net Periodic Pension Cost</w:t>
            </w:r>
          </w:p>
        </w:tc>
        <w:tc>
          <w:tcPr>
            <w:tcW w:w="540" w:type="dxa"/>
            <w:vAlign w:val="bottom"/>
            <w:tcBorders>
              <w:top w:val="single" w:sz="8" w:color="004483"/>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004483"/>
              <w:bottom w:val="single" w:sz="8" w:color="004483"/>
            </w:tcBorders>
          </w:tcPr>
          <w:p>
            <w:pPr>
              <w:jc w:val="right"/>
              <w:ind w:right="28"/>
              <w:spacing w:after="0"/>
              <w:rPr>
                <w:sz w:val="20"/>
                <w:szCs w:val="20"/>
                <w:color w:val="auto"/>
              </w:rPr>
            </w:pPr>
            <w:r>
              <w:rPr>
                <w:rFonts w:ascii="Arial" w:cs="Arial" w:eastAsia="Arial" w:hAnsi="Arial"/>
                <w:sz w:val="11"/>
                <w:szCs w:val="11"/>
                <w:b w:val="1"/>
                <w:bCs w:val="1"/>
                <w:color w:val="auto"/>
              </w:rPr>
              <w:t>(70)</w:t>
            </w:r>
          </w:p>
        </w:tc>
        <w:tc>
          <w:tcPr>
            <w:tcW w:w="160" w:type="dxa"/>
            <w:vAlign w:val="bottom"/>
            <w:tcBorders>
              <w:top w:val="single" w:sz="8" w:color="A6A6A6"/>
            </w:tcBorders>
          </w:tcPr>
          <w:p>
            <w:pPr>
              <w:spacing w:after="0"/>
              <w:rPr>
                <w:sz w:val="12"/>
                <w:szCs w:val="12"/>
                <w:color w:val="auto"/>
              </w:rPr>
            </w:pPr>
          </w:p>
        </w:tc>
        <w:tc>
          <w:tcPr>
            <w:tcW w:w="80" w:type="dxa"/>
            <w:vAlign w:val="bottom"/>
            <w:tcBorders>
              <w:top w:val="single" w:sz="8" w:color="004483"/>
              <w:bottom w:val="single" w:sz="8" w:color="004483"/>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1360" w:type="dxa"/>
            <w:vAlign w:val="bottom"/>
            <w:tcBorders>
              <w:top w:val="single" w:sz="8" w:color="004483"/>
              <w:bottom w:val="single" w:sz="8" w:color="004483"/>
            </w:tcBorders>
          </w:tcPr>
          <w:p>
            <w:pPr>
              <w:jc w:val="right"/>
              <w:ind w:right="70"/>
              <w:spacing w:after="0"/>
              <w:rPr>
                <w:sz w:val="20"/>
                <w:szCs w:val="20"/>
                <w:color w:val="auto"/>
              </w:rPr>
            </w:pPr>
            <w:r>
              <w:rPr>
                <w:rFonts w:ascii="Arial" w:cs="Arial" w:eastAsia="Arial" w:hAnsi="Arial"/>
                <w:sz w:val="11"/>
                <w:szCs w:val="11"/>
                <w:b w:val="1"/>
                <w:bCs w:val="1"/>
                <w:color w:val="auto"/>
              </w:rPr>
              <w:t>160</w:t>
            </w:r>
          </w:p>
        </w:tc>
        <w:tc>
          <w:tcPr>
            <w:tcW w:w="160" w:type="dxa"/>
            <w:vAlign w:val="bottom"/>
            <w:tcBorders>
              <w:top w:val="single" w:sz="8" w:color="A6A6A6"/>
            </w:tcBorders>
          </w:tcPr>
          <w:p>
            <w:pPr>
              <w:spacing w:after="0"/>
              <w:rPr>
                <w:sz w:val="12"/>
                <w:szCs w:val="12"/>
                <w:color w:val="auto"/>
              </w:rPr>
            </w:pPr>
          </w:p>
        </w:tc>
        <w:tc>
          <w:tcPr>
            <w:tcW w:w="540" w:type="dxa"/>
            <w:vAlign w:val="bottom"/>
            <w:tcBorders>
              <w:top w:val="single" w:sz="8" w:color="004483"/>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184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92" w:name="page93"/>
    <w:bookmarkEnd w:id="92"/>
    <w:p>
      <w:pPr>
        <w:spacing w:after="0"/>
        <w:rPr>
          <w:sz w:val="20"/>
          <w:szCs w:val="20"/>
          <w:color w:val="auto"/>
        </w:rPr>
      </w:pPr>
      <w:r>
        <w:rPr>
          <w:rFonts w:ascii="Arial" w:cs="Arial" w:eastAsia="Arial" w:hAnsi="Arial"/>
          <w:sz w:val="12"/>
          <w:szCs w:val="12"/>
          <w:color w:val="auto"/>
        </w:rPr>
        <w:t>Expected benefit payments over the next five years, and the following five years under the pension plans are expected to be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6660" w:type="dxa"/>
            <w:vAlign w:val="bottom"/>
            <w:tcBorders>
              <w:bottom w:val="single" w:sz="8" w:color="004483"/>
            </w:tcBorders>
          </w:tcPr>
          <w:p>
            <w:pPr>
              <w:spacing w:after="0"/>
              <w:rPr>
                <w:sz w:val="20"/>
                <w:szCs w:val="20"/>
                <w:color w:val="auto"/>
              </w:rPr>
            </w:pPr>
            <w:r>
              <w:rPr>
                <w:rFonts w:ascii="Arial" w:cs="Arial" w:eastAsia="Arial" w:hAnsi="Arial"/>
                <w:sz w:val="8"/>
                <w:szCs w:val="8"/>
                <w:b w:val="1"/>
                <w:bCs w:val="1"/>
                <w:color w:val="auto"/>
              </w:rPr>
              <w:t>Fiscal Years</w:t>
            </w:r>
          </w:p>
        </w:tc>
        <w:tc>
          <w:tcPr>
            <w:tcW w:w="108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1860" w:type="dxa"/>
            <w:vAlign w:val="bottom"/>
            <w:tcBorders>
              <w:bottom w:val="single" w:sz="8" w:color="004483"/>
            </w:tcBorders>
          </w:tcPr>
          <w:p>
            <w:pPr>
              <w:spacing w:after="0"/>
              <w:rPr>
                <w:sz w:val="8"/>
                <w:szCs w:val="8"/>
                <w:color w:val="auto"/>
              </w:rPr>
            </w:pPr>
          </w:p>
        </w:tc>
        <w:tc>
          <w:tcPr>
            <w:tcW w:w="1000" w:type="dxa"/>
            <w:vAlign w:val="bottom"/>
            <w:tcBorders>
              <w:bottom w:val="single" w:sz="8" w:color="004483"/>
            </w:tcBorders>
          </w:tcPr>
          <w:p>
            <w:pPr>
              <w:jc w:val="right"/>
              <w:ind w:right="69"/>
              <w:spacing w:after="0"/>
              <w:rPr>
                <w:sz w:val="20"/>
                <w:szCs w:val="20"/>
                <w:color w:val="auto"/>
              </w:rPr>
            </w:pPr>
            <w:r>
              <w:rPr>
                <w:rFonts w:ascii="Arial" w:cs="Arial" w:eastAsia="Arial" w:hAnsi="Arial"/>
                <w:sz w:val="8"/>
                <w:szCs w:val="8"/>
                <w:b w:val="1"/>
                <w:bCs w:val="1"/>
                <w:color w:val="auto"/>
              </w:rPr>
              <w:t>Total</w:t>
            </w: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2022</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1,616</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2023</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1,651</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2024</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1,675</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2025</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1,774</w:t>
            </w: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2026</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1,836</w:t>
            </w:r>
          </w:p>
        </w:tc>
      </w:tr>
      <w:tr>
        <w:trPr>
          <w:trHeight w:val="133"/>
        </w:trPr>
        <w:tc>
          <w:tcPr>
            <w:tcW w:w="666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004483"/>
              </w:rPr>
              <w:t>2027-2031</w:t>
            </w:r>
          </w:p>
        </w:tc>
        <w:tc>
          <w:tcPr>
            <w:tcW w:w="1080" w:type="dxa"/>
            <w:vAlign w:val="bottom"/>
            <w:tcBorders>
              <w:bottom w:val="single" w:sz="8" w:color="A3A3A3"/>
            </w:tcBorders>
          </w:tcPr>
          <w:p>
            <w:pPr>
              <w:spacing w:after="0"/>
              <w:rPr>
                <w:sz w:val="11"/>
                <w:szCs w:val="11"/>
                <w:color w:val="auto"/>
              </w:rPr>
            </w:pPr>
          </w:p>
        </w:tc>
        <w:tc>
          <w:tcPr>
            <w:tcW w:w="700" w:type="dxa"/>
            <w:vAlign w:val="bottom"/>
            <w:tcBorders>
              <w:bottom w:val="single" w:sz="8" w:color="A3A3A3"/>
            </w:tcBorders>
          </w:tcPr>
          <w:p>
            <w:pPr>
              <w:spacing w:after="0"/>
              <w:rPr>
                <w:sz w:val="11"/>
                <w:szCs w:val="11"/>
                <w:color w:val="auto"/>
              </w:rPr>
            </w:pPr>
          </w:p>
        </w:tc>
        <w:tc>
          <w:tcPr>
            <w:tcW w:w="1860" w:type="dxa"/>
            <w:vAlign w:val="bottom"/>
            <w:tcBorders>
              <w:bottom w:val="single" w:sz="8" w:color="A3A3A3"/>
            </w:tcBorders>
          </w:tcPr>
          <w:p>
            <w:pPr>
              <w:ind w:left="8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3A3A3"/>
            </w:tcBorders>
          </w:tcPr>
          <w:p>
            <w:pPr>
              <w:jc w:val="right"/>
              <w:ind w:right="69"/>
              <w:spacing w:after="0"/>
              <w:rPr>
                <w:sz w:val="20"/>
                <w:szCs w:val="20"/>
                <w:color w:val="auto"/>
              </w:rPr>
            </w:pPr>
            <w:r>
              <w:rPr>
                <w:rFonts w:ascii="Arial" w:cs="Arial" w:eastAsia="Arial" w:hAnsi="Arial"/>
                <w:sz w:val="11"/>
                <w:szCs w:val="11"/>
                <w:color w:val="auto"/>
              </w:rPr>
              <w:t>9,621</w:t>
            </w:r>
          </w:p>
        </w:tc>
      </w:tr>
      <w:tr>
        <w:trPr>
          <w:trHeight w:val="297"/>
        </w:trPr>
        <w:tc>
          <w:tcPr>
            <w:tcW w:w="8440" w:type="dxa"/>
            <w:vAlign w:val="bottom"/>
            <w:gridSpan w:val="3"/>
          </w:tcPr>
          <w:p>
            <w:pPr>
              <w:spacing w:after="0"/>
              <w:rPr>
                <w:sz w:val="20"/>
                <w:szCs w:val="20"/>
                <w:color w:val="auto"/>
              </w:rPr>
            </w:pPr>
            <w:r>
              <w:rPr>
                <w:rFonts w:ascii="Arial" w:cs="Arial" w:eastAsia="Arial" w:hAnsi="Arial"/>
                <w:sz w:val="12"/>
                <w:szCs w:val="12"/>
                <w:color w:val="auto"/>
              </w:rPr>
              <w:t>The following tables set forth the assumptions used in the actuarial calculations of the present value of Net Periodic Benefit Costs and Benefit Obligations: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3"/>
        </w:trPr>
        <w:tc>
          <w:tcPr>
            <w:tcW w:w="6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6660" w:type="dxa"/>
            <w:vAlign w:val="bottom"/>
          </w:tcPr>
          <w:p>
            <w:pPr>
              <w:spacing w:after="0"/>
              <w:rPr>
                <w:sz w:val="13"/>
                <w:szCs w:val="13"/>
                <w:color w:val="auto"/>
              </w:rPr>
            </w:pPr>
          </w:p>
        </w:tc>
        <w:tc>
          <w:tcPr>
            <w:tcW w:w="108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1860" w:type="dxa"/>
            <w:vAlign w:val="bottom"/>
            <w:shd w:val="clear" w:color="auto" w:fill="004483"/>
          </w:tcPr>
          <w:p>
            <w:pPr>
              <w:ind w:left="300"/>
              <w:spacing w:after="0"/>
              <w:rPr>
                <w:sz w:val="20"/>
                <w:szCs w:val="20"/>
                <w:color w:val="auto"/>
              </w:rPr>
            </w:pPr>
            <w:r>
              <w:rPr>
                <w:rFonts w:ascii="Arial" w:cs="Arial" w:eastAsia="Arial" w:hAnsi="Arial"/>
                <w:sz w:val="8"/>
                <w:szCs w:val="8"/>
                <w:b w:val="1"/>
                <w:bCs w:val="1"/>
                <w:color w:val="FFFFFF"/>
              </w:rPr>
              <w:t>March 31,</w:t>
            </w:r>
          </w:p>
        </w:tc>
        <w:tc>
          <w:tcPr>
            <w:tcW w:w="1000" w:type="dxa"/>
            <w:vAlign w:val="bottom"/>
            <w:shd w:val="clear" w:color="auto" w:fill="004483"/>
          </w:tcPr>
          <w:p>
            <w:pPr>
              <w:spacing w:after="0"/>
              <w:rPr>
                <w:sz w:val="13"/>
                <w:szCs w:val="13"/>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780" w:type="dxa"/>
            <w:vAlign w:val="bottom"/>
            <w:tcBorders>
              <w:bottom w:val="single" w:sz="8" w:color="004483"/>
            </w:tcBorders>
            <w:gridSpan w:val="2"/>
          </w:tcPr>
          <w:p>
            <w:pPr>
              <w:jc w:val="right"/>
              <w:ind w:right="406"/>
              <w:spacing w:after="0"/>
              <w:rPr>
                <w:sz w:val="20"/>
                <w:szCs w:val="20"/>
                <w:color w:val="auto"/>
              </w:rPr>
            </w:pPr>
            <w:r>
              <w:rPr>
                <w:rFonts w:ascii="Arial" w:cs="Arial" w:eastAsia="Arial" w:hAnsi="Arial"/>
                <w:sz w:val="8"/>
                <w:szCs w:val="8"/>
                <w:b w:val="1"/>
                <w:bCs w:val="1"/>
                <w:color w:val="auto"/>
              </w:rPr>
              <w:t>2021</w:t>
            </w:r>
          </w:p>
        </w:tc>
        <w:tc>
          <w:tcPr>
            <w:tcW w:w="1860" w:type="dxa"/>
            <w:vAlign w:val="bottom"/>
            <w:tcBorders>
              <w:bottom w:val="single" w:sz="8" w:color="004483"/>
            </w:tcBorders>
          </w:tcPr>
          <w:p>
            <w:pPr>
              <w:jc w:val="right"/>
              <w:ind w:right="669"/>
              <w:spacing w:after="0"/>
              <w:rPr>
                <w:sz w:val="20"/>
                <w:szCs w:val="20"/>
                <w:color w:val="auto"/>
              </w:rPr>
            </w:pPr>
            <w:r>
              <w:rPr>
                <w:rFonts w:ascii="Arial" w:cs="Arial" w:eastAsia="Arial" w:hAnsi="Arial"/>
                <w:sz w:val="8"/>
                <w:szCs w:val="8"/>
                <w:b w:val="1"/>
                <w:bCs w:val="1"/>
                <w:color w:val="auto"/>
              </w:rPr>
              <w:t>2020</w:t>
            </w:r>
          </w:p>
        </w:tc>
        <w:tc>
          <w:tcPr>
            <w:tcW w:w="1000" w:type="dxa"/>
            <w:vAlign w:val="bottom"/>
            <w:tcBorders>
              <w:bottom w:val="single" w:sz="8" w:color="004483"/>
            </w:tcBorders>
          </w:tcPr>
          <w:p>
            <w:pPr>
              <w:jc w:val="right"/>
              <w:ind w:right="69"/>
              <w:spacing w:after="0"/>
              <w:rPr>
                <w:sz w:val="20"/>
                <w:szCs w:val="20"/>
                <w:color w:val="auto"/>
              </w:rPr>
            </w:pPr>
            <w:r>
              <w:rPr>
                <w:rFonts w:ascii="Arial" w:cs="Arial" w:eastAsia="Arial" w:hAnsi="Arial"/>
                <w:sz w:val="8"/>
                <w:szCs w:val="8"/>
                <w:b w:val="1"/>
                <w:bCs w:val="1"/>
                <w:color w:val="auto"/>
              </w:rPr>
              <w:t>2019</w:t>
            </w: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Net Periodic Benefit Costs -</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Discount Rate</w:t>
            </w:r>
          </w:p>
        </w:tc>
        <w:tc>
          <w:tcPr>
            <w:tcW w:w="1780" w:type="dxa"/>
            <w:vAlign w:val="bottom"/>
            <w:tcBorders>
              <w:bottom w:val="single" w:sz="8" w:color="A6A6A6"/>
            </w:tcBorders>
            <w:gridSpan w:val="2"/>
          </w:tcPr>
          <w:p>
            <w:pPr>
              <w:jc w:val="right"/>
              <w:ind w:right="306"/>
              <w:spacing w:after="0"/>
              <w:rPr>
                <w:sz w:val="20"/>
                <w:szCs w:val="20"/>
                <w:color w:val="auto"/>
              </w:rPr>
            </w:pPr>
            <w:r>
              <w:rPr>
                <w:rFonts w:ascii="Arial" w:cs="Arial" w:eastAsia="Arial" w:hAnsi="Arial"/>
                <w:sz w:val="11"/>
                <w:szCs w:val="11"/>
                <w:color w:val="auto"/>
              </w:rPr>
              <w:t>3.64%</w:t>
            </w:r>
          </w:p>
        </w:tc>
        <w:tc>
          <w:tcPr>
            <w:tcW w:w="1860" w:type="dxa"/>
            <w:vAlign w:val="bottom"/>
            <w:tcBorders>
              <w:bottom w:val="single" w:sz="8" w:color="A6A6A6"/>
            </w:tcBorders>
          </w:tcPr>
          <w:p>
            <w:pPr>
              <w:jc w:val="right"/>
              <w:ind w:right="569"/>
              <w:spacing w:after="0"/>
              <w:rPr>
                <w:sz w:val="20"/>
                <w:szCs w:val="20"/>
                <w:color w:val="auto"/>
              </w:rPr>
            </w:pPr>
            <w:r>
              <w:rPr>
                <w:rFonts w:ascii="Arial" w:cs="Arial" w:eastAsia="Arial" w:hAnsi="Arial"/>
                <w:sz w:val="11"/>
                <w:szCs w:val="11"/>
                <w:color w:val="auto"/>
              </w:rPr>
              <w:t>4.09%</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4.12%</w:t>
            </w: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Expected Return on Plan Assets</w:t>
            </w:r>
          </w:p>
        </w:tc>
        <w:tc>
          <w:tcPr>
            <w:tcW w:w="1780" w:type="dxa"/>
            <w:vAlign w:val="bottom"/>
            <w:tcBorders>
              <w:bottom w:val="single" w:sz="8" w:color="A6A6A6"/>
            </w:tcBorders>
            <w:gridSpan w:val="2"/>
          </w:tcPr>
          <w:p>
            <w:pPr>
              <w:jc w:val="right"/>
              <w:ind w:right="306"/>
              <w:spacing w:after="0"/>
              <w:rPr>
                <w:sz w:val="20"/>
                <w:szCs w:val="20"/>
                <w:color w:val="auto"/>
              </w:rPr>
            </w:pPr>
            <w:r>
              <w:rPr>
                <w:rFonts w:ascii="Arial" w:cs="Arial" w:eastAsia="Arial" w:hAnsi="Arial"/>
                <w:sz w:val="11"/>
                <w:szCs w:val="11"/>
                <w:color w:val="auto"/>
              </w:rPr>
              <w:t>4.00%</w:t>
            </w:r>
          </w:p>
        </w:tc>
        <w:tc>
          <w:tcPr>
            <w:tcW w:w="1860" w:type="dxa"/>
            <w:vAlign w:val="bottom"/>
            <w:tcBorders>
              <w:bottom w:val="single" w:sz="8" w:color="A6A6A6"/>
            </w:tcBorders>
          </w:tcPr>
          <w:p>
            <w:pPr>
              <w:jc w:val="right"/>
              <w:ind w:right="569"/>
              <w:spacing w:after="0"/>
              <w:rPr>
                <w:sz w:val="20"/>
                <w:szCs w:val="20"/>
                <w:color w:val="auto"/>
              </w:rPr>
            </w:pPr>
            <w:r>
              <w:rPr>
                <w:rFonts w:ascii="Arial" w:cs="Arial" w:eastAsia="Arial" w:hAnsi="Arial"/>
                <w:sz w:val="11"/>
                <w:szCs w:val="11"/>
                <w:color w:val="auto"/>
              </w:rPr>
              <w:t>4.75%</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5.50%</w:t>
            </w:r>
          </w:p>
        </w:tc>
      </w:tr>
      <w:tr>
        <w:trPr>
          <w:trHeight w:val="133"/>
        </w:trPr>
        <w:tc>
          <w:tcPr>
            <w:tcW w:w="6660" w:type="dxa"/>
            <w:vAlign w:val="bottom"/>
            <w:tcBorders>
              <w:bottom w:val="single" w:sz="8" w:color="A3A3A3"/>
            </w:tcBorders>
          </w:tcPr>
          <w:p>
            <w:pPr>
              <w:ind w:left="160"/>
              <w:spacing w:after="0"/>
              <w:rPr>
                <w:sz w:val="20"/>
                <w:szCs w:val="20"/>
                <w:color w:val="auto"/>
              </w:rPr>
            </w:pPr>
            <w:r>
              <w:rPr>
                <w:rFonts w:ascii="Arial" w:cs="Arial" w:eastAsia="Arial" w:hAnsi="Arial"/>
                <w:sz w:val="11"/>
                <w:szCs w:val="11"/>
                <w:b w:val="1"/>
                <w:bCs w:val="1"/>
                <w:color w:val="004483"/>
              </w:rPr>
              <w:t>Rate of Compensation Increase</w:t>
            </w:r>
          </w:p>
        </w:tc>
        <w:tc>
          <w:tcPr>
            <w:tcW w:w="1080" w:type="dxa"/>
            <w:vAlign w:val="bottom"/>
            <w:tcBorders>
              <w:bottom w:val="single" w:sz="8" w:color="A3A3A3"/>
            </w:tcBorders>
          </w:tcPr>
          <w:p>
            <w:pPr>
              <w:spacing w:after="0"/>
              <w:rPr>
                <w:sz w:val="11"/>
                <w:szCs w:val="11"/>
                <w:color w:val="auto"/>
              </w:rPr>
            </w:pPr>
          </w:p>
        </w:tc>
        <w:tc>
          <w:tcPr>
            <w:tcW w:w="700" w:type="dxa"/>
            <w:vAlign w:val="bottom"/>
            <w:tcBorders>
              <w:bottom w:val="single" w:sz="8" w:color="A3A3A3"/>
            </w:tcBorders>
          </w:tcPr>
          <w:p>
            <w:pPr>
              <w:jc w:val="right"/>
              <w:ind w:right="406"/>
              <w:spacing w:after="0"/>
              <w:rPr>
                <w:sz w:val="20"/>
                <w:szCs w:val="20"/>
                <w:color w:val="auto"/>
              </w:rPr>
            </w:pPr>
            <w:r>
              <w:rPr>
                <w:rFonts w:ascii="Arial" w:cs="Arial" w:eastAsia="Arial" w:hAnsi="Arial"/>
                <w:sz w:val="11"/>
                <w:szCs w:val="11"/>
                <w:color w:val="auto"/>
              </w:rPr>
              <w:t>n/a</w:t>
            </w:r>
          </w:p>
        </w:tc>
        <w:tc>
          <w:tcPr>
            <w:tcW w:w="1860" w:type="dxa"/>
            <w:vAlign w:val="bottom"/>
            <w:tcBorders>
              <w:bottom w:val="single" w:sz="8" w:color="A3A3A3"/>
            </w:tcBorders>
          </w:tcPr>
          <w:p>
            <w:pPr>
              <w:jc w:val="right"/>
              <w:ind w:right="569"/>
              <w:spacing w:after="0"/>
              <w:rPr>
                <w:sz w:val="20"/>
                <w:szCs w:val="20"/>
                <w:color w:val="auto"/>
              </w:rPr>
            </w:pPr>
            <w:r>
              <w:rPr>
                <w:rFonts w:ascii="Arial" w:cs="Arial" w:eastAsia="Arial" w:hAnsi="Arial"/>
                <w:sz w:val="11"/>
                <w:szCs w:val="11"/>
                <w:color w:val="auto"/>
              </w:rPr>
              <w:t>3.50%</w:t>
            </w:r>
          </w:p>
        </w:tc>
        <w:tc>
          <w:tcPr>
            <w:tcW w:w="100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rPr>
              <w:t>3.50%</w:t>
            </w:r>
          </w:p>
        </w:tc>
      </w:tr>
      <w:tr>
        <w:trPr>
          <w:trHeight w:val="153"/>
        </w:trPr>
        <w:tc>
          <w:tcPr>
            <w:tcW w:w="6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6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1860" w:type="dxa"/>
            <w:vAlign w:val="bottom"/>
            <w:shd w:val="clear" w:color="auto" w:fill="004483"/>
          </w:tcPr>
          <w:p>
            <w:pPr>
              <w:ind w:left="840"/>
              <w:spacing w:after="0"/>
              <w:rPr>
                <w:sz w:val="20"/>
                <w:szCs w:val="20"/>
                <w:color w:val="auto"/>
              </w:rPr>
            </w:pPr>
            <w:r>
              <w:rPr>
                <w:rFonts w:ascii="Arial" w:cs="Arial" w:eastAsia="Arial" w:hAnsi="Arial"/>
                <w:sz w:val="8"/>
                <w:szCs w:val="8"/>
                <w:b w:val="1"/>
                <w:bCs w:val="1"/>
                <w:color w:val="FFFFFF"/>
              </w:rPr>
              <w:t>March 31,</w:t>
            </w:r>
          </w:p>
        </w:tc>
        <w:tc>
          <w:tcPr>
            <w:tcW w:w="1000" w:type="dxa"/>
            <w:vAlign w:val="bottom"/>
            <w:shd w:val="clear" w:color="auto" w:fill="004483"/>
          </w:tcPr>
          <w:p>
            <w:pPr>
              <w:spacing w:after="0"/>
              <w:rPr>
                <w:sz w:val="13"/>
                <w:szCs w:val="13"/>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08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1860" w:type="dxa"/>
            <w:vAlign w:val="bottom"/>
            <w:tcBorders>
              <w:bottom w:val="single" w:sz="8" w:color="004483"/>
            </w:tcBorders>
          </w:tcPr>
          <w:p>
            <w:pPr>
              <w:jc w:val="right"/>
              <w:ind w:right="949"/>
              <w:spacing w:after="0"/>
              <w:rPr>
                <w:sz w:val="20"/>
                <w:szCs w:val="20"/>
                <w:color w:val="auto"/>
              </w:rPr>
            </w:pPr>
            <w:r>
              <w:rPr>
                <w:rFonts w:ascii="Arial" w:cs="Arial" w:eastAsia="Arial" w:hAnsi="Arial"/>
                <w:sz w:val="8"/>
                <w:szCs w:val="8"/>
                <w:b w:val="1"/>
                <w:bCs w:val="1"/>
                <w:color w:val="auto"/>
              </w:rPr>
              <w:t>2021</w:t>
            </w:r>
          </w:p>
        </w:tc>
        <w:tc>
          <w:tcPr>
            <w:tcW w:w="1000" w:type="dxa"/>
            <w:vAlign w:val="bottom"/>
            <w:tcBorders>
              <w:bottom w:val="single" w:sz="8" w:color="004483"/>
            </w:tcBorders>
          </w:tcPr>
          <w:p>
            <w:pPr>
              <w:jc w:val="right"/>
              <w:ind w:right="69"/>
              <w:spacing w:after="0"/>
              <w:rPr>
                <w:sz w:val="20"/>
                <w:szCs w:val="20"/>
                <w:color w:val="auto"/>
              </w:rPr>
            </w:pPr>
            <w:r>
              <w:rPr>
                <w:rFonts w:ascii="Arial" w:cs="Arial" w:eastAsia="Arial" w:hAnsi="Arial"/>
                <w:sz w:val="8"/>
                <w:szCs w:val="8"/>
                <w:b w:val="1"/>
                <w:bCs w:val="1"/>
                <w:color w:val="auto"/>
              </w:rPr>
              <w:t>2020</w:t>
            </w: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Benefit Obligations -</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004483"/>
              </w:rPr>
              <w:t>Discount Rate</w:t>
            </w:r>
          </w:p>
        </w:tc>
        <w:tc>
          <w:tcPr>
            <w:tcW w:w="108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jc w:val="right"/>
              <w:ind w:right="849"/>
              <w:spacing w:after="0"/>
              <w:rPr>
                <w:sz w:val="20"/>
                <w:szCs w:val="20"/>
                <w:color w:val="auto"/>
              </w:rPr>
            </w:pPr>
            <w:r>
              <w:rPr>
                <w:rFonts w:ascii="Arial" w:cs="Arial" w:eastAsia="Arial" w:hAnsi="Arial"/>
                <w:sz w:val="11"/>
                <w:szCs w:val="11"/>
                <w:color w:val="auto"/>
              </w:rPr>
              <w:t>3.33%</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3.64%</w:t>
            </w:r>
          </w:p>
        </w:tc>
      </w:tr>
      <w:tr>
        <w:trPr>
          <w:trHeight w:val="133"/>
        </w:trPr>
        <w:tc>
          <w:tcPr>
            <w:tcW w:w="6660" w:type="dxa"/>
            <w:vAlign w:val="bottom"/>
            <w:tcBorders>
              <w:bottom w:val="single" w:sz="8" w:color="A3A3A3"/>
            </w:tcBorders>
          </w:tcPr>
          <w:p>
            <w:pPr>
              <w:ind w:left="160"/>
              <w:spacing w:after="0"/>
              <w:rPr>
                <w:sz w:val="20"/>
                <w:szCs w:val="20"/>
                <w:color w:val="auto"/>
              </w:rPr>
            </w:pPr>
            <w:r>
              <w:rPr>
                <w:rFonts w:ascii="Arial" w:cs="Arial" w:eastAsia="Arial" w:hAnsi="Arial"/>
                <w:sz w:val="11"/>
                <w:szCs w:val="11"/>
                <w:b w:val="1"/>
                <w:bCs w:val="1"/>
                <w:color w:val="004483"/>
              </w:rPr>
              <w:t>Rate of Compensation Increase</w:t>
            </w:r>
          </w:p>
        </w:tc>
        <w:tc>
          <w:tcPr>
            <w:tcW w:w="1080" w:type="dxa"/>
            <w:vAlign w:val="bottom"/>
            <w:tcBorders>
              <w:bottom w:val="single" w:sz="8" w:color="A3A3A3"/>
            </w:tcBorders>
          </w:tcPr>
          <w:p>
            <w:pPr>
              <w:spacing w:after="0"/>
              <w:rPr>
                <w:sz w:val="11"/>
                <w:szCs w:val="11"/>
                <w:color w:val="auto"/>
              </w:rPr>
            </w:pPr>
          </w:p>
        </w:tc>
        <w:tc>
          <w:tcPr>
            <w:tcW w:w="700" w:type="dxa"/>
            <w:vAlign w:val="bottom"/>
            <w:tcBorders>
              <w:bottom w:val="single" w:sz="8" w:color="A3A3A3"/>
            </w:tcBorders>
          </w:tcPr>
          <w:p>
            <w:pPr>
              <w:spacing w:after="0"/>
              <w:rPr>
                <w:sz w:val="11"/>
                <w:szCs w:val="11"/>
                <w:color w:val="auto"/>
              </w:rPr>
            </w:pPr>
          </w:p>
        </w:tc>
        <w:tc>
          <w:tcPr>
            <w:tcW w:w="1860" w:type="dxa"/>
            <w:vAlign w:val="bottom"/>
            <w:tcBorders>
              <w:bottom w:val="single" w:sz="8" w:color="A3A3A3"/>
            </w:tcBorders>
          </w:tcPr>
          <w:p>
            <w:pPr>
              <w:ind w:left="740"/>
              <w:spacing w:after="0"/>
              <w:rPr>
                <w:sz w:val="20"/>
                <w:szCs w:val="20"/>
                <w:color w:val="auto"/>
              </w:rPr>
            </w:pPr>
            <w:r>
              <w:rPr>
                <w:rFonts w:ascii="Arial" w:cs="Arial" w:eastAsia="Arial" w:hAnsi="Arial"/>
                <w:sz w:val="11"/>
                <w:szCs w:val="11"/>
                <w:color w:val="auto"/>
              </w:rPr>
              <w:t>n/a</w:t>
            </w:r>
          </w:p>
        </w:tc>
        <w:tc>
          <w:tcPr>
            <w:tcW w:w="100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rPr>
              <w:t>3.50%</w:t>
            </w:r>
          </w:p>
        </w:tc>
      </w:tr>
    </w:tbl>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which include: market-based estimates of inflation, real risk-free rates of return, yield curve structure, credit-risk premiums, and equity risk premiums. Because all of our pension plans are frozen beginning in fiscal 2021, the rate of compensation increase is not applicable. We used these components as appropriate to develop benchmark estimates for the expected long-term management approach that we employ.</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The pension plans’ approximate weighted-average asset allocation at March 31, 2021 and 2020 and the range of target allocation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20" w:type="dxa"/>
            <w:vAlign w:val="bottom"/>
          </w:tcPr>
          <w:p>
            <w:pPr>
              <w:spacing w:after="0"/>
              <w:rPr>
                <w:sz w:val="13"/>
                <w:szCs w:val="13"/>
                <w:color w:val="auto"/>
              </w:rPr>
            </w:pPr>
          </w:p>
        </w:tc>
        <w:tc>
          <w:tcPr>
            <w:tcW w:w="4120" w:type="dxa"/>
            <w:vAlign w:val="bottom"/>
            <w:gridSpan w:val="3"/>
            <w:vMerge w:val="restart"/>
          </w:tcPr>
          <w:p>
            <w:pPr>
              <w:jc w:val="right"/>
              <w:ind w:right="160"/>
              <w:spacing w:after="0"/>
              <w:rPr>
                <w:sz w:val="20"/>
                <w:szCs w:val="20"/>
                <w:color w:val="auto"/>
              </w:rPr>
            </w:pPr>
            <w:r>
              <w:rPr>
                <w:rFonts w:ascii="Arial" w:cs="Arial" w:eastAsia="Arial" w:hAnsi="Arial"/>
                <w:sz w:val="8"/>
                <w:szCs w:val="8"/>
                <w:b w:val="1"/>
                <w:bCs w:val="1"/>
                <w:color w:val="auto"/>
              </w:rPr>
              <w:t>Range of</w:t>
            </w:r>
          </w:p>
        </w:tc>
        <w:tc>
          <w:tcPr>
            <w:tcW w:w="2460" w:type="dxa"/>
            <w:vAlign w:val="bottom"/>
            <w:gridSpan w:val="3"/>
            <w:shd w:val="clear" w:color="auto" w:fill="004483"/>
          </w:tcPr>
          <w:p>
            <w:pPr>
              <w:ind w:left="780"/>
              <w:spacing w:after="0"/>
              <w:rPr>
                <w:sz w:val="20"/>
                <w:szCs w:val="20"/>
                <w:color w:val="auto"/>
              </w:rPr>
            </w:pPr>
            <w:r>
              <w:rPr>
                <w:rFonts w:ascii="Arial" w:cs="Arial" w:eastAsia="Arial" w:hAnsi="Arial"/>
                <w:sz w:val="8"/>
                <w:szCs w:val="8"/>
                <w:b w:val="1"/>
                <w:bCs w:val="1"/>
                <w:color w:val="FFFFFF"/>
              </w:rPr>
              <w:t>Percentage of Plan Assets at March 31,</w:t>
            </w:r>
          </w:p>
        </w:tc>
        <w:tc>
          <w:tcPr>
            <w:tcW w:w="6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4120" w:type="dxa"/>
            <w:vAlign w:val="bottom"/>
            <w:gridSpan w:val="3"/>
            <w:vMerge w:val="continue"/>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20" w:type="dxa"/>
            <w:vAlign w:val="bottom"/>
            <w:tcBorders>
              <w:bottom w:val="single" w:sz="8" w:color="004483"/>
            </w:tcBorders>
          </w:tcPr>
          <w:p>
            <w:pPr>
              <w:spacing w:after="0"/>
              <w:rPr>
                <w:sz w:val="8"/>
                <w:szCs w:val="8"/>
                <w:color w:val="auto"/>
              </w:rPr>
            </w:pPr>
          </w:p>
        </w:tc>
        <w:tc>
          <w:tcPr>
            <w:tcW w:w="4120" w:type="dxa"/>
            <w:vAlign w:val="bottom"/>
            <w:tcBorders>
              <w:bottom w:val="single" w:sz="8" w:color="004483"/>
            </w:tcBorders>
            <w:gridSpan w:val="3"/>
          </w:tcPr>
          <w:p>
            <w:pPr>
              <w:jc w:val="right"/>
              <w:ind w:right="160"/>
              <w:spacing w:after="0"/>
              <w:rPr>
                <w:sz w:val="20"/>
                <w:szCs w:val="20"/>
                <w:color w:val="auto"/>
              </w:rPr>
            </w:pPr>
            <w:r>
              <w:rPr>
                <w:rFonts w:ascii="Arial" w:cs="Arial" w:eastAsia="Arial" w:hAnsi="Arial"/>
                <w:sz w:val="8"/>
                <w:szCs w:val="8"/>
                <w:b w:val="1"/>
                <w:bCs w:val="1"/>
                <w:color w:val="auto"/>
              </w:rPr>
              <w:t>Target Allocation</w:t>
            </w:r>
          </w:p>
        </w:tc>
        <w:tc>
          <w:tcPr>
            <w:tcW w:w="1440" w:type="dxa"/>
            <w:vAlign w:val="bottom"/>
            <w:tcBorders>
              <w:bottom w:val="single" w:sz="8" w:color="004483"/>
            </w:tcBorders>
          </w:tcPr>
          <w:p>
            <w:pPr>
              <w:jc w:val="right"/>
              <w:ind w:right="70"/>
              <w:spacing w:after="0"/>
              <w:rPr>
                <w:sz w:val="20"/>
                <w:szCs w:val="20"/>
                <w:color w:val="auto"/>
              </w:rPr>
            </w:pPr>
            <w:r>
              <w:rPr>
                <w:rFonts w:ascii="Arial" w:cs="Arial" w:eastAsia="Arial" w:hAnsi="Arial"/>
                <w:sz w:val="8"/>
                <w:szCs w:val="8"/>
                <w:b w:val="1"/>
                <w:bCs w:val="1"/>
                <w:color w:val="auto"/>
              </w:rPr>
              <w:t>2021</w:t>
            </w:r>
          </w:p>
        </w:tc>
        <w:tc>
          <w:tcPr>
            <w:tcW w:w="160" w:type="dxa"/>
            <w:vAlign w:val="bottom"/>
            <w:tcBorders>
              <w:bottom w:val="single" w:sz="8" w:color="004483"/>
            </w:tcBorders>
          </w:tcPr>
          <w:p>
            <w:pPr>
              <w:spacing w:after="0"/>
              <w:rPr>
                <w:sz w:val="8"/>
                <w:szCs w:val="8"/>
                <w:color w:val="auto"/>
              </w:rPr>
            </w:pPr>
          </w:p>
        </w:tc>
        <w:tc>
          <w:tcPr>
            <w:tcW w:w="86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jc w:val="right"/>
              <w:ind w:right="68"/>
              <w:spacing w:after="0"/>
              <w:rPr>
                <w:sz w:val="20"/>
                <w:szCs w:val="20"/>
                <w:color w:val="auto"/>
              </w:rPr>
            </w:pPr>
            <w:r>
              <w:rPr>
                <w:rFonts w:ascii="Arial" w:cs="Arial" w:eastAsia="Arial" w:hAnsi="Arial"/>
                <w:sz w:val="8"/>
                <w:szCs w:val="8"/>
                <w:b w:val="1"/>
                <w:bCs w:val="1"/>
                <w:color w:val="auto"/>
              </w:rPr>
              <w:t>2020</w:t>
            </w:r>
          </w:p>
        </w:tc>
        <w:tc>
          <w:tcPr>
            <w:tcW w:w="0" w:type="dxa"/>
            <w:vAlign w:val="bottom"/>
          </w:tcPr>
          <w:p>
            <w:pPr>
              <w:spacing w:after="0"/>
              <w:rPr>
                <w:sz w:val="1"/>
                <w:szCs w:val="1"/>
                <w:color w:val="auto"/>
              </w:rPr>
            </w:pPr>
          </w:p>
        </w:tc>
      </w:tr>
      <w:tr>
        <w:trPr>
          <w:trHeight w:val="131"/>
        </w:trPr>
        <w:tc>
          <w:tcPr>
            <w:tcW w:w="41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Asset Category -</w:t>
            </w:r>
          </w:p>
        </w:tc>
        <w:tc>
          <w:tcPr>
            <w:tcW w:w="366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44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Equity Securities</w:t>
            </w:r>
          </w:p>
        </w:tc>
        <w:tc>
          <w:tcPr>
            <w:tcW w:w="3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w:t>
            </w:r>
          </w:p>
        </w:tc>
        <w:tc>
          <w:tcPr>
            <w:tcW w:w="460" w:type="dxa"/>
            <w:vAlign w:val="bottom"/>
            <w:tcBorders>
              <w:bottom w:val="single" w:sz="8" w:color="A6A6A6"/>
            </w:tcBorders>
            <w:gridSpan w:val="2"/>
          </w:tcPr>
          <w:p>
            <w:pPr>
              <w:jc w:val="right"/>
              <w:ind w:right="160"/>
              <w:spacing w:after="0"/>
              <w:rPr>
                <w:sz w:val="20"/>
                <w:szCs w:val="20"/>
                <w:color w:val="auto"/>
              </w:rPr>
            </w:pPr>
            <w:r>
              <w:rPr>
                <w:rFonts w:ascii="Arial" w:cs="Arial" w:eastAsia="Arial" w:hAnsi="Arial"/>
                <w:sz w:val="11"/>
                <w:szCs w:val="11"/>
                <w:color w:val="auto"/>
                <w:w w:val="89"/>
              </w:rPr>
              <w:t>– 20%</w:t>
            </w:r>
          </w:p>
        </w:tc>
        <w:tc>
          <w:tcPr>
            <w:tcW w:w="14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w:t>
            </w:r>
          </w:p>
        </w:tc>
        <w:tc>
          <w:tcPr>
            <w:tcW w:w="16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3"/>
        </w:trPr>
        <w:tc>
          <w:tcPr>
            <w:tcW w:w="41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Debt Securities</w:t>
            </w:r>
          </w:p>
        </w:tc>
        <w:tc>
          <w:tcPr>
            <w:tcW w:w="3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w:t>
            </w:r>
          </w:p>
        </w:tc>
        <w:tc>
          <w:tcPr>
            <w:tcW w:w="460" w:type="dxa"/>
            <w:vAlign w:val="bottom"/>
            <w:tcBorders>
              <w:bottom w:val="single" w:sz="8" w:color="A6A6A6"/>
            </w:tcBorders>
            <w:gridSpan w:val="2"/>
          </w:tcPr>
          <w:p>
            <w:pPr>
              <w:jc w:val="right"/>
              <w:ind w:right="160"/>
              <w:spacing w:after="0"/>
              <w:rPr>
                <w:sz w:val="20"/>
                <w:szCs w:val="20"/>
                <w:color w:val="auto"/>
              </w:rPr>
            </w:pPr>
            <w:r>
              <w:rPr>
                <w:rFonts w:ascii="Arial" w:cs="Arial" w:eastAsia="Arial" w:hAnsi="Arial"/>
                <w:sz w:val="11"/>
                <w:szCs w:val="11"/>
                <w:color w:val="auto"/>
                <w:w w:val="89"/>
              </w:rPr>
              <w:t>– 90%</w:t>
            </w:r>
          </w:p>
        </w:tc>
        <w:tc>
          <w:tcPr>
            <w:tcW w:w="14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w:t>
            </w:r>
          </w:p>
        </w:tc>
        <w:tc>
          <w:tcPr>
            <w:tcW w:w="16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20"/>
                <w:szCs w:val="20"/>
                <w:color w:val="auto"/>
              </w:rPr>
            </w:pPr>
            <w:r>
              <w:rPr>
                <w:rFonts w:ascii="Arial" w:cs="Arial" w:eastAsia="Arial" w:hAnsi="Arial"/>
                <w:sz w:val="11"/>
                <w:szCs w:val="11"/>
                <w:b w:val="1"/>
                <w:bCs w:val="1"/>
                <w:color w:val="004483"/>
              </w:rPr>
              <w:t>Other</w:t>
            </w:r>
          </w:p>
        </w:tc>
        <w:tc>
          <w:tcPr>
            <w:tcW w:w="3660" w:type="dxa"/>
            <w:vAlign w:val="bottom"/>
          </w:tcPr>
          <w:p>
            <w:pPr>
              <w:jc w:val="right"/>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160"/>
              <w:spacing w:after="0"/>
              <w:rPr>
                <w:sz w:val="20"/>
                <w:szCs w:val="20"/>
                <w:color w:val="auto"/>
              </w:rPr>
            </w:pPr>
            <w:r>
              <w:rPr>
                <w:rFonts w:ascii="Arial" w:cs="Arial" w:eastAsia="Arial" w:hAnsi="Arial"/>
                <w:sz w:val="11"/>
                <w:szCs w:val="11"/>
                <w:color w:val="auto"/>
                <w:w w:val="89"/>
              </w:rPr>
              <w:t>– 20%</w:t>
            </w:r>
          </w:p>
        </w:tc>
        <w:tc>
          <w:tcPr>
            <w:tcW w:w="144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412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w:t>
            </w:r>
          </w:p>
        </w:tc>
        <w:tc>
          <w:tcPr>
            <w:tcW w:w="3660" w:type="dxa"/>
            <w:vAlign w:val="bottom"/>
            <w:tcBorders>
              <w:top w:val="single" w:sz="8" w:color="A6A6A6"/>
            </w:tcBorders>
          </w:tcPr>
          <w:p>
            <w:pPr>
              <w:spacing w:after="0"/>
              <w:rPr>
                <w:sz w:val="12"/>
                <w:szCs w:val="12"/>
                <w:color w:val="auto"/>
              </w:rPr>
            </w:pPr>
          </w:p>
        </w:tc>
        <w:tc>
          <w:tcPr>
            <w:tcW w:w="300" w:type="dxa"/>
            <w:vAlign w:val="bottom"/>
            <w:tcBorders>
              <w:top w:val="single" w:sz="8" w:color="A6A6A6"/>
            </w:tcBorders>
          </w:tcPr>
          <w:p>
            <w:pPr>
              <w:spacing w:after="0"/>
              <w:rPr>
                <w:sz w:val="12"/>
                <w:szCs w:val="12"/>
                <w:color w:val="auto"/>
              </w:rPr>
            </w:pPr>
          </w:p>
        </w:tc>
        <w:tc>
          <w:tcPr>
            <w:tcW w:w="160" w:type="dxa"/>
            <w:vAlign w:val="bottom"/>
            <w:tcBorders>
              <w:top w:val="single" w:sz="8" w:color="A3A3A3"/>
            </w:tcBorders>
          </w:tcPr>
          <w:p>
            <w:pPr>
              <w:spacing w:after="0"/>
              <w:rPr>
                <w:sz w:val="12"/>
                <w:szCs w:val="12"/>
                <w:color w:val="auto"/>
              </w:rPr>
            </w:pPr>
          </w:p>
        </w:tc>
        <w:tc>
          <w:tcPr>
            <w:tcW w:w="14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100%</w:t>
            </w:r>
          </w:p>
        </w:tc>
        <w:tc>
          <w:tcPr>
            <w:tcW w:w="160" w:type="dxa"/>
            <w:vAlign w:val="bottom"/>
            <w:tcBorders>
              <w:top w:val="single" w:sz="8" w:color="A3A3A3"/>
            </w:tcBorders>
          </w:tcPr>
          <w:p>
            <w:pPr>
              <w:spacing w:after="0"/>
              <w:rPr>
                <w:sz w:val="12"/>
                <w:szCs w:val="12"/>
                <w:color w:val="auto"/>
              </w:rPr>
            </w:pPr>
          </w:p>
        </w:tc>
        <w:tc>
          <w:tcPr>
            <w:tcW w:w="860" w:type="dxa"/>
            <w:vAlign w:val="bottom"/>
            <w:tcBorders>
              <w:top w:val="single" w:sz="8" w:color="004483"/>
              <w:bottom w:val="single" w:sz="8" w:color="004483"/>
            </w:tcBorders>
          </w:tcPr>
          <w:p>
            <w:pPr>
              <w:spacing w:after="0"/>
              <w:rPr>
                <w:sz w:val="12"/>
                <w:szCs w:val="12"/>
                <w:color w:val="auto"/>
              </w:rPr>
            </w:pPr>
          </w:p>
        </w:tc>
        <w:tc>
          <w:tcPr>
            <w:tcW w:w="6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93" w:name="page94"/>
    <w:bookmarkEnd w:id="93"/>
    <w:p>
      <w:pPr>
        <w:ind w:right="120"/>
        <w:spacing w:after="0" w:line="324" w:lineRule="auto"/>
        <w:rPr>
          <w:sz w:val="20"/>
          <w:szCs w:val="20"/>
          <w:color w:val="auto"/>
        </w:rPr>
      </w:pPr>
      <w:r>
        <w:rPr>
          <w:rFonts w:ascii="Arial" w:cs="Arial" w:eastAsia="Arial" w:hAnsi="Arial"/>
          <w:sz w:val="11"/>
          <w:szCs w:val="11"/>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36" w:lineRule="exact"/>
        <w:rPr>
          <w:sz w:val="20"/>
          <w:szCs w:val="20"/>
          <w:color w:val="auto"/>
        </w:rPr>
      </w:pPr>
    </w:p>
    <w:p>
      <w:pPr>
        <w:jc w:val="both"/>
        <w:ind w:right="280"/>
        <w:spacing w:after="0" w:line="271" w:lineRule="auto"/>
        <w:rPr>
          <w:sz w:val="20"/>
          <w:szCs w:val="20"/>
          <w:color w:val="auto"/>
        </w:rPr>
      </w:pPr>
      <w:r>
        <w:rPr>
          <w:rFonts w:ascii="Arial" w:cs="Arial" w:eastAsia="Arial" w:hAnsi="Arial"/>
          <w:sz w:val="12"/>
          <w:szCs w:val="12"/>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Based on our current actuarial estimates, we do not anticipate making any contributions to our defined benefit plans for fiscal year 2022.</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our defined benefit plans’ consolidated assets by category as of March 31, 2021 and 2020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960" w:type="dxa"/>
            <w:vAlign w:val="bottom"/>
            <w:gridSpan w:val="3"/>
            <w:shd w:val="clear" w:color="auto" w:fill="004483"/>
          </w:tcPr>
          <w:p>
            <w:pPr>
              <w:jc w:val="right"/>
              <w:ind w:right="693"/>
              <w:spacing w:after="0"/>
              <w:rPr>
                <w:sz w:val="20"/>
                <w:szCs w:val="20"/>
                <w:color w:val="auto"/>
              </w:rPr>
            </w:pPr>
            <w:r>
              <w:rPr>
                <w:rFonts w:ascii="Arial" w:cs="Arial" w:eastAsia="Arial" w:hAnsi="Arial"/>
                <w:sz w:val="8"/>
                <w:szCs w:val="8"/>
                <w:b w:val="1"/>
                <w:bCs w:val="1"/>
                <w:color w:val="FFFFFF"/>
              </w:rPr>
              <w:t>March 31,</w:t>
            </w:r>
          </w:p>
        </w:tc>
        <w:tc>
          <w:tcPr>
            <w:tcW w:w="940" w:type="dxa"/>
            <w:vAlign w:val="bottom"/>
            <w:shd w:val="clear" w:color="auto" w:fill="004483"/>
          </w:tcPr>
          <w:p>
            <w:pPr>
              <w:spacing w:after="0"/>
              <w:rPr>
                <w:sz w:val="13"/>
                <w:szCs w:val="13"/>
                <w:color w:val="auto"/>
              </w:rPr>
            </w:pPr>
          </w:p>
        </w:tc>
      </w:tr>
      <w:tr>
        <w:trPr>
          <w:trHeight w:val="99"/>
        </w:trPr>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jc w:val="right"/>
              <w:ind w:right="71"/>
              <w:spacing w:after="0"/>
              <w:rPr>
                <w:sz w:val="20"/>
                <w:szCs w:val="20"/>
                <w:color w:val="auto"/>
              </w:rPr>
            </w:pPr>
            <w:r>
              <w:rPr>
                <w:rFonts w:ascii="Arial" w:cs="Arial" w:eastAsia="Arial" w:hAnsi="Arial"/>
                <w:sz w:val="8"/>
                <w:szCs w:val="8"/>
                <w:b w:val="1"/>
                <w:bCs w:val="1"/>
                <w:color w:val="auto"/>
              </w:rPr>
              <w:t>2021</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jc w:val="right"/>
              <w:ind w:right="68"/>
              <w:spacing w:after="0"/>
              <w:rPr>
                <w:sz w:val="20"/>
                <w:szCs w:val="20"/>
                <w:color w:val="auto"/>
              </w:rPr>
            </w:pPr>
            <w:r>
              <w:rPr>
                <w:rFonts w:ascii="Arial" w:cs="Arial" w:eastAsia="Arial" w:hAnsi="Arial"/>
                <w:sz w:val="8"/>
                <w:szCs w:val="8"/>
                <w:b w:val="1"/>
                <w:bCs w:val="1"/>
                <w:color w:val="auto"/>
              </w:rPr>
              <w:t>2020</w:t>
            </w:r>
          </w:p>
        </w:tc>
      </w:tr>
      <w:tr>
        <w:trPr>
          <w:trHeight w:val="99"/>
        </w:trPr>
        <w:tc>
          <w:tcPr>
            <w:tcW w:w="7560" w:type="dxa"/>
            <w:vAlign w:val="bottom"/>
            <w:tcBorders>
              <w:bottom w:val="single" w:sz="8" w:color="004483"/>
            </w:tcBorders>
          </w:tcPr>
          <w:p>
            <w:pPr>
              <w:spacing w:after="0"/>
              <w:rPr>
                <w:sz w:val="8"/>
                <w:szCs w:val="8"/>
                <w:color w:val="auto"/>
              </w:rPr>
            </w:pPr>
          </w:p>
        </w:tc>
        <w:tc>
          <w:tcPr>
            <w:tcW w:w="18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60" w:type="dxa"/>
            <w:vAlign w:val="bottom"/>
            <w:tcBorders>
              <w:bottom w:val="single" w:sz="8" w:color="004483"/>
            </w:tcBorders>
            <w:gridSpan w:val="3"/>
          </w:tcPr>
          <w:p>
            <w:pPr>
              <w:jc w:val="right"/>
              <w:ind w:right="513"/>
              <w:spacing w:after="0"/>
              <w:rPr>
                <w:sz w:val="20"/>
                <w:szCs w:val="20"/>
                <w:color w:val="auto"/>
              </w:rPr>
            </w:pPr>
            <w:r>
              <w:rPr>
                <w:rFonts w:ascii="Arial" w:cs="Arial" w:eastAsia="Arial" w:hAnsi="Arial"/>
                <w:sz w:val="8"/>
                <w:szCs w:val="8"/>
                <w:color w:val="auto"/>
              </w:rPr>
              <w:t>(dollars in thousands)</w:t>
            </w:r>
          </w:p>
        </w:tc>
        <w:tc>
          <w:tcPr>
            <w:tcW w:w="94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Equity Securities</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7,277</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7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3,470</w:t>
            </w: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Fixed Income Securities</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30,010</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34,579</w:t>
            </w: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004483"/>
              </w:rPr>
              <w:t>Real Estate Funds</w:t>
            </w:r>
          </w:p>
        </w:tc>
        <w:tc>
          <w:tcPr>
            <w:tcW w:w="6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160</w:t>
            </w:r>
          </w:p>
        </w:tc>
        <w:tc>
          <w:tcPr>
            <w:tcW w:w="20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107</w:t>
            </w:r>
          </w:p>
        </w:tc>
      </w:tr>
      <w:tr>
        <w:trPr>
          <w:trHeight w:val="133"/>
        </w:trPr>
        <w:tc>
          <w:tcPr>
            <w:tcW w:w="7740" w:type="dxa"/>
            <w:vAlign w:val="bottom"/>
            <w:gridSpan w:val="2"/>
          </w:tcPr>
          <w:p>
            <w:pPr>
              <w:spacing w:after="0"/>
              <w:rPr>
                <w:sz w:val="20"/>
                <w:szCs w:val="20"/>
                <w:color w:val="auto"/>
              </w:rPr>
            </w:pPr>
            <w:r>
              <w:rPr>
                <w:rFonts w:ascii="Arial" w:cs="Arial" w:eastAsia="Arial" w:hAnsi="Arial"/>
                <w:sz w:val="11"/>
                <w:szCs w:val="11"/>
                <w:b w:val="1"/>
                <w:bCs w:val="1"/>
                <w:color w:val="004483"/>
              </w:rPr>
              <w:t>Cash Equivalents</w:t>
            </w:r>
          </w:p>
        </w:tc>
        <w:tc>
          <w:tcPr>
            <w:tcW w:w="660" w:type="dxa"/>
            <w:vAlign w:val="bottom"/>
          </w:tcPr>
          <w:p>
            <w:pPr>
              <w:spacing w:after="0"/>
              <w:rPr>
                <w:sz w:val="11"/>
                <w:szCs w:val="11"/>
                <w:color w:val="auto"/>
              </w:rPr>
            </w:pPr>
          </w:p>
        </w:tc>
        <w:tc>
          <w:tcPr>
            <w:tcW w:w="1020" w:type="dxa"/>
            <w:vAlign w:val="bottom"/>
          </w:tcPr>
          <w:p>
            <w:pPr>
              <w:jc w:val="right"/>
              <w:ind w:right="71"/>
              <w:spacing w:after="0"/>
              <w:rPr>
                <w:sz w:val="20"/>
                <w:szCs w:val="20"/>
                <w:color w:val="auto"/>
              </w:rPr>
            </w:pPr>
            <w:r>
              <w:rPr>
                <w:rFonts w:ascii="Arial" w:cs="Arial" w:eastAsia="Arial" w:hAnsi="Arial"/>
                <w:sz w:val="11"/>
                <w:szCs w:val="11"/>
                <w:color w:val="auto"/>
              </w:rPr>
              <w:t>460</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jc w:val="right"/>
              <w:ind w:right="68"/>
              <w:spacing w:after="0"/>
              <w:rPr>
                <w:sz w:val="20"/>
                <w:szCs w:val="20"/>
                <w:color w:val="auto"/>
              </w:rPr>
            </w:pPr>
            <w:r>
              <w:rPr>
                <w:rFonts w:ascii="Arial" w:cs="Arial" w:eastAsia="Arial" w:hAnsi="Arial"/>
                <w:sz w:val="11"/>
                <w:szCs w:val="11"/>
                <w:color w:val="auto"/>
              </w:rPr>
              <w:t>853</w:t>
            </w:r>
          </w:p>
        </w:tc>
      </w:tr>
      <w:tr>
        <w:trPr>
          <w:trHeight w:val="142"/>
        </w:trPr>
        <w:tc>
          <w:tcPr>
            <w:tcW w:w="756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top w:val="single" w:sz="8" w:color="A3A3A3"/>
            </w:tcBorders>
          </w:tcPr>
          <w:p>
            <w:pPr>
              <w:spacing w:after="0"/>
              <w:rPr>
                <w:sz w:val="12"/>
                <w:szCs w:val="12"/>
                <w:color w:val="auto"/>
              </w:rPr>
            </w:pPr>
          </w:p>
        </w:tc>
        <w:tc>
          <w:tcPr>
            <w:tcW w:w="660" w:type="dxa"/>
            <w:vAlign w:val="bottom"/>
            <w:tcBorders>
              <w:top w:val="single" w:sz="8" w:color="004483"/>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37,907</w:t>
            </w:r>
          </w:p>
        </w:tc>
        <w:tc>
          <w:tcPr>
            <w:tcW w:w="200" w:type="dxa"/>
            <w:vAlign w:val="bottom"/>
            <w:tcBorders>
              <w:top w:val="single" w:sz="8" w:color="A3A3A3"/>
            </w:tcBorders>
          </w:tcPr>
          <w:p>
            <w:pPr>
              <w:spacing w:after="0"/>
              <w:rPr>
                <w:sz w:val="12"/>
                <w:szCs w:val="12"/>
                <w:color w:val="auto"/>
              </w:rPr>
            </w:pPr>
          </w:p>
        </w:tc>
        <w:tc>
          <w:tcPr>
            <w:tcW w:w="740" w:type="dxa"/>
            <w:vAlign w:val="bottom"/>
            <w:tcBorders>
              <w:top w:val="single" w:sz="8" w:color="004483"/>
              <w:bottom w:val="single" w:sz="8" w:color="004483"/>
            </w:tcBorders>
          </w:tcPr>
          <w:p>
            <w:pPr>
              <w:jc w:val="right"/>
              <w:ind w:right="673"/>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39,009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our defined benefit plans’ consolidated assets were determined using the fair value hierarchy of inputs described in Footnote (A) to the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by category of inputs as of March 31, 2021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Quoted Prices in</w:t>
            </w: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Active Markets</w:t>
            </w:r>
          </w:p>
        </w:tc>
        <w:tc>
          <w:tcPr>
            <w:tcW w:w="280" w:type="dxa"/>
            <w:vAlign w:val="bottom"/>
          </w:tcPr>
          <w:p>
            <w:pPr>
              <w:spacing w:after="0"/>
              <w:rPr>
                <w:sz w:val="7"/>
                <w:szCs w:val="7"/>
                <w:color w:val="auto"/>
              </w:rPr>
            </w:pPr>
          </w:p>
        </w:tc>
        <w:tc>
          <w:tcPr>
            <w:tcW w:w="112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Significant Other</w:t>
            </w:r>
          </w:p>
        </w:tc>
        <w:tc>
          <w:tcPr>
            <w:tcW w:w="400" w:type="dxa"/>
            <w:vAlign w:val="bottom"/>
          </w:tcPr>
          <w:p>
            <w:pPr>
              <w:spacing w:after="0"/>
              <w:rPr>
                <w:sz w:val="7"/>
                <w:szCs w:val="7"/>
                <w:color w:val="auto"/>
              </w:rPr>
            </w:pPr>
          </w:p>
        </w:tc>
        <w:tc>
          <w:tcPr>
            <w:tcW w:w="10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Significant</w:t>
            </w: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for Identical</w:t>
            </w:r>
          </w:p>
        </w:tc>
        <w:tc>
          <w:tcPr>
            <w:tcW w:w="280" w:type="dxa"/>
            <w:vAlign w:val="bottom"/>
          </w:tcPr>
          <w:p>
            <w:pPr>
              <w:spacing w:after="0"/>
              <w:rPr>
                <w:sz w:val="7"/>
                <w:szCs w:val="7"/>
                <w:color w:val="auto"/>
              </w:rPr>
            </w:pPr>
          </w:p>
        </w:tc>
        <w:tc>
          <w:tcPr>
            <w:tcW w:w="112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Observable</w:t>
            </w:r>
          </w:p>
        </w:tc>
        <w:tc>
          <w:tcPr>
            <w:tcW w:w="400" w:type="dxa"/>
            <w:vAlign w:val="bottom"/>
          </w:tcPr>
          <w:p>
            <w:pPr>
              <w:spacing w:after="0"/>
              <w:rPr>
                <w:sz w:val="7"/>
                <w:szCs w:val="7"/>
                <w:color w:val="auto"/>
              </w:rPr>
            </w:pPr>
          </w:p>
        </w:tc>
        <w:tc>
          <w:tcPr>
            <w:tcW w:w="10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Unobservable</w:t>
            </w: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8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Asset Categories</w:t>
            </w:r>
          </w:p>
        </w:tc>
        <w:tc>
          <w:tcPr>
            <w:tcW w:w="300" w:type="dxa"/>
            <w:vAlign w:val="bottom"/>
          </w:tcPr>
          <w:p>
            <w:pPr>
              <w:spacing w:after="0"/>
              <w:rPr>
                <w:sz w:val="8"/>
                <w:szCs w:val="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Assets (Level 1)</w:t>
            </w:r>
          </w:p>
        </w:tc>
        <w:tc>
          <w:tcPr>
            <w:tcW w:w="280" w:type="dxa"/>
            <w:vAlign w:val="bottom"/>
          </w:tcPr>
          <w:p>
            <w:pPr>
              <w:spacing w:after="0"/>
              <w:rPr>
                <w:sz w:val="8"/>
                <w:szCs w:val="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Inputs (Level 2)</w:t>
            </w:r>
          </w:p>
        </w:tc>
        <w:tc>
          <w:tcPr>
            <w:tcW w:w="400" w:type="dxa"/>
            <w:vAlign w:val="bottom"/>
          </w:tcPr>
          <w:p>
            <w:pPr>
              <w:spacing w:after="0"/>
              <w:rPr>
                <w:sz w:val="8"/>
                <w:szCs w:val="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Inputs (Level 3)</w:t>
            </w:r>
          </w:p>
        </w:tc>
        <w:tc>
          <w:tcPr>
            <w:tcW w:w="460" w:type="dxa"/>
            <w:vAlign w:val="bottom"/>
          </w:tcPr>
          <w:p>
            <w:pPr>
              <w:spacing w:after="0"/>
              <w:rPr>
                <w:sz w:val="8"/>
                <w:szCs w:val="8"/>
                <w:color w:val="auto"/>
              </w:rPr>
            </w:pPr>
          </w:p>
        </w:tc>
        <w:tc>
          <w:tcPr>
            <w:tcW w:w="820" w:type="dxa"/>
            <w:vAlign w:val="bottom"/>
          </w:tcPr>
          <w:p>
            <w:pPr>
              <w:jc w:val="right"/>
              <w:ind w:right="68"/>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9"/>
        </w:trPr>
        <w:tc>
          <w:tcPr>
            <w:tcW w:w="5820" w:type="dxa"/>
            <w:vAlign w:val="bottom"/>
            <w:tcBorders>
              <w:bottom w:val="single" w:sz="8" w:color="004483"/>
            </w:tcBorders>
            <w:gridSpan w:val="2"/>
            <w:vMerge w:val="continue"/>
          </w:tcPr>
          <w:p>
            <w:pPr>
              <w:spacing w:after="0"/>
              <w:rPr>
                <w:sz w:val="8"/>
                <w:szCs w:val="8"/>
                <w:color w:val="auto"/>
              </w:rPr>
            </w:pPr>
          </w:p>
        </w:tc>
        <w:tc>
          <w:tcPr>
            <w:tcW w:w="300" w:type="dxa"/>
            <w:vAlign w:val="bottom"/>
            <w:tcBorders>
              <w:bottom w:val="single" w:sz="8" w:color="004483"/>
            </w:tcBorders>
          </w:tcPr>
          <w:p>
            <w:pPr>
              <w:spacing w:after="0"/>
              <w:rPr>
                <w:sz w:val="8"/>
                <w:szCs w:val="8"/>
                <w:color w:val="auto"/>
              </w:rPr>
            </w:pPr>
          </w:p>
        </w:tc>
        <w:tc>
          <w:tcPr>
            <w:tcW w:w="96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2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3"/>
          </w:tcPr>
          <w:p>
            <w:pPr>
              <w:jc w:val="right"/>
              <w:ind w:right="111"/>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Equity Securities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7,277</w:t>
            </w: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jc w:val="right"/>
              <w:ind w:right="2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7,277</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Fixed Income Securities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30,010</w:t>
            </w: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30,010</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Real Estate Funds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160</w:t>
            </w: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33"/>
        </w:trPr>
        <w:tc>
          <w:tcPr>
            <w:tcW w:w="5680" w:type="dxa"/>
            <w:vAlign w:val="bottom"/>
          </w:tcPr>
          <w:p>
            <w:pPr>
              <w:spacing w:after="0"/>
              <w:rPr>
                <w:sz w:val="20"/>
                <w:szCs w:val="20"/>
                <w:color w:val="auto"/>
              </w:rPr>
            </w:pPr>
            <w:r>
              <w:rPr>
                <w:rFonts w:ascii="Arial" w:cs="Arial" w:eastAsia="Arial" w:hAnsi="Arial"/>
                <w:sz w:val="11"/>
                <w:szCs w:val="11"/>
                <w:b w:val="1"/>
                <w:bCs w:val="1"/>
                <w:color w:val="004483"/>
              </w:rPr>
              <w:t>Cash Equivalents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71"/>
              <w:spacing w:after="0"/>
              <w:rPr>
                <w:sz w:val="20"/>
                <w:szCs w:val="20"/>
                <w:color w:val="auto"/>
              </w:rPr>
            </w:pPr>
            <w:r>
              <w:rPr>
                <w:rFonts w:ascii="Arial" w:cs="Arial" w:eastAsia="Arial" w:hAnsi="Arial"/>
                <w:sz w:val="11"/>
                <w:szCs w:val="11"/>
                <w:color w:val="auto"/>
              </w:rPr>
              <w:t>460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42"/>
        </w:trPr>
        <w:tc>
          <w:tcPr>
            <w:tcW w:w="5680" w:type="dxa"/>
            <w:vAlign w:val="bottom"/>
            <w:tcBorders>
              <w:top w:val="single" w:sz="8" w:color="A6A6A6"/>
            </w:tcBorders>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460</w:t>
            </w:r>
          </w:p>
        </w:tc>
        <w:tc>
          <w:tcPr>
            <w:tcW w:w="140" w:type="dxa"/>
            <w:vAlign w:val="bottom"/>
            <w:tcBorders>
              <w:top w:val="single" w:sz="8" w:color="A3A3A3"/>
            </w:tcBorders>
          </w:tcPr>
          <w:p>
            <w:pPr>
              <w:spacing w:after="0"/>
              <w:rPr>
                <w:sz w:val="12"/>
                <w:szCs w:val="12"/>
                <w:color w:val="auto"/>
              </w:rPr>
            </w:pPr>
          </w:p>
        </w:tc>
        <w:tc>
          <w:tcPr>
            <w:tcW w:w="280" w:type="dxa"/>
            <w:vAlign w:val="bottom"/>
            <w:tcBorders>
              <w:top w:val="single" w:sz="8" w:color="004483"/>
              <w:bottom w:val="single" w:sz="8" w:color="004483"/>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37,447</w:t>
            </w:r>
          </w:p>
        </w:tc>
        <w:tc>
          <w:tcPr>
            <w:tcW w:w="140" w:type="dxa"/>
            <w:vAlign w:val="bottom"/>
            <w:tcBorders>
              <w:top w:val="single" w:sz="8" w:color="A3A3A3"/>
            </w:tcBorders>
          </w:tcPr>
          <w:p>
            <w:pPr>
              <w:spacing w:after="0"/>
              <w:rPr>
                <w:sz w:val="12"/>
                <w:szCs w:val="12"/>
                <w:color w:val="auto"/>
              </w:rPr>
            </w:pPr>
          </w:p>
        </w:tc>
        <w:tc>
          <w:tcPr>
            <w:tcW w:w="400" w:type="dxa"/>
            <w:vAlign w:val="bottom"/>
            <w:tcBorders>
              <w:top w:val="single" w:sz="8" w:color="004483"/>
              <w:bottom w:val="single" w:sz="8" w:color="004483"/>
            </w:tcBorders>
          </w:tcPr>
          <w:p>
            <w:pPr>
              <w:jc w:val="right"/>
              <w:ind w:right="2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3A3A3"/>
            </w:tcBorders>
          </w:tcPr>
          <w:p>
            <w:pPr>
              <w:spacing w:after="0"/>
              <w:rPr>
                <w:sz w:val="12"/>
                <w:szCs w:val="12"/>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37,907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by category of inputs as of March 31, 2020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Quoted Prices in</w:t>
            </w: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Active Markets</w:t>
            </w:r>
          </w:p>
        </w:tc>
        <w:tc>
          <w:tcPr>
            <w:tcW w:w="280" w:type="dxa"/>
            <w:vAlign w:val="bottom"/>
          </w:tcPr>
          <w:p>
            <w:pPr>
              <w:spacing w:after="0"/>
              <w:rPr>
                <w:sz w:val="7"/>
                <w:szCs w:val="7"/>
                <w:color w:val="auto"/>
              </w:rPr>
            </w:pPr>
          </w:p>
        </w:tc>
        <w:tc>
          <w:tcPr>
            <w:tcW w:w="112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Significant Other</w:t>
            </w:r>
          </w:p>
        </w:tc>
        <w:tc>
          <w:tcPr>
            <w:tcW w:w="420" w:type="dxa"/>
            <w:vAlign w:val="bottom"/>
          </w:tcPr>
          <w:p>
            <w:pPr>
              <w:spacing w:after="0"/>
              <w:rPr>
                <w:sz w:val="7"/>
                <w:szCs w:val="7"/>
                <w:color w:val="auto"/>
              </w:rPr>
            </w:pPr>
          </w:p>
        </w:tc>
        <w:tc>
          <w:tcPr>
            <w:tcW w:w="98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Significant</w:t>
            </w: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for Identical</w:t>
            </w:r>
          </w:p>
        </w:tc>
        <w:tc>
          <w:tcPr>
            <w:tcW w:w="280" w:type="dxa"/>
            <w:vAlign w:val="bottom"/>
          </w:tcPr>
          <w:p>
            <w:pPr>
              <w:spacing w:after="0"/>
              <w:rPr>
                <w:sz w:val="7"/>
                <w:szCs w:val="7"/>
                <w:color w:val="auto"/>
              </w:rPr>
            </w:pPr>
          </w:p>
        </w:tc>
        <w:tc>
          <w:tcPr>
            <w:tcW w:w="112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Observable</w:t>
            </w:r>
          </w:p>
        </w:tc>
        <w:tc>
          <w:tcPr>
            <w:tcW w:w="420" w:type="dxa"/>
            <w:vAlign w:val="bottom"/>
          </w:tcPr>
          <w:p>
            <w:pPr>
              <w:spacing w:after="0"/>
              <w:rPr>
                <w:sz w:val="7"/>
                <w:szCs w:val="7"/>
                <w:color w:val="auto"/>
              </w:rPr>
            </w:pPr>
          </w:p>
        </w:tc>
        <w:tc>
          <w:tcPr>
            <w:tcW w:w="98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Unobservable</w:t>
            </w: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99"/>
        </w:trPr>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Assets (Level 1)</w:t>
            </w:r>
          </w:p>
        </w:tc>
        <w:tc>
          <w:tcPr>
            <w:tcW w:w="280" w:type="dxa"/>
            <w:vAlign w:val="bottom"/>
          </w:tcPr>
          <w:p>
            <w:pPr>
              <w:spacing w:after="0"/>
              <w:rPr>
                <w:sz w:val="8"/>
                <w:szCs w:val="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Inputs (Level 2)</w:t>
            </w:r>
          </w:p>
        </w:tc>
        <w:tc>
          <w:tcPr>
            <w:tcW w:w="420" w:type="dxa"/>
            <w:vAlign w:val="bottom"/>
          </w:tcPr>
          <w:p>
            <w:pPr>
              <w:spacing w:after="0"/>
              <w:rPr>
                <w:sz w:val="8"/>
                <w:szCs w:val="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Inputs (Level 3)</w:t>
            </w:r>
          </w:p>
        </w:tc>
        <w:tc>
          <w:tcPr>
            <w:tcW w:w="460" w:type="dxa"/>
            <w:vAlign w:val="bottom"/>
          </w:tcPr>
          <w:p>
            <w:pPr>
              <w:spacing w:after="0"/>
              <w:rPr>
                <w:sz w:val="8"/>
                <w:szCs w:val="8"/>
                <w:color w:val="auto"/>
              </w:rPr>
            </w:pPr>
          </w:p>
        </w:tc>
        <w:tc>
          <w:tcPr>
            <w:tcW w:w="820" w:type="dxa"/>
            <w:vAlign w:val="bottom"/>
          </w:tcPr>
          <w:p>
            <w:pPr>
              <w:jc w:val="right"/>
              <w:ind w:right="68"/>
              <w:spacing w:after="0"/>
              <w:rPr>
                <w:sz w:val="20"/>
                <w:szCs w:val="20"/>
                <w:color w:val="auto"/>
              </w:rPr>
            </w:pPr>
            <w:r>
              <w:rPr>
                <w:rFonts w:ascii="Arial" w:cs="Arial" w:eastAsia="Arial" w:hAnsi="Arial"/>
                <w:sz w:val="8"/>
                <w:szCs w:val="8"/>
                <w:b w:val="1"/>
                <w:bCs w:val="1"/>
                <w:color w:val="auto"/>
              </w:rPr>
              <w:t>Total</w:t>
            </w:r>
          </w:p>
        </w:tc>
      </w:tr>
      <w:tr>
        <w:trPr>
          <w:trHeight w:val="101"/>
        </w:trPr>
        <w:tc>
          <w:tcPr>
            <w:tcW w:w="5820" w:type="dxa"/>
            <w:vAlign w:val="bottom"/>
            <w:tcBorders>
              <w:bottom w:val="single" w:sz="8" w:color="004483"/>
            </w:tcBorders>
            <w:gridSpan w:val="2"/>
          </w:tcPr>
          <w:p>
            <w:pPr>
              <w:spacing w:after="0"/>
              <w:rPr>
                <w:sz w:val="20"/>
                <w:szCs w:val="20"/>
                <w:color w:val="auto"/>
              </w:rPr>
            </w:pPr>
            <w:r>
              <w:rPr>
                <w:rFonts w:ascii="Arial" w:cs="Arial" w:eastAsia="Arial" w:hAnsi="Arial"/>
                <w:sz w:val="8"/>
                <w:szCs w:val="8"/>
                <w:b w:val="1"/>
                <w:bCs w:val="1"/>
                <w:color w:val="auto"/>
              </w:rPr>
              <w:t>Asset Categories</w:t>
            </w:r>
          </w:p>
        </w:tc>
        <w:tc>
          <w:tcPr>
            <w:tcW w:w="300" w:type="dxa"/>
            <w:vAlign w:val="bottom"/>
            <w:tcBorders>
              <w:bottom w:val="single" w:sz="8" w:color="004483"/>
            </w:tcBorders>
          </w:tcPr>
          <w:p>
            <w:pPr>
              <w:spacing w:after="0"/>
              <w:rPr>
                <w:sz w:val="8"/>
                <w:szCs w:val="8"/>
                <w:color w:val="auto"/>
              </w:rPr>
            </w:pPr>
          </w:p>
        </w:tc>
        <w:tc>
          <w:tcPr>
            <w:tcW w:w="96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280" w:type="dxa"/>
            <w:vAlign w:val="bottom"/>
            <w:tcBorders>
              <w:bottom w:val="single" w:sz="8" w:color="004483"/>
            </w:tcBorders>
          </w:tcPr>
          <w:p>
            <w:pPr>
              <w:spacing w:after="0"/>
              <w:rPr>
                <w:sz w:val="8"/>
                <w:szCs w:val="8"/>
                <w:color w:val="auto"/>
              </w:rPr>
            </w:pPr>
          </w:p>
        </w:tc>
        <w:tc>
          <w:tcPr>
            <w:tcW w:w="1540" w:type="dxa"/>
            <w:vAlign w:val="bottom"/>
            <w:tcBorders>
              <w:bottom w:val="single" w:sz="8" w:color="004483"/>
            </w:tcBorders>
            <w:gridSpan w:val="3"/>
          </w:tcPr>
          <w:p>
            <w:pPr>
              <w:jc w:val="right"/>
              <w:ind w:right="111"/>
              <w:spacing w:after="0"/>
              <w:rPr>
                <w:sz w:val="20"/>
                <w:szCs w:val="20"/>
                <w:color w:val="auto"/>
              </w:rPr>
            </w:pPr>
            <w:r>
              <w:rPr>
                <w:rFonts w:ascii="Arial" w:cs="Arial" w:eastAsia="Arial" w:hAnsi="Arial"/>
                <w:sz w:val="8"/>
                <w:szCs w:val="8"/>
                <w:b w:val="1"/>
                <w:bCs w:val="1"/>
                <w:color w:val="auto"/>
              </w:rPr>
              <w:t>(dollars in thousands)</w:t>
            </w:r>
          </w:p>
        </w:tc>
        <w:tc>
          <w:tcPr>
            <w:tcW w:w="84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r>
      <w:tr>
        <w:trPr>
          <w:trHeight w:val="131"/>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Equity Securities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3,470</w:t>
            </w:r>
          </w:p>
        </w:tc>
        <w:tc>
          <w:tcPr>
            <w:tcW w:w="140" w:type="dxa"/>
            <w:vAlign w:val="bottom"/>
            <w:tcBorders>
              <w:bottom w:val="single" w:sz="8" w:color="A3A3A3"/>
            </w:tcBorders>
          </w:tcPr>
          <w:p>
            <w:pPr>
              <w:spacing w:after="0"/>
              <w:rPr>
                <w:sz w:val="11"/>
                <w:szCs w:val="11"/>
                <w:color w:val="auto"/>
              </w:rPr>
            </w:pPr>
          </w:p>
        </w:tc>
        <w:tc>
          <w:tcPr>
            <w:tcW w:w="420" w:type="dxa"/>
            <w:vAlign w:val="bottom"/>
            <w:tcBorders>
              <w:bottom w:val="single" w:sz="8" w:color="A6A6A6"/>
            </w:tcBorders>
          </w:tcPr>
          <w:p>
            <w:pPr>
              <w:jc w:val="right"/>
              <w:ind w:right="31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3,470</w:t>
            </w:r>
          </w:p>
        </w:tc>
      </w:tr>
      <w:tr>
        <w:trPr>
          <w:trHeight w:val="133"/>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Fixed Income Securities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34,579</w:t>
            </w:r>
          </w:p>
        </w:tc>
        <w:tc>
          <w:tcPr>
            <w:tcW w:w="140" w:type="dxa"/>
            <w:vAlign w:val="bottom"/>
            <w:tcBorders>
              <w:bottom w:val="single" w:sz="8" w:color="A3A3A3"/>
            </w:tcBorders>
          </w:tcPr>
          <w:p>
            <w:pPr>
              <w:spacing w:after="0"/>
              <w:rPr>
                <w:sz w:val="11"/>
                <w:szCs w:val="11"/>
                <w:color w:val="auto"/>
              </w:rPr>
            </w:pPr>
          </w:p>
        </w:tc>
        <w:tc>
          <w:tcPr>
            <w:tcW w:w="42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34,579</w:t>
            </w:r>
          </w:p>
        </w:tc>
      </w:tr>
      <w:tr>
        <w:trPr>
          <w:trHeight w:val="133"/>
        </w:trPr>
        <w:tc>
          <w:tcPr>
            <w:tcW w:w="56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004483"/>
              </w:rPr>
              <w:t>Real Estate Funds</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107</w:t>
            </w:r>
          </w:p>
        </w:tc>
        <w:tc>
          <w:tcPr>
            <w:tcW w:w="140" w:type="dxa"/>
            <w:vAlign w:val="bottom"/>
            <w:tcBorders>
              <w:bottom w:val="single" w:sz="8" w:color="A3A3A3"/>
            </w:tcBorders>
          </w:tcPr>
          <w:p>
            <w:pPr>
              <w:spacing w:after="0"/>
              <w:rPr>
                <w:sz w:val="11"/>
                <w:szCs w:val="11"/>
                <w:color w:val="auto"/>
              </w:rPr>
            </w:pPr>
          </w:p>
        </w:tc>
        <w:tc>
          <w:tcPr>
            <w:tcW w:w="42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1"/>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68"/>
              <w:spacing w:after="0"/>
              <w:rPr>
                <w:sz w:val="20"/>
                <w:szCs w:val="20"/>
                <w:color w:val="auto"/>
              </w:rPr>
            </w:pPr>
            <w:r>
              <w:rPr>
                <w:rFonts w:ascii="Arial" w:cs="Arial" w:eastAsia="Arial" w:hAnsi="Arial"/>
                <w:sz w:val="11"/>
                <w:szCs w:val="11"/>
                <w:color w:val="auto"/>
              </w:rPr>
              <w:t>107</w:t>
            </w:r>
          </w:p>
        </w:tc>
      </w:tr>
      <w:tr>
        <w:trPr>
          <w:trHeight w:val="133"/>
        </w:trPr>
        <w:tc>
          <w:tcPr>
            <w:tcW w:w="5680" w:type="dxa"/>
            <w:vAlign w:val="bottom"/>
          </w:tcPr>
          <w:p>
            <w:pPr>
              <w:spacing w:after="0"/>
              <w:rPr>
                <w:sz w:val="20"/>
                <w:szCs w:val="20"/>
                <w:color w:val="auto"/>
              </w:rPr>
            </w:pPr>
            <w:r>
              <w:rPr>
                <w:rFonts w:ascii="Arial" w:cs="Arial" w:eastAsia="Arial" w:hAnsi="Arial"/>
                <w:sz w:val="11"/>
                <w:szCs w:val="11"/>
                <w:b w:val="1"/>
                <w:bCs w:val="1"/>
                <w:color w:val="004483"/>
              </w:rPr>
              <w:t>Cash Equivalents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71"/>
              <w:spacing w:after="0"/>
              <w:rPr>
                <w:sz w:val="20"/>
                <w:szCs w:val="20"/>
                <w:color w:val="auto"/>
              </w:rPr>
            </w:pPr>
            <w:r>
              <w:rPr>
                <w:rFonts w:ascii="Arial" w:cs="Arial" w:eastAsia="Arial" w:hAnsi="Arial"/>
                <w:sz w:val="11"/>
                <w:szCs w:val="11"/>
                <w:color w:val="auto"/>
              </w:rPr>
              <w:t>853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853</w:t>
            </w:r>
          </w:p>
        </w:tc>
      </w:tr>
      <w:tr>
        <w:trPr>
          <w:trHeight w:val="142"/>
        </w:trPr>
        <w:tc>
          <w:tcPr>
            <w:tcW w:w="5680" w:type="dxa"/>
            <w:vAlign w:val="bottom"/>
            <w:tcBorders>
              <w:top w:val="single" w:sz="8" w:color="A6A6A6"/>
            </w:tcBorders>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853</w:t>
            </w:r>
          </w:p>
        </w:tc>
        <w:tc>
          <w:tcPr>
            <w:tcW w:w="140" w:type="dxa"/>
            <w:vAlign w:val="bottom"/>
            <w:tcBorders>
              <w:top w:val="single" w:sz="8" w:color="A3A3A3"/>
            </w:tcBorders>
          </w:tcPr>
          <w:p>
            <w:pPr>
              <w:spacing w:after="0"/>
              <w:rPr>
                <w:sz w:val="12"/>
                <w:szCs w:val="12"/>
                <w:color w:val="auto"/>
              </w:rPr>
            </w:pPr>
          </w:p>
        </w:tc>
        <w:tc>
          <w:tcPr>
            <w:tcW w:w="280" w:type="dxa"/>
            <w:vAlign w:val="bottom"/>
            <w:tcBorders>
              <w:top w:val="single" w:sz="8" w:color="004483"/>
              <w:bottom w:val="single" w:sz="8" w:color="004483"/>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38,156</w:t>
            </w:r>
          </w:p>
        </w:tc>
        <w:tc>
          <w:tcPr>
            <w:tcW w:w="140" w:type="dxa"/>
            <w:vAlign w:val="bottom"/>
            <w:tcBorders>
              <w:top w:val="single" w:sz="8" w:color="A3A3A3"/>
            </w:tcBorders>
          </w:tcPr>
          <w:p>
            <w:pPr>
              <w:spacing w:after="0"/>
              <w:rPr>
                <w:sz w:val="12"/>
                <w:szCs w:val="12"/>
                <w:color w:val="auto"/>
              </w:rPr>
            </w:pPr>
          </w:p>
        </w:tc>
        <w:tc>
          <w:tcPr>
            <w:tcW w:w="420" w:type="dxa"/>
            <w:vAlign w:val="bottom"/>
            <w:tcBorders>
              <w:top w:val="single" w:sz="8" w:color="004483"/>
              <w:bottom w:val="single" w:sz="8" w:color="004483"/>
            </w:tcBorders>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3A3A3"/>
            </w:tcBorders>
          </w:tcPr>
          <w:p>
            <w:pPr>
              <w:spacing w:after="0"/>
              <w:rPr>
                <w:sz w:val="12"/>
                <w:szCs w:val="12"/>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ind w:right="68"/>
              <w:spacing w:after="0"/>
              <w:rPr>
                <w:sz w:val="20"/>
                <w:szCs w:val="20"/>
                <w:color w:val="auto"/>
              </w:rPr>
            </w:pPr>
            <w:r>
              <w:rPr>
                <w:rFonts w:ascii="Arial" w:cs="Arial" w:eastAsia="Arial" w:hAnsi="Arial"/>
                <w:sz w:val="11"/>
                <w:szCs w:val="11"/>
                <w:b w:val="1"/>
                <w:bCs w:val="1"/>
                <w:color w:val="auto"/>
              </w:rPr>
              <w:t>39,009</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94" w:name="page95"/>
    <w:bookmarkEnd w:id="94"/>
    <w:p>
      <w:pPr>
        <w:ind w:right="40"/>
        <w:spacing w:after="0" w:line="277" w:lineRule="auto"/>
        <w:rPr>
          <w:sz w:val="20"/>
          <w:szCs w:val="20"/>
          <w:color w:val="auto"/>
        </w:rPr>
      </w:pPr>
      <w:r>
        <w:rPr>
          <w:rFonts w:ascii="Arial" w:cs="Arial" w:eastAsia="Arial" w:hAnsi="Arial"/>
          <w:sz w:val="12"/>
          <w:szCs w:val="12"/>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4483"/>
        </w:rPr>
        <w:t>Profit Sharing Plans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We also provide profit sharing plans, which cover substantially all salaried and certain hourly employees. The profit 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$8.3 million, $8.2 million, and $8.0 million in fiscal years 2021, 2020, and 2019, respectively.</w:t>
      </w:r>
    </w:p>
    <w:p>
      <w:pPr>
        <w:spacing w:after="0" w:line="64"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Individuals who became our employees as a result of a previous transaction are provided benefits substantially comparable to those provided under the seller’s benefit plans. These plans include the seller’s 401(k) plan, which allows for employer matching percentages of hourly employees. As a result, we made matching contributions to the hourly profit sharing plan totaling $1.1 million, $0.7 million, and $0.6 million for these employees during fiscal years 2021, 2020, and 2019, respectively.</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Approximately fifty of our employees belong to three different multi-employer plans. The collective bargaining agreements for the employees who participate in the multi-employer plans expire in February 2024 and March 2025. Our expense related to these plans was approximately $1.8 million, $1.7 million, and $1.5 million during fiscal years 2021, 2020, and 2019, respectively. We anticipate the total expense in fiscal 2022 related to these plans will be approximately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color w:val="004483"/>
        </w:rPr>
        <w:t>(O) QUARTERLY RESULTS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520" w:type="dxa"/>
            <w:vAlign w:val="bottom"/>
            <w:shd w:val="clear" w:color="auto" w:fill="004483"/>
          </w:tcPr>
          <w:p>
            <w:pPr>
              <w:spacing w:after="0"/>
              <w:rPr>
                <w:sz w:val="11"/>
                <w:szCs w:val="11"/>
                <w:color w:val="auto"/>
              </w:rPr>
            </w:pPr>
          </w:p>
        </w:tc>
        <w:tc>
          <w:tcPr>
            <w:tcW w:w="2240" w:type="dxa"/>
            <w:vAlign w:val="bottom"/>
            <w:gridSpan w:val="2"/>
            <w:shd w:val="clear" w:color="auto" w:fill="004483"/>
          </w:tcPr>
          <w:p>
            <w:pPr>
              <w:jc w:val="right"/>
              <w:ind w:right="426"/>
              <w:spacing w:after="0"/>
              <w:rPr>
                <w:sz w:val="20"/>
                <w:szCs w:val="20"/>
                <w:color w:val="auto"/>
              </w:rPr>
            </w:pPr>
            <w:r>
              <w:rPr>
                <w:rFonts w:ascii="Arial" w:cs="Arial" w:eastAsia="Arial" w:hAnsi="Arial"/>
                <w:sz w:val="8"/>
                <w:szCs w:val="8"/>
                <w:b w:val="1"/>
                <w:bCs w:val="1"/>
                <w:color w:val="FFFFFF"/>
              </w:rPr>
              <w:t>For the Years Ended March 31,</w:t>
            </w:r>
          </w:p>
        </w:tc>
        <w:tc>
          <w:tcPr>
            <w:tcW w:w="800" w:type="dxa"/>
            <w:vAlign w:val="bottom"/>
            <w:shd w:val="clear" w:color="auto" w:fill="004483"/>
          </w:tcPr>
          <w:p>
            <w:pPr>
              <w:spacing w:after="0"/>
              <w:rPr>
                <w:sz w:val="11"/>
                <w:szCs w:val="11"/>
                <w:color w:val="auto"/>
              </w:rPr>
            </w:pPr>
          </w:p>
        </w:tc>
      </w:tr>
      <w:tr>
        <w:trPr>
          <w:trHeight w:val="99"/>
        </w:trPr>
        <w:tc>
          <w:tcPr>
            <w:tcW w:w="7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jc w:val="right"/>
              <w:ind w:right="107"/>
              <w:spacing w:after="0"/>
              <w:rPr>
                <w:sz w:val="20"/>
                <w:szCs w:val="20"/>
                <w:color w:val="auto"/>
              </w:rPr>
            </w:pPr>
            <w:r>
              <w:rPr>
                <w:rFonts w:ascii="Arial" w:cs="Arial" w:eastAsia="Arial" w:hAnsi="Arial"/>
                <w:sz w:val="8"/>
                <w:szCs w:val="8"/>
                <w:b w:val="1"/>
                <w:bCs w:val="1"/>
                <w:color w:val="auto"/>
              </w:rPr>
              <w:t>2021</w:t>
            </w:r>
          </w:p>
        </w:tc>
        <w:tc>
          <w:tcPr>
            <w:tcW w:w="1040" w:type="dxa"/>
            <w:vAlign w:val="bottom"/>
          </w:tcPr>
          <w:p>
            <w:pPr>
              <w:spacing w:after="0"/>
              <w:rPr>
                <w:sz w:val="8"/>
                <w:szCs w:val="8"/>
                <w:color w:val="auto"/>
              </w:rPr>
            </w:pPr>
          </w:p>
        </w:tc>
        <w:tc>
          <w:tcPr>
            <w:tcW w:w="800" w:type="dxa"/>
            <w:vAlign w:val="bottom"/>
          </w:tcPr>
          <w:p>
            <w:pPr>
              <w:jc w:val="right"/>
              <w:ind w:right="66"/>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2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2"/>
          </w:tcPr>
          <w:p>
            <w:pPr>
              <w:jc w:val="right"/>
              <w:ind w:right="246"/>
              <w:spacing w:after="0"/>
              <w:rPr>
                <w:sz w:val="20"/>
                <w:szCs w:val="20"/>
                <w:color w:val="auto"/>
              </w:rPr>
            </w:pPr>
            <w:r>
              <w:rPr>
                <w:rFonts w:ascii="Arial" w:cs="Arial" w:eastAsia="Arial" w:hAnsi="Arial"/>
                <w:sz w:val="8"/>
                <w:szCs w:val="8"/>
                <w:color w:val="auto"/>
              </w:rPr>
              <w:t>(dollars in thousands, except per share data)</w:t>
            </w:r>
          </w:p>
        </w:tc>
        <w:tc>
          <w:tcPr>
            <w:tcW w:w="80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auto"/>
              </w:rPr>
              <w:t>First Quarter -</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spacing w:after="0"/>
              <w:rPr>
                <w:sz w:val="11"/>
                <w:szCs w:val="11"/>
                <w:color w:val="auto"/>
              </w:rPr>
            </w:pP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spacing w:after="0"/>
              <w:rPr>
                <w:sz w:val="11"/>
                <w:szCs w:val="11"/>
                <w:color w:val="auto"/>
              </w:rPr>
            </w:pP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Revenue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426,989</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355,365</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Gross Profit</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102,297</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78,094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Earnings from Continuing Operations Before Income Taxes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129,927</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57,564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 from Continuing Operations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97,091</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43,333</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96,206</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41,304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 from Continuing Operations</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2.34</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0.98</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2.31</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0.94</w:t>
            </w:r>
          </w:p>
        </w:tc>
      </w:tr>
      <w:tr>
        <w:trPr>
          <w:trHeight w:val="133"/>
        </w:trPr>
        <w:tc>
          <w:tcPr>
            <w:tcW w:w="774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auto"/>
              </w:rPr>
              <w:t>Second Quarter -</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spacing w:after="0"/>
              <w:rPr>
                <w:sz w:val="11"/>
                <w:szCs w:val="11"/>
                <w:color w:val="auto"/>
              </w:rPr>
            </w:pP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spacing w:after="0"/>
              <w:rPr>
                <w:sz w:val="11"/>
                <w:szCs w:val="11"/>
                <w:color w:val="auto"/>
              </w:rPr>
            </w:pP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Revenue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447,684</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400,569</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Gross Profit</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122,849</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109,020</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Earnings from Continuing Operations Before Income Taxes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109,671</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98,367</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 from Continuing Operations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89,871</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75,064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96,034</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71,793</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 from Continuing Operations</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2.16</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1.80</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2.31</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1.72</w:t>
            </w:r>
          </w:p>
        </w:tc>
      </w:tr>
      <w:tr>
        <w:trPr>
          <w:trHeight w:val="133"/>
        </w:trPr>
        <w:tc>
          <w:tcPr>
            <w:tcW w:w="774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auto"/>
              </w:rPr>
              <w:t>Third Quarter -</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spacing w:after="0"/>
              <w:rPr>
                <w:sz w:val="11"/>
                <w:szCs w:val="11"/>
                <w:color w:val="auto"/>
              </w:rPr>
            </w:pP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spacing w:after="0"/>
              <w:rPr>
                <w:sz w:val="11"/>
                <w:szCs w:val="11"/>
                <w:color w:val="auto"/>
              </w:rPr>
            </w:pP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Revenue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404,667</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342,904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Gross Profit</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113,379</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93,203</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Earnings from Continuing Operations Before Income Taxes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105,072</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56,157</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 from Continuing Operations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81,193</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43,474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81,193</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26"/>
              <w:spacing w:after="0"/>
              <w:rPr>
                <w:sz w:val="20"/>
                <w:szCs w:val="20"/>
                <w:color w:val="auto"/>
              </w:rPr>
            </w:pPr>
            <w:r>
              <w:rPr>
                <w:rFonts w:ascii="Arial" w:cs="Arial" w:eastAsia="Arial" w:hAnsi="Arial"/>
                <w:sz w:val="11"/>
                <w:szCs w:val="11"/>
                <w:color w:val="auto"/>
              </w:rPr>
              <w:t>(114,632)</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 from Continuing Operations</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1.94</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1.04</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1.94</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26"/>
              <w:spacing w:after="0"/>
              <w:rPr>
                <w:sz w:val="20"/>
                <w:szCs w:val="20"/>
                <w:color w:val="auto"/>
              </w:rPr>
            </w:pPr>
            <w:r>
              <w:rPr>
                <w:rFonts w:ascii="Arial" w:cs="Arial" w:eastAsia="Arial" w:hAnsi="Arial"/>
                <w:sz w:val="11"/>
                <w:szCs w:val="11"/>
                <w:color w:val="auto"/>
              </w:rPr>
              <w:t>(2.76)</w:t>
            </w:r>
          </w:p>
        </w:tc>
      </w:tr>
      <w:tr>
        <w:trPr>
          <w:trHeight w:val="133"/>
        </w:trPr>
        <w:tc>
          <w:tcPr>
            <w:tcW w:w="774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auto"/>
              </w:rPr>
              <w:t>Fourth Quarter -</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spacing w:after="0"/>
              <w:rPr>
                <w:sz w:val="11"/>
                <w:szCs w:val="11"/>
                <w:color w:val="auto"/>
              </w:rPr>
            </w:pP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spacing w:after="0"/>
              <w:rPr>
                <w:sz w:val="11"/>
                <w:szCs w:val="11"/>
                <w:color w:val="auto"/>
              </w:rPr>
            </w:pP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Revenue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343,302</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305,195</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Gross Profit</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69,830</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62,349</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Earnings from Continuing Operations Before Income Taxes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79,442</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43,607</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 from Continuing Operations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66,011</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69,320</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Net Earnings</w:t>
            </w:r>
          </w:p>
        </w:tc>
        <w:tc>
          <w:tcPr>
            <w:tcW w:w="520" w:type="dxa"/>
            <w:vAlign w:val="bottom"/>
            <w:tcBorders>
              <w:bottom w:val="single" w:sz="8" w:color="A3A3A3"/>
            </w:tcBorders>
          </w:tcPr>
          <w:p>
            <w:pPr>
              <w:spacing w:after="0"/>
              <w:rPr>
                <w:sz w:val="11"/>
                <w:szCs w:val="11"/>
                <w:color w:val="auto"/>
              </w:rPr>
            </w:pP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66,011</w:t>
            </w:r>
          </w:p>
        </w:tc>
        <w:tc>
          <w:tcPr>
            <w:tcW w:w="1040" w:type="dxa"/>
            <w:vAlign w:val="bottom"/>
            <w:tcBorders>
              <w:bottom w:val="single" w:sz="8" w:color="A3A3A3"/>
            </w:tcBorders>
          </w:tcPr>
          <w:p>
            <w:pPr>
              <w:spacing w:after="0"/>
              <w:rPr>
                <w:sz w:val="11"/>
                <w:szCs w:val="11"/>
                <w:color w:val="auto"/>
              </w:rPr>
            </w:pP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72,429</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 from Continuing Operations</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1.56</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1.67</w:t>
            </w:r>
          </w:p>
        </w:tc>
      </w:tr>
      <w:tr>
        <w:trPr>
          <w:trHeight w:val="133"/>
        </w:trPr>
        <w:tc>
          <w:tcPr>
            <w:tcW w:w="7740" w:type="dxa"/>
            <w:vAlign w:val="bottom"/>
            <w:tcBorders>
              <w:bottom w:val="single" w:sz="8" w:color="A3A3A3"/>
            </w:tcBorders>
          </w:tcPr>
          <w:p>
            <w:pPr>
              <w:ind w:left="160"/>
              <w:spacing w:after="0"/>
              <w:rPr>
                <w:sz w:val="20"/>
                <w:szCs w:val="20"/>
                <w:color w:val="auto"/>
              </w:rPr>
            </w:pPr>
            <w:r>
              <w:rPr>
                <w:rFonts w:ascii="Arial" w:cs="Arial" w:eastAsia="Arial" w:hAnsi="Arial"/>
                <w:sz w:val="11"/>
                <w:szCs w:val="11"/>
                <w:color w:val="004483"/>
              </w:rPr>
              <w:t>Diluted Earnings Per Share</w:t>
            </w:r>
          </w:p>
        </w:tc>
        <w:tc>
          <w:tcPr>
            <w:tcW w:w="520" w:type="dxa"/>
            <w:vAlign w:val="bottom"/>
            <w:tcBorders>
              <w:bottom w:val="single" w:sz="8" w:color="A3A3A3"/>
            </w:tcBorders>
          </w:tcPr>
          <w:p>
            <w:pPr>
              <w:jc w:val="right"/>
              <w:ind w:right="4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3A3A3"/>
            </w:tcBorders>
          </w:tcPr>
          <w:p>
            <w:pPr>
              <w:jc w:val="right"/>
              <w:ind w:right="107"/>
              <w:spacing w:after="0"/>
              <w:rPr>
                <w:sz w:val="20"/>
                <w:szCs w:val="20"/>
                <w:color w:val="auto"/>
              </w:rPr>
            </w:pPr>
            <w:r>
              <w:rPr>
                <w:rFonts w:ascii="Arial" w:cs="Arial" w:eastAsia="Arial" w:hAnsi="Arial"/>
                <w:sz w:val="11"/>
                <w:szCs w:val="11"/>
                <w:color w:val="auto"/>
              </w:rPr>
              <w:t>1.56</w:t>
            </w:r>
          </w:p>
        </w:tc>
        <w:tc>
          <w:tcPr>
            <w:tcW w:w="1040" w:type="dxa"/>
            <w:vAlign w:val="bottom"/>
            <w:tcBorders>
              <w:bottom w:val="single" w:sz="8" w:color="A3A3A3"/>
            </w:tcBorders>
          </w:tcPr>
          <w:p>
            <w:pPr>
              <w:jc w:val="right"/>
              <w:ind w:right="78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3A3A3"/>
            </w:tcBorders>
          </w:tcPr>
          <w:p>
            <w:pPr>
              <w:jc w:val="right"/>
              <w:ind w:right="66"/>
              <w:spacing w:after="0"/>
              <w:rPr>
                <w:sz w:val="20"/>
                <w:szCs w:val="20"/>
                <w:color w:val="auto"/>
              </w:rPr>
            </w:pPr>
            <w:r>
              <w:rPr>
                <w:rFonts w:ascii="Arial" w:cs="Arial" w:eastAsia="Arial" w:hAnsi="Arial"/>
                <w:sz w:val="11"/>
                <w:szCs w:val="11"/>
                <w:color w:val="auto"/>
              </w:rPr>
              <w:t>1.74</w:t>
            </w:r>
          </w:p>
        </w:tc>
      </w:tr>
    </w:tbl>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Operating Earnings for our Cement, Gypsum Wallboard, and Recycled Paperboard segments were adversely affected during the fourth quarter of fiscal 2021 by a severe winter storm in February 2021. This storm had a significant impact on Texas and the broader southern United States. Our cement facilities in Texas, Missouri, and Oklahoma were forced to curtail production and energy prices spiked during this time period. We estimate the storm’s impact was approximately $6.0 million in additional cement costs during the fiscal fourth quarter. Our paper mill, which is located in Oklahoma, was forced to curtail production during the week of the storm, and also experienced higher energy costs during the shutdown. Shipments of gypsum wallboard were significantly affected by the extreme winter conditions. We estimate that the storm affected fourth quarter Light Materials sector earnings by approximately $6.0 million. Although the operating earnings of our Light Materials sector were adversely affected by the storm, we were able to curtail some of our operations and release a portion of our natural gas commitments to third parties in a timely manner. The release of these commitments contributed to a significant increase in Other Non-Operating Income (Loss) in the fiscal fourth quarter.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sectPr>
      </w:pPr>
    </w:p>
    <w:bookmarkStart w:id="96" w:name="page97"/>
    <w:bookmarkEnd w:id="96"/>
    <w:p>
      <w:pPr>
        <w:ind w:right="60"/>
        <w:spacing w:after="0" w:line="277" w:lineRule="auto"/>
        <w:rPr>
          <w:sz w:val="20"/>
          <w:szCs w:val="20"/>
          <w:color w:val="auto"/>
        </w:rPr>
      </w:pPr>
      <w:r>
        <w:rPr>
          <w:rFonts w:ascii="Arial" w:cs="Arial" w:eastAsia="Arial" w:hAnsi="Arial"/>
          <w:sz w:val="12"/>
          <w:szCs w:val="12"/>
          <w:color w:val="auto"/>
        </w:rPr>
        <w:t>We are still engaged in discussions with contractual counterparties regarding the responsibility for certain charges and obligations arising as a result of the storm. It is therefore it is not possible at the present time to make a final determination as to the storms impact on the financial results of our cement facilities and Light Materials sector.</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The third quarter of fiscal 2020 included a pre-tax impairment loss of approximately $25.1 million related to assets included in our Oil and Gas Proppants segment. These assets were not included in the sale of the Oil and Gas Proppants business in September 2020. See Footnotes (A) and (C) for more information.</w:t>
      </w:r>
    </w:p>
    <w:p>
      <w:pPr>
        <w:spacing w:after="0" w:line="59" w:lineRule="exact"/>
        <w:rPr>
          <w:sz w:val="20"/>
          <w:szCs w:val="20"/>
          <w:color w:val="auto"/>
        </w:rPr>
      </w:pPr>
    </w:p>
    <w:p>
      <w:pPr>
        <w:jc w:val="both"/>
        <w:ind w:right="40"/>
        <w:spacing w:after="0" w:line="269" w:lineRule="auto"/>
        <w:rPr>
          <w:sz w:val="20"/>
          <w:szCs w:val="20"/>
          <w:color w:val="auto"/>
        </w:rPr>
      </w:pPr>
      <w:r>
        <w:rPr>
          <w:rFonts w:ascii="Arial" w:cs="Arial" w:eastAsia="Arial" w:hAnsi="Arial"/>
          <w:sz w:val="12"/>
          <w:szCs w:val="12"/>
          <w:color w:val="auto"/>
        </w:rPr>
        <w:t>The fourth quarter of fiscal 2020 included pre-tax costs related to business development and separation costs of approximately $6.5 million, outage and purchase accounting costs at Kosmos Cement Company of approximately $6.8 million, and plant expansion costs at our recycled paper mill of approximately $3.0 million. The outage and purchase accounting costs and expansion costs are included in Cost of Goods Sold, while the business development and separation costs are included in Corporate, General, and Administrative Expense on our Consolidated Statement of Earnings. The Company also recorded a $31.7 million net income tax benefit related to the CARES Act during the fourth quarter. See Footnote (J) for more information about the CARES Act.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382" w:right="35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Eagle Materials Inc. and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01"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We have audited the accompanying consolidated balance sheets of Eagle Materials Inc. and Subsidiaries (the Company) as of March 31, 2021 and 2020, the related consolidated statements of earnings, comprehensive earnings, stockholders’ equity and cash flows for each of the three years in the period ended March 31, 2021, and the related notes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three years in the period ended March 31, 2021, in conformity with U.S. generally accepted accounting principles.</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March 31, 2021, based on criteria established in Internal Control-Integrated Framework issued by the Committee of Sponsoring Organizations of the Treadway Commission (2013 framework), and our report dated May 21, 2021 expressed an unqualified opinion thereon.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55" w:right="339"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color w:val="auto"/>
        </w:rPr>
        <w:t>Materials-in-Progress inventory existence</w:t>
      </w:r>
    </w:p>
    <w:p>
      <w:pPr>
        <w:sectPr>
          <w:pgSz w:w="11900" w:h="16838" w:orient="portrait"/>
          <w:cols w:equalWidth="0" w:num="1">
            <w:col w:w="11220"/>
          </w:cols>
          <w:pgMar w:left="300" w:top="360" w:right="37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As described in Note A, the Company’s raw materials and materials-in-progress inventory balance was $93 million at March 31, 2021. Materials-in-progress inventory is comprised of clinker, which is an intermediary product before it is ground into cement powder. Due to the nature of the materials-in-progress inventory, the Company utilizes technology to measure the volume of the inventory stockpiles and applies density factors to convert the measurements to tons of inventory.</w:t>
      </w:r>
    </w:p>
    <w:p>
      <w:pPr>
        <w:spacing w:after="0" w:line="51" w:lineRule="exact"/>
        <w:rPr>
          <w:sz w:val="20"/>
          <w:szCs w:val="20"/>
          <w:color w:val="auto"/>
        </w:rPr>
      </w:pPr>
    </w:p>
    <w:p>
      <w:pPr>
        <w:sectPr>
          <w:pgSz w:w="11900" w:h="16838" w:orient="portrait"/>
          <w:cols w:equalWidth="0" w:num="2">
            <w:col w:w="1400" w:space="720"/>
            <w:col w:w="9100"/>
          </w:cols>
          <w:pgMar w:left="300" w:top="360" w:right="379" w:bottom="1440" w:gutter="0" w:footer="0" w:header="0"/>
          <w:type w:val="continuous"/>
        </w:sectPr>
      </w:pPr>
    </w:p>
    <w:p>
      <w:pPr>
        <w:ind w:left="2120" w:right="380"/>
        <w:spacing w:after="0" w:line="249" w:lineRule="auto"/>
        <w:rPr>
          <w:sz w:val="20"/>
          <w:szCs w:val="20"/>
          <w:color w:val="auto"/>
        </w:rPr>
      </w:pPr>
      <w:r>
        <w:rPr>
          <w:rFonts w:ascii="Arial" w:cs="Arial" w:eastAsia="Arial" w:hAnsi="Arial"/>
          <w:sz w:val="13"/>
          <w:szCs w:val="13"/>
          <w:color w:val="auto"/>
        </w:rPr>
        <w:t>Auditing management’s process for measuring materials-in-progress inventory was complex as auditor judgement was necessary to evaluate the Company’s process for measuring the inventory, given the technology utilized, and converting the measurements to tonnage.</w:t>
      </w:r>
    </w:p>
    <w:p>
      <w:pPr>
        <w:sectPr>
          <w:pgSz w:w="11900" w:h="16838" w:orient="portrait"/>
          <w:cols w:equalWidth="0" w:num="1">
            <w:col w:w="11220"/>
          </w:cols>
          <w:pgMar w:left="300" w:top="360" w:right="379" w:bottom="1440" w:gutter="0" w:footer="0" w:header="0"/>
          <w:type w:val="continuous"/>
        </w:sectPr>
      </w:pP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obtained an understanding, evaluated the design and tested the operating effectiveness of controls over the Company’s process of determining the existence of materials-in-progress inventory.</w:t>
      </w:r>
    </w:p>
    <w:p>
      <w:pPr>
        <w:spacing w:after="0" w:line="67" w:lineRule="exact"/>
        <w:rPr>
          <w:sz w:val="20"/>
          <w:szCs w:val="20"/>
          <w:color w:val="auto"/>
        </w:rPr>
      </w:pPr>
    </w:p>
    <w:p>
      <w:pPr>
        <w:sectPr>
          <w:pgSz w:w="11900" w:h="16838" w:orient="portrait"/>
          <w:cols w:equalWidth="0" w:num="2">
            <w:col w:w="1840" w:space="280"/>
            <w:col w:w="9100"/>
          </w:cols>
          <w:pgMar w:left="300" w:top="360" w:right="379" w:bottom="1440" w:gutter="0" w:footer="0" w:header="0"/>
          <w:type w:val="continuous"/>
        </w:sectPr>
      </w:pPr>
    </w:p>
    <w:p>
      <w:pPr>
        <w:ind w:left="2120"/>
        <w:spacing w:after="0" w:line="246" w:lineRule="auto"/>
        <w:rPr>
          <w:sz w:val="20"/>
          <w:szCs w:val="20"/>
          <w:color w:val="auto"/>
        </w:rPr>
      </w:pPr>
      <w:r>
        <w:rPr>
          <w:rFonts w:ascii="Arial" w:cs="Arial" w:eastAsia="Arial" w:hAnsi="Arial"/>
          <w:sz w:val="13"/>
          <w:szCs w:val="13"/>
          <w:color w:val="auto"/>
        </w:rPr>
        <w:t>To test the existence of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ectPr>
          <w:pgSz w:w="11900" w:h="16838" w:orient="portrait"/>
          <w:cols w:equalWidth="0" w:num="1">
            <w:col w:w="11220"/>
          </w:cols>
          <w:pgMar w:left="300" w:top="360" w:right="37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2002.</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Dallas, Texas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360" w:right="37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3"/>
          <w:szCs w:val="13"/>
          <w:b w:val="1"/>
          <w:bCs w:val="1"/>
          <w:color w:val="auto"/>
        </w:rPr>
        <w:t>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Texas Lehigh Cement Company LP</w:t>
      </w:r>
    </w:p>
    <w:p>
      <w:pPr>
        <w:ind w:right="4939"/>
        <w:spacing w:after="0" w:line="246" w:lineRule="auto"/>
        <w:rPr>
          <w:sz w:val="20"/>
          <w:szCs w:val="20"/>
          <w:color w:val="auto"/>
        </w:rPr>
      </w:pPr>
      <w:r>
        <w:rPr>
          <w:rFonts w:ascii="Arial" w:cs="Arial" w:eastAsia="Arial" w:hAnsi="Arial"/>
          <w:sz w:val="12"/>
          <w:szCs w:val="12"/>
          <w:color w:val="auto"/>
        </w:rPr>
        <w:t>As of December 31, 2020 and 2019, and for the Years Ended December 31, 2020, 2019, and 2018 With Report of Independent Auditors</w:t>
      </w:r>
    </w:p>
    <w:p>
      <w:pPr>
        <w:spacing w:after="0" w:line="200" w:lineRule="exact"/>
        <w:rPr>
          <w:sz w:val="20"/>
          <w:szCs w:val="20"/>
          <w:color w:val="auto"/>
        </w:rPr>
      </w:pPr>
    </w:p>
    <w:p>
      <w:pPr>
        <w:spacing w:after="0" w:line="201"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417" w:right="1440"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color w:val="auto"/>
        </w:rPr>
        <w:t>TEXAS LEHIGH CEMENT COMPANY LP STATEMENTS OF EARNINGS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8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480" w:type="dxa"/>
            <w:vAlign w:val="bottom"/>
            <w:gridSpan w:val="3"/>
            <w:shd w:val="clear" w:color="auto" w:fill="004483"/>
          </w:tcPr>
          <w:p>
            <w:pPr>
              <w:jc w:val="center"/>
              <w:ind w:right="400"/>
              <w:spacing w:after="0"/>
              <w:rPr>
                <w:sz w:val="20"/>
                <w:szCs w:val="20"/>
                <w:color w:val="auto"/>
              </w:rPr>
            </w:pPr>
            <w:r>
              <w:rPr>
                <w:rFonts w:ascii="Arial" w:cs="Arial" w:eastAsia="Arial" w:hAnsi="Arial"/>
                <w:sz w:val="8"/>
                <w:szCs w:val="8"/>
                <w:b w:val="1"/>
                <w:bCs w:val="1"/>
                <w:color w:val="FFFFFF"/>
                <w:w w:val="93"/>
              </w:rPr>
              <w:t>Year Ended December 31,</w:t>
            </w:r>
          </w:p>
        </w:tc>
        <w:tc>
          <w:tcPr>
            <w:tcW w:w="500" w:type="dxa"/>
            <w:vAlign w:val="bottom"/>
            <w:shd w:val="clear" w:color="auto" w:fill="004483"/>
          </w:tcPr>
          <w:p>
            <w:pPr>
              <w:spacing w:after="0"/>
              <w:rPr>
                <w:sz w:val="13"/>
                <w:szCs w:val="13"/>
                <w:color w:val="auto"/>
              </w:rPr>
            </w:pPr>
          </w:p>
        </w:tc>
        <w:tc>
          <w:tcPr>
            <w:tcW w:w="8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Arial" w:cs="Arial" w:eastAsia="Arial" w:hAnsi="Arial"/>
                <w:sz w:val="8"/>
                <w:szCs w:val="8"/>
                <w:b w:val="1"/>
                <w:bCs w:val="1"/>
                <w:color w:val="auto"/>
              </w:rPr>
              <w:t>2018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480" w:type="dxa"/>
            <w:vAlign w:val="bottom"/>
            <w:tcBorders>
              <w:bottom w:val="single" w:sz="8" w:color="004483"/>
            </w:tcBorders>
            <w:gridSpan w:val="3"/>
          </w:tcPr>
          <w:p>
            <w:pPr>
              <w:jc w:val="center"/>
              <w:ind w:right="400"/>
              <w:spacing w:after="0"/>
              <w:rPr>
                <w:sz w:val="20"/>
                <w:szCs w:val="20"/>
                <w:color w:val="auto"/>
              </w:rPr>
            </w:pPr>
            <w:r>
              <w:rPr>
                <w:rFonts w:ascii="Arial" w:cs="Arial" w:eastAsia="Arial" w:hAnsi="Arial"/>
                <w:sz w:val="8"/>
                <w:szCs w:val="8"/>
                <w:color w:val="auto"/>
                <w:w w:val="94"/>
              </w:rPr>
              <w:t>(dollars in thousands)</w:t>
            </w:r>
          </w:p>
        </w:tc>
        <w:tc>
          <w:tcPr>
            <w:tcW w:w="50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Net sales</w:t>
            </w: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211,021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jc w:val="right"/>
              <w:ind w:right="53"/>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222,830</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ind w:right="3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205,565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Cost of goods sold</w:t>
            </w:r>
          </w:p>
        </w:tc>
        <w:tc>
          <w:tcPr>
            <w:tcW w:w="50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127,691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004483"/>
            </w:tcBorders>
          </w:tcPr>
          <w:p>
            <w:pPr>
              <w:spacing w:after="0"/>
              <w:rPr>
                <w:sz w:val="11"/>
                <w:szCs w:val="11"/>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132,951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121,394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Gross margin</w:t>
            </w: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83,330</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89,879</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84,171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Selling, general and administrative expenses</w:t>
            </w:r>
          </w:p>
        </w:tc>
        <w:tc>
          <w:tcPr>
            <w:tcW w:w="50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5,435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004483"/>
            </w:tcBorders>
          </w:tcPr>
          <w:p>
            <w:pPr>
              <w:spacing w:after="0"/>
              <w:rPr>
                <w:sz w:val="11"/>
                <w:szCs w:val="11"/>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5,048</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004483"/>
            </w:tcBorders>
          </w:tcPr>
          <w:p>
            <w:pPr>
              <w:spacing w:after="0"/>
              <w:rPr>
                <w:sz w:val="11"/>
                <w:szCs w:val="11"/>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5,814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Operating income</w:t>
            </w: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77,895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84,831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78,357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Other income</w:t>
            </w: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1,699</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Equity in earnings of joint venture</w:t>
            </w: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60" w:type="dxa"/>
            <w:vAlign w:val="bottom"/>
          </w:tcPr>
          <w:p>
            <w:pPr>
              <w:ind w:left="160"/>
              <w:spacing w:after="0"/>
              <w:rPr>
                <w:sz w:val="20"/>
                <w:szCs w:val="20"/>
                <w:color w:val="auto"/>
              </w:rPr>
            </w:pPr>
            <w:r>
              <w:rPr>
                <w:rFonts w:ascii="Arial" w:cs="Arial" w:eastAsia="Arial" w:hAnsi="Arial"/>
                <w:sz w:val="11"/>
                <w:szCs w:val="11"/>
                <w:color w:val="auto"/>
              </w:rPr>
              <w:t>Interest expense</w:t>
            </w:r>
          </w:p>
        </w:tc>
        <w:tc>
          <w:tcPr>
            <w:tcW w:w="5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160"/>
              <w:spacing w:after="0"/>
              <w:rPr>
                <w:sz w:val="20"/>
                <w:szCs w:val="20"/>
                <w:color w:val="auto"/>
              </w:rPr>
            </w:pPr>
            <w:r>
              <w:rPr>
                <w:rFonts w:ascii="Arial" w:cs="Arial" w:eastAsia="Arial" w:hAnsi="Arial"/>
                <w:sz w:val="11"/>
                <w:szCs w:val="11"/>
                <w:color w:val="auto"/>
              </w:rPr>
              <w:t>Texas margin tax</w:t>
            </w:r>
          </w:p>
        </w:tc>
        <w:tc>
          <w:tcPr>
            <w:tcW w:w="50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(717)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1"/>
                <w:szCs w:val="11"/>
                <w:color w:val="auto"/>
              </w:rPr>
              <w:t>(744)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(632)</w:t>
            </w:r>
          </w:p>
        </w:tc>
        <w:tc>
          <w:tcPr>
            <w:tcW w:w="0" w:type="dxa"/>
            <w:vAlign w:val="bottom"/>
          </w:tcPr>
          <w:p>
            <w:pPr>
              <w:spacing w:after="0"/>
              <w:rPr>
                <w:sz w:val="1"/>
                <w:szCs w:val="1"/>
                <w:color w:val="auto"/>
              </w:rPr>
            </w:pPr>
          </w:p>
        </w:tc>
      </w:tr>
      <w:tr>
        <w:trPr>
          <w:trHeight w:val="142"/>
        </w:trPr>
        <w:tc>
          <w:tcPr>
            <w:tcW w:w="666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auto"/>
              </w:rPr>
              <w:t>Net income</w:t>
            </w:r>
          </w:p>
        </w:tc>
        <w:tc>
          <w:tcPr>
            <w:tcW w:w="500" w:type="dxa"/>
            <w:vAlign w:val="bottom"/>
            <w:tcBorders>
              <w:top w:val="single" w:sz="8" w:color="004483"/>
              <w:bottom w:val="single" w:sz="8" w:color="004483"/>
            </w:tcBorders>
          </w:tcPr>
          <w:p>
            <w:pPr>
              <w:jc w:val="right"/>
              <w:ind w:right="3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78,856</w:t>
            </w:r>
          </w:p>
        </w:tc>
        <w:tc>
          <w:tcPr>
            <w:tcW w:w="120" w:type="dxa"/>
            <w:vAlign w:val="bottom"/>
          </w:tcPr>
          <w:p>
            <w:pPr>
              <w:spacing w:after="0"/>
              <w:rPr>
                <w:sz w:val="12"/>
                <w:szCs w:val="12"/>
                <w:color w:val="auto"/>
              </w:rPr>
            </w:pPr>
          </w:p>
        </w:tc>
        <w:tc>
          <w:tcPr>
            <w:tcW w:w="160" w:type="dxa"/>
            <w:vAlign w:val="bottom"/>
            <w:tcBorders>
              <w:top w:val="single" w:sz="8" w:color="A6A6A6"/>
              <w:bottom w:val="single" w:sz="8" w:color="A6A6A6"/>
            </w:tcBorders>
          </w:tcPr>
          <w:p>
            <w:pPr>
              <w:spacing w:after="0"/>
              <w:rPr>
                <w:sz w:val="12"/>
                <w:szCs w:val="12"/>
                <w:color w:val="auto"/>
              </w:rPr>
            </w:pPr>
          </w:p>
        </w:tc>
        <w:tc>
          <w:tcPr>
            <w:tcW w:w="120" w:type="dxa"/>
            <w:vAlign w:val="bottom"/>
            <w:tcBorders>
              <w:top w:val="single" w:sz="8" w:color="004483"/>
              <w:bottom w:val="single" w:sz="8" w:color="004483"/>
            </w:tcBorders>
          </w:tcPr>
          <w:p>
            <w:pPr>
              <w:jc w:val="right"/>
              <w:ind w:right="53"/>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84,248</w:t>
            </w:r>
          </w:p>
        </w:tc>
        <w:tc>
          <w:tcPr>
            <w:tcW w:w="120" w:type="dxa"/>
            <w:vAlign w:val="bottom"/>
          </w:tcPr>
          <w:p>
            <w:pPr>
              <w:spacing w:after="0"/>
              <w:rPr>
                <w:sz w:val="12"/>
                <w:szCs w:val="12"/>
                <w:color w:val="auto"/>
              </w:rPr>
            </w:pPr>
          </w:p>
        </w:tc>
        <w:tc>
          <w:tcPr>
            <w:tcW w:w="160" w:type="dxa"/>
            <w:vAlign w:val="bottom"/>
            <w:tcBorders>
              <w:top w:val="single" w:sz="8" w:color="A6A6A6"/>
              <w:bottom w:val="single" w:sz="8" w:color="A6A6A6"/>
            </w:tcBorders>
          </w:tcPr>
          <w:p>
            <w:pPr>
              <w:spacing w:after="0"/>
              <w:rPr>
                <w:sz w:val="12"/>
                <w:szCs w:val="12"/>
                <w:color w:val="auto"/>
              </w:rPr>
            </w:pPr>
          </w:p>
        </w:tc>
        <w:tc>
          <w:tcPr>
            <w:tcW w:w="500" w:type="dxa"/>
            <w:vAlign w:val="bottom"/>
            <w:tcBorders>
              <w:top w:val="single" w:sz="8" w:color="004483"/>
              <w:bottom w:val="single" w:sz="8" w:color="004483"/>
            </w:tcBorders>
          </w:tcPr>
          <w:p>
            <w:pPr>
              <w:jc w:val="right"/>
              <w:ind w:right="3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78,292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t>TEXAS LEHIGH CEMENT COMPANY LP STATEMENTS OF COMPREHENSIVE EARNINGS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480" w:type="dxa"/>
            <w:vAlign w:val="bottom"/>
            <w:gridSpan w:val="3"/>
            <w:shd w:val="clear" w:color="auto" w:fill="004483"/>
          </w:tcPr>
          <w:p>
            <w:pPr>
              <w:jc w:val="center"/>
              <w:ind w:right="400"/>
              <w:spacing w:after="0"/>
              <w:rPr>
                <w:sz w:val="20"/>
                <w:szCs w:val="20"/>
                <w:color w:val="auto"/>
              </w:rPr>
            </w:pPr>
            <w:r>
              <w:rPr>
                <w:rFonts w:ascii="Arial" w:cs="Arial" w:eastAsia="Arial" w:hAnsi="Arial"/>
                <w:sz w:val="8"/>
                <w:szCs w:val="8"/>
                <w:b w:val="1"/>
                <w:bCs w:val="1"/>
                <w:color w:val="FFFFFF"/>
                <w:w w:val="94"/>
              </w:rPr>
              <w:t>Year ended December 31,</w:t>
            </w:r>
          </w:p>
        </w:tc>
        <w:tc>
          <w:tcPr>
            <w:tcW w:w="540" w:type="dxa"/>
            <w:vAlign w:val="bottom"/>
            <w:shd w:val="clear" w:color="auto" w:fill="004483"/>
          </w:tcPr>
          <w:p>
            <w:pPr>
              <w:spacing w:after="0"/>
              <w:rPr>
                <w:sz w:val="13"/>
                <w:szCs w:val="13"/>
                <w:color w:val="auto"/>
              </w:rPr>
            </w:pP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2018</w:t>
            </w:r>
          </w:p>
        </w:tc>
        <w:tc>
          <w:tcPr>
            <w:tcW w:w="120" w:type="dxa"/>
            <w:vAlign w:val="bottom"/>
          </w:tcPr>
          <w:p>
            <w:pPr>
              <w:spacing w:after="0"/>
              <w:rPr>
                <w:sz w:val="8"/>
                <w:szCs w:val="8"/>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480" w:type="dxa"/>
            <w:vAlign w:val="bottom"/>
            <w:tcBorders>
              <w:bottom w:val="single" w:sz="8" w:color="004483"/>
            </w:tcBorders>
            <w:gridSpan w:val="3"/>
          </w:tcPr>
          <w:p>
            <w:pPr>
              <w:jc w:val="center"/>
              <w:ind w:right="400"/>
              <w:spacing w:after="0"/>
              <w:rPr>
                <w:sz w:val="20"/>
                <w:szCs w:val="20"/>
                <w:color w:val="auto"/>
              </w:rPr>
            </w:pPr>
            <w:r>
              <w:rPr>
                <w:rFonts w:ascii="Arial" w:cs="Arial" w:eastAsia="Arial" w:hAnsi="Arial"/>
                <w:sz w:val="8"/>
                <w:szCs w:val="8"/>
                <w:color w:val="auto"/>
                <w:w w:val="94"/>
              </w:rPr>
              <w:t>(dollars in thousands)</w:t>
            </w:r>
          </w:p>
        </w:tc>
        <w:tc>
          <w:tcPr>
            <w:tcW w:w="5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Income</w:t>
            </w: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78,856</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jc w:val="right"/>
              <w:ind w:right="53"/>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84,248</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ind w:right="43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78,292</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actuarial gains (losses) of defined benefit plans:</w:t>
            </w: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Unrealized (loss) gain during the period</w:t>
            </w:r>
          </w:p>
        </w:tc>
        <w:tc>
          <w:tcPr>
            <w:tcW w:w="54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(532)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1"/>
                <w:szCs w:val="11"/>
                <w:color w:val="auto"/>
              </w:rPr>
              <w:t>(1,052)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749</w:t>
            </w:r>
          </w:p>
        </w:tc>
        <w:tc>
          <w:tcPr>
            <w:tcW w:w="120" w:type="dxa"/>
            <w:vAlign w:val="bottom"/>
          </w:tcPr>
          <w:p>
            <w:pPr>
              <w:spacing w:after="0"/>
              <w:rPr>
                <w:sz w:val="11"/>
                <w:szCs w:val="11"/>
                <w:color w:val="auto"/>
              </w:rPr>
            </w:pPr>
          </w:p>
        </w:tc>
      </w:tr>
      <w:tr>
        <w:trPr>
          <w:trHeight w:val="133"/>
        </w:trPr>
        <w:tc>
          <w:tcPr>
            <w:tcW w:w="666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Amortization of net actuarial loss</w:t>
            </w:r>
          </w:p>
        </w:tc>
        <w:tc>
          <w:tcPr>
            <w:tcW w:w="54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004483"/>
            </w:tcBorders>
          </w:tcPr>
          <w:p>
            <w:pPr>
              <w:spacing w:after="0"/>
              <w:rPr>
                <w:sz w:val="11"/>
                <w:szCs w:val="11"/>
                <w:color w:val="auto"/>
              </w:rPr>
            </w:pPr>
          </w:p>
        </w:tc>
        <w:tc>
          <w:tcPr>
            <w:tcW w:w="12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11"/>
                <w:szCs w:val="11"/>
                <w:color w:val="auto"/>
              </w:rPr>
            </w:pPr>
          </w:p>
        </w:tc>
      </w:tr>
      <w:tr>
        <w:trPr>
          <w:trHeight w:val="142"/>
        </w:trPr>
        <w:tc>
          <w:tcPr>
            <w:tcW w:w="666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78,620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004483"/>
            </w:tcBorders>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83,408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79,372</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b w:val="1"/>
          <w:bCs w:val="1"/>
          <w:color w:val="auto"/>
        </w:rPr>
        <w:t>TEXAS LEHIGH CEMENT COMPANY LP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1960" w:type="dxa"/>
            <w:vAlign w:val="bottom"/>
            <w:gridSpan w:val="4"/>
            <w:shd w:val="clear" w:color="auto" w:fill="004483"/>
          </w:tcPr>
          <w:p>
            <w:pPr>
              <w:jc w:val="right"/>
              <w:ind w:right="593"/>
              <w:spacing w:after="0"/>
              <w:rPr>
                <w:sz w:val="20"/>
                <w:szCs w:val="20"/>
                <w:color w:val="auto"/>
              </w:rPr>
            </w:pPr>
            <w:r>
              <w:rPr>
                <w:rFonts w:ascii="Arial" w:cs="Arial" w:eastAsia="Arial" w:hAnsi="Arial"/>
                <w:sz w:val="8"/>
                <w:szCs w:val="8"/>
                <w:b w:val="1"/>
                <w:bCs w:val="1"/>
                <w:color w:val="FFFFFF"/>
              </w:rPr>
              <w:t>December 31,</w:t>
            </w:r>
          </w:p>
        </w:tc>
        <w:tc>
          <w:tcPr>
            <w:tcW w:w="8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560" w:type="dxa"/>
            <w:vAlign w:val="bottom"/>
            <w:tcBorders>
              <w:bottom w:val="single" w:sz="8" w:color="004483"/>
            </w:tcBorders>
          </w:tcPr>
          <w:p>
            <w:pPr>
              <w:spacing w:after="0"/>
              <w:rPr>
                <w:sz w:val="8"/>
                <w:szCs w:val="8"/>
                <w:color w:val="auto"/>
              </w:rPr>
            </w:pPr>
          </w:p>
        </w:tc>
        <w:tc>
          <w:tcPr>
            <w:tcW w:w="180" w:type="dxa"/>
            <w:vAlign w:val="bottom"/>
            <w:tcBorders>
              <w:bottom w:val="single" w:sz="8" w:color="004483"/>
            </w:tcBorders>
          </w:tcPr>
          <w:p>
            <w:pPr>
              <w:spacing w:after="0"/>
              <w:rPr>
                <w:sz w:val="8"/>
                <w:szCs w:val="8"/>
                <w:color w:val="auto"/>
              </w:rPr>
            </w:pPr>
          </w:p>
        </w:tc>
        <w:tc>
          <w:tcPr>
            <w:tcW w:w="620" w:type="dxa"/>
            <w:vAlign w:val="bottom"/>
            <w:tcBorders>
              <w:bottom w:val="single" w:sz="8" w:color="004483"/>
            </w:tcBorders>
          </w:tcPr>
          <w:p>
            <w:pPr>
              <w:spacing w:after="0"/>
              <w:rPr>
                <w:sz w:val="8"/>
                <w:szCs w:val="8"/>
                <w:color w:val="auto"/>
              </w:rPr>
            </w:pPr>
          </w:p>
        </w:tc>
        <w:tc>
          <w:tcPr>
            <w:tcW w:w="196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ASSETS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Current Assets: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Cash and Cash Equivalents</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5,631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5,737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Receivable, net of allowance for doubtful accounts and discounts of $657 and $382</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26,394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33,337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Inventories: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Cement</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4,015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4,562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Raw materials and materials-in-process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14,300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14,372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Repair parts and supplies</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17,051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21,028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Total inventories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35,366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39,962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Prepaid assets</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1,069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1,083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Total current assets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68,460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80,119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Property, Plant, and Equipment:</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Land, including quarry</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29,874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25,586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Cement plant</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138,288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133,741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Mobile equipment and other</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7,520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7,632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Furniture and fixtures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933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933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Construction-in-progress</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28,197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16,102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Total property, plant and equipment</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204,812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183,994</w:t>
            </w:r>
          </w:p>
        </w:tc>
        <w:tc>
          <w:tcPr>
            <w:tcW w:w="120" w:type="dxa"/>
            <w:vAlign w:val="bottom"/>
          </w:tcPr>
          <w:p>
            <w:pPr>
              <w:spacing w:after="0"/>
              <w:rPr>
                <w:sz w:val="11"/>
                <w:szCs w:val="11"/>
                <w:color w:val="auto"/>
              </w:rPr>
            </w:pPr>
          </w:p>
        </w:tc>
      </w:tr>
      <w:tr>
        <w:trPr>
          <w:trHeight w:val="133"/>
        </w:trPr>
        <w:tc>
          <w:tcPr>
            <w:tcW w:w="7740" w:type="dxa"/>
            <w:vAlign w:val="bottom"/>
            <w:gridSpan w:val="2"/>
          </w:tcPr>
          <w:p>
            <w:pPr>
              <w:ind w:left="160"/>
              <w:spacing w:after="0"/>
              <w:rPr>
                <w:sz w:val="20"/>
                <w:szCs w:val="20"/>
                <w:color w:val="auto"/>
              </w:rPr>
            </w:pPr>
            <w:r>
              <w:rPr>
                <w:rFonts w:ascii="Arial" w:cs="Arial" w:eastAsia="Arial" w:hAnsi="Arial"/>
                <w:sz w:val="11"/>
                <w:szCs w:val="11"/>
                <w:color w:val="auto"/>
              </w:rPr>
              <w:t>Less accumulated depreciation and depletion</w:t>
            </w:r>
          </w:p>
        </w:tc>
        <w:tc>
          <w:tcPr>
            <w:tcW w:w="62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(122,200)</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(120,243)</w:t>
            </w:r>
          </w:p>
        </w:tc>
      </w:tr>
      <w:tr>
        <w:trPr>
          <w:trHeight w:val="133"/>
        </w:trPr>
        <w:tc>
          <w:tcPr>
            <w:tcW w:w="774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color w:val="auto"/>
              </w:rPr>
              <w:t>Property, plant and equipment, net</w:t>
            </w:r>
          </w:p>
        </w:tc>
        <w:tc>
          <w:tcPr>
            <w:tcW w:w="620" w:type="dxa"/>
            <w:vAlign w:val="bottom"/>
            <w:tcBorders>
              <w:top w:val="single" w:sz="8" w:color="004483"/>
              <w:bottom w:val="single" w:sz="8" w:color="A6A6A6"/>
            </w:tcBorders>
          </w:tcPr>
          <w:p>
            <w:pPr>
              <w:spacing w:after="0"/>
              <w:rPr>
                <w:sz w:val="11"/>
                <w:szCs w:val="11"/>
                <w:color w:val="auto"/>
              </w:rPr>
            </w:pPr>
          </w:p>
        </w:tc>
        <w:tc>
          <w:tcPr>
            <w:tcW w:w="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82,612</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8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63,751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Operating lease right-of-use assets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6,557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6,428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Investment in joint venture</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18,031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18,052</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Total assets</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175,660</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168,350</w:t>
            </w:r>
          </w:p>
        </w:tc>
        <w:tc>
          <w:tcPr>
            <w:tcW w:w="120" w:type="dxa"/>
            <w:vAlign w:val="bottom"/>
          </w:tcPr>
          <w:p>
            <w:pPr>
              <w:spacing w:after="0"/>
              <w:rPr>
                <w:sz w:val="13"/>
                <w:szCs w:val="13"/>
                <w:color w:val="auto"/>
              </w:rPr>
            </w:pPr>
          </w:p>
        </w:tc>
      </w:tr>
      <w:tr>
        <w:trPr>
          <w:trHeight w:val="275"/>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LIABILITIES AND PARTNERS’ CAPITAL</w:t>
            </w:r>
          </w:p>
        </w:tc>
        <w:tc>
          <w:tcPr>
            <w:tcW w:w="620" w:type="dxa"/>
            <w:vAlign w:val="bottom"/>
            <w:tcBorders>
              <w:bottom w:val="single" w:sz="8" w:color="A6A6A6"/>
            </w:tcBorders>
          </w:tcPr>
          <w:p>
            <w:pPr>
              <w:spacing w:after="0"/>
              <w:rPr>
                <w:sz w:val="23"/>
                <w:szCs w:val="23"/>
                <w:color w:val="auto"/>
              </w:rPr>
            </w:pPr>
          </w:p>
        </w:tc>
        <w:tc>
          <w:tcPr>
            <w:tcW w:w="960" w:type="dxa"/>
            <w:vAlign w:val="bottom"/>
            <w:tcBorders>
              <w:bottom w:val="single" w:sz="8" w:color="A6A6A6"/>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6A6A6"/>
            </w:tcBorders>
          </w:tcPr>
          <w:p>
            <w:pPr>
              <w:spacing w:after="0"/>
              <w:rPr>
                <w:sz w:val="23"/>
                <w:szCs w:val="23"/>
                <w:color w:val="auto"/>
              </w:rPr>
            </w:pPr>
          </w:p>
        </w:tc>
        <w:tc>
          <w:tcPr>
            <w:tcW w:w="700" w:type="dxa"/>
            <w:vAlign w:val="bottom"/>
            <w:tcBorders>
              <w:bottom w:val="single" w:sz="8" w:color="A6A6A6"/>
            </w:tcBorders>
          </w:tcPr>
          <w:p>
            <w:pPr>
              <w:spacing w:after="0"/>
              <w:rPr>
                <w:sz w:val="23"/>
                <w:szCs w:val="23"/>
                <w:color w:val="auto"/>
              </w:rPr>
            </w:pPr>
          </w:p>
        </w:tc>
        <w:tc>
          <w:tcPr>
            <w:tcW w:w="860" w:type="dxa"/>
            <w:vAlign w:val="bottom"/>
            <w:tcBorders>
              <w:bottom w:val="single" w:sz="8" w:color="A6A6A6"/>
            </w:tcBorders>
          </w:tcPr>
          <w:p>
            <w:pPr>
              <w:spacing w:after="0"/>
              <w:rPr>
                <w:sz w:val="23"/>
                <w:szCs w:val="23"/>
                <w:color w:val="auto"/>
              </w:rPr>
            </w:pPr>
          </w:p>
        </w:tc>
        <w:tc>
          <w:tcPr>
            <w:tcW w:w="120" w:type="dxa"/>
            <w:vAlign w:val="bottom"/>
          </w:tcPr>
          <w:p>
            <w:pPr>
              <w:spacing w:after="0"/>
              <w:rPr>
                <w:sz w:val="23"/>
                <w:szCs w:val="23"/>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Current Liabilities: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payable</w:t>
            </w:r>
          </w:p>
        </w:tc>
        <w:tc>
          <w:tcPr>
            <w:tcW w:w="620" w:type="dxa"/>
            <w:vAlign w:val="bottom"/>
            <w:tcBorders>
              <w:bottom w:val="single" w:sz="8" w:color="A6A6A6"/>
            </w:tcBorders>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9,828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11,467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Accrued liabilities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6,071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6,093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Operating lease obligation</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1,408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Due to affiliates</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Current Liabilities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16,884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19,191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Pension and other long term liabilities</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5,703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4,297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Operating lease obligation, net of current portion</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5,457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4,866</w:t>
            </w:r>
          </w:p>
        </w:tc>
        <w:tc>
          <w:tcPr>
            <w:tcW w:w="120" w:type="dxa"/>
            <w:vAlign w:val="bottom"/>
          </w:tcPr>
          <w:p>
            <w:pPr>
              <w:spacing w:after="0"/>
              <w:rPr>
                <w:sz w:val="11"/>
                <w:szCs w:val="11"/>
                <w:color w:val="auto"/>
              </w:rPr>
            </w:pPr>
          </w:p>
        </w:tc>
      </w:tr>
      <w:tr>
        <w:trPr>
          <w:trHeight w:val="133"/>
        </w:trPr>
        <w:tc>
          <w:tcPr>
            <w:tcW w:w="7740" w:type="dxa"/>
            <w:vAlign w:val="bottom"/>
            <w:gridSpan w:val="2"/>
          </w:tcPr>
          <w:p>
            <w:pPr>
              <w:spacing w:after="0"/>
              <w:rPr>
                <w:sz w:val="20"/>
                <w:szCs w:val="20"/>
                <w:color w:val="auto"/>
              </w:rPr>
            </w:pPr>
            <w:r>
              <w:rPr>
                <w:rFonts w:ascii="Arial" w:cs="Arial" w:eastAsia="Arial" w:hAnsi="Arial"/>
                <w:sz w:val="11"/>
                <w:szCs w:val="11"/>
                <w:color w:val="auto"/>
              </w:rPr>
              <w:t>Commitments and contingencies</w:t>
            </w:r>
          </w:p>
        </w:tc>
        <w:tc>
          <w:tcPr>
            <w:tcW w:w="620" w:type="dxa"/>
            <w:vAlign w:val="bottom"/>
          </w:tcPr>
          <w:p>
            <w:pPr>
              <w:spacing w:after="0"/>
              <w:rPr>
                <w:sz w:val="11"/>
                <w:szCs w:val="1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color w:val="auto"/>
              </w:rPr>
              <w:t>Partners' capital:</w:t>
            </w:r>
          </w:p>
        </w:tc>
        <w:tc>
          <w:tcPr>
            <w:tcW w:w="620" w:type="dxa"/>
            <w:vAlign w:val="bottom"/>
            <w:tcBorders>
              <w:top w:val="single" w:sz="8" w:color="A6A6A6"/>
              <w:bottom w:val="single" w:sz="8" w:color="A6A6A6"/>
            </w:tcBorders>
          </w:tcPr>
          <w:p>
            <w:pPr>
              <w:spacing w:after="0"/>
              <w:rPr>
                <w:sz w:val="11"/>
                <w:szCs w:val="11"/>
                <w:color w:val="auto"/>
              </w:rPr>
            </w:pPr>
          </w:p>
        </w:tc>
        <w:tc>
          <w:tcPr>
            <w:tcW w:w="96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General Partners' Capital</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TLCC GP LLC</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Lehigh Portland Holdings, LLC</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Limited Partners' Capital:</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TLCC GP LLC</w:t>
            </w:r>
          </w:p>
        </w:tc>
        <w:tc>
          <w:tcPr>
            <w:tcW w:w="620" w:type="dxa"/>
            <w:vAlign w:val="bottom"/>
            <w:tcBorders>
              <w:bottom w:val="single" w:sz="8" w:color="A6A6A6"/>
            </w:tcBorders>
          </w:tcPr>
          <w:p>
            <w:pPr>
              <w:spacing w:after="0"/>
              <w:rPr>
                <w:sz w:val="11"/>
                <w:szCs w:val="11"/>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73,660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69,858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Lehigh Portland Investments, LLC</w:t>
            </w: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73,660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69,858</w:t>
            </w:r>
          </w:p>
        </w:tc>
        <w:tc>
          <w:tcPr>
            <w:tcW w:w="120" w:type="dxa"/>
            <w:vAlign w:val="bottom"/>
          </w:tcPr>
          <w:p>
            <w:pPr>
              <w:spacing w:after="0"/>
              <w:rPr>
                <w:sz w:val="11"/>
                <w:szCs w:val="11"/>
                <w:color w:val="auto"/>
              </w:rPr>
            </w:pPr>
          </w:p>
        </w:tc>
      </w:tr>
      <w:tr>
        <w:trPr>
          <w:trHeight w:val="133"/>
        </w:trPr>
        <w:tc>
          <w:tcPr>
            <w:tcW w:w="75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Total partners' capital</w:t>
            </w:r>
          </w:p>
        </w:tc>
        <w:tc>
          <w:tcPr>
            <w:tcW w:w="180" w:type="dxa"/>
            <w:vAlign w:val="bottom"/>
          </w:tcPr>
          <w:p>
            <w:pPr>
              <w:spacing w:after="0"/>
              <w:rPr>
                <w:sz w:val="11"/>
                <w:szCs w:val="11"/>
                <w:color w:val="auto"/>
              </w:rPr>
            </w:pPr>
          </w:p>
        </w:tc>
        <w:tc>
          <w:tcPr>
            <w:tcW w:w="620" w:type="dxa"/>
            <w:vAlign w:val="bottom"/>
            <w:tcBorders>
              <w:bottom w:val="single" w:sz="8" w:color="004483"/>
            </w:tcBorders>
          </w:tcPr>
          <w:p>
            <w:pPr>
              <w:spacing w:after="0"/>
              <w:rPr>
                <w:sz w:val="11"/>
                <w:szCs w:val="11"/>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147,616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139,996</w:t>
            </w:r>
          </w:p>
        </w:tc>
        <w:tc>
          <w:tcPr>
            <w:tcW w:w="120" w:type="dxa"/>
            <w:vAlign w:val="bottom"/>
          </w:tcPr>
          <w:p>
            <w:pPr>
              <w:spacing w:after="0"/>
              <w:rPr>
                <w:sz w:val="11"/>
                <w:szCs w:val="11"/>
                <w:color w:val="auto"/>
              </w:rPr>
            </w:pPr>
          </w:p>
        </w:tc>
      </w:tr>
      <w:tr>
        <w:trPr>
          <w:trHeight w:val="142"/>
        </w:trPr>
        <w:tc>
          <w:tcPr>
            <w:tcW w:w="7740" w:type="dxa"/>
            <w:vAlign w:val="bottom"/>
            <w:gridSpan w:val="2"/>
          </w:tcPr>
          <w:p>
            <w:pPr>
              <w:spacing w:after="0"/>
              <w:rPr>
                <w:sz w:val="20"/>
                <w:szCs w:val="20"/>
                <w:color w:val="auto"/>
              </w:rPr>
            </w:pPr>
            <w:r>
              <w:rPr>
                <w:rFonts w:ascii="Arial" w:cs="Arial" w:eastAsia="Arial" w:hAnsi="Arial"/>
                <w:sz w:val="11"/>
                <w:szCs w:val="11"/>
                <w:color w:val="auto"/>
              </w:rPr>
              <w:t>Total liabilities and partners' capital</w:t>
            </w:r>
          </w:p>
        </w:tc>
        <w:tc>
          <w:tcPr>
            <w:tcW w:w="620" w:type="dxa"/>
            <w:vAlign w:val="bottom"/>
            <w:tcBorders>
              <w:bottom w:val="single" w:sz="8" w:color="004483"/>
            </w:tcBorders>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175,660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168,350</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color w:val="auto"/>
        </w:rPr>
        <w:t>TEXAS LEHIGH CEMENT COMPANY LP STATEMENTS OF CHANGES IN PARTNERS’ CAPITAL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7"/>
          </w:tcPr>
          <w:p>
            <w:pPr>
              <w:ind w:left="320"/>
              <w:spacing w:after="0"/>
              <w:rPr>
                <w:sz w:val="20"/>
                <w:szCs w:val="20"/>
                <w:color w:val="auto"/>
              </w:rPr>
            </w:pPr>
            <w:r>
              <w:rPr>
                <w:rFonts w:ascii="Arial" w:cs="Arial" w:eastAsia="Arial" w:hAnsi="Arial"/>
                <w:sz w:val="11"/>
                <w:szCs w:val="11"/>
                <w:b w:val="1"/>
                <w:bCs w:val="1"/>
                <w:color w:val="auto"/>
              </w:rPr>
              <w:t>General Partners' Capital</w:t>
            </w:r>
          </w:p>
        </w:tc>
        <w:tc>
          <w:tcPr>
            <w:tcW w:w="100" w:type="dxa"/>
            <w:vAlign w:val="bottom"/>
          </w:tcPr>
          <w:p>
            <w:pPr>
              <w:spacing w:after="0"/>
              <w:rPr>
                <w:sz w:val="12"/>
                <w:szCs w:val="12"/>
                <w:color w:val="auto"/>
              </w:rPr>
            </w:pPr>
          </w:p>
        </w:tc>
        <w:tc>
          <w:tcPr>
            <w:tcW w:w="2380" w:type="dxa"/>
            <w:vAlign w:val="bottom"/>
            <w:gridSpan w:val="7"/>
          </w:tcPr>
          <w:p>
            <w:pPr>
              <w:ind w:left="420"/>
              <w:spacing w:after="0"/>
              <w:rPr>
                <w:sz w:val="20"/>
                <w:szCs w:val="20"/>
                <w:color w:val="auto"/>
              </w:rPr>
            </w:pPr>
            <w:r>
              <w:rPr>
                <w:rFonts w:ascii="Arial" w:cs="Arial" w:eastAsia="Arial" w:hAnsi="Arial"/>
                <w:sz w:val="11"/>
                <w:szCs w:val="11"/>
                <w:b w:val="1"/>
                <w:bCs w:val="1"/>
                <w:color w:val="auto"/>
              </w:rPr>
              <w:t>Limited Partners' Capital</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85"/>
        </w:trPr>
        <w:tc>
          <w:tcPr>
            <w:tcW w:w="5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right"/>
              <w:spacing w:after="0" w:line="85" w:lineRule="exact"/>
              <w:rPr>
                <w:sz w:val="20"/>
                <w:szCs w:val="20"/>
                <w:color w:val="auto"/>
              </w:rPr>
            </w:pPr>
            <w:r>
              <w:rPr>
                <w:rFonts w:ascii="Arial" w:cs="Arial" w:eastAsia="Arial" w:hAnsi="Arial"/>
                <w:sz w:val="8"/>
                <w:szCs w:val="8"/>
                <w:b w:val="1"/>
                <w:bCs w:val="1"/>
                <w:color w:val="auto"/>
              </w:rPr>
              <w:t>Lehigh Portland</w:t>
            </w:r>
          </w:p>
        </w:tc>
        <w:tc>
          <w:tcPr>
            <w:tcW w:w="240" w:type="dxa"/>
            <w:vAlign w:val="bottom"/>
            <w:gridSpan w:val="2"/>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right"/>
              <w:spacing w:after="0" w:line="85" w:lineRule="exact"/>
              <w:rPr>
                <w:sz w:val="20"/>
                <w:szCs w:val="20"/>
                <w:color w:val="auto"/>
              </w:rPr>
            </w:pPr>
            <w:r>
              <w:rPr>
                <w:rFonts w:ascii="Arial" w:cs="Arial" w:eastAsia="Arial" w:hAnsi="Arial"/>
                <w:sz w:val="8"/>
                <w:szCs w:val="8"/>
                <w:b w:val="1"/>
                <w:bCs w:val="1"/>
                <w:color w:val="auto"/>
              </w:rPr>
              <w:t>Lehigh Portland</w:t>
            </w:r>
          </w:p>
        </w:tc>
        <w:tc>
          <w:tcPr>
            <w:tcW w:w="240" w:type="dxa"/>
            <w:vAlign w:val="bottom"/>
            <w:gridSpan w:val="2"/>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4"/>
        </w:trPr>
        <w:tc>
          <w:tcPr>
            <w:tcW w:w="5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tcPr>
          <w:p>
            <w:pPr>
              <w:ind w:left="140"/>
              <w:spacing w:after="0" w:line="114" w:lineRule="exact"/>
              <w:rPr>
                <w:sz w:val="20"/>
                <w:szCs w:val="20"/>
                <w:color w:val="auto"/>
              </w:rPr>
            </w:pPr>
            <w:r>
              <w:rPr>
                <w:rFonts w:ascii="Arial" w:cs="Arial" w:eastAsia="Arial" w:hAnsi="Arial"/>
                <w:sz w:val="10"/>
                <w:szCs w:val="10"/>
                <w:b w:val="1"/>
                <w:bCs w:val="1"/>
                <w:color w:val="auto"/>
              </w:rPr>
              <w:t>TLCC GP LLC</w:t>
            </w:r>
          </w:p>
        </w:tc>
        <w:tc>
          <w:tcPr>
            <w:tcW w:w="180" w:type="dxa"/>
            <w:vAlign w:val="bottom"/>
          </w:tcPr>
          <w:p>
            <w:pPr>
              <w:spacing w:after="0"/>
              <w:rPr>
                <w:sz w:val="9"/>
                <w:szCs w:val="9"/>
                <w:color w:val="auto"/>
              </w:rPr>
            </w:pPr>
          </w:p>
        </w:tc>
        <w:tc>
          <w:tcPr>
            <w:tcW w:w="106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Holdings, LLC</w:t>
            </w:r>
          </w:p>
        </w:tc>
        <w:tc>
          <w:tcPr>
            <w:tcW w:w="100" w:type="dxa"/>
            <w:vAlign w:val="bottom"/>
          </w:tcPr>
          <w:p>
            <w:pPr>
              <w:spacing w:after="0"/>
              <w:rPr>
                <w:sz w:val="9"/>
                <w:szCs w:val="9"/>
                <w:color w:val="auto"/>
              </w:rPr>
            </w:pPr>
          </w:p>
        </w:tc>
        <w:tc>
          <w:tcPr>
            <w:tcW w:w="1140" w:type="dxa"/>
            <w:vAlign w:val="bottom"/>
            <w:gridSpan w:val="3"/>
          </w:tcPr>
          <w:p>
            <w:pPr>
              <w:ind w:left="260"/>
              <w:spacing w:after="0" w:line="114" w:lineRule="exact"/>
              <w:rPr>
                <w:sz w:val="20"/>
                <w:szCs w:val="20"/>
                <w:color w:val="auto"/>
              </w:rPr>
            </w:pPr>
            <w:r>
              <w:rPr>
                <w:rFonts w:ascii="Arial" w:cs="Arial" w:eastAsia="Arial" w:hAnsi="Arial"/>
                <w:sz w:val="10"/>
                <w:szCs w:val="10"/>
                <w:b w:val="1"/>
                <w:bCs w:val="1"/>
                <w:color w:val="auto"/>
              </w:rPr>
              <w:t>TLCC LP LLC</w:t>
            </w:r>
          </w:p>
        </w:tc>
        <w:tc>
          <w:tcPr>
            <w:tcW w:w="160" w:type="dxa"/>
            <w:vAlign w:val="bottom"/>
          </w:tcPr>
          <w:p>
            <w:pPr>
              <w:spacing w:after="0"/>
              <w:rPr>
                <w:sz w:val="9"/>
                <w:szCs w:val="9"/>
                <w:color w:val="auto"/>
              </w:rPr>
            </w:pPr>
          </w:p>
        </w:tc>
        <w:tc>
          <w:tcPr>
            <w:tcW w:w="108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w w:val="98"/>
              </w:rPr>
              <w:t>Investments, LLC</w:t>
            </w:r>
          </w:p>
        </w:tc>
        <w:tc>
          <w:tcPr>
            <w:tcW w:w="360" w:type="dxa"/>
            <w:vAlign w:val="bottom"/>
          </w:tcPr>
          <w:p>
            <w:pPr>
              <w:spacing w:after="0"/>
              <w:rPr>
                <w:sz w:val="9"/>
                <w:szCs w:val="9"/>
                <w:color w:val="auto"/>
              </w:rPr>
            </w:pPr>
          </w:p>
        </w:tc>
        <w:tc>
          <w:tcPr>
            <w:tcW w:w="70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06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180" w:type="dxa"/>
            <w:vAlign w:val="bottom"/>
            <w:tcBorders>
              <w:bottom w:val="single" w:sz="8" w:color="004483"/>
            </w:tcBorders>
          </w:tcPr>
          <w:p>
            <w:pPr>
              <w:spacing w:after="0"/>
              <w:rPr>
                <w:sz w:val="8"/>
                <w:szCs w:val="8"/>
                <w:color w:val="auto"/>
              </w:rPr>
            </w:pPr>
          </w:p>
        </w:tc>
        <w:tc>
          <w:tcPr>
            <w:tcW w:w="8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3"/>
          </w:tcPr>
          <w:p>
            <w:pPr>
              <w:ind w:left="40"/>
              <w:spacing w:after="0"/>
              <w:rPr>
                <w:sz w:val="20"/>
                <w:szCs w:val="20"/>
                <w:color w:val="auto"/>
              </w:rPr>
            </w:pPr>
            <w:r>
              <w:rPr>
                <w:rFonts w:ascii="Arial" w:cs="Arial" w:eastAsia="Arial" w:hAnsi="Arial"/>
                <w:sz w:val="8"/>
                <w:szCs w:val="8"/>
                <w:color w:val="auto"/>
              </w:rPr>
              <w:t>(dollars in thousands)</w:t>
            </w:r>
          </w:p>
        </w:tc>
        <w:tc>
          <w:tcPr>
            <w:tcW w:w="160" w:type="dxa"/>
            <w:vAlign w:val="bottom"/>
            <w:tcBorders>
              <w:bottom w:val="single" w:sz="8" w:color="004483"/>
            </w:tcBorders>
          </w:tcPr>
          <w:p>
            <w:pPr>
              <w:spacing w:after="0"/>
              <w:rPr>
                <w:sz w:val="8"/>
                <w:szCs w:val="8"/>
                <w:color w:val="auto"/>
              </w:rPr>
            </w:pPr>
          </w:p>
        </w:tc>
        <w:tc>
          <w:tcPr>
            <w:tcW w:w="8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6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40" w:type="dxa"/>
            <w:vAlign w:val="bottom"/>
          </w:tcPr>
          <w:p>
            <w:pPr>
              <w:spacing w:after="0"/>
              <w:rPr>
                <w:sz w:val="8"/>
                <w:szCs w:val="8"/>
                <w:color w:val="auto"/>
              </w:rPr>
            </w:pPr>
          </w:p>
        </w:tc>
      </w:tr>
      <w:tr>
        <w:trPr>
          <w:trHeight w:val="131"/>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Balance at December 31, 2017</w:t>
            </w:r>
          </w:p>
        </w:tc>
        <w:tc>
          <w:tcPr>
            <w:tcW w:w="200" w:type="dxa"/>
            <w:vAlign w:val="bottom"/>
            <w:tcBorders>
              <w:bottom w:val="single" w:sz="8" w:color="A6A6A6"/>
            </w:tcBorders>
          </w:tcPr>
          <w:p>
            <w:pPr>
              <w:jc w:val="right"/>
              <w:ind w:right="133"/>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53,251</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53,251</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106,716</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Net income for the year</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39,068</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39,068</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78,292</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Other comprehensive income</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539</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539</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1,080</w:t>
            </w:r>
          </w:p>
        </w:tc>
        <w:tc>
          <w:tcPr>
            <w:tcW w:w="40" w:type="dxa"/>
            <w:vAlign w:val="bottom"/>
          </w:tcPr>
          <w:p>
            <w:pPr>
              <w:spacing w:after="0"/>
              <w:rPr>
                <w:sz w:val="11"/>
                <w:szCs w:val="11"/>
                <w:color w:val="auto"/>
              </w:rPr>
            </w:pPr>
          </w:p>
        </w:tc>
      </w:tr>
      <w:tr>
        <w:trPr>
          <w:trHeight w:val="133"/>
        </w:trPr>
        <w:tc>
          <w:tcPr>
            <w:tcW w:w="5200" w:type="dxa"/>
            <w:vAlign w:val="bottom"/>
            <w:gridSpan w:val="2"/>
          </w:tcPr>
          <w:p>
            <w:pPr>
              <w:spacing w:after="0"/>
              <w:rPr>
                <w:sz w:val="20"/>
                <w:szCs w:val="20"/>
                <w:color w:val="auto"/>
              </w:rPr>
            </w:pPr>
            <w:r>
              <w:rPr>
                <w:rFonts w:ascii="Arial" w:cs="Arial" w:eastAsia="Arial" w:hAnsi="Arial"/>
                <w:sz w:val="11"/>
                <w:szCs w:val="11"/>
                <w:color w:val="auto"/>
              </w:rPr>
              <w:t>Distribution of earnings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(65)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(32,435)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(32,435)</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(65,000)</w:t>
            </w:r>
          </w:p>
        </w:tc>
      </w:tr>
      <w:tr>
        <w:trPr>
          <w:trHeight w:val="133"/>
        </w:trPr>
        <w:tc>
          <w:tcPr>
            <w:tcW w:w="520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Balance at December 31, 2018</w:t>
            </w:r>
          </w:p>
        </w:tc>
        <w:tc>
          <w:tcPr>
            <w:tcW w:w="200" w:type="dxa"/>
            <w:vAlign w:val="bottom"/>
            <w:tcBorders>
              <w:top w:val="single" w:sz="8" w:color="004483"/>
              <w:bottom w:val="single" w:sz="8" w:color="A6A6A6"/>
            </w:tcBorders>
          </w:tcPr>
          <w:p>
            <w:pPr>
              <w:jc w:val="right"/>
              <w:ind w:right="13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180" w:type="dxa"/>
            <w:vAlign w:val="bottom"/>
            <w:tcBorders>
              <w:top w:val="single" w:sz="8" w:color="004483"/>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60,423</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60" w:type="dxa"/>
            <w:vAlign w:val="bottom"/>
            <w:tcBorders>
              <w:top w:val="single" w:sz="8" w:color="004483"/>
              <w:bottom w:val="single" w:sz="8" w:color="A6A6A6"/>
            </w:tcBorders>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60,423</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60" w:type="dxa"/>
            <w:vAlign w:val="bottom"/>
            <w:tcBorders>
              <w:top w:val="single" w:sz="8" w:color="004483"/>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121,088</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Net income for the year</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42,040</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42,040</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84,248</w:t>
            </w:r>
          </w:p>
        </w:tc>
        <w:tc>
          <w:tcPr>
            <w:tcW w:w="40" w:type="dxa"/>
            <w:vAlign w:val="bottom"/>
          </w:tcPr>
          <w:p>
            <w:pPr>
              <w:spacing w:after="0"/>
              <w:rPr>
                <w:sz w:val="11"/>
                <w:szCs w:val="11"/>
                <w:color w:val="auto"/>
              </w:rPr>
            </w:pPr>
          </w:p>
        </w:tc>
      </w:tr>
      <w:tr>
        <w:trPr>
          <w:trHeight w:val="133"/>
        </w:trPr>
        <w:tc>
          <w:tcPr>
            <w:tcW w:w="520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(840)</w:t>
            </w: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gridSpan w:val="2"/>
          </w:tcPr>
          <w:p>
            <w:pPr>
              <w:spacing w:after="0"/>
              <w:rPr>
                <w:sz w:val="20"/>
                <w:szCs w:val="20"/>
                <w:color w:val="auto"/>
              </w:rPr>
            </w:pPr>
            <w:r>
              <w:rPr>
                <w:rFonts w:ascii="Arial" w:cs="Arial" w:eastAsia="Arial" w:hAnsi="Arial"/>
                <w:sz w:val="11"/>
                <w:szCs w:val="11"/>
                <w:color w:val="auto"/>
              </w:rPr>
              <w:t>Distribution of earnings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(32,186)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(32,186)</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(64,500)</w:t>
            </w:r>
          </w:p>
        </w:tc>
      </w:tr>
      <w:tr>
        <w:trPr>
          <w:trHeight w:val="133"/>
        </w:trPr>
        <w:tc>
          <w:tcPr>
            <w:tcW w:w="520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Balance at December 31, 2019</w:t>
            </w:r>
          </w:p>
        </w:tc>
        <w:tc>
          <w:tcPr>
            <w:tcW w:w="200" w:type="dxa"/>
            <w:vAlign w:val="bottom"/>
            <w:tcBorders>
              <w:top w:val="single" w:sz="8" w:color="004483"/>
              <w:bottom w:val="single" w:sz="8" w:color="A6A6A6"/>
            </w:tcBorders>
          </w:tcPr>
          <w:p>
            <w:pPr>
              <w:jc w:val="right"/>
              <w:ind w:right="13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140</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180" w:type="dxa"/>
            <w:vAlign w:val="bottom"/>
            <w:tcBorders>
              <w:top w:val="single" w:sz="8" w:color="004483"/>
              <w:bottom w:val="single" w:sz="8" w:color="A6A6A6"/>
            </w:tcBorders>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69,858</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60" w:type="dxa"/>
            <w:vAlign w:val="bottom"/>
            <w:tcBorders>
              <w:top w:val="single" w:sz="8" w:color="004483"/>
              <w:bottom w:val="single" w:sz="8" w:color="A6A6A6"/>
            </w:tcBorders>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69,858</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60" w:type="dxa"/>
            <w:vAlign w:val="bottom"/>
            <w:tcBorders>
              <w:top w:val="single" w:sz="8" w:color="004483"/>
              <w:bottom w:val="single" w:sz="8" w:color="A6A6A6"/>
            </w:tcBorders>
          </w:tcPr>
          <w:p>
            <w:pPr>
              <w:jc w:val="right"/>
              <w:ind w:right="2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139,996</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Net income for the year</w:t>
            </w: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39,349</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39,349</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6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78,856</w:t>
            </w:r>
          </w:p>
        </w:tc>
        <w:tc>
          <w:tcPr>
            <w:tcW w:w="40" w:type="dxa"/>
            <w:vAlign w:val="bottom"/>
          </w:tcPr>
          <w:p>
            <w:pPr>
              <w:spacing w:after="0"/>
              <w:rPr>
                <w:sz w:val="11"/>
                <w:szCs w:val="11"/>
                <w:color w:val="auto"/>
              </w:rPr>
            </w:pPr>
          </w:p>
        </w:tc>
      </w:tr>
      <w:tr>
        <w:trPr>
          <w:trHeight w:val="133"/>
        </w:trPr>
        <w:tc>
          <w:tcPr>
            <w:tcW w:w="520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(236)</w:t>
            </w: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gridSpan w:val="2"/>
          </w:tcPr>
          <w:p>
            <w:pPr>
              <w:spacing w:after="0"/>
              <w:rPr>
                <w:sz w:val="20"/>
                <w:szCs w:val="20"/>
                <w:color w:val="auto"/>
              </w:rPr>
            </w:pPr>
            <w:r>
              <w:rPr>
                <w:rFonts w:ascii="Arial" w:cs="Arial" w:eastAsia="Arial" w:hAnsi="Arial"/>
                <w:sz w:val="11"/>
                <w:szCs w:val="11"/>
                <w:color w:val="auto"/>
              </w:rPr>
              <w:t>Distribution of earnings</w:t>
            </w:r>
          </w:p>
        </w:tc>
        <w:tc>
          <w:tcPr>
            <w:tcW w:w="20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(71)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(35,429)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(35,429)</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(71,000)</w:t>
            </w:r>
          </w:p>
        </w:tc>
      </w:tr>
      <w:tr>
        <w:trPr>
          <w:trHeight w:val="142"/>
        </w:trPr>
        <w:tc>
          <w:tcPr>
            <w:tcW w:w="50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Balance at December 31, 2020</w:t>
            </w:r>
          </w:p>
        </w:tc>
        <w:tc>
          <w:tcPr>
            <w:tcW w:w="140" w:type="dxa"/>
            <w:vAlign w:val="bottom"/>
            <w:tcBorders>
              <w:top w:val="single" w:sz="8" w:color="A6A6A6"/>
            </w:tcBorders>
          </w:tcPr>
          <w:p>
            <w:pPr>
              <w:spacing w:after="0"/>
              <w:rPr>
                <w:sz w:val="12"/>
                <w:szCs w:val="12"/>
                <w:color w:val="auto"/>
              </w:rPr>
            </w:pPr>
          </w:p>
        </w:tc>
        <w:tc>
          <w:tcPr>
            <w:tcW w:w="200" w:type="dxa"/>
            <w:vAlign w:val="bottom"/>
            <w:tcBorders>
              <w:top w:val="single" w:sz="8" w:color="004483"/>
              <w:bottom w:val="single" w:sz="8" w:color="004483"/>
            </w:tcBorders>
          </w:tcPr>
          <w:p>
            <w:pPr>
              <w:jc w:val="right"/>
              <w:ind w:right="133"/>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148</w:t>
            </w:r>
          </w:p>
        </w:tc>
        <w:tc>
          <w:tcPr>
            <w:tcW w:w="100" w:type="dxa"/>
            <w:vAlign w:val="bottom"/>
          </w:tcPr>
          <w:p>
            <w:pPr>
              <w:spacing w:after="0"/>
              <w:rPr>
                <w:sz w:val="12"/>
                <w:szCs w:val="12"/>
                <w:color w:val="auto"/>
              </w:rPr>
            </w:pPr>
          </w:p>
        </w:tc>
        <w:tc>
          <w:tcPr>
            <w:tcW w:w="140" w:type="dxa"/>
            <w:vAlign w:val="bottom"/>
            <w:tcBorders>
              <w:top w:val="single" w:sz="8" w:color="A6A6A6"/>
            </w:tcBorders>
          </w:tcPr>
          <w:p>
            <w:pPr>
              <w:spacing w:after="0"/>
              <w:rPr>
                <w:sz w:val="12"/>
                <w:szCs w:val="12"/>
                <w:color w:val="auto"/>
              </w:rPr>
            </w:pPr>
          </w:p>
        </w:tc>
        <w:tc>
          <w:tcPr>
            <w:tcW w:w="180" w:type="dxa"/>
            <w:vAlign w:val="bottom"/>
            <w:tcBorders>
              <w:top w:val="single" w:sz="8" w:color="004483"/>
              <w:bottom w:val="single" w:sz="8" w:color="004483"/>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148</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73,660</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160" w:type="dxa"/>
            <w:vAlign w:val="bottom"/>
            <w:tcBorders>
              <w:top w:val="single" w:sz="8" w:color="004483"/>
              <w:bottom w:val="single" w:sz="8" w:color="004483"/>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73,660</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360" w:type="dxa"/>
            <w:vAlign w:val="bottom"/>
            <w:tcBorders>
              <w:top w:val="single" w:sz="8" w:color="004483"/>
              <w:bottom w:val="single" w:sz="8" w:color="004483"/>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147,616</w:t>
            </w:r>
          </w:p>
        </w:tc>
        <w:tc>
          <w:tcPr>
            <w:tcW w:w="4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financial statements.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87" w:right="37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b w:val="1"/>
          <w:bCs w:val="1"/>
          <w:color w:val="auto"/>
        </w:rPr>
        <w:t>TEXAS LEHIGH CEMENT COMPANY LP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460" w:type="dxa"/>
            <w:vAlign w:val="bottom"/>
            <w:gridSpan w:val="3"/>
            <w:shd w:val="clear" w:color="auto" w:fill="004483"/>
          </w:tcPr>
          <w:p>
            <w:pPr>
              <w:jc w:val="center"/>
              <w:ind w:right="400"/>
              <w:spacing w:after="0"/>
              <w:rPr>
                <w:sz w:val="20"/>
                <w:szCs w:val="20"/>
                <w:color w:val="auto"/>
              </w:rPr>
            </w:pPr>
            <w:r>
              <w:rPr>
                <w:rFonts w:ascii="Arial" w:cs="Arial" w:eastAsia="Arial" w:hAnsi="Arial"/>
                <w:sz w:val="8"/>
                <w:szCs w:val="8"/>
                <w:b w:val="1"/>
                <w:bCs w:val="1"/>
                <w:color w:val="FFFFFF"/>
                <w:w w:val="92"/>
              </w:rPr>
              <w:t>Year ended December 31,</w:t>
            </w:r>
          </w:p>
        </w:tc>
        <w:tc>
          <w:tcPr>
            <w:tcW w:w="50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Arial" w:cs="Arial" w:eastAsia="Arial" w:hAnsi="Arial"/>
                <w:sz w:val="8"/>
                <w:szCs w:val="8"/>
                <w:b w:val="1"/>
                <w:bCs w:val="1"/>
                <w:color w:val="auto"/>
              </w:rPr>
              <w:t>2018</w:t>
            </w:r>
          </w:p>
        </w:tc>
        <w:tc>
          <w:tcPr>
            <w:tcW w:w="120" w:type="dxa"/>
            <w:vAlign w:val="bottom"/>
          </w:tcPr>
          <w:p>
            <w:pPr>
              <w:spacing w:after="0"/>
              <w:rPr>
                <w:sz w:val="8"/>
                <w:szCs w:val="8"/>
                <w:color w:val="auto"/>
              </w:rPr>
            </w:pPr>
          </w:p>
        </w:tc>
      </w:tr>
      <w:tr>
        <w:trPr>
          <w:trHeight w:val="99"/>
        </w:trPr>
        <w:tc>
          <w:tcPr>
            <w:tcW w:w="6740" w:type="dxa"/>
            <w:vAlign w:val="bottom"/>
            <w:tcBorders>
              <w:bottom w:val="single" w:sz="8" w:color="004483"/>
            </w:tcBorders>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460" w:type="dxa"/>
            <w:vAlign w:val="bottom"/>
            <w:tcBorders>
              <w:bottom w:val="single" w:sz="8" w:color="004483"/>
            </w:tcBorders>
            <w:gridSpan w:val="3"/>
          </w:tcPr>
          <w:p>
            <w:pPr>
              <w:jc w:val="center"/>
              <w:ind w:right="400"/>
              <w:spacing w:after="0"/>
              <w:rPr>
                <w:sz w:val="20"/>
                <w:szCs w:val="20"/>
                <w:color w:val="auto"/>
              </w:rPr>
            </w:pPr>
            <w:r>
              <w:rPr>
                <w:rFonts w:ascii="Arial" w:cs="Arial" w:eastAsia="Arial" w:hAnsi="Arial"/>
                <w:sz w:val="8"/>
                <w:szCs w:val="8"/>
                <w:color w:val="auto"/>
                <w:w w:val="96"/>
              </w:rPr>
              <w:t>(dollars in thousands)</w:t>
            </w:r>
          </w:p>
        </w:tc>
        <w:tc>
          <w:tcPr>
            <w:tcW w:w="5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5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Income</w:t>
            </w:r>
          </w:p>
        </w:tc>
        <w:tc>
          <w:tcPr>
            <w:tcW w:w="500" w:type="dxa"/>
            <w:vAlign w:val="bottom"/>
            <w:tcBorders>
              <w:bottom w:val="single" w:sz="8" w:color="A6A6A6"/>
            </w:tcBorders>
          </w:tcPr>
          <w:p>
            <w:pPr>
              <w:jc w:val="right"/>
              <w:ind w:right="43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78,856</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84,248</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ind w:right="433"/>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78,292</w:t>
            </w:r>
          </w:p>
        </w:tc>
        <w:tc>
          <w:tcPr>
            <w:tcW w:w="120" w:type="dxa"/>
            <w:vAlign w:val="bottom"/>
          </w:tcPr>
          <w:p>
            <w:pPr>
              <w:spacing w:after="0"/>
              <w:rPr>
                <w:sz w:val="11"/>
                <w:szCs w:val="11"/>
                <w:color w:val="auto"/>
              </w:rPr>
            </w:pPr>
          </w:p>
        </w:tc>
      </w:tr>
      <w:tr>
        <w:trPr>
          <w:trHeight w:val="130"/>
        </w:trPr>
        <w:tc>
          <w:tcPr>
            <w:tcW w:w="6740" w:type="dxa"/>
            <w:vAlign w:val="bottom"/>
          </w:tcPr>
          <w:p>
            <w:pPr>
              <w:spacing w:after="0"/>
              <w:rPr>
                <w:sz w:val="20"/>
                <w:szCs w:val="20"/>
                <w:color w:val="auto"/>
              </w:rPr>
            </w:pPr>
            <w:r>
              <w:rPr>
                <w:rFonts w:ascii="Arial" w:cs="Arial" w:eastAsia="Arial" w:hAnsi="Arial"/>
                <w:sz w:val="11"/>
                <w:szCs w:val="11"/>
                <w:color w:val="auto"/>
              </w:rPr>
              <w:t>Adjustments to reconcile net income to net cash provided</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by operating activities:</w:t>
            </w:r>
          </w:p>
        </w:tc>
        <w:tc>
          <w:tcPr>
            <w:tcW w:w="500" w:type="dxa"/>
            <w:vAlign w:val="bottom"/>
            <w:tcBorders>
              <w:bottom w:val="single" w:sz="8" w:color="A6A6A6"/>
            </w:tcBorders>
          </w:tcPr>
          <w:p>
            <w:pPr>
              <w:spacing w:after="0"/>
              <w:rPr>
                <w:sz w:val="12"/>
                <w:szCs w:val="12"/>
                <w:color w:val="auto"/>
              </w:rPr>
            </w:pPr>
          </w:p>
        </w:tc>
        <w:tc>
          <w:tcPr>
            <w:tcW w:w="78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18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6A6A6"/>
            </w:tcBorders>
          </w:tcPr>
          <w:p>
            <w:pPr>
              <w:spacing w:after="0"/>
              <w:rPr>
                <w:sz w:val="12"/>
                <w:szCs w:val="12"/>
                <w:color w:val="auto"/>
              </w:rPr>
            </w:pPr>
          </w:p>
        </w:tc>
        <w:tc>
          <w:tcPr>
            <w:tcW w:w="500" w:type="dxa"/>
            <w:vAlign w:val="bottom"/>
            <w:tcBorders>
              <w:bottom w:val="single" w:sz="8" w:color="A6A6A6"/>
            </w:tcBorders>
          </w:tcPr>
          <w:p>
            <w:pPr>
              <w:spacing w:after="0"/>
              <w:rPr>
                <w:sz w:val="12"/>
                <w:szCs w:val="12"/>
                <w:color w:val="auto"/>
              </w:rPr>
            </w:pPr>
          </w:p>
        </w:tc>
        <w:tc>
          <w:tcPr>
            <w:tcW w:w="80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Depreciation and depletion</w:t>
            </w:r>
          </w:p>
        </w:tc>
        <w:tc>
          <w:tcPr>
            <w:tcW w:w="5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3,175</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3,009</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2,842</w:t>
            </w:r>
          </w:p>
        </w:tc>
        <w:tc>
          <w:tcPr>
            <w:tcW w:w="120" w:type="dxa"/>
            <w:vAlign w:val="bottom"/>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Loss (Gain) on sales of equipment</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(42)</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Equity in loss (earnings) of unconsolidated joint venture</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r>
      <w:tr>
        <w:trPr>
          <w:trHeight w:val="133"/>
        </w:trPr>
        <w:tc>
          <w:tcPr>
            <w:tcW w:w="6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Changes in current assets and liabilities:</w:t>
            </w:r>
          </w:p>
        </w:tc>
        <w:tc>
          <w:tcPr>
            <w:tcW w:w="50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1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Trade accounts receivable</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6,943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(4,428)</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(3,753)</w:t>
            </w: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Inventories</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4,362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865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(409)</w:t>
            </w:r>
          </w:p>
        </w:tc>
      </w:tr>
      <w:tr>
        <w:trPr>
          <w:trHeight w:val="133"/>
        </w:trPr>
        <w:tc>
          <w:tcPr>
            <w:tcW w:w="6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Prepaid assets</w:t>
            </w:r>
          </w:p>
        </w:tc>
        <w:tc>
          <w:tcPr>
            <w:tcW w:w="50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1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Accounts payable</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(1,638)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1,944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3,365</w:t>
            </w:r>
          </w:p>
        </w:tc>
        <w:tc>
          <w:tcPr>
            <w:tcW w:w="120" w:type="dxa"/>
            <w:vAlign w:val="bottom"/>
          </w:tcPr>
          <w:p>
            <w:pPr>
              <w:spacing w:after="0"/>
              <w:rPr>
                <w:sz w:val="11"/>
                <w:szCs w:val="11"/>
                <w:color w:val="auto"/>
              </w:rPr>
            </w:pP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Accrued liabilities and due to affiliates</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(928)</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285</w:t>
            </w:r>
          </w:p>
        </w:tc>
        <w:tc>
          <w:tcPr>
            <w:tcW w:w="120" w:type="dxa"/>
            <w:vAlign w:val="bottom"/>
          </w:tcPr>
          <w:p>
            <w:pPr>
              <w:spacing w:after="0"/>
              <w:rPr>
                <w:sz w:val="11"/>
                <w:szCs w:val="11"/>
                <w:color w:val="auto"/>
              </w:rPr>
            </w:pPr>
          </w:p>
        </w:tc>
      </w:tr>
      <w:tr>
        <w:trPr>
          <w:trHeight w:val="133"/>
        </w:trPr>
        <w:tc>
          <w:tcPr>
            <w:tcW w:w="6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auto"/>
              </w:rPr>
              <w:t>Net Cash Provided by Operating Activities</w:t>
            </w:r>
          </w:p>
        </w:tc>
        <w:tc>
          <w:tcPr>
            <w:tcW w:w="500" w:type="dxa"/>
            <w:vAlign w:val="bottom"/>
            <w:tcBorders>
              <w:top w:val="single" w:sz="8" w:color="004483"/>
              <w:bottom w:val="single" w:sz="8" w:color="004483"/>
            </w:tcBorders>
          </w:tcPr>
          <w:p>
            <w:pPr>
              <w:spacing w:after="0"/>
              <w:rPr>
                <w:sz w:val="11"/>
                <w:szCs w:val="11"/>
                <w:color w:val="auto"/>
              </w:rPr>
            </w:pPr>
          </w:p>
        </w:tc>
        <w:tc>
          <w:tcPr>
            <w:tcW w:w="7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92,387</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004483"/>
              <w:bottom w:val="single" w:sz="8" w:color="004483"/>
            </w:tcBorders>
          </w:tcPr>
          <w:p>
            <w:pPr>
              <w:spacing w:after="0"/>
              <w:rPr>
                <w:sz w:val="11"/>
                <w:szCs w:val="11"/>
                <w:color w:val="auto"/>
              </w:rPr>
            </w:pPr>
          </w:p>
        </w:tc>
        <w:tc>
          <w:tcPr>
            <w:tcW w:w="11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84,875</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004483"/>
              <w:bottom w:val="single" w:sz="8" w:color="004483"/>
            </w:tcBorders>
          </w:tcPr>
          <w:p>
            <w:pPr>
              <w:spacing w:after="0"/>
              <w:rPr>
                <w:sz w:val="11"/>
                <w:szCs w:val="11"/>
                <w:color w:val="auto"/>
              </w:rPr>
            </w:pP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80,623</w:t>
            </w:r>
          </w:p>
        </w:tc>
        <w:tc>
          <w:tcPr>
            <w:tcW w:w="120" w:type="dxa"/>
            <w:vAlign w:val="bottom"/>
          </w:tcPr>
          <w:p>
            <w:pPr>
              <w:spacing w:after="0"/>
              <w:rPr>
                <w:sz w:val="11"/>
                <w:szCs w:val="11"/>
                <w:color w:val="auto"/>
              </w:rPr>
            </w:pPr>
          </w:p>
        </w:tc>
      </w:tr>
      <w:tr>
        <w:trPr>
          <w:trHeight w:val="133"/>
        </w:trPr>
        <w:tc>
          <w:tcPr>
            <w:tcW w:w="6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5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1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(21,559)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(15,057)</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(5,768)</w:t>
            </w:r>
          </w:p>
        </w:tc>
      </w:tr>
      <w:tr>
        <w:trPr>
          <w:trHeight w:val="133"/>
        </w:trPr>
        <w:tc>
          <w:tcPr>
            <w:tcW w:w="6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Property, Plant, and Equipment</w:t>
            </w:r>
          </w:p>
        </w:tc>
        <w:tc>
          <w:tcPr>
            <w:tcW w:w="50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004483"/>
            </w:tcBorders>
          </w:tcPr>
          <w:p>
            <w:pPr>
              <w:spacing w:after="0"/>
              <w:rPr>
                <w:sz w:val="11"/>
                <w:szCs w:val="11"/>
                <w:color w:val="auto"/>
              </w:rPr>
            </w:pPr>
          </w:p>
        </w:tc>
        <w:tc>
          <w:tcPr>
            <w:tcW w:w="11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A6A6A6"/>
              <w:bottom w:val="single" w:sz="8" w:color="004483"/>
            </w:tcBorders>
          </w:tcPr>
          <w:p>
            <w:pPr>
              <w:spacing w:after="0"/>
              <w:rPr>
                <w:sz w:val="11"/>
                <w:szCs w:val="11"/>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1"/>
                <w:szCs w:val="11"/>
                <w:color w:val="auto"/>
              </w:rPr>
            </w:pPr>
          </w:p>
        </w:tc>
      </w:tr>
      <w:tr>
        <w:trPr>
          <w:trHeight w:val="133"/>
        </w:trPr>
        <w:tc>
          <w:tcPr>
            <w:tcW w:w="6740" w:type="dxa"/>
            <w:vAlign w:val="bottom"/>
          </w:tcPr>
          <w:p>
            <w:pPr>
              <w:ind w:left="320"/>
              <w:spacing w:after="0"/>
              <w:rPr>
                <w:sz w:val="20"/>
                <w:szCs w:val="20"/>
                <w:color w:val="auto"/>
              </w:rPr>
            </w:pPr>
            <w:r>
              <w:rPr>
                <w:rFonts w:ascii="Arial" w:cs="Arial" w:eastAsia="Arial" w:hAnsi="Arial"/>
                <w:sz w:val="11"/>
                <w:szCs w:val="11"/>
                <w:color w:val="auto"/>
              </w:rPr>
              <w:t>Net Cash Used in Investing Activities</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(21,493)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(15,008)</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(5,746)</w:t>
            </w:r>
          </w:p>
        </w:tc>
      </w:tr>
      <w:tr>
        <w:trPr>
          <w:trHeight w:val="133"/>
        </w:trPr>
        <w:tc>
          <w:tcPr>
            <w:tcW w:w="6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500" w:type="dxa"/>
            <w:vAlign w:val="bottom"/>
            <w:tcBorders>
              <w:top w:val="single" w:sz="8" w:color="004483"/>
              <w:bottom w:val="single" w:sz="8" w:color="A6A6A6"/>
            </w:tcBorders>
          </w:tcPr>
          <w:p>
            <w:pPr>
              <w:spacing w:after="0"/>
              <w:rPr>
                <w:sz w:val="11"/>
                <w:szCs w:val="11"/>
                <w:color w:val="auto"/>
              </w:rPr>
            </w:pPr>
          </w:p>
        </w:tc>
        <w:tc>
          <w:tcPr>
            <w:tcW w:w="78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118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004483"/>
              <w:bottom w:val="single" w:sz="8" w:color="A6A6A6"/>
            </w:tcBorders>
          </w:tcPr>
          <w:p>
            <w:pPr>
              <w:spacing w:after="0"/>
              <w:rPr>
                <w:sz w:val="11"/>
                <w:szCs w:val="11"/>
                <w:color w:val="auto"/>
              </w:rPr>
            </w:pPr>
          </w:p>
        </w:tc>
        <w:tc>
          <w:tcPr>
            <w:tcW w:w="8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Payments on line of credit</w:t>
            </w:r>
          </w:p>
        </w:tc>
        <w:tc>
          <w:tcPr>
            <w:tcW w:w="5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(10,000)</w:t>
            </w: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auto"/>
              </w:rPr>
              <w:t>Distributions of earnings</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(71,000)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(64,500)</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(65,000)</w:t>
            </w: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004483"/>
          </w:tcPr>
          <w:p>
            <w:pPr>
              <w:spacing w:after="0" w:line="20" w:lineRule="exact"/>
              <w:rPr>
                <w:sz w:val="1"/>
                <w:szCs w:val="1"/>
                <w:color w:val="auto"/>
              </w:rPr>
            </w:pPr>
          </w:p>
        </w:tc>
        <w:tc>
          <w:tcPr>
            <w:tcW w:w="11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8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ind w:left="320"/>
              <w:spacing w:after="0"/>
              <w:rPr>
                <w:sz w:val="20"/>
                <w:szCs w:val="20"/>
                <w:color w:val="auto"/>
              </w:rPr>
            </w:pPr>
            <w:r>
              <w:rPr>
                <w:rFonts w:ascii="Arial" w:cs="Arial" w:eastAsia="Arial" w:hAnsi="Arial"/>
                <w:sz w:val="11"/>
                <w:szCs w:val="11"/>
                <w:color w:val="auto"/>
              </w:rPr>
              <w:t>Net Cash Used in Financing Activities</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(71,000)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(64,500)</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20"/>
        </w:trPr>
        <w:tc>
          <w:tcPr>
            <w:tcW w:w="674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20" w:type="dxa"/>
            <w:vAlign w:val="bottom"/>
            <w:shd w:val="clear" w:color="auto" w:fill="004483"/>
          </w:tcPr>
          <w:p>
            <w:pPr>
              <w:spacing w:after="0" w:line="20" w:lineRule="exact"/>
              <w:rPr>
                <w:sz w:val="1"/>
                <w:szCs w:val="1"/>
                <w:color w:val="auto"/>
              </w:rPr>
            </w:pPr>
          </w:p>
        </w:tc>
        <w:tc>
          <w:tcPr>
            <w:tcW w:w="11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004483"/>
          </w:tcPr>
          <w:p>
            <w:pPr>
              <w:spacing w:after="0" w:line="20" w:lineRule="exact"/>
              <w:rPr>
                <w:sz w:val="1"/>
                <w:szCs w:val="1"/>
                <w:color w:val="auto"/>
              </w:rPr>
            </w:pPr>
          </w:p>
        </w:tc>
        <w:tc>
          <w:tcPr>
            <w:tcW w:w="8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740" w:type="dxa"/>
            <w:vAlign w:val="bottom"/>
          </w:tcPr>
          <w:p>
            <w:pPr>
              <w:spacing w:after="0"/>
              <w:rPr>
                <w:sz w:val="20"/>
                <w:szCs w:val="20"/>
                <w:color w:val="auto"/>
              </w:rPr>
            </w:pPr>
            <w:r>
              <w:rPr>
                <w:rFonts w:ascii="Arial" w:cs="Arial" w:eastAsia="Arial" w:hAnsi="Arial"/>
                <w:sz w:val="11"/>
                <w:szCs w:val="11"/>
                <w:b w:val="1"/>
                <w:bCs w:val="1"/>
                <w:color w:val="auto"/>
              </w:rPr>
              <w:t>NET INCREASE (DECREASE) IN CASH AND CASH EQUIVALENTS</w:t>
            </w:r>
          </w:p>
        </w:tc>
        <w:tc>
          <w:tcPr>
            <w:tcW w:w="5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(106)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5,367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(123)</w:t>
            </w:r>
          </w:p>
        </w:tc>
      </w:tr>
      <w:tr>
        <w:trPr>
          <w:trHeight w:val="133"/>
        </w:trPr>
        <w:tc>
          <w:tcPr>
            <w:tcW w:w="6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AT BEGINNING OF YEAR</w:t>
            </w:r>
          </w:p>
        </w:tc>
        <w:tc>
          <w:tcPr>
            <w:tcW w:w="50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5,737</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004483"/>
            </w:tcBorders>
          </w:tcPr>
          <w:p>
            <w:pPr>
              <w:spacing w:after="0"/>
              <w:rPr>
                <w:sz w:val="11"/>
                <w:szCs w:val="11"/>
                <w:color w:val="auto"/>
              </w:rPr>
            </w:pPr>
          </w:p>
        </w:tc>
        <w:tc>
          <w:tcPr>
            <w:tcW w:w="11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370</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00" w:type="dxa"/>
            <w:vAlign w:val="bottom"/>
            <w:tcBorders>
              <w:top w:val="single" w:sz="8" w:color="A6A6A6"/>
              <w:bottom w:val="single" w:sz="8" w:color="004483"/>
            </w:tcBorders>
          </w:tcPr>
          <w:p>
            <w:pPr>
              <w:spacing w:after="0"/>
              <w:rPr>
                <w:sz w:val="11"/>
                <w:szCs w:val="11"/>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r>
      <w:tr>
        <w:trPr>
          <w:trHeight w:val="142"/>
        </w:trPr>
        <w:tc>
          <w:tcPr>
            <w:tcW w:w="6740" w:type="dxa"/>
            <w:vAlign w:val="bottom"/>
          </w:tcPr>
          <w:p>
            <w:pPr>
              <w:spacing w:after="0"/>
              <w:rPr>
                <w:sz w:val="20"/>
                <w:szCs w:val="20"/>
                <w:color w:val="auto"/>
              </w:rPr>
            </w:pPr>
            <w:r>
              <w:rPr>
                <w:rFonts w:ascii="Arial" w:cs="Arial" w:eastAsia="Arial" w:hAnsi="Arial"/>
                <w:sz w:val="11"/>
                <w:szCs w:val="11"/>
                <w:b w:val="1"/>
                <w:bCs w:val="1"/>
                <w:color w:val="auto"/>
              </w:rPr>
              <w:t>CASH AND CASH EQUIVALENTS AT END OF YEAR</w:t>
            </w:r>
          </w:p>
        </w:tc>
        <w:tc>
          <w:tcPr>
            <w:tcW w:w="500" w:type="dxa"/>
            <w:vAlign w:val="bottom"/>
            <w:tcBorders>
              <w:bottom w:val="single" w:sz="8" w:color="004483"/>
            </w:tcBorders>
          </w:tcPr>
          <w:p>
            <w:pPr>
              <w:jc w:val="right"/>
              <w:ind w:right="43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5,631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004483"/>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5,737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004483"/>
            </w:tcBorders>
          </w:tcPr>
          <w:p>
            <w:pPr>
              <w:jc w:val="right"/>
              <w:ind w:right="433"/>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370</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Texas Lehigh Cement Company 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thousands)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ORGANIZATION</w:t>
      </w:r>
    </w:p>
    <w:p>
      <w:pPr>
        <w:spacing w:after="0" w:line="102"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Texas Lehigh Cement Company (“Texas Lehigh” or the “Company”), was formed on June 27, 1986 as a Texas general partnership to operate a cement plant near Austin, Texas. Texas Lehigh was a fifty-fifty joint venture between Texas Cement Company (“TCC”), a wholly owned subsidiary of Eagle Materials, Inc. (“EXP”, formerly known as Centex Construction Products, Inc.), and Lehigh Portland Cement Company (“Lehigh”). On October 1, 2000, the existing Texas general partnership was converted to a Texas limited partnership. Subsequent to the limited partnership formation, TCC and Lehigh each contributed a 0.1% interest to a general partner, TLCC GP LLC and Lehigh Portland Holdings, LLC, and a 49.9% interest to a limited partner, TLCC LP LLC and Lehigh Portland Investments, LLC. The conversion and subsequent contributions were done to afford the former partners additional liability protection. Texas Lehigh Cement Company LP continues to do business as “Texas Lehigh Cement Company”.</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2"/>
          <w:szCs w:val="12"/>
          <w:color w:val="auto"/>
        </w:rPr>
        <w:t>TCC’s initial capital contribution consisted of a cement plant and related real property located in Buda, Texas; four distribution terminals; various operating agreements, licenses, and excavation rights; and net working capital as specified in the joint venture agreement. Lehigh’s initial capital contribution consisted of a distribution terminal and related operating agreements, licenses, inventory, and cash.</w:t>
      </w:r>
    </w:p>
    <w:p>
      <w:pPr>
        <w:spacing w:after="0" w:line="59"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In September 2006, Texas Lehigh paid $24.5 million for a 15% interest in Houston Cement Company (“HCC”), a joint venture. HCC operates two terminals in Houston, Texas. Under the terms of the joint venture agreement, Texas Lehigh is entitled to sell up to 495 thousand short tons from the terminals each year. Due to a number of factors, namely the shared risks and rights under the joint venture agreement, it was determined Texas Lehigh holds significant influence over HCC and therefore accounts for its investment in HCC using the equity method.</w:t>
      </w:r>
    </w:p>
    <w:p>
      <w:pPr>
        <w:spacing w:after="0" w:line="64" w:lineRule="exact"/>
        <w:rPr>
          <w:sz w:val="20"/>
          <w:szCs w:val="20"/>
          <w:color w:val="auto"/>
        </w:rPr>
      </w:pPr>
    </w:p>
    <w:p>
      <w:pPr>
        <w:ind w:right="660"/>
        <w:spacing w:after="0" w:line="277" w:lineRule="auto"/>
        <w:rPr>
          <w:sz w:val="20"/>
          <w:szCs w:val="20"/>
          <w:color w:val="auto"/>
        </w:rPr>
      </w:pPr>
      <w:r>
        <w:rPr>
          <w:rFonts w:ascii="Arial" w:cs="Arial" w:eastAsia="Arial" w:hAnsi="Arial"/>
          <w:sz w:val="12"/>
          <w:szCs w:val="12"/>
          <w:color w:val="auto"/>
        </w:rPr>
        <w:t>We evaluated all events or transactions that occurred after December 31, 2020 up through April 23, 2021, the date we issued these financial statements. During this period, we did not have any material recognizable subsequent events.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PRODUCTS AND MARKETS</w:t>
      </w:r>
    </w:p>
    <w:p>
      <w:pPr>
        <w:spacing w:after="0" w:line="93"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Texas Lehigh is a cement company engaged in the production, distribution, and sale of Portland cement, which is the essential binding ingredient in concrete. Texas Lehigh services the construction and oil and gas extraction industries in the Texas region through our manufacturing facility in Buda, Texas and our distribution terminals in Waco, Roanoke, Corpus Christi, and Houston. Texas Lehigh also owns a minority interest in Houston Cement Company through which we provide cement to the Houston market.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 RECENT ACCOUNTING PRONOUNCEMENTS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Adopted</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February 2016, the Financial Accounting Standards Board (FASB) issued ASU 2016-02, “Leases,” which supersedes existing lease guidance to require lessees to recognize assets and liabilities on the balance sheet for the rights and obligations created by long-term leases and to disclose additional quantitative and qualitative information about leasing arrangements. We adopted the standard on January 1, 2019 using the modified retrospective approach. We also elected the package of practical expedients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6" w:right="299" w:bottom="1440" w:gutter="0" w:footer="0" w:header="0"/>
        </w:sectPr>
      </w:pPr>
    </w:p>
    <w:bookmarkStart w:id="106" w:name="page107"/>
    <w:bookmarkEnd w:id="106"/>
    <w:p>
      <w:pPr>
        <w:jc w:val="both"/>
        <w:ind w:left="8"/>
        <w:spacing w:after="0" w:line="271" w:lineRule="auto"/>
        <w:rPr>
          <w:sz w:val="20"/>
          <w:szCs w:val="20"/>
          <w:color w:val="auto"/>
        </w:rPr>
      </w:pPr>
      <w:r>
        <w:rPr>
          <w:rFonts w:ascii="Arial" w:cs="Arial" w:eastAsia="Arial" w:hAnsi="Arial"/>
          <w:sz w:val="12"/>
          <w:szCs w:val="12"/>
          <w:color w:val="auto"/>
        </w:rPr>
        <w:t>permitted under the transition guidance which, among other things, allowed us to maintain the historic lease classification for leases in effect at the date of adoption, and to not separate lease components from nonlease components for all leases in effect at the date of adoption. Upon adoption, we recorded a right-of-use asset of approximately $8.1 million, and operating lease liabilities of approximately $8.0 million. See Footnote (H) for more information.</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Pending Adoption</w:t>
      </w:r>
    </w:p>
    <w:p>
      <w:pPr>
        <w:spacing w:after="0" w:line="99" w:lineRule="exact"/>
        <w:rPr>
          <w:sz w:val="20"/>
          <w:szCs w:val="20"/>
          <w:color w:val="auto"/>
        </w:rPr>
      </w:pPr>
    </w:p>
    <w:p>
      <w:pPr>
        <w:ind w:left="8" w:right="20"/>
        <w:spacing w:after="0" w:line="269" w:lineRule="auto"/>
        <w:rPr>
          <w:sz w:val="20"/>
          <w:szCs w:val="20"/>
          <w:color w:val="auto"/>
        </w:rPr>
      </w:pPr>
      <w:r>
        <w:rPr>
          <w:rFonts w:ascii="Arial" w:cs="Arial" w:eastAsia="Arial" w:hAnsi="Arial"/>
          <w:sz w:val="12"/>
          <w:szCs w:val="12"/>
          <w:color w:val="auto"/>
        </w:rPr>
        <w:t>In June 2016, the FASB issued an update on the measurement of credit losses on financial instruments, which requires entities to use a forward-looking approach based on expected losses rather than the current model of incurred losses to estimate credit losses on certain types of financial instruments, including Accounts and Notes Receivable. The application of the forward-looking model may result in earlier recognition of allowances for losses than the current method. This guidance becomes effective for us on January 1, 2023, with early adoption permitted. We are currently assessing the impact of the new standard, but we do not expect the adoption will have a material effect on our financial statements and disclosures.</w:t>
      </w:r>
    </w:p>
    <w:p>
      <w:pPr>
        <w:spacing w:after="0" w:line="111"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ACCOUNTING POLICIES</w:t>
      </w:r>
    </w:p>
    <w:p>
      <w:pPr>
        <w:spacing w:after="0" w:line="81" w:lineRule="exact"/>
        <w:rPr>
          <w:rFonts w:ascii="Arial" w:cs="Arial" w:eastAsia="Arial" w:hAnsi="Arial"/>
          <w:sz w:val="13"/>
          <w:szCs w:val="13"/>
          <w:b w:val="1"/>
          <w:bCs w:val="1"/>
          <w:color w:val="auto"/>
        </w:rPr>
      </w:pPr>
    </w:p>
    <w:p>
      <w:pPr>
        <w:ind w:left="8"/>
        <w:spacing w:after="0"/>
        <w:rPr>
          <w:rFonts w:ascii="Arial" w:cs="Arial" w:eastAsia="Arial" w:hAnsi="Arial"/>
          <w:sz w:val="13"/>
          <w:szCs w:val="13"/>
          <w:b w:val="1"/>
          <w:bCs w:val="1"/>
          <w:color w:val="auto"/>
        </w:rPr>
      </w:pPr>
      <w:r>
        <w:rPr>
          <w:rFonts w:ascii="Arial" w:cs="Arial" w:eastAsia="Arial" w:hAnsi="Arial"/>
          <w:sz w:val="12"/>
          <w:szCs w:val="12"/>
          <w:i w:val="1"/>
          <w:iCs w:val="1"/>
          <w:color w:val="auto"/>
        </w:rPr>
        <w:t>Cash and Cash Equivalents-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and cash equivalents include investments with original maturities of three months or less. The carrying amount approximates fair value due to the short maturity of those investments.</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Inventories-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Inventories are valued at the lower of average cost or net realizable value. Cement and materials-in-process include materials, labor, and manufacturing overhead.</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Concentration of Risk -</w:t>
      </w:r>
    </w:p>
    <w:p>
      <w:pPr>
        <w:spacing w:after="0" w:line="99" w:lineRule="exact"/>
        <w:rPr>
          <w:sz w:val="20"/>
          <w:szCs w:val="20"/>
          <w:color w:val="auto"/>
        </w:rPr>
      </w:pPr>
    </w:p>
    <w:p>
      <w:pPr>
        <w:ind w:left="8" w:right="200"/>
        <w:spacing w:after="0" w:line="277" w:lineRule="auto"/>
        <w:rPr>
          <w:sz w:val="20"/>
          <w:szCs w:val="20"/>
          <w:color w:val="auto"/>
        </w:rPr>
      </w:pPr>
      <w:r>
        <w:rPr>
          <w:rFonts w:ascii="Arial" w:cs="Arial" w:eastAsia="Arial" w:hAnsi="Arial"/>
          <w:sz w:val="12"/>
          <w:szCs w:val="12"/>
          <w:color w:val="auto"/>
        </w:rPr>
        <w:t>One customer accounted for 16.1%, 12.4% and 13% of cement sales in 2020, 2019, and 2018, respectively, and 10.8% and 7.6% of accounts receivable at December 31, 2020 and 2019, respectively. No other customer accounted for more than 10% of cement sales during the three years presented.</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Property, Plant, and Equipment -</w:t>
      </w:r>
    </w:p>
    <w:p>
      <w:pPr>
        <w:spacing w:after="0" w:line="99" w:lineRule="exact"/>
        <w:rPr>
          <w:sz w:val="20"/>
          <w:szCs w:val="20"/>
          <w:color w:val="auto"/>
        </w:rPr>
      </w:pPr>
    </w:p>
    <w:p>
      <w:pPr>
        <w:jc w:val="both"/>
        <w:ind w:left="8" w:right="340"/>
        <w:spacing w:after="0" w:line="269" w:lineRule="auto"/>
        <w:rPr>
          <w:sz w:val="20"/>
          <w:szCs w:val="20"/>
          <w:color w:val="auto"/>
        </w:rPr>
      </w:pPr>
      <w:r>
        <w:rPr>
          <w:rFonts w:ascii="Arial" w:cs="Arial" w:eastAsia="Arial" w:hAnsi="Arial"/>
          <w:sz w:val="12"/>
          <w:szCs w:val="12"/>
          <w:color w:val="auto"/>
        </w:rPr>
        <w:t>Property, plant, and equipment are stated at cost. Texas Lehigh’s policy is to capitalize renewals and betterments and to expense repairs and maintenance when incurred. The cost and related accumulated depreciation of assets sold or retired are removed from the financial statements, and any gain or loss is recorded in other income (expense) on the statement of earnings. Texas Lehigh periodically evaluates whether current events or circumstances indicate that the carrying value of its depreciable assets may not be recoverable. At December 31, 2020 and 2019, management believes no events or circumstances indicate that the carrying value may not be recoverable.</w:t>
      </w: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2" w:right="2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i w:val="1"/>
          <w:iCs w:val="1"/>
          <w:color w:val="auto"/>
        </w:rPr>
        <w:t>Depreciation and Depletion-</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Depreciation is computed on a straight-line basis over the estimated useful lives of the related assets, which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Cement plant</w:t>
            </w:r>
          </w:p>
        </w:tc>
        <w:tc>
          <w:tcPr>
            <w:tcW w:w="3460" w:type="dxa"/>
            <w:vAlign w:val="bottom"/>
            <w:tcBorders>
              <w:top w:val="single" w:sz="8" w:color="004483"/>
              <w:bottom w:val="single" w:sz="8" w:color="A6A6A6"/>
            </w:tcBorders>
          </w:tcPr>
          <w:p>
            <w:pPr>
              <w:ind w:left="1440"/>
              <w:spacing w:after="0"/>
              <w:rPr>
                <w:sz w:val="20"/>
                <w:szCs w:val="20"/>
                <w:color w:val="auto"/>
              </w:rPr>
            </w:pPr>
            <w:r>
              <w:rPr>
                <w:rFonts w:ascii="Arial" w:cs="Arial" w:eastAsia="Arial" w:hAnsi="Arial"/>
                <w:sz w:val="11"/>
                <w:szCs w:val="11"/>
                <w:color w:val="auto"/>
              </w:rPr>
              <w:t>5 to 30 years</w:t>
            </w:r>
          </w:p>
        </w:tc>
      </w:tr>
      <w:tr>
        <w:trPr>
          <w:trHeight w:val="133"/>
        </w:trPr>
        <w:tc>
          <w:tcPr>
            <w:tcW w:w="78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Mobile equipment and other</w:t>
            </w:r>
          </w:p>
        </w:tc>
        <w:tc>
          <w:tcPr>
            <w:tcW w:w="3460" w:type="dxa"/>
            <w:vAlign w:val="bottom"/>
            <w:tcBorders>
              <w:bottom w:val="single" w:sz="8" w:color="A6A6A6"/>
            </w:tcBorders>
          </w:tcPr>
          <w:p>
            <w:pPr>
              <w:ind w:left="1440"/>
              <w:spacing w:after="0"/>
              <w:rPr>
                <w:sz w:val="20"/>
                <w:szCs w:val="20"/>
                <w:color w:val="auto"/>
              </w:rPr>
            </w:pPr>
            <w:r>
              <w:rPr>
                <w:rFonts w:ascii="Arial" w:cs="Arial" w:eastAsia="Arial" w:hAnsi="Arial"/>
                <w:sz w:val="11"/>
                <w:szCs w:val="11"/>
                <w:color w:val="auto"/>
              </w:rPr>
              <w:t>2 to 10 years</w:t>
            </w:r>
          </w:p>
        </w:tc>
      </w:tr>
      <w:tr>
        <w:trPr>
          <w:trHeight w:val="216"/>
        </w:trPr>
        <w:tc>
          <w:tcPr>
            <w:tcW w:w="7840" w:type="dxa"/>
            <w:vAlign w:val="bottom"/>
          </w:tcPr>
          <w:p>
            <w:pPr>
              <w:spacing w:after="0"/>
              <w:rPr>
                <w:sz w:val="20"/>
                <w:szCs w:val="20"/>
                <w:color w:val="auto"/>
              </w:rPr>
            </w:pPr>
            <w:r>
              <w:rPr>
                <w:rFonts w:ascii="Arial" w:cs="Arial" w:eastAsia="Arial" w:hAnsi="Arial"/>
                <w:sz w:val="12"/>
                <w:szCs w:val="12"/>
                <w:color w:val="auto"/>
              </w:rPr>
              <w:t>Raw material deposits are depleted as such deposits are extracted for production utilizing the units-of-production method.</w:t>
            </w:r>
          </w:p>
        </w:tc>
        <w:tc>
          <w:tcPr>
            <w:tcW w:w="3460" w:type="dxa"/>
            <w:vAlign w:val="bottom"/>
          </w:tcPr>
          <w:p>
            <w:pPr>
              <w:spacing w:after="0"/>
              <w:rPr>
                <w:sz w:val="18"/>
                <w:szCs w:val="18"/>
                <w:color w:val="auto"/>
              </w:rPr>
            </w:pPr>
          </w:p>
        </w:tc>
      </w:tr>
      <w:tr>
        <w:trPr>
          <w:trHeight w:val="225"/>
        </w:trPr>
        <w:tc>
          <w:tcPr>
            <w:tcW w:w="7840" w:type="dxa"/>
            <w:vAlign w:val="bottom"/>
          </w:tcPr>
          <w:p>
            <w:pPr>
              <w:spacing w:after="0"/>
              <w:rPr>
                <w:sz w:val="20"/>
                <w:szCs w:val="20"/>
                <w:color w:val="auto"/>
              </w:rPr>
            </w:pPr>
            <w:r>
              <w:rPr>
                <w:rFonts w:ascii="Arial" w:cs="Arial" w:eastAsia="Arial" w:hAnsi="Arial"/>
                <w:sz w:val="12"/>
                <w:szCs w:val="12"/>
                <w:i w:val="1"/>
                <w:iCs w:val="1"/>
                <w:color w:val="auto"/>
              </w:rPr>
              <w:t>Revenue Recognition -</w:t>
            </w:r>
          </w:p>
        </w:tc>
        <w:tc>
          <w:tcPr>
            <w:tcW w:w="3460" w:type="dxa"/>
            <w:vAlign w:val="bottom"/>
          </w:tcPr>
          <w:p>
            <w:pPr>
              <w:spacing w:after="0"/>
              <w:rPr>
                <w:sz w:val="19"/>
                <w:szCs w:val="19"/>
                <w:color w:val="auto"/>
              </w:rPr>
            </w:pPr>
          </w:p>
        </w:tc>
      </w:tr>
    </w:tbl>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Texas Lehigh earns revenue primarily from the sale of cement to third-party contractors and suppliers. Customers are invoiced upon shipment. Revenue from the sale of cement that is not related to long-term supply agreements is recognized upon shipment to the customer, which is when title and ownership are transferred and the customer is obligated to pay.</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Revenue from sales under long-term supply agreements is also recognized upon transfer of control to the customer, which generally occurs at the time the product is shipped from the production or distribution facility.</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Federal Income Taxes -</w:t>
      </w:r>
    </w:p>
    <w:p>
      <w:pPr>
        <w:spacing w:after="0" w:line="99"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No federal income taxes are payable by Texas Lehigh, and none have been provided for in the accompanying financial statements. The partners include their respective share of Company income or loss in their respective tax returns. Texas Lehigh is subject to Texas margin tax on its gross margin earned in Texas.</w:t>
      </w:r>
    </w:p>
    <w:p>
      <w:pPr>
        <w:spacing w:after="0" w:line="59"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Texas Lehigh’s tax return and the amount of allocable Company income or losses are subject to examination by federal and state taxing authorities. If such examinations result in changes to Company income or losses, the tax liability of the partners could be changed accordingly. No such examinations are presently in process.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Shipping and Handling Fees and Costs -</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Texas Lehigh classifies its freight revenue as sales and freight cost as cost of goods sold. Freight costs of $10.4 million, $14.8 million, and $12.7 million were included in cost of goods sold in 2020, 2019, and 2018, respectively. The Company has elected to treat freight and delivery charges paid for the delivery of goods to our customers as a fulfilment activity rather than a separate performance obligation.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Use of Estimates-</w:t>
      </w:r>
    </w:p>
    <w:p>
      <w:pPr>
        <w:spacing w:after="0" w:line="99"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Actual results could differ from these estimates.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Accumulated Other Comprehensive Loss -</w:t>
      </w:r>
    </w:p>
    <w:p>
      <w:pPr>
        <w:spacing w:after="0" w:line="99"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As of December 31, 2020, Texas Lehigh has an accumulated comprehensive loss of $3.9 million in connection with recognizing the difference between the fair value of the pension assets and the projected benefit obligation. This amount is excluded from earnings and reported as a component of partners’ capital.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70" w:right="2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i w:val="1"/>
          <w:iCs w:val="1"/>
          <w:color w:val="auto"/>
        </w:rPr>
        <w:t>Fair Value Measures-</w:t>
      </w:r>
    </w:p>
    <w:p>
      <w:pPr>
        <w:spacing w:after="0" w:line="99"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Certain assets are required to be recorded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6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Level 1 – Quoted prices for identical assets and liabilities in active markets;</w:t>
      </w:r>
    </w:p>
    <w:p>
      <w:pPr>
        <w:spacing w:after="0" w:line="87" w:lineRule="exact"/>
        <w:rPr>
          <w:sz w:val="20"/>
          <w:szCs w:val="20"/>
          <w:color w:val="auto"/>
        </w:rPr>
      </w:pPr>
    </w:p>
    <w:p>
      <w:pPr>
        <w:ind w:left="580" w:right="200"/>
        <w:spacing w:after="0" w:line="277" w:lineRule="auto"/>
        <w:rPr>
          <w:sz w:val="20"/>
          <w:szCs w:val="20"/>
          <w:color w:val="auto"/>
        </w:rPr>
      </w:pPr>
      <w:r>
        <w:rPr>
          <w:rFonts w:ascii="Arial" w:cs="Arial" w:eastAsia="Arial" w:hAnsi="Arial"/>
          <w:sz w:val="12"/>
          <w:szCs w:val="12"/>
          <w:color w:val="auto"/>
        </w:rPr>
        <w:t>Level 2 –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59" w:lineRule="exact"/>
        <w:rPr>
          <w:sz w:val="20"/>
          <w:szCs w:val="20"/>
          <w:color w:val="auto"/>
        </w:rPr>
      </w:pPr>
    </w:p>
    <w:p>
      <w:pPr>
        <w:ind w:left="580" w:right="160"/>
        <w:spacing w:after="0" w:line="277" w:lineRule="auto"/>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CASH FLOW INFORMATION - SUPPLEMENTAL</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Cash payments made for interest were $0.1 million in 2018. There were no cash payments made for interest in 2020 and 2019.</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PURCHASED CEMENT</w:t>
      </w:r>
    </w:p>
    <w:p>
      <w:pPr>
        <w:spacing w:after="0" w:line="102"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Texas Lehigh purchases cement for resale primarily in the Houston, Texas market. Sales of purchased cement were $63.3 million, $61.0 million, and $49.3 million, and cost of sales was $39.9 million, $41.7 million, and $33.3 million for 2020, 2019, and 2018,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ACCRUED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Accrued liabilities at December 31, 2020 and 2019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2020" w:type="dxa"/>
            <w:vAlign w:val="bottom"/>
            <w:gridSpan w:val="4"/>
            <w:shd w:val="clear" w:color="auto" w:fill="004483"/>
          </w:tcPr>
          <w:p>
            <w:pPr>
              <w:jc w:val="right"/>
              <w:ind w:right="473"/>
              <w:spacing w:after="0"/>
              <w:rPr>
                <w:sz w:val="20"/>
                <w:szCs w:val="20"/>
                <w:color w:val="auto"/>
              </w:rPr>
            </w:pPr>
            <w:r>
              <w:rPr>
                <w:rFonts w:ascii="Arial" w:cs="Arial" w:eastAsia="Arial" w:hAnsi="Arial"/>
                <w:sz w:val="8"/>
                <w:szCs w:val="8"/>
                <w:b w:val="1"/>
                <w:bCs w:val="1"/>
                <w:color w:val="FFFFFF"/>
              </w:rPr>
              <w:t>Year ended December 31,</w:t>
            </w:r>
          </w:p>
        </w:tc>
        <w:tc>
          <w:tcPr>
            <w:tcW w:w="7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2020" w:type="dxa"/>
            <w:vAlign w:val="bottom"/>
            <w:tcBorders>
              <w:bottom w:val="single" w:sz="8" w:color="004483"/>
            </w:tcBorders>
            <w:gridSpan w:val="4"/>
          </w:tcPr>
          <w:p>
            <w:pPr>
              <w:jc w:val="right"/>
              <w:ind w:right="573"/>
              <w:spacing w:after="0"/>
              <w:rPr>
                <w:sz w:val="20"/>
                <w:szCs w:val="20"/>
                <w:color w:val="auto"/>
              </w:rPr>
            </w:pPr>
            <w:r>
              <w:rPr>
                <w:rFonts w:ascii="Arial" w:cs="Arial" w:eastAsia="Arial" w:hAnsi="Arial"/>
                <w:sz w:val="8"/>
                <w:szCs w:val="8"/>
                <w:color w:val="auto"/>
              </w:rPr>
              <w:t>(dollars in thousands)</w:t>
            </w:r>
          </w:p>
        </w:tc>
        <w:tc>
          <w:tcPr>
            <w:tcW w:w="7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Payroll and incentive compensation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2,283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ind w:right="73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2,154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Benefits and insurance</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557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taxes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2,477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2,462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004483"/>
            </w:tcBorders>
          </w:tcPr>
          <w:p>
            <w:pPr>
              <w:spacing w:after="0"/>
              <w:rPr>
                <w:sz w:val="11"/>
                <w:szCs w:val="11"/>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929</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6,071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004483"/>
            </w:tcBorders>
          </w:tcPr>
          <w:p>
            <w:pPr>
              <w:jc w:val="right"/>
              <w:ind w:right="733"/>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6,093</w:t>
            </w:r>
          </w:p>
        </w:tc>
        <w:tc>
          <w:tcPr>
            <w:tcW w:w="120" w:type="dxa"/>
            <w:vAlign w:val="bottom"/>
          </w:tcPr>
          <w:p>
            <w:pPr>
              <w:spacing w:after="0"/>
              <w:rPr>
                <w:sz w:val="12"/>
                <w:szCs w:val="12"/>
                <w:color w:val="auto"/>
              </w:rPr>
            </w:pPr>
          </w:p>
        </w:tc>
      </w:tr>
    </w:tbl>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(H) LEASES</w:t>
      </w:r>
    </w:p>
    <w:p>
      <w:pPr>
        <w:spacing w:after="0" w:line="102"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We lease certain real estate and equipment, including rail cars. Certain of these leases contain escalations of rent over the term of the lease, as well as options for us to extend the term of the lease at the end of the original term. These extensions are generally for five-year periods.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These short-term equipment leases are not recorded on the balance sheet.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70" w:right="29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color w:val="auto"/>
        </w:rPr>
        <w:t>Lease expense for our operating and short-term leases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540" w:type="dxa"/>
            <w:vAlign w:val="bottom"/>
          </w:tcPr>
          <w:p>
            <w:pPr>
              <w:spacing w:after="0"/>
              <w:rPr>
                <w:sz w:val="11"/>
                <w:szCs w:val="11"/>
                <w:color w:val="auto"/>
              </w:rPr>
            </w:pPr>
          </w:p>
        </w:tc>
        <w:tc>
          <w:tcPr>
            <w:tcW w:w="100" w:type="dxa"/>
            <w:vAlign w:val="bottom"/>
            <w:shd w:val="clear" w:color="auto" w:fill="004483"/>
          </w:tcPr>
          <w:p>
            <w:pPr>
              <w:spacing w:after="0"/>
              <w:rPr>
                <w:sz w:val="11"/>
                <w:szCs w:val="11"/>
                <w:color w:val="auto"/>
              </w:rPr>
            </w:pPr>
          </w:p>
        </w:tc>
        <w:tc>
          <w:tcPr>
            <w:tcW w:w="660" w:type="dxa"/>
            <w:vAlign w:val="bottom"/>
            <w:shd w:val="clear" w:color="auto" w:fill="004483"/>
          </w:tcPr>
          <w:p>
            <w:pPr>
              <w:spacing w:after="0"/>
              <w:rPr>
                <w:sz w:val="11"/>
                <w:szCs w:val="11"/>
                <w:color w:val="auto"/>
              </w:rPr>
            </w:pPr>
          </w:p>
        </w:tc>
        <w:tc>
          <w:tcPr>
            <w:tcW w:w="3000" w:type="dxa"/>
            <w:vAlign w:val="bottom"/>
            <w:gridSpan w:val="7"/>
            <w:shd w:val="clear" w:color="auto" w:fill="004483"/>
          </w:tcPr>
          <w:p>
            <w:pPr>
              <w:jc w:val="right"/>
              <w:ind w:right="1480"/>
              <w:spacing w:after="0"/>
              <w:rPr>
                <w:sz w:val="20"/>
                <w:szCs w:val="20"/>
                <w:color w:val="auto"/>
              </w:rPr>
            </w:pPr>
            <w:r>
              <w:rPr>
                <w:rFonts w:ascii="Arial" w:cs="Arial" w:eastAsia="Arial" w:hAnsi="Arial"/>
                <w:sz w:val="8"/>
                <w:szCs w:val="8"/>
                <w:b w:val="1"/>
                <w:bCs w:val="1"/>
                <w:color w:val="FFFFFF"/>
              </w:rPr>
              <w:t>Year ended December 31,</w:t>
            </w:r>
          </w:p>
        </w:tc>
        <w:tc>
          <w:tcPr>
            <w:tcW w:w="0" w:type="dxa"/>
            <w:vAlign w:val="bottom"/>
          </w:tcPr>
          <w:p>
            <w:pPr>
              <w:spacing w:after="0"/>
              <w:rPr>
                <w:sz w:val="1"/>
                <w:szCs w:val="1"/>
                <w:color w:val="auto"/>
              </w:rPr>
            </w:pPr>
          </w:p>
        </w:tc>
      </w:tr>
      <w:tr>
        <w:trPr>
          <w:trHeight w:val="153"/>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8"/>
                <w:szCs w:val="8"/>
                <w:b w:val="1"/>
                <w:bCs w:val="1"/>
                <w:color w:val="auto"/>
              </w:rPr>
              <w:t>2020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754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480" w:type="dxa"/>
            <w:vAlign w:val="bottom"/>
            <w:tcBorders>
              <w:bottom w:val="single" w:sz="8" w:color="004483"/>
            </w:tcBorders>
            <w:gridSpan w:val="5"/>
          </w:tcPr>
          <w:p>
            <w:pPr>
              <w:jc w:val="right"/>
              <w:ind w:right="60"/>
              <w:spacing w:after="0"/>
              <w:rPr>
                <w:sz w:val="20"/>
                <w:szCs w:val="20"/>
                <w:color w:val="auto"/>
              </w:rPr>
            </w:pPr>
            <w:r>
              <w:rPr>
                <w:rFonts w:ascii="Arial" w:cs="Arial" w:eastAsia="Arial" w:hAnsi="Arial"/>
                <w:sz w:val="8"/>
                <w:szCs w:val="8"/>
                <w:color w:val="auto"/>
              </w:rPr>
              <w:t>(dollars in thousands)</w:t>
            </w:r>
          </w:p>
        </w:tc>
        <w:tc>
          <w:tcPr>
            <w:tcW w:w="1380" w:type="dxa"/>
            <w:vAlign w:val="bottom"/>
            <w:tcBorders>
              <w:bottom w:val="single" w:sz="8" w:color="004483"/>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7540" w:type="dxa"/>
            <w:vAlign w:val="bottom"/>
          </w:tcPr>
          <w:p>
            <w:pPr>
              <w:spacing w:after="0"/>
              <w:rPr>
                <w:sz w:val="20"/>
                <w:szCs w:val="20"/>
                <w:color w:val="auto"/>
              </w:rPr>
            </w:pPr>
            <w:r>
              <w:rPr>
                <w:rFonts w:ascii="Arial" w:cs="Arial" w:eastAsia="Arial" w:hAnsi="Arial"/>
                <w:sz w:val="11"/>
                <w:szCs w:val="11"/>
                <w:color w:val="auto"/>
              </w:rPr>
              <w:t>Operating Lease Cost</w:t>
            </w:r>
          </w:p>
        </w:tc>
        <w:tc>
          <w:tcPr>
            <w:tcW w:w="100" w:type="dxa"/>
            <w:vAlign w:val="bottom"/>
          </w:tcPr>
          <w:p>
            <w:pPr>
              <w:jc w:val="right"/>
              <w:ind w:right="20"/>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1,235</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1,933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Short-term Lease Cost</w:t>
            </w:r>
          </w:p>
        </w:tc>
        <w:tc>
          <w:tcPr>
            <w:tcW w:w="100" w:type="dxa"/>
            <w:vAlign w:val="bottom"/>
            <w:tcBorders>
              <w:top w:val="single" w:sz="8" w:color="A6A6A6"/>
              <w:bottom w:val="single" w:sz="8" w:color="004483"/>
            </w:tcBorders>
          </w:tcPr>
          <w:p>
            <w:pPr>
              <w:spacing w:after="0"/>
              <w:rPr>
                <w:sz w:val="12"/>
                <w:szCs w:val="12"/>
                <w:color w:val="auto"/>
              </w:rPr>
            </w:pPr>
          </w:p>
        </w:tc>
        <w:tc>
          <w:tcPr>
            <w:tcW w:w="660" w:type="dxa"/>
            <w:vAlign w:val="bottom"/>
            <w:tcBorders>
              <w:top w:val="single" w:sz="8" w:color="A6A6A6"/>
              <w:bottom w:val="single" w:sz="8" w:color="004483"/>
            </w:tcBorders>
          </w:tcPr>
          <w:p>
            <w:pPr>
              <w:spacing w:after="0"/>
              <w:rPr>
                <w:sz w:val="12"/>
                <w:szCs w:val="12"/>
                <w:color w:val="auto"/>
              </w:rPr>
            </w:pPr>
          </w:p>
        </w:tc>
        <w:tc>
          <w:tcPr>
            <w:tcW w:w="1060" w:type="dxa"/>
            <w:vAlign w:val="bottom"/>
            <w:tcBorders>
              <w:top w:val="single" w:sz="8" w:color="A6A6A6"/>
              <w:bottom w:val="single" w:sz="8" w:color="004483"/>
            </w:tcBorders>
            <w:gridSpan w:val="2"/>
          </w:tcPr>
          <w:p>
            <w:pPr>
              <w:jc w:val="right"/>
              <w:spacing w:after="0"/>
              <w:rPr>
                <w:sz w:val="20"/>
                <w:szCs w:val="20"/>
                <w:color w:val="auto"/>
              </w:rPr>
            </w:pPr>
            <w:r>
              <w:rPr>
                <w:rFonts w:ascii="Arial" w:cs="Arial" w:eastAsia="Arial" w:hAnsi="Arial"/>
                <w:sz w:val="11"/>
                <w:szCs w:val="11"/>
                <w:color w:val="auto"/>
              </w:rPr>
              <w:t>121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6A6A6"/>
              <w:bottom w:val="single" w:sz="8" w:color="004483"/>
            </w:tcBorders>
          </w:tcPr>
          <w:p>
            <w:pPr>
              <w:spacing w:after="0"/>
              <w:rPr>
                <w:sz w:val="12"/>
                <w:szCs w:val="12"/>
                <w:color w:val="auto"/>
              </w:rPr>
            </w:pPr>
          </w:p>
        </w:tc>
        <w:tc>
          <w:tcPr>
            <w:tcW w:w="13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Cost</w:t>
            </w:r>
          </w:p>
        </w:tc>
        <w:tc>
          <w:tcPr>
            <w:tcW w:w="100" w:type="dxa"/>
            <w:vAlign w:val="bottom"/>
            <w:tcBorders>
              <w:bottom w:val="single" w:sz="8" w:color="004483"/>
            </w:tcBorders>
          </w:tcPr>
          <w:p>
            <w:pPr>
              <w:jc w:val="right"/>
              <w:ind w:right="20"/>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004483"/>
            </w:tcBorders>
          </w:tcPr>
          <w:p>
            <w:pPr>
              <w:spacing w:after="0"/>
              <w:rPr>
                <w:sz w:val="12"/>
                <w:szCs w:val="12"/>
                <w:color w:val="auto"/>
              </w:rPr>
            </w:pPr>
          </w:p>
        </w:tc>
        <w:tc>
          <w:tcPr>
            <w:tcW w:w="1060" w:type="dxa"/>
            <w:vAlign w:val="bottom"/>
            <w:tcBorders>
              <w:bottom w:val="single" w:sz="8" w:color="004483"/>
            </w:tcBorders>
            <w:gridSpan w:val="2"/>
          </w:tcPr>
          <w:p>
            <w:pPr>
              <w:jc w:val="right"/>
              <w:spacing w:after="0"/>
              <w:rPr>
                <w:sz w:val="20"/>
                <w:szCs w:val="20"/>
                <w:color w:val="auto"/>
              </w:rPr>
            </w:pPr>
            <w:r>
              <w:rPr>
                <w:rFonts w:ascii="Arial" w:cs="Arial" w:eastAsia="Arial" w:hAnsi="Arial"/>
                <w:sz w:val="11"/>
                <w:szCs w:val="11"/>
                <w:color w:val="auto"/>
              </w:rPr>
              <w:t>1,356</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2,089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220" w:type="dxa"/>
            <w:vAlign w:val="bottom"/>
            <w:tcBorders>
              <w:right w:val="single" w:sz="8" w:color="004483"/>
            </w:tcBorders>
            <w:shd w:val="clear" w:color="auto" w:fill="00448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4483"/>
          </w:tcPr>
          <w:p>
            <w:pPr>
              <w:spacing w:after="0" w:line="20" w:lineRule="exact"/>
              <w:rPr>
                <w:sz w:val="1"/>
                <w:szCs w:val="1"/>
                <w:color w:val="auto"/>
              </w:rPr>
            </w:pPr>
          </w:p>
        </w:tc>
        <w:tc>
          <w:tcPr>
            <w:tcW w:w="1380" w:type="dxa"/>
            <w:vAlign w:val="bottom"/>
            <w:shd w:val="clear" w:color="auto" w:fill="004483"/>
          </w:tcPr>
          <w:p>
            <w:pPr>
              <w:spacing w:after="0" w:line="20" w:lineRule="exact"/>
              <w:rPr>
                <w:sz w:val="1"/>
                <w:szCs w:val="1"/>
                <w:color w:val="auto"/>
              </w:rPr>
            </w:pPr>
          </w:p>
        </w:tc>
        <w:tc>
          <w:tcPr>
            <w:tcW w:w="140" w:type="dxa"/>
            <w:vAlign w:val="bottom"/>
            <w:tcBorders>
              <w:left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1"/>
                <w:szCs w:val="11"/>
                <w:color w:val="auto"/>
              </w:rPr>
              <w:t>Operating Cash Flows used for Operating Leases</w:t>
            </w:r>
          </w:p>
        </w:tc>
        <w:tc>
          <w:tcPr>
            <w:tcW w:w="100" w:type="dxa"/>
            <w:vAlign w:val="bottom"/>
          </w:tcPr>
          <w:p>
            <w:pPr>
              <w:jc w:val="right"/>
              <w:ind w:right="20"/>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1,308</w:t>
            </w:r>
          </w:p>
        </w:tc>
        <w:tc>
          <w:tcPr>
            <w:tcW w:w="4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1,917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540" w:type="dxa"/>
            <w:vAlign w:val="bottom"/>
            <w:tcBorders>
              <w:top w:val="single" w:sz="8" w:color="A6A6A6"/>
            </w:tcBorders>
          </w:tcPr>
          <w:p>
            <w:pPr>
              <w:spacing w:after="0"/>
              <w:rPr>
                <w:sz w:val="20"/>
                <w:szCs w:val="20"/>
                <w:color w:val="auto"/>
              </w:rPr>
            </w:pPr>
            <w:r>
              <w:rPr>
                <w:rFonts w:ascii="Arial" w:cs="Arial" w:eastAsia="Arial" w:hAnsi="Arial"/>
                <w:sz w:val="12"/>
                <w:szCs w:val="12"/>
                <w:color w:val="auto"/>
              </w:rPr>
              <w:t>The Right-of-Use Assets and Lease Liabilities are reflected on our Balance Sheet as follows:</w:t>
            </w:r>
          </w:p>
        </w:tc>
        <w:tc>
          <w:tcPr>
            <w:tcW w:w="100" w:type="dxa"/>
            <w:vAlign w:val="bottom"/>
            <w:tcBorders>
              <w:top w:val="single" w:sz="8" w:color="004483"/>
            </w:tcBorders>
          </w:tcPr>
          <w:p>
            <w:pPr>
              <w:spacing w:after="0"/>
              <w:rPr>
                <w:sz w:val="18"/>
                <w:szCs w:val="18"/>
                <w:color w:val="auto"/>
              </w:rPr>
            </w:pPr>
          </w:p>
        </w:tc>
        <w:tc>
          <w:tcPr>
            <w:tcW w:w="660" w:type="dxa"/>
            <w:vAlign w:val="bottom"/>
            <w:tcBorders>
              <w:top w:val="single" w:sz="8" w:color="004483"/>
            </w:tcBorders>
          </w:tcPr>
          <w:p>
            <w:pPr>
              <w:spacing w:after="0"/>
              <w:rPr>
                <w:sz w:val="18"/>
                <w:szCs w:val="18"/>
                <w:color w:val="auto"/>
              </w:rPr>
            </w:pPr>
          </w:p>
        </w:tc>
        <w:tc>
          <w:tcPr>
            <w:tcW w:w="840" w:type="dxa"/>
            <w:vAlign w:val="bottom"/>
            <w:tcBorders>
              <w:top w:val="single" w:sz="8" w:color="004483"/>
            </w:tcBorders>
          </w:tcPr>
          <w:p>
            <w:pPr>
              <w:spacing w:after="0"/>
              <w:rPr>
                <w:sz w:val="18"/>
                <w:szCs w:val="18"/>
                <w:color w:val="auto"/>
              </w:rPr>
            </w:pPr>
          </w:p>
        </w:tc>
        <w:tc>
          <w:tcPr>
            <w:tcW w:w="220" w:type="dxa"/>
            <w:vAlign w:val="bottom"/>
            <w:tcBorders>
              <w:top w:val="single" w:sz="8" w:color="004483"/>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004483"/>
            </w:tcBorders>
          </w:tcPr>
          <w:p>
            <w:pPr>
              <w:spacing w:after="0"/>
              <w:rPr>
                <w:sz w:val="18"/>
                <w:szCs w:val="18"/>
                <w:color w:val="auto"/>
              </w:rPr>
            </w:pPr>
          </w:p>
        </w:tc>
        <w:tc>
          <w:tcPr>
            <w:tcW w:w="1380" w:type="dxa"/>
            <w:vAlign w:val="bottom"/>
            <w:tcBorders>
              <w:top w:val="single" w:sz="8" w:color="004483"/>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3000" w:type="dxa"/>
            <w:vAlign w:val="bottom"/>
            <w:gridSpan w:val="7"/>
            <w:shd w:val="clear" w:color="auto" w:fill="004483"/>
          </w:tcPr>
          <w:p>
            <w:pPr>
              <w:jc w:val="right"/>
              <w:ind w:right="1440"/>
              <w:spacing w:after="0"/>
              <w:rPr>
                <w:sz w:val="20"/>
                <w:szCs w:val="20"/>
                <w:color w:val="auto"/>
              </w:rPr>
            </w:pPr>
            <w:r>
              <w:rPr>
                <w:rFonts w:ascii="Arial" w:cs="Arial" w:eastAsia="Arial" w:hAnsi="Arial"/>
                <w:sz w:val="8"/>
                <w:szCs w:val="8"/>
                <w:b w:val="1"/>
                <w:bCs w:val="1"/>
                <w:color w:val="FFFFFF"/>
              </w:rPr>
              <w:t>Year ended December 31,</w:t>
            </w:r>
          </w:p>
        </w:tc>
        <w:tc>
          <w:tcPr>
            <w:tcW w:w="0" w:type="dxa"/>
            <w:vAlign w:val="bottom"/>
          </w:tcPr>
          <w:p>
            <w:pPr>
              <w:spacing w:after="0"/>
              <w:rPr>
                <w:sz w:val="1"/>
                <w:szCs w:val="1"/>
                <w:color w:val="auto"/>
              </w:rPr>
            </w:pPr>
          </w:p>
        </w:tc>
      </w:tr>
      <w:tr>
        <w:trPr>
          <w:trHeight w:val="153"/>
        </w:trPr>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2"/>
          </w:tcPr>
          <w:p>
            <w:pPr>
              <w:jc w:val="right"/>
              <w:ind w:right="11"/>
              <w:spacing w:after="0"/>
              <w:rPr>
                <w:sz w:val="20"/>
                <w:szCs w:val="20"/>
                <w:color w:val="auto"/>
              </w:rPr>
            </w:pPr>
            <w:r>
              <w:rPr>
                <w:rFonts w:ascii="Arial" w:cs="Arial" w:eastAsia="Arial" w:hAnsi="Arial"/>
                <w:sz w:val="8"/>
                <w:szCs w:val="8"/>
                <w:b w:val="1"/>
                <w:bCs w:val="1"/>
                <w:color w:val="auto"/>
              </w:rPr>
              <w:t>2020</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754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480" w:type="dxa"/>
            <w:vAlign w:val="bottom"/>
            <w:tcBorders>
              <w:bottom w:val="single" w:sz="8" w:color="004483"/>
            </w:tcBorders>
            <w:gridSpan w:val="5"/>
          </w:tcPr>
          <w:p>
            <w:pPr>
              <w:jc w:val="right"/>
              <w:spacing w:after="0"/>
              <w:rPr>
                <w:sz w:val="20"/>
                <w:szCs w:val="20"/>
                <w:color w:val="auto"/>
              </w:rPr>
            </w:pPr>
            <w:r>
              <w:rPr>
                <w:rFonts w:ascii="Arial" w:cs="Arial" w:eastAsia="Arial" w:hAnsi="Arial"/>
                <w:sz w:val="8"/>
                <w:szCs w:val="8"/>
                <w:color w:val="auto"/>
              </w:rPr>
              <w:t>(dollars in thousands)</w:t>
            </w:r>
          </w:p>
        </w:tc>
        <w:tc>
          <w:tcPr>
            <w:tcW w:w="1380" w:type="dxa"/>
            <w:vAlign w:val="bottom"/>
            <w:tcBorders>
              <w:bottom w:val="single" w:sz="8" w:color="004483"/>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Leases:</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540" w:type="dxa"/>
            <w:vAlign w:val="bottom"/>
          </w:tcPr>
          <w:p>
            <w:pPr>
              <w:ind w:left="80"/>
              <w:spacing w:after="0"/>
              <w:rPr>
                <w:sz w:val="20"/>
                <w:szCs w:val="20"/>
                <w:color w:val="auto"/>
              </w:rPr>
            </w:pPr>
            <w:r>
              <w:rPr>
                <w:rFonts w:ascii="Arial" w:cs="Arial" w:eastAsia="Arial" w:hAnsi="Arial"/>
                <w:sz w:val="11"/>
                <w:szCs w:val="11"/>
                <w:color w:val="auto"/>
              </w:rPr>
              <w:t>Operating Lease Right-of-Use Assets</w:t>
            </w:r>
          </w:p>
        </w:tc>
        <w:tc>
          <w:tcPr>
            <w:tcW w:w="7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1"/>
              <w:spacing w:after="0"/>
              <w:rPr>
                <w:sz w:val="20"/>
                <w:szCs w:val="20"/>
                <w:color w:val="auto"/>
              </w:rPr>
            </w:pPr>
            <w:r>
              <w:rPr>
                <w:rFonts w:ascii="Arial" w:cs="Arial" w:eastAsia="Arial" w:hAnsi="Arial"/>
                <w:sz w:val="11"/>
                <w:szCs w:val="11"/>
                <w:color w:val="auto"/>
              </w:rPr>
              <w:t>6,557</w:t>
            </w: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6,428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40" w:type="dxa"/>
            <w:vAlign w:val="bottom"/>
            <w:tcBorders>
              <w:top w:val="single" w:sz="8" w:color="A6A6A6"/>
              <w:bottom w:val="single" w:sz="8" w:color="A6A6A6"/>
            </w:tcBorders>
          </w:tcPr>
          <w:p>
            <w:pPr>
              <w:spacing w:after="0"/>
              <w:rPr>
                <w:sz w:val="13"/>
                <w:szCs w:val="13"/>
                <w:color w:val="auto"/>
              </w:rPr>
            </w:pPr>
          </w:p>
        </w:tc>
        <w:tc>
          <w:tcPr>
            <w:tcW w:w="100" w:type="dxa"/>
            <w:vAlign w:val="bottom"/>
            <w:tcBorders>
              <w:top w:val="single" w:sz="8" w:color="A6A6A6"/>
              <w:bottom w:val="single" w:sz="8" w:color="A6A6A6"/>
            </w:tcBorders>
          </w:tcPr>
          <w:p>
            <w:pPr>
              <w:spacing w:after="0"/>
              <w:rPr>
                <w:sz w:val="13"/>
                <w:szCs w:val="13"/>
                <w:color w:val="auto"/>
              </w:rPr>
            </w:pPr>
          </w:p>
        </w:tc>
        <w:tc>
          <w:tcPr>
            <w:tcW w:w="660" w:type="dxa"/>
            <w:vAlign w:val="bottom"/>
            <w:tcBorders>
              <w:top w:val="single" w:sz="8" w:color="004483"/>
              <w:bottom w:val="single" w:sz="8" w:color="A6A6A6"/>
            </w:tcBorders>
          </w:tcPr>
          <w:p>
            <w:pPr>
              <w:spacing w:after="0"/>
              <w:rPr>
                <w:sz w:val="13"/>
                <w:szCs w:val="13"/>
                <w:color w:val="auto"/>
              </w:rPr>
            </w:pPr>
          </w:p>
        </w:tc>
        <w:tc>
          <w:tcPr>
            <w:tcW w:w="840" w:type="dxa"/>
            <w:vAlign w:val="bottom"/>
            <w:tcBorders>
              <w:top w:val="single" w:sz="8" w:color="004483"/>
              <w:bottom w:val="single" w:sz="8" w:color="A6A6A6"/>
            </w:tcBorders>
          </w:tcPr>
          <w:p>
            <w:pPr>
              <w:spacing w:after="0"/>
              <w:rPr>
                <w:sz w:val="13"/>
                <w:szCs w:val="13"/>
                <w:color w:val="auto"/>
              </w:rPr>
            </w:pPr>
          </w:p>
        </w:tc>
        <w:tc>
          <w:tcPr>
            <w:tcW w:w="220" w:type="dxa"/>
            <w:vAlign w:val="bottom"/>
            <w:tcBorders>
              <w:top w:val="single" w:sz="8" w:color="004483"/>
              <w:bottom w:val="single" w:sz="8" w:color="A6A6A6"/>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top w:val="single" w:sz="8" w:color="004483"/>
              <w:bottom w:val="single" w:sz="8" w:color="A6A6A6"/>
            </w:tcBorders>
          </w:tcPr>
          <w:p>
            <w:pPr>
              <w:spacing w:after="0"/>
              <w:rPr>
                <w:sz w:val="13"/>
                <w:szCs w:val="13"/>
                <w:color w:val="auto"/>
              </w:rPr>
            </w:pPr>
          </w:p>
        </w:tc>
        <w:tc>
          <w:tcPr>
            <w:tcW w:w="120" w:type="dxa"/>
            <w:vAlign w:val="bottom"/>
            <w:tcBorders>
              <w:top w:val="single" w:sz="8" w:color="004483"/>
              <w:bottom w:val="single" w:sz="8" w:color="A6A6A6"/>
            </w:tcBorders>
          </w:tcPr>
          <w:p>
            <w:pPr>
              <w:spacing w:after="0"/>
              <w:rPr>
                <w:sz w:val="13"/>
                <w:szCs w:val="13"/>
                <w:color w:val="auto"/>
              </w:rPr>
            </w:pPr>
          </w:p>
        </w:tc>
        <w:tc>
          <w:tcPr>
            <w:tcW w:w="1380" w:type="dxa"/>
            <w:vAlign w:val="bottom"/>
            <w:tcBorders>
              <w:top w:val="single" w:sz="8" w:color="004483"/>
              <w:bottom w:val="single" w:sz="8" w:color="A6A6A6"/>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540" w:type="dxa"/>
            <w:vAlign w:val="bottom"/>
          </w:tcPr>
          <w:p>
            <w:pPr>
              <w:ind w:left="80"/>
              <w:spacing w:after="0"/>
              <w:rPr>
                <w:sz w:val="20"/>
                <w:szCs w:val="20"/>
                <w:color w:val="auto"/>
              </w:rPr>
            </w:pPr>
            <w:r>
              <w:rPr>
                <w:rFonts w:ascii="Arial" w:cs="Arial" w:eastAsia="Arial" w:hAnsi="Arial"/>
                <w:sz w:val="11"/>
                <w:szCs w:val="11"/>
                <w:color w:val="auto"/>
              </w:rPr>
              <w:t>Current Operating Lease Liabilities</w:t>
            </w:r>
          </w:p>
        </w:tc>
        <w:tc>
          <w:tcPr>
            <w:tcW w:w="7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1"/>
              <w:spacing w:after="0"/>
              <w:rPr>
                <w:sz w:val="20"/>
                <w:szCs w:val="20"/>
                <w:color w:val="auto"/>
              </w:rPr>
            </w:pPr>
            <w:r>
              <w:rPr>
                <w:rFonts w:ascii="Arial" w:cs="Arial" w:eastAsia="Arial" w:hAnsi="Arial"/>
                <w:sz w:val="11"/>
                <w:szCs w:val="11"/>
                <w:color w:val="auto"/>
              </w:rPr>
              <w:t>746</w:t>
            </w: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1,408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1"/>
                <w:szCs w:val="11"/>
                <w:color w:val="auto"/>
              </w:rPr>
              <w:t>Noncurrent Operating Lease Liabilities</w:t>
            </w:r>
          </w:p>
        </w:tc>
        <w:tc>
          <w:tcPr>
            <w:tcW w:w="100" w:type="dxa"/>
            <w:vAlign w:val="bottom"/>
            <w:tcBorders>
              <w:top w:val="single" w:sz="8" w:color="A6A6A6"/>
              <w:bottom w:val="single" w:sz="8" w:color="A6A6A6"/>
            </w:tcBorders>
          </w:tcPr>
          <w:p>
            <w:pPr>
              <w:spacing w:after="0"/>
              <w:rPr>
                <w:sz w:val="12"/>
                <w:szCs w:val="12"/>
                <w:color w:val="auto"/>
              </w:rPr>
            </w:pPr>
          </w:p>
        </w:tc>
        <w:tc>
          <w:tcPr>
            <w:tcW w:w="660" w:type="dxa"/>
            <w:vAlign w:val="bottom"/>
            <w:tcBorders>
              <w:top w:val="single" w:sz="8" w:color="A6A6A6"/>
              <w:bottom w:val="single" w:sz="8" w:color="004483"/>
            </w:tcBorders>
          </w:tcPr>
          <w:p>
            <w:pPr>
              <w:spacing w:after="0"/>
              <w:rPr>
                <w:sz w:val="12"/>
                <w:szCs w:val="12"/>
                <w:color w:val="auto"/>
              </w:rPr>
            </w:pPr>
          </w:p>
        </w:tc>
        <w:tc>
          <w:tcPr>
            <w:tcW w:w="1060" w:type="dxa"/>
            <w:vAlign w:val="bottom"/>
            <w:tcBorders>
              <w:top w:val="single" w:sz="8" w:color="A6A6A6"/>
              <w:bottom w:val="single" w:sz="8" w:color="004483"/>
            </w:tcBorders>
            <w:gridSpan w:val="2"/>
          </w:tcPr>
          <w:p>
            <w:pPr>
              <w:jc w:val="right"/>
              <w:ind w:right="11"/>
              <w:spacing w:after="0"/>
              <w:rPr>
                <w:sz w:val="20"/>
                <w:szCs w:val="20"/>
                <w:color w:val="auto"/>
              </w:rPr>
            </w:pPr>
            <w:r>
              <w:rPr>
                <w:rFonts w:ascii="Arial" w:cs="Arial" w:eastAsia="Arial" w:hAnsi="Arial"/>
                <w:sz w:val="11"/>
                <w:szCs w:val="11"/>
                <w:color w:val="auto"/>
              </w:rPr>
              <w:t>5,457</w:t>
            </w:r>
          </w:p>
        </w:tc>
        <w:tc>
          <w:tcPr>
            <w:tcW w:w="260" w:type="dxa"/>
            <w:vAlign w:val="bottom"/>
          </w:tcPr>
          <w:p>
            <w:pPr>
              <w:spacing w:after="0"/>
              <w:rPr>
                <w:sz w:val="12"/>
                <w:szCs w:val="12"/>
                <w:color w:val="auto"/>
              </w:rPr>
            </w:pPr>
          </w:p>
        </w:tc>
        <w:tc>
          <w:tcPr>
            <w:tcW w:w="40" w:type="dxa"/>
            <w:vAlign w:val="bottom"/>
            <w:tcBorders>
              <w:top w:val="single" w:sz="8" w:color="A6A6A6"/>
              <w:bottom w:val="single" w:sz="8" w:color="004483"/>
            </w:tcBorders>
          </w:tcPr>
          <w:p>
            <w:pPr>
              <w:spacing w:after="0"/>
              <w:rPr>
                <w:sz w:val="12"/>
                <w:szCs w:val="12"/>
                <w:color w:val="auto"/>
              </w:rPr>
            </w:pPr>
          </w:p>
        </w:tc>
        <w:tc>
          <w:tcPr>
            <w:tcW w:w="120" w:type="dxa"/>
            <w:vAlign w:val="bottom"/>
            <w:tcBorders>
              <w:top w:val="single" w:sz="8" w:color="A6A6A6"/>
              <w:bottom w:val="single" w:sz="8" w:color="004483"/>
            </w:tcBorders>
          </w:tcPr>
          <w:p>
            <w:pPr>
              <w:spacing w:after="0"/>
              <w:rPr>
                <w:sz w:val="12"/>
                <w:szCs w:val="12"/>
                <w:color w:val="auto"/>
              </w:rPr>
            </w:pPr>
          </w:p>
        </w:tc>
        <w:tc>
          <w:tcPr>
            <w:tcW w:w="13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4,866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540" w:type="dxa"/>
            <w:vAlign w:val="bottom"/>
          </w:tcPr>
          <w:p>
            <w:pPr>
              <w:spacing w:after="0"/>
              <w:rPr>
                <w:sz w:val="20"/>
                <w:szCs w:val="20"/>
                <w:color w:val="auto"/>
              </w:rPr>
            </w:pPr>
            <w:r>
              <w:rPr>
                <w:rFonts w:ascii="Arial" w:cs="Arial" w:eastAsia="Arial" w:hAnsi="Arial"/>
                <w:sz w:val="11"/>
                <w:szCs w:val="11"/>
                <w:b w:val="1"/>
                <w:bCs w:val="1"/>
                <w:color w:val="auto"/>
              </w:rPr>
              <w:t>Total Operating Lease Liabilities</w:t>
            </w:r>
          </w:p>
        </w:tc>
        <w:tc>
          <w:tcPr>
            <w:tcW w:w="76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1"/>
              <w:spacing w:after="0"/>
              <w:rPr>
                <w:sz w:val="20"/>
                <w:szCs w:val="20"/>
                <w:color w:val="auto"/>
              </w:rPr>
            </w:pPr>
            <w:r>
              <w:rPr>
                <w:rFonts w:ascii="Arial" w:cs="Arial" w:eastAsia="Arial" w:hAnsi="Arial"/>
                <w:sz w:val="11"/>
                <w:szCs w:val="11"/>
                <w:color w:val="auto"/>
              </w:rPr>
              <w:t>6,203</w:t>
            </w: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6,274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540" w:type="dxa"/>
            <w:vAlign w:val="bottom"/>
            <w:tcBorders>
              <w:top w:val="single" w:sz="8" w:color="A6A6A6"/>
            </w:tcBorders>
          </w:tcPr>
          <w:p>
            <w:pPr>
              <w:spacing w:after="0"/>
              <w:rPr>
                <w:sz w:val="20"/>
                <w:szCs w:val="20"/>
                <w:color w:val="auto"/>
              </w:rPr>
            </w:pPr>
            <w:r>
              <w:rPr>
                <w:rFonts w:ascii="Arial" w:cs="Arial" w:eastAsia="Arial" w:hAnsi="Arial"/>
                <w:sz w:val="12"/>
                <w:szCs w:val="12"/>
                <w:color w:val="auto"/>
              </w:rPr>
              <w:t>Future payments for operating leases are as follows</w:t>
            </w:r>
            <w:r>
              <w:rPr>
                <w:rFonts w:ascii="Arial" w:cs="Arial" w:eastAsia="Arial" w:hAnsi="Arial"/>
                <w:sz w:val="13"/>
                <w:szCs w:val="13"/>
                <w:color w:val="auto"/>
              </w:rPr>
              <w:t>:</w:t>
            </w:r>
          </w:p>
        </w:tc>
        <w:tc>
          <w:tcPr>
            <w:tcW w:w="100" w:type="dxa"/>
            <w:vAlign w:val="bottom"/>
            <w:tcBorders>
              <w:top w:val="single" w:sz="8" w:color="A6A6A6"/>
            </w:tcBorders>
          </w:tcPr>
          <w:p>
            <w:pPr>
              <w:spacing w:after="0"/>
              <w:rPr>
                <w:sz w:val="18"/>
                <w:szCs w:val="18"/>
                <w:color w:val="auto"/>
              </w:rPr>
            </w:pPr>
          </w:p>
        </w:tc>
        <w:tc>
          <w:tcPr>
            <w:tcW w:w="660" w:type="dxa"/>
            <w:vAlign w:val="bottom"/>
            <w:tcBorders>
              <w:top w:val="single" w:sz="8" w:color="004483"/>
            </w:tcBorders>
          </w:tcPr>
          <w:p>
            <w:pPr>
              <w:spacing w:after="0"/>
              <w:rPr>
                <w:sz w:val="18"/>
                <w:szCs w:val="18"/>
                <w:color w:val="auto"/>
              </w:rPr>
            </w:pPr>
          </w:p>
        </w:tc>
        <w:tc>
          <w:tcPr>
            <w:tcW w:w="840" w:type="dxa"/>
            <w:vAlign w:val="bottom"/>
            <w:tcBorders>
              <w:top w:val="single" w:sz="8" w:color="004483"/>
            </w:tcBorders>
          </w:tcPr>
          <w:p>
            <w:pPr>
              <w:spacing w:after="0"/>
              <w:rPr>
                <w:sz w:val="18"/>
                <w:szCs w:val="18"/>
                <w:color w:val="auto"/>
              </w:rPr>
            </w:pPr>
          </w:p>
        </w:tc>
        <w:tc>
          <w:tcPr>
            <w:tcW w:w="220" w:type="dxa"/>
            <w:vAlign w:val="bottom"/>
            <w:tcBorders>
              <w:top w:val="single" w:sz="8" w:color="004483"/>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004483"/>
            </w:tcBorders>
          </w:tcPr>
          <w:p>
            <w:pPr>
              <w:spacing w:after="0"/>
              <w:rPr>
                <w:sz w:val="18"/>
                <w:szCs w:val="18"/>
                <w:color w:val="auto"/>
              </w:rPr>
            </w:pPr>
          </w:p>
        </w:tc>
        <w:tc>
          <w:tcPr>
            <w:tcW w:w="120" w:type="dxa"/>
            <w:vAlign w:val="bottom"/>
            <w:tcBorders>
              <w:top w:val="single" w:sz="8" w:color="004483"/>
            </w:tcBorders>
          </w:tcPr>
          <w:p>
            <w:pPr>
              <w:spacing w:after="0"/>
              <w:rPr>
                <w:sz w:val="18"/>
                <w:szCs w:val="18"/>
                <w:color w:val="auto"/>
              </w:rPr>
            </w:pPr>
          </w:p>
        </w:tc>
        <w:tc>
          <w:tcPr>
            <w:tcW w:w="1380" w:type="dxa"/>
            <w:vAlign w:val="bottom"/>
            <w:tcBorders>
              <w:top w:val="single" w:sz="8" w:color="004483"/>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7540" w:type="dxa"/>
            <w:vAlign w:val="bottom"/>
            <w:vMerge w:val="restart"/>
          </w:tcPr>
          <w:p>
            <w:pPr>
              <w:spacing w:after="0"/>
              <w:rPr>
                <w:sz w:val="20"/>
                <w:szCs w:val="20"/>
                <w:color w:val="auto"/>
              </w:rPr>
            </w:pPr>
            <w:r>
              <w:rPr>
                <w:rFonts w:ascii="Arial" w:cs="Arial" w:eastAsia="Arial" w:hAnsi="Arial"/>
                <w:sz w:val="8"/>
                <w:szCs w:val="8"/>
                <w:b w:val="1"/>
                <w:bCs w:val="1"/>
                <w:color w:val="auto"/>
              </w:rPr>
              <w:t>For the Year Ended December 31,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1000"/>
              <w:spacing w:after="0"/>
              <w:rPr>
                <w:sz w:val="20"/>
                <w:szCs w:val="20"/>
                <w:color w:val="auto"/>
              </w:rPr>
            </w:pPr>
            <w:r>
              <w:rPr>
                <w:rFonts w:ascii="Arial" w:cs="Arial" w:eastAsia="Arial" w:hAnsi="Arial"/>
                <w:sz w:val="8"/>
                <w:szCs w:val="8"/>
                <w:b w:val="1"/>
                <w:bCs w:val="1"/>
                <w:color w:val="auto"/>
              </w:rPr>
              <w:t>Amount</w:t>
            </w:r>
          </w:p>
        </w:tc>
        <w:tc>
          <w:tcPr>
            <w:tcW w:w="0" w:type="dxa"/>
            <w:vAlign w:val="bottom"/>
          </w:tcPr>
          <w:p>
            <w:pPr>
              <w:spacing w:after="0"/>
              <w:rPr>
                <w:sz w:val="1"/>
                <w:szCs w:val="1"/>
                <w:color w:val="auto"/>
              </w:rPr>
            </w:pPr>
          </w:p>
        </w:tc>
      </w:tr>
      <w:tr>
        <w:trPr>
          <w:trHeight w:val="99"/>
        </w:trPr>
        <w:tc>
          <w:tcPr>
            <w:tcW w:w="7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8"/>
                <w:szCs w:val="8"/>
                <w:color w:val="auto"/>
                <w:w w:val="94"/>
              </w:rPr>
              <w:t>(dollars in thousands)</w:t>
            </w:r>
          </w:p>
        </w:tc>
        <w:tc>
          <w:tcPr>
            <w:tcW w:w="0" w:type="dxa"/>
            <w:vAlign w:val="bottom"/>
          </w:tcPr>
          <w:p>
            <w:pPr>
              <w:spacing w:after="0"/>
              <w:rPr>
                <w:sz w:val="1"/>
                <w:szCs w:val="1"/>
                <w:color w:val="auto"/>
              </w:rPr>
            </w:pPr>
          </w:p>
        </w:tc>
      </w:tr>
      <w:tr>
        <w:trPr>
          <w:trHeight w:val="131"/>
        </w:trPr>
        <w:tc>
          <w:tcPr>
            <w:tcW w:w="75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2021</w:t>
            </w:r>
          </w:p>
        </w:tc>
        <w:tc>
          <w:tcPr>
            <w:tcW w:w="100" w:type="dxa"/>
            <w:vAlign w:val="bottom"/>
            <w:tcBorders>
              <w:top w:val="single" w:sz="8" w:color="004483"/>
              <w:bottom w:val="single" w:sz="8" w:color="A6A6A6"/>
            </w:tcBorders>
          </w:tcPr>
          <w:p>
            <w:pPr>
              <w:spacing w:after="0"/>
              <w:rPr>
                <w:sz w:val="11"/>
                <w:szCs w:val="11"/>
                <w:color w:val="auto"/>
              </w:rPr>
            </w:pPr>
          </w:p>
        </w:tc>
        <w:tc>
          <w:tcPr>
            <w:tcW w:w="660" w:type="dxa"/>
            <w:vAlign w:val="bottom"/>
            <w:tcBorders>
              <w:top w:val="single" w:sz="8" w:color="004483"/>
              <w:bottom w:val="single" w:sz="8" w:color="A6A6A6"/>
            </w:tcBorders>
          </w:tcPr>
          <w:p>
            <w:pPr>
              <w:spacing w:after="0"/>
              <w:rPr>
                <w:sz w:val="11"/>
                <w:szCs w:val="11"/>
                <w:color w:val="auto"/>
              </w:rPr>
            </w:pPr>
          </w:p>
        </w:tc>
        <w:tc>
          <w:tcPr>
            <w:tcW w:w="1060" w:type="dxa"/>
            <w:vAlign w:val="bottom"/>
            <w:tcBorders>
              <w:top w:val="single" w:sz="8" w:color="004483"/>
              <w:bottom w:val="single" w:sz="8" w:color="A6A6A6"/>
            </w:tcBorders>
            <w:gridSpan w:val="2"/>
          </w:tcPr>
          <w:p>
            <w:pPr>
              <w:jc w:val="right"/>
              <w:ind w:right="111"/>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004483"/>
              <w:bottom w:val="single" w:sz="8" w:color="A6A6A6"/>
            </w:tcBorders>
          </w:tcPr>
          <w:p>
            <w:pPr>
              <w:spacing w:after="0"/>
              <w:rPr>
                <w:sz w:val="11"/>
                <w:szCs w:val="11"/>
                <w:color w:val="auto"/>
              </w:rPr>
            </w:pPr>
          </w:p>
        </w:tc>
        <w:tc>
          <w:tcPr>
            <w:tcW w:w="40" w:type="dxa"/>
            <w:vAlign w:val="bottom"/>
            <w:tcBorders>
              <w:top w:val="single" w:sz="8" w:color="004483"/>
              <w:bottom w:val="single" w:sz="8" w:color="A6A6A6"/>
            </w:tcBorders>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13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921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2024</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Thereafter</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004483"/>
            </w:tcBorders>
          </w:tcPr>
          <w:p>
            <w:pPr>
              <w:spacing w:after="0"/>
              <w:rPr>
                <w:sz w:val="11"/>
                <w:szCs w:val="11"/>
                <w:color w:val="auto"/>
              </w:rPr>
            </w:pPr>
          </w:p>
        </w:tc>
        <w:tc>
          <w:tcPr>
            <w:tcW w:w="260" w:type="dxa"/>
            <w:vAlign w:val="bottom"/>
            <w:tcBorders>
              <w:bottom w:val="single" w:sz="8" w:color="004483"/>
            </w:tcBorders>
          </w:tcPr>
          <w:p>
            <w:pPr>
              <w:spacing w:after="0"/>
              <w:rPr>
                <w:sz w:val="11"/>
                <w:szCs w:val="11"/>
                <w:color w:val="auto"/>
              </w:rPr>
            </w:pPr>
          </w:p>
        </w:tc>
        <w:tc>
          <w:tcPr>
            <w:tcW w:w="40" w:type="dxa"/>
            <w:vAlign w:val="bottom"/>
            <w:tcBorders>
              <w:bottom w:val="single" w:sz="8" w:color="004483"/>
            </w:tcBorders>
          </w:tcPr>
          <w:p>
            <w:pPr>
              <w:spacing w:after="0"/>
              <w:rPr>
                <w:sz w:val="11"/>
                <w:szCs w:val="11"/>
                <w:color w:val="auto"/>
              </w:rPr>
            </w:pPr>
          </w:p>
        </w:tc>
        <w:tc>
          <w:tcPr>
            <w:tcW w:w="120" w:type="dxa"/>
            <w:vAlign w:val="bottom"/>
            <w:tcBorders>
              <w:bottom w:val="single" w:sz="8" w:color="004483"/>
            </w:tcBorders>
          </w:tcPr>
          <w:p>
            <w:pPr>
              <w:spacing w:after="0"/>
              <w:rPr>
                <w:sz w:val="11"/>
                <w:szCs w:val="11"/>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4,525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Payments</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060" w:type="dxa"/>
            <w:vAlign w:val="bottom"/>
            <w:tcBorders>
              <w:bottom w:val="single" w:sz="8" w:color="A6A6A6"/>
            </w:tcBorders>
            <w:gridSpan w:val="2"/>
          </w:tcPr>
          <w:p>
            <w:pPr>
              <w:jc w:val="right"/>
              <w:ind w:right="111"/>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7,994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Pr>
          <w:p>
            <w:pPr>
              <w:spacing w:after="0"/>
              <w:rPr>
                <w:sz w:val="20"/>
                <w:szCs w:val="20"/>
                <w:color w:val="auto"/>
              </w:rPr>
            </w:pPr>
            <w:r>
              <w:rPr>
                <w:rFonts w:ascii="Arial" w:cs="Arial" w:eastAsia="Arial" w:hAnsi="Arial"/>
                <w:sz w:val="11"/>
                <w:szCs w:val="11"/>
                <w:color w:val="auto"/>
              </w:rPr>
              <w:t>Less: Imputed Interest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1"/>
                <w:szCs w:val="11"/>
                <w:color w:val="auto"/>
              </w:rPr>
              <w:t>(1,791)</w:t>
            </w:r>
          </w:p>
        </w:tc>
        <w:tc>
          <w:tcPr>
            <w:tcW w:w="0" w:type="dxa"/>
            <w:vAlign w:val="bottom"/>
          </w:tcPr>
          <w:p>
            <w:pPr>
              <w:spacing w:after="0"/>
              <w:rPr>
                <w:sz w:val="1"/>
                <w:szCs w:val="1"/>
                <w:color w:val="auto"/>
              </w:rPr>
            </w:pPr>
          </w:p>
        </w:tc>
      </w:tr>
      <w:tr>
        <w:trPr>
          <w:trHeight w:val="142"/>
        </w:trPr>
        <w:tc>
          <w:tcPr>
            <w:tcW w:w="75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Present Value of Lease Liabilities</w:t>
            </w:r>
          </w:p>
        </w:tc>
        <w:tc>
          <w:tcPr>
            <w:tcW w:w="100" w:type="dxa"/>
            <w:vAlign w:val="bottom"/>
            <w:tcBorders>
              <w:top w:val="single" w:sz="8" w:color="A6A6A6"/>
              <w:bottom w:val="single" w:sz="8" w:color="A6A6A6"/>
            </w:tcBorders>
          </w:tcPr>
          <w:p>
            <w:pPr>
              <w:spacing w:after="0"/>
              <w:rPr>
                <w:sz w:val="12"/>
                <w:szCs w:val="12"/>
                <w:color w:val="auto"/>
              </w:rPr>
            </w:pPr>
          </w:p>
        </w:tc>
        <w:tc>
          <w:tcPr>
            <w:tcW w:w="660" w:type="dxa"/>
            <w:vAlign w:val="bottom"/>
            <w:tcBorders>
              <w:top w:val="single" w:sz="8" w:color="A6A6A6"/>
              <w:bottom w:val="single" w:sz="8" w:color="A6A6A6"/>
            </w:tcBorders>
          </w:tcPr>
          <w:p>
            <w:pPr>
              <w:spacing w:after="0"/>
              <w:rPr>
                <w:sz w:val="12"/>
                <w:szCs w:val="12"/>
                <w:color w:val="auto"/>
              </w:rPr>
            </w:pPr>
          </w:p>
        </w:tc>
        <w:tc>
          <w:tcPr>
            <w:tcW w:w="840" w:type="dxa"/>
            <w:vAlign w:val="bottom"/>
            <w:tcBorders>
              <w:top w:val="single" w:sz="8" w:color="A6A6A6"/>
              <w:bottom w:val="single" w:sz="8" w:color="A6A6A6"/>
            </w:tcBorders>
          </w:tcPr>
          <w:p>
            <w:pPr>
              <w:spacing w:after="0"/>
              <w:rPr>
                <w:sz w:val="12"/>
                <w:szCs w:val="12"/>
                <w:color w:val="auto"/>
              </w:rPr>
            </w:pPr>
          </w:p>
        </w:tc>
        <w:tc>
          <w:tcPr>
            <w:tcW w:w="220" w:type="dxa"/>
            <w:vAlign w:val="bottom"/>
            <w:tcBorders>
              <w:top w:val="single" w:sz="8" w:color="004483"/>
              <w:bottom w:val="single" w:sz="8" w:color="004483"/>
            </w:tcBorders>
          </w:tcPr>
          <w:p>
            <w:pPr>
              <w:jc w:val="right"/>
              <w:ind w:right="111"/>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004483"/>
              <w:bottom w:val="single" w:sz="8" w:color="004483"/>
            </w:tcBorders>
          </w:tcPr>
          <w:p>
            <w:pPr>
              <w:spacing w:after="0"/>
              <w:rPr>
                <w:sz w:val="12"/>
                <w:szCs w:val="12"/>
                <w:color w:val="auto"/>
              </w:rPr>
            </w:pPr>
          </w:p>
        </w:tc>
        <w:tc>
          <w:tcPr>
            <w:tcW w:w="40" w:type="dxa"/>
            <w:vAlign w:val="bottom"/>
            <w:tcBorders>
              <w:top w:val="single" w:sz="8" w:color="004483"/>
              <w:bottom w:val="single" w:sz="8" w:color="004483"/>
            </w:tcBorders>
          </w:tcPr>
          <w:p>
            <w:pPr>
              <w:spacing w:after="0"/>
              <w:rPr>
                <w:sz w:val="12"/>
                <w:szCs w:val="12"/>
                <w:color w:val="auto"/>
              </w:rPr>
            </w:pPr>
          </w:p>
        </w:tc>
        <w:tc>
          <w:tcPr>
            <w:tcW w:w="120" w:type="dxa"/>
            <w:vAlign w:val="bottom"/>
            <w:tcBorders>
              <w:top w:val="single" w:sz="8" w:color="004483"/>
              <w:bottom w:val="single" w:sz="8" w:color="004483"/>
            </w:tcBorders>
          </w:tcPr>
          <w:p>
            <w:pPr>
              <w:spacing w:after="0"/>
              <w:rPr>
                <w:sz w:val="12"/>
                <w:szCs w:val="12"/>
                <w:color w:val="auto"/>
              </w:rPr>
            </w:pPr>
          </w:p>
        </w:tc>
        <w:tc>
          <w:tcPr>
            <w:tcW w:w="13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6,203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4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660" w:type="dxa"/>
            <w:vAlign w:val="bottom"/>
            <w:tcBorders>
              <w:bottom w:val="single" w:sz="8" w:color="A6A6A6"/>
            </w:tcBorders>
          </w:tcPr>
          <w:p>
            <w:pPr>
              <w:spacing w:after="0"/>
              <w:rPr>
                <w:sz w:val="12"/>
                <w:szCs w:val="12"/>
                <w:color w:val="auto"/>
              </w:rPr>
            </w:pPr>
          </w:p>
        </w:tc>
        <w:tc>
          <w:tcPr>
            <w:tcW w:w="840" w:type="dxa"/>
            <w:vAlign w:val="bottom"/>
            <w:tcBorders>
              <w:bottom w:val="single" w:sz="8" w:color="A6A6A6"/>
            </w:tcBorders>
          </w:tcPr>
          <w:p>
            <w:pPr>
              <w:spacing w:after="0"/>
              <w:rPr>
                <w:sz w:val="12"/>
                <w:szCs w:val="12"/>
                <w:color w:val="auto"/>
              </w:rPr>
            </w:pPr>
          </w:p>
        </w:tc>
        <w:tc>
          <w:tcPr>
            <w:tcW w:w="220" w:type="dxa"/>
            <w:vAlign w:val="bottom"/>
            <w:tcBorders>
              <w:bottom w:val="single" w:sz="8" w:color="A6A6A6"/>
            </w:tcBorders>
          </w:tcPr>
          <w:p>
            <w:pPr>
              <w:spacing w:after="0"/>
              <w:rPr>
                <w:sz w:val="12"/>
                <w:szCs w:val="12"/>
                <w:color w:val="auto"/>
              </w:rPr>
            </w:pPr>
          </w:p>
        </w:tc>
        <w:tc>
          <w:tcPr>
            <w:tcW w:w="260" w:type="dxa"/>
            <w:vAlign w:val="bottom"/>
            <w:tcBorders>
              <w:bottom w:val="single" w:sz="8" w:color="A6A6A6"/>
            </w:tcBorders>
          </w:tcPr>
          <w:p>
            <w:pPr>
              <w:spacing w:after="0"/>
              <w:rPr>
                <w:sz w:val="12"/>
                <w:szCs w:val="12"/>
                <w:color w:val="auto"/>
              </w:rPr>
            </w:pPr>
          </w:p>
        </w:tc>
        <w:tc>
          <w:tcPr>
            <w:tcW w:w="4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1380" w:type="dxa"/>
            <w:vAlign w:val="bottom"/>
            <w:tcBorders>
              <w:bottom w:val="single" w:sz="8" w:color="A6A6A6"/>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5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 Average Remaining Lease Term (in years)</w:t>
            </w:r>
          </w:p>
        </w:tc>
        <w:tc>
          <w:tcPr>
            <w:tcW w:w="1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220" w:type="dxa"/>
            <w:vAlign w:val="bottom"/>
            <w:tcBorders>
              <w:bottom w:val="single" w:sz="8" w:color="A6A6A6"/>
            </w:tcBorders>
          </w:tcPr>
          <w:p>
            <w:pPr>
              <w:spacing w:after="0"/>
              <w:rPr>
                <w:sz w:val="11"/>
                <w:szCs w:val="11"/>
                <w:color w:val="auto"/>
              </w:rPr>
            </w:pPr>
          </w:p>
        </w:tc>
        <w:tc>
          <w:tcPr>
            <w:tcW w:w="260" w:type="dxa"/>
            <w:vAlign w:val="bottom"/>
            <w:tcBorders>
              <w:bottom w:val="single" w:sz="8" w:color="A6A6A6"/>
            </w:tcBorders>
          </w:tcPr>
          <w:p>
            <w:pPr>
              <w:spacing w:after="0"/>
              <w:rPr>
                <w:sz w:val="11"/>
                <w:szCs w:val="11"/>
                <w:color w:val="auto"/>
              </w:rPr>
            </w:pPr>
          </w:p>
        </w:tc>
        <w:tc>
          <w:tcPr>
            <w:tcW w:w="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14.3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540" w:type="dxa"/>
            <w:vAlign w:val="bottom"/>
          </w:tcPr>
          <w:p>
            <w:pPr>
              <w:spacing w:after="0"/>
              <w:rPr>
                <w:sz w:val="20"/>
                <w:szCs w:val="20"/>
                <w:color w:val="auto"/>
              </w:rPr>
            </w:pPr>
            <w:r>
              <w:rPr>
                <w:rFonts w:ascii="Arial" w:cs="Arial" w:eastAsia="Arial" w:hAnsi="Arial"/>
                <w:sz w:val="11"/>
                <w:szCs w:val="11"/>
                <w:b w:val="1"/>
                <w:bCs w:val="1"/>
                <w:color w:val="auto"/>
              </w:rPr>
              <w:t>Weighted Average Discount Rate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3.75%</w:t>
            </w:r>
          </w:p>
        </w:tc>
        <w:tc>
          <w:tcPr>
            <w:tcW w:w="0" w:type="dxa"/>
            <w:vAlign w:val="bottom"/>
          </w:tcPr>
          <w:p>
            <w:pPr>
              <w:spacing w:after="0"/>
              <w:rPr>
                <w:sz w:val="1"/>
                <w:szCs w:val="1"/>
                <w:color w:val="auto"/>
              </w:rPr>
            </w:pPr>
          </w:p>
        </w:tc>
      </w:tr>
      <w:tr>
        <w:trPr>
          <w:trHeight w:val="20"/>
        </w:trPr>
        <w:tc>
          <w:tcPr>
            <w:tcW w:w="754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220" w:type="dxa"/>
            <w:vAlign w:val="bottom"/>
            <w:tcBorders>
              <w:right w:val="single" w:sz="8" w:color="A6A6A6"/>
            </w:tcBorders>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 COMMITMENTS AND CONTINGENCIES</w:t>
      </w:r>
    </w:p>
    <w:p>
      <w:pPr>
        <w:spacing w:after="0" w:line="84" w:lineRule="exact"/>
        <w:rPr>
          <w:sz w:val="20"/>
          <w:szCs w:val="20"/>
          <w:color w:val="auto"/>
        </w:rPr>
      </w:pPr>
    </w:p>
    <w:p>
      <w:pPr>
        <w:jc w:val="both"/>
        <w:ind w:right="40"/>
        <w:spacing w:after="0" w:line="246" w:lineRule="auto"/>
        <w:rPr>
          <w:sz w:val="20"/>
          <w:szCs w:val="20"/>
          <w:color w:val="auto"/>
        </w:rPr>
      </w:pPr>
      <w:r>
        <w:rPr>
          <w:rFonts w:ascii="Arial" w:cs="Arial" w:eastAsia="Arial" w:hAnsi="Arial"/>
          <w:sz w:val="12"/>
          <w:szCs w:val="12"/>
          <w:color w:val="auto"/>
        </w:rPr>
        <w:t>Texas Lehigh is involved in certain legal actions arising in the ordinary course of its business. Management does not believe any of these actions, either individually or in the aggregate, are material to the Company or require accrual or disclosure at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 PENSION AND PROFIT SHARING PLANS</w:t>
      </w:r>
    </w:p>
    <w:p>
      <w:pPr>
        <w:spacing w:after="0" w:line="84" w:lineRule="exact"/>
        <w:rPr>
          <w:sz w:val="20"/>
          <w:szCs w:val="20"/>
          <w:color w:val="auto"/>
        </w:rPr>
      </w:pPr>
    </w:p>
    <w:p>
      <w:pPr>
        <w:ind w:right="60"/>
        <w:spacing w:after="0" w:line="238" w:lineRule="auto"/>
        <w:rPr>
          <w:sz w:val="20"/>
          <w:szCs w:val="20"/>
          <w:color w:val="auto"/>
        </w:rPr>
      </w:pPr>
      <w:r>
        <w:rPr>
          <w:rFonts w:ascii="Arial" w:cs="Arial" w:eastAsia="Arial" w:hAnsi="Arial"/>
          <w:sz w:val="12"/>
          <w:szCs w:val="12"/>
          <w:color w:val="auto"/>
        </w:rPr>
        <w:t>Texas Lehigh provides a profit sharing plan, a defined contribution plan (“401(k) plan”) and a noncontributory defined benefit pension plan, which together covers substantially all employees and provides specified benefits to qualified employees. Texas Lehigh is not a party to any multi-employer pension plan. Benefits paid under the defined benefit plan cover hourly employees and are based on years of service and the employee’s highest qualifying compensation over any five year period of employment. Texas Lehigh’s funding policy is to contribute the legally required minimum amounts with the discretion to contribute additional amounts from time to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color w:val="auto"/>
        </w:rPr>
        <w:t>The annual measurement date is December 31 for the benefit obligations, fair value of plan assets and the funded status of the defined benefit plan.</w:t>
      </w:r>
    </w:p>
    <w:p>
      <w:pPr>
        <w:spacing w:after="0" w:line="78"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The following table provides a reconciliation of the defined benefit pension plan obligation and fair value of plan assets over the two-year period ended December 31, 2020 and a statement of the funded status as of December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2000" w:type="dxa"/>
            <w:vAlign w:val="bottom"/>
            <w:gridSpan w:val="4"/>
            <w:shd w:val="clear" w:color="auto" w:fill="004483"/>
          </w:tcPr>
          <w:p>
            <w:pPr>
              <w:jc w:val="center"/>
              <w:ind w:left="69"/>
              <w:spacing w:after="0"/>
              <w:rPr>
                <w:sz w:val="20"/>
                <w:szCs w:val="20"/>
                <w:color w:val="auto"/>
              </w:rPr>
            </w:pPr>
            <w:r>
              <w:rPr>
                <w:rFonts w:ascii="Arial" w:cs="Arial" w:eastAsia="Arial" w:hAnsi="Arial"/>
                <w:sz w:val="8"/>
                <w:szCs w:val="8"/>
                <w:b w:val="1"/>
                <w:bCs w:val="1"/>
                <w:color w:val="FFFFFF"/>
                <w:w w:val="94"/>
              </w:rPr>
              <w:t>Year ended December 31,</w:t>
            </w: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2000" w:type="dxa"/>
            <w:vAlign w:val="bottom"/>
            <w:tcBorders>
              <w:bottom w:val="single" w:sz="8" w:color="004483"/>
            </w:tcBorders>
            <w:gridSpan w:val="4"/>
          </w:tcPr>
          <w:p>
            <w:pPr>
              <w:jc w:val="center"/>
              <w:ind w:left="69"/>
              <w:spacing w:after="0"/>
              <w:rPr>
                <w:sz w:val="20"/>
                <w:szCs w:val="20"/>
                <w:color w:val="auto"/>
              </w:rPr>
            </w:pPr>
            <w:r>
              <w:rPr>
                <w:rFonts w:ascii="Arial" w:cs="Arial" w:eastAsia="Arial" w:hAnsi="Arial"/>
                <w:sz w:val="8"/>
                <w:szCs w:val="8"/>
                <w:color w:val="auto"/>
                <w:w w:val="94"/>
              </w:rPr>
              <w:t>(dollars in thousands)</w:t>
            </w:r>
          </w:p>
        </w:tc>
        <w:tc>
          <w:tcPr>
            <w:tcW w:w="7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Reconciliation of Benefit Obligations -</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Benefit obligation at January 1,</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12,421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71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10,256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Service Cost</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Interest cost on projected benefit obligation</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Actuarial loss (gain)</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1,177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1,794</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Benefits paid</w:t>
            </w:r>
          </w:p>
        </w:tc>
        <w:tc>
          <w:tcPr>
            <w:tcW w:w="66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(403)</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(301)</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Benefit obligation at December 31,</w:t>
            </w:r>
          </w:p>
        </w:tc>
        <w:tc>
          <w:tcPr>
            <w:tcW w:w="660" w:type="dxa"/>
            <w:vAlign w:val="bottom"/>
            <w:tcBorders>
              <w:top w:val="single" w:sz="8" w:color="004483"/>
              <w:bottom w:val="single" w:sz="8" w:color="004483"/>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13,880</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004483"/>
              <w:bottom w:val="single" w:sz="8" w:color="004483"/>
            </w:tcBorders>
          </w:tcPr>
          <w:p>
            <w:pPr>
              <w:jc w:val="right"/>
              <w:ind w:right="713"/>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12,421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Reconciliation of Fair Value of Plan Assets -</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Fair value of plan assets at January 1</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9,212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ind w:right="71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7,798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Actual return on plan assets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1,171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1,193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Employer contributions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522</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Benefits paid</w:t>
            </w:r>
          </w:p>
        </w:tc>
        <w:tc>
          <w:tcPr>
            <w:tcW w:w="66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(403)</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(301)</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Fair value of plan assets at December 31</w:t>
            </w:r>
          </w:p>
        </w:tc>
        <w:tc>
          <w:tcPr>
            <w:tcW w:w="660" w:type="dxa"/>
            <w:vAlign w:val="bottom"/>
            <w:tcBorders>
              <w:top w:val="single" w:sz="8" w:color="004483"/>
              <w:bottom w:val="single" w:sz="8" w:color="004483"/>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10,440</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004483"/>
              <w:bottom w:val="single" w:sz="8" w:color="004483"/>
            </w:tcBorders>
          </w:tcPr>
          <w:p>
            <w:pPr>
              <w:jc w:val="right"/>
              <w:ind w:right="713"/>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9,212</w:t>
            </w:r>
          </w:p>
        </w:tc>
        <w:tc>
          <w:tcPr>
            <w:tcW w:w="120" w:type="dxa"/>
            <w:vAlign w:val="bottom"/>
          </w:tcPr>
          <w:p>
            <w:pPr>
              <w:spacing w:after="0"/>
              <w:rPr>
                <w:sz w:val="11"/>
                <w:szCs w:val="11"/>
                <w:color w:val="auto"/>
              </w:rPr>
            </w:pPr>
          </w:p>
        </w:tc>
      </w:tr>
      <w:tr>
        <w:trPr>
          <w:trHeight w:val="142"/>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Unfunded status at December 31</w:t>
            </w: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(3,440)</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780" w:type="dxa"/>
            <w:vAlign w:val="bottom"/>
            <w:tcBorders>
              <w:bottom w:val="single" w:sz="8" w:color="004483"/>
            </w:tcBorders>
          </w:tcPr>
          <w:p>
            <w:pPr>
              <w:jc w:val="right"/>
              <w:ind w:right="71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(3,209)</w:t>
            </w:r>
          </w:p>
        </w:tc>
        <w:tc>
          <w:tcPr>
            <w:tcW w:w="120" w:type="dxa"/>
            <w:vAlign w:val="bottom"/>
          </w:tcPr>
          <w:p>
            <w:pPr>
              <w:spacing w:after="0"/>
              <w:rPr>
                <w:sz w:val="12"/>
                <w:szCs w:val="12"/>
                <w:color w:val="auto"/>
              </w:rPr>
            </w:pPr>
          </w:p>
        </w:tc>
      </w:tr>
      <w:tr>
        <w:trPr>
          <w:trHeight w:val="144"/>
        </w:trPr>
        <w:tc>
          <w:tcPr>
            <w:tcW w:w="7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40" w:type="dxa"/>
            <w:vAlign w:val="bottom"/>
          </w:tcPr>
          <w:p>
            <w:pPr>
              <w:spacing w:after="0"/>
              <w:rPr>
                <w:sz w:val="12"/>
                <w:szCs w:val="12"/>
                <w:color w:val="auto"/>
              </w:rPr>
            </w:pPr>
          </w:p>
        </w:tc>
        <w:tc>
          <w:tcPr>
            <w:tcW w:w="660" w:type="dxa"/>
            <w:vAlign w:val="bottom"/>
            <w:shd w:val="clear" w:color="auto" w:fill="004483"/>
          </w:tcPr>
          <w:p>
            <w:pPr>
              <w:spacing w:after="0"/>
              <w:rPr>
                <w:sz w:val="12"/>
                <w:szCs w:val="12"/>
                <w:color w:val="auto"/>
              </w:rPr>
            </w:pPr>
          </w:p>
        </w:tc>
        <w:tc>
          <w:tcPr>
            <w:tcW w:w="2000" w:type="dxa"/>
            <w:vAlign w:val="bottom"/>
            <w:gridSpan w:val="4"/>
            <w:shd w:val="clear" w:color="auto" w:fill="004483"/>
          </w:tcPr>
          <w:p>
            <w:pPr>
              <w:jc w:val="center"/>
              <w:ind w:left="69"/>
              <w:spacing w:after="0"/>
              <w:rPr>
                <w:sz w:val="20"/>
                <w:szCs w:val="20"/>
                <w:color w:val="auto"/>
              </w:rPr>
            </w:pPr>
            <w:r>
              <w:rPr>
                <w:rFonts w:ascii="Arial" w:cs="Arial" w:eastAsia="Arial" w:hAnsi="Arial"/>
                <w:sz w:val="8"/>
                <w:szCs w:val="8"/>
                <w:b w:val="1"/>
                <w:bCs w:val="1"/>
                <w:color w:val="FFFFFF"/>
                <w:w w:val="92"/>
              </w:rPr>
              <w:t>December 31,</w:t>
            </w:r>
          </w:p>
        </w:tc>
        <w:tc>
          <w:tcPr>
            <w:tcW w:w="78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r>
      <w:tr>
        <w:trPr>
          <w:trHeight w:val="144"/>
        </w:trPr>
        <w:tc>
          <w:tcPr>
            <w:tcW w:w="7740" w:type="dxa"/>
            <w:vAlign w:val="bottom"/>
          </w:tcPr>
          <w:p>
            <w:pPr>
              <w:spacing w:after="0"/>
              <w:rPr>
                <w:sz w:val="12"/>
                <w:szCs w:val="12"/>
                <w:color w:val="auto"/>
              </w:rPr>
            </w:pPr>
          </w:p>
        </w:tc>
        <w:tc>
          <w:tcPr>
            <w:tcW w:w="660" w:type="dxa"/>
            <w:vAlign w:val="bottom"/>
            <w:tcBorders>
              <w:bottom w:val="single" w:sz="8" w:color="004483"/>
            </w:tcBorders>
          </w:tcPr>
          <w:p>
            <w:pPr>
              <w:spacing w:after="0"/>
              <w:rPr>
                <w:sz w:val="12"/>
                <w:szCs w:val="12"/>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004483"/>
            </w:tcBorders>
          </w:tcPr>
          <w:p>
            <w:pPr>
              <w:spacing w:after="0"/>
              <w:rPr>
                <w:sz w:val="12"/>
                <w:szCs w:val="12"/>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12"/>
                <w:szCs w:val="12"/>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Amounts Recognized in the Balance Sheet Consist of</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Accrued Benefit Liability</w:t>
            </w: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(3,440)</w:t>
            </w:r>
          </w:p>
        </w:tc>
        <w:tc>
          <w:tcPr>
            <w:tcW w:w="200" w:type="dxa"/>
            <w:vAlign w:val="bottom"/>
          </w:tcPr>
          <w:p>
            <w:pPr>
              <w:spacing w:after="0"/>
              <w:rPr>
                <w:sz w:val="11"/>
                <w:szCs w:val="11"/>
                <w:color w:val="auto"/>
              </w:rPr>
            </w:pPr>
          </w:p>
        </w:tc>
        <w:tc>
          <w:tcPr>
            <w:tcW w:w="780" w:type="dxa"/>
            <w:vAlign w:val="bottom"/>
          </w:tcPr>
          <w:p>
            <w:pPr>
              <w:jc w:val="right"/>
              <w:ind w:right="713"/>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(3,209)</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Accumulated Other Comprehensive Loss:</w:t>
            </w:r>
          </w:p>
        </w:tc>
        <w:tc>
          <w:tcPr>
            <w:tcW w:w="66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Actuarial Loss</w:t>
            </w:r>
          </w:p>
        </w:tc>
        <w:tc>
          <w:tcPr>
            <w:tcW w:w="66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3,942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80" w:type="dxa"/>
            <w:vAlign w:val="bottom"/>
            <w:tcBorders>
              <w:bottom w:val="single" w:sz="8" w:color="004483"/>
            </w:tcBorders>
          </w:tcPr>
          <w:p>
            <w:pPr>
              <w:spacing w:after="0"/>
              <w:rPr>
                <w:sz w:val="11"/>
                <w:szCs w:val="11"/>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3,706</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auto"/>
              </w:rPr>
              <w:t>Net Accumulated Other Comprehensive Loss</w:t>
            </w: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3,942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004483"/>
            </w:tcBorders>
          </w:tcPr>
          <w:p>
            <w:pPr>
              <w:jc w:val="right"/>
              <w:ind w:right="71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3,706</w:t>
            </w:r>
          </w:p>
        </w:tc>
        <w:tc>
          <w:tcPr>
            <w:tcW w:w="120" w:type="dxa"/>
            <w:vAlign w:val="bottom"/>
          </w:tcPr>
          <w:p>
            <w:pPr>
              <w:spacing w:after="0"/>
              <w:rPr>
                <w:sz w:val="12"/>
                <w:szCs w:val="1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2"/>
          <w:szCs w:val="12"/>
          <w:color w:val="auto"/>
        </w:rPr>
        <w:t>Information for pension plans with an accumulated benefit obligation in excess of plan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020" w:type="dxa"/>
            <w:vAlign w:val="bottom"/>
            <w:gridSpan w:val="6"/>
            <w:shd w:val="clear" w:color="auto" w:fill="004483"/>
          </w:tcPr>
          <w:p>
            <w:pPr>
              <w:jc w:val="right"/>
              <w:ind w:right="411"/>
              <w:spacing w:after="0"/>
              <w:rPr>
                <w:sz w:val="20"/>
                <w:szCs w:val="20"/>
                <w:color w:val="auto"/>
              </w:rPr>
            </w:pPr>
            <w:r>
              <w:rPr>
                <w:rFonts w:ascii="Arial" w:cs="Arial" w:eastAsia="Arial" w:hAnsi="Arial"/>
                <w:sz w:val="8"/>
                <w:szCs w:val="8"/>
                <w:b w:val="1"/>
                <w:bCs w:val="1"/>
                <w:color w:val="FFFFFF"/>
              </w:rPr>
              <w:t>Year Ended December 31,</w:t>
            </w: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080" w:type="dxa"/>
            <w:vAlign w:val="bottom"/>
            <w:tcBorders>
              <w:bottom w:val="single" w:sz="8" w:color="004483"/>
            </w:tcBorders>
          </w:tcPr>
          <w:p>
            <w:pPr>
              <w:spacing w:after="0"/>
              <w:rPr>
                <w:sz w:val="8"/>
                <w:szCs w:val="8"/>
                <w:color w:val="auto"/>
              </w:rPr>
            </w:pPr>
          </w:p>
        </w:tc>
        <w:tc>
          <w:tcPr>
            <w:tcW w:w="2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2020" w:type="dxa"/>
            <w:vAlign w:val="bottom"/>
            <w:tcBorders>
              <w:bottom w:val="single" w:sz="8" w:color="004483"/>
            </w:tcBorders>
            <w:gridSpan w:val="6"/>
          </w:tcPr>
          <w:p>
            <w:pPr>
              <w:jc w:val="right"/>
              <w:ind w:right="531"/>
              <w:spacing w:after="0"/>
              <w:rPr>
                <w:sz w:val="20"/>
                <w:szCs w:val="20"/>
                <w:color w:val="auto"/>
              </w:rPr>
            </w:pPr>
            <w:r>
              <w:rPr>
                <w:rFonts w:ascii="Arial" w:cs="Arial" w:eastAsia="Arial" w:hAnsi="Arial"/>
                <w:sz w:val="8"/>
                <w:szCs w:val="8"/>
                <w:color w:val="auto"/>
              </w:rPr>
              <w:t>(dollars in thousands)</w:t>
            </w:r>
          </w:p>
        </w:tc>
        <w:tc>
          <w:tcPr>
            <w:tcW w:w="7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Projected Benefit Obligation</w:t>
            </w:r>
          </w:p>
        </w:tc>
        <w:tc>
          <w:tcPr>
            <w:tcW w:w="1080" w:type="dxa"/>
            <w:vAlign w:val="bottom"/>
            <w:tcBorders>
              <w:bottom w:val="single" w:sz="8" w:color="A6A6A6"/>
            </w:tcBorders>
          </w:tcPr>
          <w:p>
            <w:pPr>
              <w:spacing w:after="0"/>
              <w:rPr>
                <w:sz w:val="11"/>
                <w:szCs w:val="11"/>
                <w:color w:val="auto"/>
              </w:rPr>
            </w:pPr>
          </w:p>
        </w:tc>
        <w:tc>
          <w:tcPr>
            <w:tcW w:w="240" w:type="dxa"/>
            <w:vAlign w:val="bottom"/>
            <w:tcBorders>
              <w:bottom w:val="single" w:sz="8" w:color="A6A6A6"/>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13,880</w:t>
            </w:r>
          </w:p>
        </w:tc>
        <w:tc>
          <w:tcPr>
            <w:tcW w:w="10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12,421</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Accumulated Benefit Obligation</w:t>
            </w:r>
          </w:p>
        </w:tc>
        <w:tc>
          <w:tcPr>
            <w:tcW w:w="1080" w:type="dxa"/>
            <w:vAlign w:val="bottom"/>
            <w:tcBorders>
              <w:bottom w:val="single" w:sz="8" w:color="A6A6A6"/>
            </w:tcBorders>
          </w:tcPr>
          <w:p>
            <w:pPr>
              <w:spacing w:after="0"/>
              <w:rPr>
                <w:sz w:val="11"/>
                <w:szCs w:val="11"/>
                <w:color w:val="auto"/>
              </w:rPr>
            </w:pPr>
          </w:p>
        </w:tc>
        <w:tc>
          <w:tcPr>
            <w:tcW w:w="240" w:type="dxa"/>
            <w:vAlign w:val="bottom"/>
            <w:tcBorders>
              <w:bottom w:val="single" w:sz="8" w:color="A6A6A6"/>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13,880</w:t>
            </w:r>
          </w:p>
        </w:tc>
        <w:tc>
          <w:tcPr>
            <w:tcW w:w="10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12,421</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3A3A3"/>
            </w:tcBorders>
          </w:tcPr>
          <w:p>
            <w:pPr>
              <w:spacing w:after="0"/>
              <w:rPr>
                <w:sz w:val="20"/>
                <w:szCs w:val="20"/>
                <w:color w:val="auto"/>
              </w:rPr>
            </w:pPr>
            <w:r>
              <w:rPr>
                <w:rFonts w:ascii="Arial" w:cs="Arial" w:eastAsia="Arial" w:hAnsi="Arial"/>
                <w:sz w:val="11"/>
                <w:szCs w:val="11"/>
                <w:color w:val="auto"/>
              </w:rPr>
              <w:t>Fair Value of Plan Assets</w:t>
            </w:r>
          </w:p>
        </w:tc>
        <w:tc>
          <w:tcPr>
            <w:tcW w:w="1080" w:type="dxa"/>
            <w:vAlign w:val="bottom"/>
            <w:tcBorders>
              <w:bottom w:val="single" w:sz="8" w:color="A3A3A3"/>
            </w:tcBorders>
          </w:tcPr>
          <w:p>
            <w:pPr>
              <w:spacing w:after="0"/>
              <w:rPr>
                <w:sz w:val="11"/>
                <w:szCs w:val="11"/>
                <w:color w:val="auto"/>
              </w:rPr>
            </w:pPr>
          </w:p>
        </w:tc>
        <w:tc>
          <w:tcPr>
            <w:tcW w:w="240" w:type="dxa"/>
            <w:vAlign w:val="bottom"/>
            <w:tcBorders>
              <w:bottom w:val="single" w:sz="8" w:color="A3A3A3"/>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3A3A3"/>
            </w:tcBorders>
          </w:tcPr>
          <w:p>
            <w:pPr>
              <w:spacing w:after="0"/>
              <w:rPr>
                <w:sz w:val="11"/>
                <w:szCs w:val="11"/>
                <w:color w:val="auto"/>
              </w:rPr>
            </w:pPr>
          </w:p>
        </w:tc>
        <w:tc>
          <w:tcPr>
            <w:tcW w:w="160" w:type="dxa"/>
            <w:vAlign w:val="bottom"/>
            <w:tcBorders>
              <w:bottom w:val="single" w:sz="8" w:color="A3A3A3"/>
            </w:tcBorders>
          </w:tcPr>
          <w:p>
            <w:pPr>
              <w:spacing w:after="0"/>
              <w:rPr>
                <w:sz w:val="11"/>
                <w:szCs w:val="11"/>
                <w:color w:val="auto"/>
              </w:rPr>
            </w:pPr>
          </w:p>
        </w:tc>
        <w:tc>
          <w:tcPr>
            <w:tcW w:w="120" w:type="dxa"/>
            <w:vAlign w:val="bottom"/>
            <w:tcBorders>
              <w:bottom w:val="single" w:sz="8" w:color="A3A3A3"/>
            </w:tcBorders>
          </w:tcPr>
          <w:p>
            <w:pPr>
              <w:spacing w:after="0"/>
              <w:rPr>
                <w:sz w:val="11"/>
                <w:szCs w:val="11"/>
                <w:color w:val="auto"/>
              </w:rPr>
            </w:pPr>
          </w:p>
        </w:tc>
        <w:tc>
          <w:tcPr>
            <w:tcW w:w="94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rPr>
              <w:t>10,440</w:t>
            </w:r>
          </w:p>
        </w:tc>
        <w:tc>
          <w:tcPr>
            <w:tcW w:w="100" w:type="dxa"/>
            <w:vAlign w:val="bottom"/>
          </w:tcPr>
          <w:p>
            <w:pPr>
              <w:spacing w:after="0"/>
              <w:rPr>
                <w:sz w:val="11"/>
                <w:szCs w:val="11"/>
                <w:color w:val="auto"/>
              </w:rPr>
            </w:pPr>
          </w:p>
        </w:tc>
        <w:tc>
          <w:tcPr>
            <w:tcW w:w="160" w:type="dxa"/>
            <w:vAlign w:val="bottom"/>
            <w:tcBorders>
              <w:bottom w:val="single" w:sz="8" w:color="A3A3A3"/>
            </w:tcBorders>
          </w:tcPr>
          <w:p>
            <w:pPr>
              <w:spacing w:after="0"/>
              <w:rPr>
                <w:sz w:val="11"/>
                <w:szCs w:val="11"/>
                <w:color w:val="auto"/>
              </w:rPr>
            </w:pPr>
          </w:p>
        </w:tc>
        <w:tc>
          <w:tcPr>
            <w:tcW w:w="12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3A3A3"/>
            </w:tcBorders>
          </w:tcPr>
          <w:p>
            <w:pPr>
              <w:spacing w:after="0"/>
              <w:rPr>
                <w:sz w:val="11"/>
                <w:szCs w:val="11"/>
                <w:color w:val="auto"/>
              </w:rPr>
            </w:pPr>
          </w:p>
        </w:tc>
        <w:tc>
          <w:tcPr>
            <w:tcW w:w="540" w:type="dxa"/>
            <w:vAlign w:val="bottom"/>
            <w:tcBorders>
              <w:bottom w:val="single" w:sz="8" w:color="A3A3A3"/>
            </w:tcBorders>
          </w:tcPr>
          <w:p>
            <w:pPr>
              <w:spacing w:after="0"/>
              <w:rPr>
                <w:sz w:val="11"/>
                <w:szCs w:val="11"/>
                <w:color w:val="auto"/>
              </w:rPr>
            </w:pPr>
          </w:p>
        </w:tc>
        <w:tc>
          <w:tcPr>
            <w:tcW w:w="78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rPr>
              <w:t>9,212</w:t>
            </w:r>
          </w:p>
        </w:tc>
        <w:tc>
          <w:tcPr>
            <w:tcW w:w="120" w:type="dxa"/>
            <w:vAlign w:val="bottom"/>
          </w:tcPr>
          <w:p>
            <w:pPr>
              <w:spacing w:after="0"/>
              <w:rPr>
                <w:sz w:val="11"/>
                <w:szCs w:val="1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2"/>
                <w:szCs w:val="12"/>
                <w:color w:val="auto"/>
              </w:rPr>
              <w:t>Net periodic pension cost for the fiscal years ended December 31, 2020, 2019, and 2018 included the following components: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53"/>
        </w:trPr>
        <w:tc>
          <w:tcPr>
            <w:tcW w:w="6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660" w:type="dxa"/>
            <w:vAlign w:val="bottom"/>
          </w:tcPr>
          <w:p>
            <w:pPr>
              <w:spacing w:after="0"/>
              <w:rPr>
                <w:sz w:val="13"/>
                <w:szCs w:val="13"/>
                <w:color w:val="auto"/>
              </w:rPr>
            </w:pPr>
          </w:p>
        </w:tc>
        <w:tc>
          <w:tcPr>
            <w:tcW w:w="1080" w:type="dxa"/>
            <w:vAlign w:val="bottom"/>
            <w:shd w:val="clear" w:color="auto" w:fill="004483"/>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200" w:type="dxa"/>
            <w:vAlign w:val="bottom"/>
            <w:gridSpan w:val="3"/>
            <w:shd w:val="clear" w:color="auto" w:fill="004483"/>
          </w:tcPr>
          <w:p>
            <w:pPr>
              <w:jc w:val="right"/>
              <w:ind w:right="200"/>
              <w:spacing w:after="0"/>
              <w:rPr>
                <w:sz w:val="20"/>
                <w:szCs w:val="20"/>
                <w:color w:val="auto"/>
              </w:rPr>
            </w:pPr>
            <w:r>
              <w:rPr>
                <w:rFonts w:ascii="Arial" w:cs="Arial" w:eastAsia="Arial" w:hAnsi="Arial"/>
                <w:sz w:val="8"/>
                <w:szCs w:val="8"/>
                <w:b w:val="1"/>
                <w:bCs w:val="1"/>
                <w:color w:val="FFFFFF"/>
              </w:rPr>
              <w:t>Year ended December 31,</w:t>
            </w:r>
          </w:p>
        </w:tc>
        <w:tc>
          <w:tcPr>
            <w:tcW w:w="120" w:type="dxa"/>
            <w:vAlign w:val="bottom"/>
            <w:shd w:val="clear" w:color="auto" w:fill="004483"/>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7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8"/>
                <w:szCs w:val="8"/>
                <w:b w:val="1"/>
                <w:bCs w:val="1"/>
                <w:color w:val="auto"/>
              </w:rPr>
              <w:t>2018</w:t>
            </w:r>
          </w:p>
        </w:tc>
        <w:tc>
          <w:tcPr>
            <w:tcW w:w="120" w:type="dxa"/>
            <w:vAlign w:val="bottom"/>
          </w:tcPr>
          <w:p>
            <w:pPr>
              <w:spacing w:after="0"/>
              <w:rPr>
                <w:sz w:val="8"/>
                <w:szCs w:val="8"/>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080" w:type="dxa"/>
            <w:vAlign w:val="bottom"/>
            <w:tcBorders>
              <w:bottom w:val="single" w:sz="8" w:color="004483"/>
            </w:tcBorders>
          </w:tcPr>
          <w:p>
            <w:pPr>
              <w:spacing w:after="0"/>
              <w:rPr>
                <w:sz w:val="8"/>
                <w:szCs w:val="8"/>
                <w:color w:val="auto"/>
              </w:rPr>
            </w:pPr>
          </w:p>
        </w:tc>
        <w:tc>
          <w:tcPr>
            <w:tcW w:w="2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0" w:type="dxa"/>
            <w:vAlign w:val="bottom"/>
            <w:tcBorders>
              <w:bottom w:val="single" w:sz="8" w:color="004483"/>
            </w:tcBorders>
            <w:gridSpan w:val="3"/>
          </w:tcPr>
          <w:p>
            <w:pPr>
              <w:jc w:val="right"/>
              <w:ind w:right="320"/>
              <w:spacing w:after="0"/>
              <w:rPr>
                <w:sz w:val="20"/>
                <w:szCs w:val="20"/>
                <w:color w:val="auto"/>
              </w:rPr>
            </w:pPr>
            <w:r>
              <w:rPr>
                <w:rFonts w:ascii="Arial" w:cs="Arial" w:eastAsia="Arial" w:hAnsi="Arial"/>
                <w:sz w:val="8"/>
                <w:szCs w:val="8"/>
                <w:color w:val="auto"/>
              </w:rPr>
              <w:t>(dollar in thousands)</w:t>
            </w:r>
          </w:p>
        </w:tc>
        <w:tc>
          <w:tcPr>
            <w:tcW w:w="120" w:type="dxa"/>
            <w:vAlign w:val="bottom"/>
            <w:tcBorders>
              <w:bottom w:val="single" w:sz="8" w:color="004483"/>
            </w:tcBorders>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540" w:type="dxa"/>
            <w:vAlign w:val="bottom"/>
            <w:tcBorders>
              <w:bottom w:val="single" w:sz="8" w:color="004483"/>
            </w:tcBorders>
          </w:tcPr>
          <w:p>
            <w:pPr>
              <w:spacing w:after="0"/>
              <w:rPr>
                <w:sz w:val="8"/>
                <w:szCs w:val="8"/>
                <w:color w:val="auto"/>
              </w:rPr>
            </w:pPr>
          </w:p>
        </w:tc>
        <w:tc>
          <w:tcPr>
            <w:tcW w:w="7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Service cost - benefits earned during the period</w:t>
            </w: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261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200" w:type="dxa"/>
            <w:vAlign w:val="bottom"/>
            <w:gridSpan w:val="3"/>
          </w:tcPr>
          <w:p>
            <w:pPr>
              <w:jc w:val="right"/>
              <w:spacing w:after="0"/>
              <w:rPr>
                <w:sz w:val="20"/>
                <w:szCs w:val="20"/>
                <w:color w:val="auto"/>
              </w:rPr>
            </w:pPr>
            <w:r>
              <w:rPr>
                <w:rFonts w:ascii="Arial" w:cs="Arial" w:eastAsia="Arial" w:hAnsi="Arial"/>
                <w:sz w:val="11"/>
                <w:szCs w:val="11"/>
                <w:color w:val="auto"/>
              </w:rPr>
              <w:t>219</w:t>
            </w:r>
          </w:p>
        </w:tc>
        <w:tc>
          <w:tcPr>
            <w:tcW w:w="820" w:type="dxa"/>
            <w:vAlign w:val="bottom"/>
            <w:gridSpan w:val="3"/>
          </w:tcPr>
          <w:p>
            <w:pPr>
              <w:jc w:val="right"/>
              <w:ind w:right="431"/>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305</w:t>
            </w:r>
          </w:p>
        </w:tc>
        <w:tc>
          <w:tcPr>
            <w:tcW w:w="120" w:type="dxa"/>
            <w:vAlign w:val="bottom"/>
          </w:tcPr>
          <w:p>
            <w:pPr>
              <w:spacing w:after="0"/>
              <w:rPr>
                <w:sz w:val="11"/>
                <w:szCs w:val="11"/>
                <w:color w:val="auto"/>
              </w:rPr>
            </w:pPr>
          </w:p>
        </w:tc>
      </w:tr>
      <w:tr>
        <w:trPr>
          <w:trHeight w:val="133"/>
        </w:trPr>
        <w:tc>
          <w:tcPr>
            <w:tcW w:w="66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Interest cost of projected benefit obligation</w:t>
            </w:r>
          </w:p>
        </w:tc>
        <w:tc>
          <w:tcPr>
            <w:tcW w:w="1080" w:type="dxa"/>
            <w:vAlign w:val="bottom"/>
            <w:tcBorders>
              <w:top w:val="single" w:sz="8" w:color="A6A6A6"/>
              <w:bottom w:val="single" w:sz="8" w:color="A6A6A6"/>
            </w:tcBorders>
          </w:tcPr>
          <w:p>
            <w:pPr>
              <w:spacing w:after="0"/>
              <w:rPr>
                <w:sz w:val="11"/>
                <w:szCs w:val="11"/>
                <w:color w:val="auto"/>
              </w:rPr>
            </w:pPr>
          </w:p>
        </w:tc>
        <w:tc>
          <w:tcPr>
            <w:tcW w:w="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424</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200" w:type="dxa"/>
            <w:vAlign w:val="bottom"/>
            <w:tcBorders>
              <w:top w:val="single" w:sz="8" w:color="A6A6A6"/>
              <w:bottom w:val="single" w:sz="8" w:color="A6A6A6"/>
            </w:tcBorders>
            <w:gridSpan w:val="3"/>
          </w:tcPr>
          <w:p>
            <w:pPr>
              <w:jc w:val="right"/>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409</w:t>
            </w:r>
          </w:p>
        </w:tc>
        <w:tc>
          <w:tcPr>
            <w:tcW w:w="120" w:type="dxa"/>
            <w:vAlign w:val="bottom"/>
          </w:tcPr>
          <w:p>
            <w:pPr>
              <w:spacing w:after="0"/>
              <w:rPr>
                <w:sz w:val="11"/>
                <w:szCs w:val="1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Expected return on plan assets</w:t>
            </w:r>
          </w:p>
        </w:tc>
        <w:tc>
          <w:tcPr>
            <w:tcW w:w="108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1"/>
                <w:szCs w:val="11"/>
                <w:color w:val="auto"/>
              </w:rPr>
              <w:t>(526)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right"/>
              <w:ind w:right="26"/>
              <w:spacing w:after="0"/>
              <w:rPr>
                <w:sz w:val="20"/>
                <w:szCs w:val="20"/>
                <w:color w:val="auto"/>
              </w:rPr>
            </w:pPr>
            <w:r>
              <w:rPr>
                <w:rFonts w:ascii="Arial" w:cs="Arial" w:eastAsia="Arial" w:hAnsi="Arial"/>
                <w:sz w:val="11"/>
                <w:szCs w:val="11"/>
                <w:color w:val="auto"/>
              </w:rPr>
              <w:t>(451)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(609)</w:t>
            </w:r>
          </w:p>
        </w:tc>
      </w:tr>
      <w:tr>
        <w:trPr>
          <w:trHeight w:val="133"/>
        </w:trPr>
        <w:tc>
          <w:tcPr>
            <w:tcW w:w="66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Recognized net actuarial loss</w:t>
            </w:r>
          </w:p>
        </w:tc>
        <w:tc>
          <w:tcPr>
            <w:tcW w:w="1080" w:type="dxa"/>
            <w:vAlign w:val="bottom"/>
            <w:tcBorders>
              <w:top w:val="single" w:sz="8" w:color="A6A6A6"/>
              <w:bottom w:val="single" w:sz="8" w:color="004483"/>
            </w:tcBorders>
          </w:tcPr>
          <w:p>
            <w:pPr>
              <w:spacing w:after="0"/>
              <w:rPr>
                <w:sz w:val="11"/>
                <w:szCs w:val="11"/>
                <w:color w:val="auto"/>
              </w:rPr>
            </w:pPr>
          </w:p>
        </w:tc>
        <w:tc>
          <w:tcPr>
            <w:tcW w:w="2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296</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120" w:type="dxa"/>
            <w:vAlign w:val="bottom"/>
            <w:tcBorders>
              <w:top w:val="single" w:sz="8" w:color="A6A6A6"/>
              <w:bottom w:val="single" w:sz="8" w:color="004483"/>
            </w:tcBorders>
          </w:tcPr>
          <w:p>
            <w:pPr>
              <w:spacing w:after="0"/>
              <w:rPr>
                <w:sz w:val="11"/>
                <w:szCs w:val="11"/>
                <w:color w:val="auto"/>
              </w:rPr>
            </w:pPr>
          </w:p>
        </w:tc>
        <w:tc>
          <w:tcPr>
            <w:tcW w:w="1200" w:type="dxa"/>
            <w:vAlign w:val="bottom"/>
            <w:tcBorders>
              <w:top w:val="single" w:sz="8" w:color="A6A6A6"/>
              <w:bottom w:val="single" w:sz="8" w:color="004483"/>
            </w:tcBorders>
            <w:gridSpan w:val="3"/>
          </w:tcPr>
          <w:p>
            <w:pPr>
              <w:jc w:val="right"/>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004483"/>
            </w:tcBorders>
          </w:tcPr>
          <w:p>
            <w:pPr>
              <w:spacing w:after="0"/>
              <w:rPr>
                <w:sz w:val="11"/>
                <w:szCs w:val="11"/>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11"/>
                <w:szCs w:val="11"/>
                <w:color w:val="auto"/>
              </w:rPr>
            </w:pPr>
          </w:p>
        </w:tc>
      </w:tr>
      <w:tr>
        <w:trPr>
          <w:trHeight w:val="142"/>
        </w:trPr>
        <w:tc>
          <w:tcPr>
            <w:tcW w:w="6660" w:type="dxa"/>
            <w:vAlign w:val="bottom"/>
          </w:tcPr>
          <w:p>
            <w:pPr>
              <w:ind w:left="160"/>
              <w:spacing w:after="0"/>
              <w:rPr>
                <w:sz w:val="20"/>
                <w:szCs w:val="20"/>
                <w:color w:val="auto"/>
              </w:rPr>
            </w:pPr>
            <w:r>
              <w:rPr>
                <w:rFonts w:ascii="Arial" w:cs="Arial" w:eastAsia="Arial" w:hAnsi="Arial"/>
                <w:sz w:val="11"/>
                <w:szCs w:val="11"/>
                <w:b w:val="1"/>
                <w:bCs w:val="1"/>
                <w:color w:val="auto"/>
              </w:rPr>
              <w:t>Net Periodic Pension Cost</w:t>
            </w:r>
          </w:p>
        </w:tc>
        <w:tc>
          <w:tcPr>
            <w:tcW w:w="1080" w:type="dxa"/>
            <w:vAlign w:val="bottom"/>
            <w:tcBorders>
              <w:bottom w:val="single" w:sz="8" w:color="004483"/>
            </w:tcBorders>
          </w:tcPr>
          <w:p>
            <w:pPr>
              <w:jc w:val="right"/>
              <w:ind w:right="971"/>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455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004483"/>
            </w:tcBorders>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1200" w:type="dxa"/>
            <w:vAlign w:val="bottom"/>
            <w:tcBorders>
              <w:bottom w:val="single" w:sz="8" w:color="004483"/>
            </w:tcBorders>
            <w:gridSpan w:val="3"/>
          </w:tcPr>
          <w:p>
            <w:pPr>
              <w:jc w:val="right"/>
              <w:spacing w:after="0"/>
              <w:rPr>
                <w:sz w:val="20"/>
                <w:szCs w:val="20"/>
                <w:color w:val="auto"/>
              </w:rPr>
            </w:pPr>
            <w:r>
              <w:rPr>
                <w:rFonts w:ascii="Arial" w:cs="Arial" w:eastAsia="Arial" w:hAnsi="Arial"/>
                <w:sz w:val="11"/>
                <w:szCs w:val="11"/>
                <w:b w:val="1"/>
                <w:bCs w:val="1"/>
                <w:color w:val="auto"/>
              </w:rPr>
              <w:t>433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004483"/>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436</w:t>
            </w:r>
          </w:p>
        </w:tc>
        <w:tc>
          <w:tcPr>
            <w:tcW w:w="120" w:type="dxa"/>
            <w:vAlign w:val="bottom"/>
          </w:tcPr>
          <w:p>
            <w:pPr>
              <w:spacing w:after="0"/>
              <w:rPr>
                <w:sz w:val="12"/>
                <w:szCs w:val="12"/>
                <w:color w:val="auto"/>
              </w:rPr>
            </w:pPr>
          </w:p>
        </w:tc>
      </w:tr>
      <w:tr>
        <w:trPr>
          <w:trHeight w:val="558"/>
        </w:trPr>
        <w:tc>
          <w:tcPr>
            <w:tcW w:w="6660" w:type="dxa"/>
            <w:vAlign w:val="bottom"/>
          </w:tcPr>
          <w:p>
            <w:pPr>
              <w:ind w:left="5540"/>
              <w:spacing w:after="0"/>
              <w:rPr>
                <w:sz w:val="20"/>
                <w:szCs w:val="20"/>
                <w:color w:val="auto"/>
              </w:rPr>
            </w:pPr>
            <w:r>
              <w:rPr>
                <w:rFonts w:ascii="Arial" w:cs="Arial" w:eastAsia="Arial" w:hAnsi="Arial"/>
                <w:sz w:val="12"/>
                <w:szCs w:val="12"/>
                <w:color w:val="auto"/>
              </w:rPr>
              <w:t>109</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
        </w:trPr>
        <w:tc>
          <w:tcPr>
            <w:tcW w:w="66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color w:val="auto"/>
        </w:rPr>
        <w:t>Expected benefit payments over the next five years, and the following five years under the pension plan are expected to be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6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2021</w:t>
            </w:r>
          </w:p>
        </w:tc>
        <w:tc>
          <w:tcPr>
            <w:tcW w:w="1320" w:type="dxa"/>
            <w:vAlign w:val="bottom"/>
            <w:tcBorders>
              <w:top w:val="single" w:sz="8" w:color="004483"/>
              <w:bottom w:val="single" w:sz="8" w:color="A6A6A6"/>
            </w:tcBorders>
          </w:tcPr>
          <w:p>
            <w:pPr>
              <w:spacing w:after="0"/>
              <w:rPr>
                <w:sz w:val="13"/>
                <w:szCs w:val="13"/>
                <w:color w:val="auto"/>
              </w:rPr>
            </w:pPr>
          </w:p>
        </w:tc>
        <w:tc>
          <w:tcPr>
            <w:tcW w:w="120" w:type="dxa"/>
            <w:vAlign w:val="bottom"/>
            <w:tcBorders>
              <w:top w:val="single" w:sz="8" w:color="004483"/>
              <w:bottom w:val="single" w:sz="8" w:color="A6A6A6"/>
            </w:tcBorders>
          </w:tcPr>
          <w:p>
            <w:pPr>
              <w:spacing w:after="0"/>
              <w:rPr>
                <w:sz w:val="13"/>
                <w:szCs w:val="13"/>
                <w:color w:val="auto"/>
              </w:rPr>
            </w:pPr>
          </w:p>
        </w:tc>
        <w:tc>
          <w:tcPr>
            <w:tcW w:w="1480" w:type="dxa"/>
            <w:vAlign w:val="bottom"/>
            <w:tcBorders>
              <w:top w:val="single" w:sz="8" w:color="004483"/>
              <w:bottom w:val="single" w:sz="8" w:color="A6A6A6"/>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004483"/>
              <w:bottom w:val="single" w:sz="8" w:color="A6A6A6"/>
            </w:tcBorders>
          </w:tcPr>
          <w:p>
            <w:pPr>
              <w:spacing w:after="0"/>
              <w:rPr>
                <w:sz w:val="13"/>
                <w:szCs w:val="13"/>
                <w:color w:val="auto"/>
              </w:rPr>
            </w:pPr>
          </w:p>
        </w:tc>
        <w:tc>
          <w:tcPr>
            <w:tcW w:w="14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437</w:t>
            </w:r>
          </w:p>
        </w:tc>
        <w:tc>
          <w:tcPr>
            <w:tcW w:w="120" w:type="dxa"/>
            <w:vAlign w:val="bottom"/>
          </w:tcPr>
          <w:p>
            <w:pPr>
              <w:spacing w:after="0"/>
              <w:rPr>
                <w:sz w:val="13"/>
                <w:szCs w:val="13"/>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2022</w:t>
            </w:r>
          </w:p>
        </w:tc>
        <w:tc>
          <w:tcPr>
            <w:tcW w:w="13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445</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2023</w:t>
            </w:r>
          </w:p>
        </w:tc>
        <w:tc>
          <w:tcPr>
            <w:tcW w:w="13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2024</w:t>
            </w:r>
          </w:p>
        </w:tc>
        <w:tc>
          <w:tcPr>
            <w:tcW w:w="13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2025</w:t>
            </w:r>
          </w:p>
        </w:tc>
        <w:tc>
          <w:tcPr>
            <w:tcW w:w="132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14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532</w:t>
            </w:r>
          </w:p>
        </w:tc>
        <w:tc>
          <w:tcPr>
            <w:tcW w:w="120" w:type="dxa"/>
            <w:vAlign w:val="bottom"/>
          </w:tcPr>
          <w:p>
            <w:pPr>
              <w:spacing w:after="0"/>
              <w:rPr>
                <w:sz w:val="11"/>
                <w:szCs w:val="11"/>
                <w:color w:val="auto"/>
              </w:rPr>
            </w:pPr>
          </w:p>
        </w:tc>
      </w:tr>
      <w:tr>
        <w:trPr>
          <w:trHeight w:val="133"/>
        </w:trPr>
        <w:tc>
          <w:tcPr>
            <w:tcW w:w="6660" w:type="dxa"/>
            <w:vAlign w:val="bottom"/>
            <w:tcBorders>
              <w:bottom w:val="single" w:sz="8" w:color="A3A3A3"/>
            </w:tcBorders>
          </w:tcPr>
          <w:p>
            <w:pPr>
              <w:spacing w:after="0"/>
              <w:rPr>
                <w:sz w:val="20"/>
                <w:szCs w:val="20"/>
                <w:color w:val="auto"/>
              </w:rPr>
            </w:pPr>
            <w:r>
              <w:rPr>
                <w:rFonts w:ascii="Arial" w:cs="Arial" w:eastAsia="Arial" w:hAnsi="Arial"/>
                <w:sz w:val="11"/>
                <w:szCs w:val="11"/>
                <w:b w:val="1"/>
                <w:bCs w:val="1"/>
                <w:color w:val="auto"/>
              </w:rPr>
              <w:t>2026-2030</w:t>
            </w:r>
          </w:p>
        </w:tc>
        <w:tc>
          <w:tcPr>
            <w:tcW w:w="1320" w:type="dxa"/>
            <w:vAlign w:val="bottom"/>
            <w:tcBorders>
              <w:bottom w:val="single" w:sz="8" w:color="A3A3A3"/>
            </w:tcBorders>
          </w:tcPr>
          <w:p>
            <w:pPr>
              <w:spacing w:after="0"/>
              <w:rPr>
                <w:sz w:val="11"/>
                <w:szCs w:val="11"/>
                <w:color w:val="auto"/>
              </w:rPr>
            </w:pPr>
          </w:p>
        </w:tc>
        <w:tc>
          <w:tcPr>
            <w:tcW w:w="120" w:type="dxa"/>
            <w:vAlign w:val="bottom"/>
            <w:tcBorders>
              <w:bottom w:val="single" w:sz="8" w:color="A3A3A3"/>
            </w:tcBorders>
          </w:tcPr>
          <w:p>
            <w:pPr>
              <w:spacing w:after="0"/>
              <w:rPr>
                <w:sz w:val="11"/>
                <w:szCs w:val="11"/>
                <w:color w:val="auto"/>
              </w:rPr>
            </w:pPr>
          </w:p>
        </w:tc>
        <w:tc>
          <w:tcPr>
            <w:tcW w:w="1480" w:type="dxa"/>
            <w:vAlign w:val="bottom"/>
            <w:tcBorders>
              <w:bottom w:val="single" w:sz="8" w:color="A3A3A3"/>
            </w:tcBorders>
          </w:tcPr>
          <w:p>
            <w:pPr>
              <w:jc w:val="right"/>
              <w:ind w:right="18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3A3A3"/>
            </w:tcBorders>
          </w:tcPr>
          <w:p>
            <w:pPr>
              <w:spacing w:after="0"/>
              <w:rPr>
                <w:sz w:val="11"/>
                <w:szCs w:val="11"/>
                <w:color w:val="auto"/>
              </w:rPr>
            </w:pPr>
          </w:p>
        </w:tc>
        <w:tc>
          <w:tcPr>
            <w:tcW w:w="1480" w:type="dxa"/>
            <w:vAlign w:val="bottom"/>
            <w:tcBorders>
              <w:bottom w:val="single" w:sz="8" w:color="A3A3A3"/>
            </w:tcBorders>
          </w:tcPr>
          <w:p>
            <w:pPr>
              <w:jc w:val="right"/>
              <w:spacing w:after="0"/>
              <w:rPr>
                <w:sz w:val="20"/>
                <w:szCs w:val="20"/>
                <w:color w:val="auto"/>
              </w:rPr>
            </w:pPr>
            <w:r>
              <w:rPr>
                <w:rFonts w:ascii="Arial" w:cs="Arial" w:eastAsia="Arial" w:hAnsi="Arial"/>
                <w:sz w:val="11"/>
                <w:szCs w:val="11"/>
                <w:color w:val="auto"/>
              </w:rPr>
              <w:t>3,080</w:t>
            </w:r>
          </w:p>
        </w:tc>
        <w:tc>
          <w:tcPr>
            <w:tcW w:w="120" w:type="dxa"/>
            <w:vAlign w:val="bottom"/>
          </w:tcPr>
          <w:p>
            <w:pPr>
              <w:spacing w:after="0"/>
              <w:rPr>
                <w:sz w:val="11"/>
                <w:szCs w:val="1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2"/>
                <w:szCs w:val="12"/>
                <w:color w:val="auto"/>
              </w:rPr>
              <w:t>The following table sets forth the rates used in the actuarial calculations of the present value of benefit obligations and the rate of return on plan 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53"/>
        </w:trPr>
        <w:tc>
          <w:tcPr>
            <w:tcW w:w="6660" w:type="dxa"/>
            <w:vAlign w:val="bottom"/>
          </w:tcPr>
          <w:p>
            <w:pPr>
              <w:spacing w:after="0"/>
              <w:rPr>
                <w:sz w:val="13"/>
                <w:szCs w:val="13"/>
                <w:color w:val="auto"/>
              </w:rPr>
            </w:pPr>
          </w:p>
        </w:tc>
        <w:tc>
          <w:tcPr>
            <w:tcW w:w="13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0" w:type="dxa"/>
            <w:vAlign w:val="bottom"/>
            <w:gridSpan w:val="2"/>
            <w:shd w:val="clear" w:color="auto" w:fill="004483"/>
          </w:tcPr>
          <w:p>
            <w:pPr>
              <w:jc w:val="right"/>
              <w:ind w:right="320"/>
              <w:spacing w:after="0"/>
              <w:rPr>
                <w:sz w:val="20"/>
                <w:szCs w:val="20"/>
                <w:color w:val="auto"/>
              </w:rPr>
            </w:pPr>
            <w:r>
              <w:rPr>
                <w:rFonts w:ascii="Arial" w:cs="Arial" w:eastAsia="Arial" w:hAnsi="Arial"/>
                <w:sz w:val="8"/>
                <w:szCs w:val="8"/>
                <w:b w:val="1"/>
                <w:bCs w:val="1"/>
                <w:color w:val="FFFFFF"/>
              </w:rPr>
              <w:t>Year ended December 31,</w:t>
            </w:r>
          </w:p>
        </w:tc>
        <w:tc>
          <w:tcPr>
            <w:tcW w:w="14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6660" w:type="dxa"/>
            <w:vAlign w:val="bottom"/>
            <w:tcBorders>
              <w:bottom w:val="single" w:sz="8" w:color="004483"/>
            </w:tcBorders>
          </w:tcPr>
          <w:p>
            <w:pPr>
              <w:spacing w:after="0"/>
              <w:rPr>
                <w:sz w:val="8"/>
                <w:szCs w:val="8"/>
                <w:color w:val="auto"/>
              </w:rPr>
            </w:pP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48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148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2018</w:t>
            </w:r>
          </w:p>
        </w:tc>
        <w:tc>
          <w:tcPr>
            <w:tcW w:w="120" w:type="dxa"/>
            <w:vAlign w:val="bottom"/>
          </w:tcPr>
          <w:p>
            <w:pPr>
              <w:spacing w:after="0"/>
              <w:rPr>
                <w:sz w:val="8"/>
                <w:szCs w:val="8"/>
                <w:color w:val="auto"/>
              </w:rPr>
            </w:pPr>
          </w:p>
        </w:tc>
      </w:tr>
      <w:tr>
        <w:trPr>
          <w:trHeight w:val="131"/>
        </w:trPr>
        <w:tc>
          <w:tcPr>
            <w:tcW w:w="666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Assumptions used to determine benefit obligations at the annual measurement date were:</w:t>
            </w:r>
          </w:p>
        </w:tc>
        <w:tc>
          <w:tcPr>
            <w:tcW w:w="13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Obligation discount rate</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2.98%</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3.47%</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4.55%</w:t>
            </w:r>
          </w:p>
        </w:tc>
      </w:tr>
      <w:tr>
        <w:trPr>
          <w:trHeight w:val="20"/>
        </w:trPr>
        <w:tc>
          <w:tcPr>
            <w:tcW w:w="666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Compensation increase rate</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3.00%</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3.00%</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3.00%</w:t>
            </w:r>
          </w:p>
        </w:tc>
      </w:tr>
      <w:tr>
        <w:trPr>
          <w:trHeight w:val="133"/>
        </w:trPr>
        <w:tc>
          <w:tcPr>
            <w:tcW w:w="66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Assumptions used to determine the net periodic benefit costs were:</w:t>
            </w:r>
          </w:p>
        </w:tc>
        <w:tc>
          <w:tcPr>
            <w:tcW w:w="13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Obligation Discount Rate</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3.47%</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4.55%</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3.54%</w:t>
            </w:r>
          </w:p>
        </w:tc>
      </w:tr>
      <w:tr>
        <w:trPr>
          <w:trHeight w:val="20"/>
        </w:trPr>
        <w:tc>
          <w:tcPr>
            <w:tcW w:w="666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Long-term Rate of Return on Plan Assets</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5.75%</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5.75%</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r>
      <w:tr>
        <w:trPr>
          <w:trHeight w:val="20"/>
        </w:trPr>
        <w:tc>
          <w:tcPr>
            <w:tcW w:w="6660" w:type="dxa"/>
            <w:vAlign w:val="bottom"/>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60" w:type="dxa"/>
            <w:vAlign w:val="bottom"/>
          </w:tcPr>
          <w:p>
            <w:pPr>
              <w:ind w:left="160"/>
              <w:spacing w:after="0"/>
              <w:rPr>
                <w:sz w:val="20"/>
                <w:szCs w:val="20"/>
                <w:color w:val="auto"/>
              </w:rPr>
            </w:pPr>
            <w:r>
              <w:rPr>
                <w:rFonts w:ascii="Arial" w:cs="Arial" w:eastAsia="Arial" w:hAnsi="Arial"/>
                <w:sz w:val="11"/>
                <w:szCs w:val="11"/>
                <w:color w:val="auto"/>
              </w:rPr>
              <w:t>Compensation Increase Rate</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3.00%</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3.00%</w:t>
            </w: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4.00%</w:t>
            </w:r>
          </w:p>
        </w:tc>
      </w:tr>
      <w:tr>
        <w:trPr>
          <w:trHeight w:val="20"/>
        </w:trPr>
        <w:tc>
          <w:tcPr>
            <w:tcW w:w="6660" w:type="dxa"/>
            <w:vAlign w:val="bottom"/>
            <w:shd w:val="clear" w:color="auto" w:fill="A3A3A3"/>
          </w:tcPr>
          <w:p>
            <w:pPr>
              <w:spacing w:after="0" w:line="20" w:lineRule="exact"/>
              <w:rPr>
                <w:sz w:val="1"/>
                <w:szCs w:val="1"/>
                <w:color w:val="auto"/>
              </w:rPr>
            </w:pPr>
          </w:p>
        </w:tc>
        <w:tc>
          <w:tcPr>
            <w:tcW w:w="1320" w:type="dxa"/>
            <w:vAlign w:val="bottom"/>
            <w:shd w:val="clear" w:color="auto" w:fill="A3A3A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3A3A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3A3A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60"/>
        <w:spacing w:after="0" w:line="271" w:lineRule="auto"/>
        <w:rPr>
          <w:sz w:val="20"/>
          <w:szCs w:val="20"/>
          <w:color w:val="auto"/>
        </w:rPr>
      </w:pPr>
      <w:r>
        <w:rPr>
          <w:rFonts w:ascii="Arial" w:cs="Arial" w:eastAsia="Arial" w:hAnsi="Arial"/>
          <w:sz w:val="12"/>
          <w:szCs w:val="12"/>
          <w:color w:val="auto"/>
        </w:rPr>
        <w:t>The expected long-term rate of return on plan assets is an assumption reflecting the anticipated weighted average rate of earnings on the portfolio over the long-term. To arrive at this rate, Texas Lehigh developed estimates of the key components underlying capital asset returns including: market-based estimates of inflation, real risk-free rates of return, yield curve structure, credit risk premiums and equity risk premiums. As appropriate, these components were used to develop benchmark estimates of expected long-term rates of return for each asset class, which were portfolio weighted.</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pension plan weighted-average asset allocation at December 31, 2020 and 2019 and the range of target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1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80" w:type="dxa"/>
            <w:vAlign w:val="bottom"/>
            <w:gridSpan w:val="4"/>
            <w:shd w:val="clear" w:color="auto" w:fill="004483"/>
          </w:tcPr>
          <w:p>
            <w:pPr>
              <w:ind w:left="1140"/>
              <w:spacing w:after="0"/>
              <w:rPr>
                <w:sz w:val="20"/>
                <w:szCs w:val="20"/>
                <w:color w:val="auto"/>
              </w:rPr>
            </w:pPr>
            <w:r>
              <w:rPr>
                <w:rFonts w:ascii="Arial" w:cs="Arial" w:eastAsia="Arial" w:hAnsi="Arial"/>
                <w:sz w:val="8"/>
                <w:szCs w:val="8"/>
                <w:b w:val="1"/>
                <w:bCs w:val="1"/>
                <w:color w:val="FFFFFF"/>
              </w:rPr>
              <w:t>Percentage of Plan</w:t>
            </w:r>
          </w:p>
        </w:tc>
        <w:tc>
          <w:tcPr>
            <w:tcW w:w="660" w:type="dxa"/>
            <w:vAlign w:val="bottom"/>
            <w:shd w:val="clear" w:color="auto" w:fill="004483"/>
          </w:tcPr>
          <w:p>
            <w:pPr>
              <w:spacing w:after="0"/>
              <w:rPr>
                <w:sz w:val="7"/>
                <w:szCs w:val="7"/>
                <w:color w:val="auto"/>
              </w:rPr>
            </w:pPr>
          </w:p>
        </w:tc>
        <w:tc>
          <w:tcPr>
            <w:tcW w:w="120" w:type="dxa"/>
            <w:vAlign w:val="bottom"/>
            <w:shd w:val="clear" w:color="auto" w:fill="004483"/>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00" w:type="dxa"/>
            <w:vAlign w:val="bottom"/>
          </w:tcPr>
          <w:p>
            <w:pPr>
              <w:spacing w:after="0"/>
              <w:rPr>
                <w:sz w:val="8"/>
                <w:szCs w:val="8"/>
                <w:color w:val="auto"/>
              </w:rPr>
            </w:pPr>
          </w:p>
        </w:tc>
        <w:tc>
          <w:tcPr>
            <w:tcW w:w="4140" w:type="dxa"/>
            <w:vAlign w:val="bottom"/>
            <w:gridSpan w:val="2"/>
            <w:vMerge w:val="restart"/>
          </w:tcPr>
          <w:p>
            <w:pPr>
              <w:jc w:val="right"/>
              <w:ind w:right="160"/>
              <w:spacing w:after="0"/>
              <w:rPr>
                <w:sz w:val="20"/>
                <w:szCs w:val="20"/>
                <w:color w:val="auto"/>
              </w:rPr>
            </w:pPr>
            <w:r>
              <w:rPr>
                <w:rFonts w:ascii="Arial" w:cs="Arial" w:eastAsia="Arial" w:hAnsi="Arial"/>
                <w:sz w:val="8"/>
                <w:szCs w:val="8"/>
                <w:b w:val="1"/>
                <w:bCs w:val="1"/>
                <w:color w:val="auto"/>
              </w:rPr>
              <w:t>Range of</w:t>
            </w:r>
          </w:p>
        </w:tc>
        <w:tc>
          <w:tcPr>
            <w:tcW w:w="2280" w:type="dxa"/>
            <w:vAlign w:val="bottom"/>
            <w:gridSpan w:val="4"/>
            <w:shd w:val="clear" w:color="auto" w:fill="004483"/>
          </w:tcPr>
          <w:p>
            <w:pPr>
              <w:ind w:left="1120"/>
              <w:spacing w:after="0"/>
              <w:rPr>
                <w:sz w:val="20"/>
                <w:szCs w:val="20"/>
                <w:color w:val="auto"/>
              </w:rPr>
            </w:pPr>
            <w:r>
              <w:rPr>
                <w:rFonts w:ascii="Arial" w:cs="Arial" w:eastAsia="Arial" w:hAnsi="Arial"/>
                <w:sz w:val="8"/>
                <w:szCs w:val="8"/>
                <w:b w:val="1"/>
                <w:bCs w:val="1"/>
                <w:color w:val="FFFFFF"/>
              </w:rPr>
              <w:t>Assets at Year-End</w:t>
            </w:r>
          </w:p>
        </w:tc>
        <w:tc>
          <w:tcPr>
            <w:tcW w:w="660" w:type="dxa"/>
            <w:vAlign w:val="bottom"/>
            <w:shd w:val="clear" w:color="auto" w:fill="004483"/>
          </w:tcPr>
          <w:p>
            <w:pPr>
              <w:spacing w:after="0"/>
              <w:rPr>
                <w:sz w:val="8"/>
                <w:szCs w:val="8"/>
                <w:color w:val="auto"/>
              </w:rPr>
            </w:pPr>
          </w:p>
        </w:tc>
        <w:tc>
          <w:tcPr>
            <w:tcW w:w="120" w:type="dxa"/>
            <w:vAlign w:val="bottom"/>
            <w:shd w:val="clear" w:color="auto" w:fill="004483"/>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100" w:type="dxa"/>
            <w:vAlign w:val="bottom"/>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00" w:type="dxa"/>
            <w:vAlign w:val="bottom"/>
            <w:tcBorders>
              <w:bottom w:val="single" w:sz="8" w:color="004483"/>
            </w:tcBorders>
          </w:tcPr>
          <w:p>
            <w:pPr>
              <w:spacing w:after="0"/>
              <w:rPr>
                <w:sz w:val="8"/>
                <w:szCs w:val="8"/>
                <w:color w:val="auto"/>
              </w:rPr>
            </w:pPr>
          </w:p>
        </w:tc>
        <w:tc>
          <w:tcPr>
            <w:tcW w:w="4140" w:type="dxa"/>
            <w:vAlign w:val="bottom"/>
            <w:tcBorders>
              <w:bottom w:val="single" w:sz="8" w:color="004483"/>
            </w:tcBorders>
            <w:gridSpan w:val="2"/>
          </w:tcPr>
          <w:p>
            <w:pPr>
              <w:jc w:val="right"/>
              <w:ind w:right="160"/>
              <w:spacing w:after="0"/>
              <w:rPr>
                <w:sz w:val="20"/>
                <w:szCs w:val="20"/>
                <w:color w:val="auto"/>
              </w:rPr>
            </w:pPr>
            <w:r>
              <w:rPr>
                <w:rFonts w:ascii="Arial" w:cs="Arial" w:eastAsia="Arial" w:hAnsi="Arial"/>
                <w:sz w:val="8"/>
                <w:szCs w:val="8"/>
                <w:b w:val="1"/>
                <w:bCs w:val="1"/>
                <w:color w:val="auto"/>
              </w:rPr>
              <w:t>Target Allocation</w:t>
            </w:r>
          </w:p>
        </w:tc>
        <w:tc>
          <w:tcPr>
            <w:tcW w:w="132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Borders>
              <w:bottom w:val="single" w:sz="8" w:color="004483"/>
            </w:tcBorders>
          </w:tcPr>
          <w:p>
            <w:pPr>
              <w:spacing w:after="0"/>
              <w:rPr>
                <w:sz w:val="8"/>
                <w:szCs w:val="8"/>
                <w:color w:val="auto"/>
              </w:rPr>
            </w:pPr>
          </w:p>
        </w:tc>
        <w:tc>
          <w:tcPr>
            <w:tcW w:w="68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1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Asset Category</w:t>
            </w:r>
          </w:p>
        </w:tc>
        <w:tc>
          <w:tcPr>
            <w:tcW w:w="3980" w:type="dxa"/>
            <w:vAlign w:val="bottom"/>
            <w:tcBorders>
              <w:bottom w:val="single" w:sz="8" w:color="A6A6A6"/>
            </w:tcBorders>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13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20"/>
                <w:szCs w:val="20"/>
                <w:color w:val="auto"/>
              </w:rPr>
            </w:pPr>
            <w:r>
              <w:rPr>
                <w:rFonts w:ascii="Arial" w:cs="Arial" w:eastAsia="Arial" w:hAnsi="Arial"/>
                <w:sz w:val="11"/>
                <w:szCs w:val="11"/>
                <w:color w:val="auto"/>
              </w:rPr>
              <w:t>Equity Securities</w:t>
            </w:r>
          </w:p>
        </w:tc>
        <w:tc>
          <w:tcPr>
            <w:tcW w:w="4140" w:type="dxa"/>
            <w:vAlign w:val="bottom"/>
            <w:gridSpan w:val="2"/>
          </w:tcPr>
          <w:p>
            <w:pPr>
              <w:jc w:val="right"/>
              <w:ind w:right="160"/>
              <w:spacing w:after="0"/>
              <w:rPr>
                <w:sz w:val="20"/>
                <w:szCs w:val="20"/>
                <w:color w:val="auto"/>
              </w:rPr>
            </w:pPr>
            <w:r>
              <w:rPr>
                <w:rFonts w:ascii="Arial" w:cs="Arial" w:eastAsia="Arial" w:hAnsi="Arial"/>
                <w:sz w:val="11"/>
                <w:szCs w:val="11"/>
                <w:color w:val="auto"/>
              </w:rPr>
              <w:t>40 – 60%</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51%</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20"/>
        </w:trPr>
        <w:tc>
          <w:tcPr>
            <w:tcW w:w="4100" w:type="dxa"/>
            <w:vAlign w:val="bottom"/>
            <w:shd w:val="clear" w:color="auto" w:fill="A6A6A6"/>
          </w:tcPr>
          <w:p>
            <w:pPr>
              <w:spacing w:after="0" w:line="20" w:lineRule="exact"/>
              <w:rPr>
                <w:sz w:val="1"/>
                <w:szCs w:val="1"/>
                <w:color w:val="auto"/>
              </w:rPr>
            </w:pPr>
          </w:p>
        </w:tc>
        <w:tc>
          <w:tcPr>
            <w:tcW w:w="4140" w:type="dxa"/>
            <w:vAlign w:val="bottom"/>
            <w:gridSpan w:val="2"/>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00" w:type="dxa"/>
            <w:vAlign w:val="bottom"/>
          </w:tcPr>
          <w:p>
            <w:pPr>
              <w:spacing w:after="0"/>
              <w:rPr>
                <w:sz w:val="20"/>
                <w:szCs w:val="20"/>
                <w:color w:val="auto"/>
              </w:rPr>
            </w:pPr>
            <w:r>
              <w:rPr>
                <w:rFonts w:ascii="Arial" w:cs="Arial" w:eastAsia="Arial" w:hAnsi="Arial"/>
                <w:sz w:val="11"/>
                <w:szCs w:val="11"/>
                <w:color w:val="auto"/>
              </w:rPr>
              <w:t>Debt Securities</w:t>
            </w:r>
          </w:p>
        </w:tc>
        <w:tc>
          <w:tcPr>
            <w:tcW w:w="4140" w:type="dxa"/>
            <w:vAlign w:val="bottom"/>
            <w:gridSpan w:val="2"/>
          </w:tcPr>
          <w:p>
            <w:pPr>
              <w:jc w:val="right"/>
              <w:ind w:right="160"/>
              <w:spacing w:after="0"/>
              <w:rPr>
                <w:sz w:val="20"/>
                <w:szCs w:val="20"/>
                <w:color w:val="auto"/>
              </w:rPr>
            </w:pPr>
            <w:r>
              <w:rPr>
                <w:rFonts w:ascii="Arial" w:cs="Arial" w:eastAsia="Arial" w:hAnsi="Arial"/>
                <w:sz w:val="11"/>
                <w:szCs w:val="11"/>
                <w:color w:val="auto"/>
              </w:rPr>
              <w:t>35 – 60%</w:t>
            </w: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47%</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0"/>
        </w:trPr>
        <w:tc>
          <w:tcPr>
            <w:tcW w:w="4100" w:type="dxa"/>
            <w:vAlign w:val="bottom"/>
            <w:shd w:val="clear" w:color="auto" w:fill="A6A6A6"/>
          </w:tcPr>
          <w:p>
            <w:pPr>
              <w:spacing w:after="0" w:line="20" w:lineRule="exact"/>
              <w:rPr>
                <w:sz w:val="1"/>
                <w:szCs w:val="1"/>
                <w:color w:val="auto"/>
              </w:rPr>
            </w:pPr>
          </w:p>
        </w:tc>
        <w:tc>
          <w:tcPr>
            <w:tcW w:w="4140" w:type="dxa"/>
            <w:vAlign w:val="bottom"/>
            <w:gridSpan w:val="2"/>
            <w:shd w:val="clear" w:color="auto" w:fill="A6A6A6"/>
          </w:tcPr>
          <w:p>
            <w:pPr>
              <w:spacing w:after="0" w:line="20" w:lineRule="exact"/>
              <w:rPr>
                <w:sz w:val="1"/>
                <w:szCs w:val="1"/>
                <w:color w:val="auto"/>
              </w:rPr>
            </w:pPr>
          </w:p>
        </w:tc>
        <w:tc>
          <w:tcPr>
            <w:tcW w:w="13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00" w:type="dxa"/>
            <w:vAlign w:val="bottom"/>
          </w:tcPr>
          <w:p>
            <w:pPr>
              <w:spacing w:after="0"/>
              <w:rPr>
                <w:sz w:val="20"/>
                <w:szCs w:val="20"/>
                <w:color w:val="auto"/>
              </w:rPr>
            </w:pPr>
            <w:r>
              <w:rPr>
                <w:rFonts w:ascii="Arial" w:cs="Arial" w:eastAsia="Arial" w:hAnsi="Arial"/>
                <w:sz w:val="11"/>
                <w:szCs w:val="11"/>
                <w:color w:val="auto"/>
              </w:rPr>
              <w:t>Other</w:t>
            </w:r>
          </w:p>
        </w:tc>
        <w:tc>
          <w:tcPr>
            <w:tcW w:w="3980" w:type="dxa"/>
            <w:vAlign w:val="bottom"/>
          </w:tcPr>
          <w:p>
            <w:pPr>
              <w:jc w:val="right"/>
              <w:spacing w:after="0"/>
              <w:rPr>
                <w:sz w:val="20"/>
                <w:szCs w:val="20"/>
                <w:color w:val="auto"/>
              </w:rPr>
            </w:pPr>
            <w:r>
              <w:rPr>
                <w:rFonts w:ascii="Arial" w:cs="Arial" w:eastAsia="Arial" w:hAnsi="Arial"/>
                <w:sz w:val="11"/>
                <w:szCs w:val="11"/>
                <w:color w:val="auto"/>
              </w:rPr>
              <w:t>0 – 5%</w:t>
            </w:r>
          </w:p>
        </w:tc>
        <w:tc>
          <w:tcPr>
            <w:tcW w:w="160" w:type="dxa"/>
            <w:vAlign w:val="bottom"/>
          </w:tcPr>
          <w:p>
            <w:pPr>
              <w:spacing w:after="0"/>
              <w:rPr>
                <w:sz w:val="11"/>
                <w:szCs w:val="1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4100" w:type="dxa"/>
            <w:vAlign w:val="bottom"/>
            <w:shd w:val="clear" w:color="auto" w:fill="A6A6A6"/>
          </w:tcPr>
          <w:p>
            <w:pPr>
              <w:spacing w:after="0" w:line="20" w:lineRule="exact"/>
              <w:rPr>
                <w:sz w:val="1"/>
                <w:szCs w:val="1"/>
                <w:color w:val="auto"/>
              </w:rPr>
            </w:pPr>
          </w:p>
        </w:tc>
        <w:tc>
          <w:tcPr>
            <w:tcW w:w="3980" w:type="dxa"/>
            <w:vAlign w:val="bottom"/>
            <w:shd w:val="clear" w:color="auto" w:fill="A6A6A6"/>
          </w:tcPr>
          <w:p>
            <w:pPr>
              <w:spacing w:after="0" w:line="20" w:lineRule="exact"/>
              <w:rPr>
                <w:sz w:val="1"/>
                <w:szCs w:val="1"/>
                <w:color w:val="auto"/>
              </w:rPr>
            </w:pPr>
          </w:p>
        </w:tc>
        <w:tc>
          <w:tcPr>
            <w:tcW w:w="160" w:type="dxa"/>
            <w:vAlign w:val="bottom"/>
            <w:shd w:val="clear" w:color="auto" w:fill="A3A3A3"/>
          </w:tcPr>
          <w:p>
            <w:pPr>
              <w:spacing w:after="0" w:line="20" w:lineRule="exact"/>
              <w:rPr>
                <w:sz w:val="1"/>
                <w:szCs w:val="1"/>
                <w:color w:val="auto"/>
              </w:rPr>
            </w:pPr>
          </w:p>
        </w:tc>
        <w:tc>
          <w:tcPr>
            <w:tcW w:w="13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3A3A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6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0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Arial" w:cs="Arial" w:eastAsia="Arial" w:hAnsi="Arial"/>
                <w:sz w:val="11"/>
                <w:szCs w:val="11"/>
                <w:b w:val="1"/>
                <w:bCs w:val="1"/>
                <w:color w:val="auto"/>
              </w:rPr>
              <w:t>100%</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100%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4483"/>
          </w:tcPr>
          <w:p>
            <w:pPr>
              <w:spacing w:after="0"/>
              <w:rPr>
                <w:sz w:val="2"/>
                <w:szCs w:val="2"/>
                <w:color w:val="auto"/>
              </w:rPr>
            </w:pPr>
          </w:p>
        </w:tc>
        <w:tc>
          <w:tcPr>
            <w:tcW w:w="66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60"/>
        <w:spacing w:after="0" w:line="271" w:lineRule="auto"/>
        <w:rPr>
          <w:sz w:val="20"/>
          <w:szCs w:val="20"/>
          <w:color w:val="auto"/>
        </w:rPr>
      </w:pPr>
      <w:r>
        <w:rPr>
          <w:rFonts w:ascii="Arial" w:cs="Arial" w:eastAsia="Arial" w:hAnsi="Arial"/>
          <w:sz w:val="12"/>
          <w:szCs w:val="12"/>
          <w:color w:val="auto"/>
        </w:rPr>
        <w:t>Texas Lehigh’s pension investment strategies have been developed as part of a comprehensive asset/liability management process that considers the interaction between both the assets and liabilities of the plan. These strategies consider not only the expected risks and returns on plan assets, but also the detailed actuarial projections of liabilities as well as plan-level objectives such as projected contributions, expense and funded status.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2" w:name="page113"/>
    <w:bookmarkEnd w:id="112"/>
    <w:p>
      <w:pPr>
        <w:ind w:right="100"/>
        <w:spacing w:after="0" w:line="269" w:lineRule="auto"/>
        <w:rPr>
          <w:sz w:val="20"/>
          <w:szCs w:val="20"/>
          <w:color w:val="auto"/>
        </w:rPr>
      </w:pPr>
      <w:r>
        <w:rPr>
          <w:rFonts w:ascii="Arial" w:cs="Arial" w:eastAsia="Arial" w:hAnsi="Arial"/>
          <w:sz w:val="12"/>
          <w:szCs w:val="12"/>
          <w:color w:val="auto"/>
        </w:rPr>
        <w:t>The principal pension investment strategies include asset allocation and active asset management. The range of target asset allocations have been determined after giving consideration to the expected returns of each asset class, the expected variability or volatility of the asset class returns over time, and the complementary nature or correlation of the asset classes within the portfolio. Texas Lehigh also employs an active management approach for the portfolio. Each asset class is managed by one or more external money managers with the objective of generating returns, net of management fees that exceed market-based benchmarks.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Based on current actuarial estimates, Texas Lehigh anticipates making contributions of approximately $0.4 million to the pension plan during 2021.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our defined benefit plans consolidated assets by category as of December 31, 2020 and 2019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980" w:type="dxa"/>
            <w:vAlign w:val="bottom"/>
            <w:gridSpan w:val="4"/>
            <w:shd w:val="clear" w:color="auto" w:fill="004483"/>
          </w:tcPr>
          <w:p>
            <w:pPr>
              <w:jc w:val="right"/>
              <w:ind w:right="653"/>
              <w:spacing w:after="0"/>
              <w:rPr>
                <w:sz w:val="20"/>
                <w:szCs w:val="20"/>
                <w:color w:val="auto"/>
              </w:rPr>
            </w:pPr>
            <w:r>
              <w:rPr>
                <w:rFonts w:ascii="Arial" w:cs="Arial" w:eastAsia="Arial" w:hAnsi="Arial"/>
                <w:sz w:val="8"/>
                <w:szCs w:val="8"/>
                <w:b w:val="1"/>
                <w:bCs w:val="1"/>
                <w:color w:val="FFFFFF"/>
              </w:rPr>
              <w:t>December 31,</w:t>
            </w:r>
          </w:p>
        </w:tc>
        <w:tc>
          <w:tcPr>
            <w:tcW w:w="8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560" w:type="dxa"/>
            <w:vAlign w:val="bottom"/>
            <w:tcBorders>
              <w:bottom w:val="single" w:sz="8" w:color="004483"/>
            </w:tcBorders>
          </w:tcPr>
          <w:p>
            <w:pPr>
              <w:spacing w:after="0"/>
              <w:rPr>
                <w:sz w:val="8"/>
                <w:szCs w:val="8"/>
                <w:color w:val="auto"/>
              </w:rPr>
            </w:pPr>
          </w:p>
        </w:tc>
        <w:tc>
          <w:tcPr>
            <w:tcW w:w="18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80" w:type="dxa"/>
            <w:vAlign w:val="bottom"/>
            <w:tcBorders>
              <w:bottom w:val="single" w:sz="8" w:color="004483"/>
            </w:tcBorders>
            <w:gridSpan w:val="4"/>
          </w:tcPr>
          <w:p>
            <w:pPr>
              <w:jc w:val="right"/>
              <w:ind w:right="533"/>
              <w:spacing w:after="0"/>
              <w:rPr>
                <w:sz w:val="20"/>
                <w:szCs w:val="20"/>
                <w:color w:val="auto"/>
              </w:rPr>
            </w:pPr>
            <w:r>
              <w:rPr>
                <w:rFonts w:ascii="Arial" w:cs="Arial" w:eastAsia="Arial" w:hAnsi="Arial"/>
                <w:sz w:val="8"/>
                <w:szCs w:val="8"/>
                <w:color w:val="auto"/>
              </w:rPr>
              <w:t>(dollars in thousands)</w:t>
            </w:r>
          </w:p>
        </w:tc>
        <w:tc>
          <w:tcPr>
            <w:tcW w:w="8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Equity Securities</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5,304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ind w:right="693"/>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4,679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Fixed Income Securities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4,874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4,293</w:t>
            </w:r>
          </w:p>
        </w:tc>
        <w:tc>
          <w:tcPr>
            <w:tcW w:w="120" w:type="dxa"/>
            <w:vAlign w:val="bottom"/>
          </w:tcPr>
          <w:p>
            <w:pPr>
              <w:spacing w:after="0"/>
              <w:rPr>
                <w:sz w:val="11"/>
                <w:szCs w:val="11"/>
                <w:color w:val="auto"/>
              </w:rPr>
            </w:pPr>
          </w:p>
        </w:tc>
      </w:tr>
      <w:tr>
        <w:trPr>
          <w:trHeight w:val="133"/>
        </w:trPr>
        <w:tc>
          <w:tcPr>
            <w:tcW w:w="7740" w:type="dxa"/>
            <w:vAlign w:val="bottom"/>
            <w:gridSpan w:val="2"/>
          </w:tcPr>
          <w:p>
            <w:pPr>
              <w:spacing w:after="0"/>
              <w:rPr>
                <w:sz w:val="20"/>
                <w:szCs w:val="20"/>
                <w:color w:val="auto"/>
              </w:rPr>
            </w:pPr>
            <w:r>
              <w:rPr>
                <w:rFonts w:ascii="Arial" w:cs="Arial" w:eastAsia="Arial" w:hAnsi="Arial"/>
                <w:sz w:val="11"/>
                <w:szCs w:val="11"/>
                <w:color w:val="auto"/>
              </w:rPr>
              <w:t>Cash Equivalents</w:t>
            </w:r>
          </w:p>
        </w:tc>
        <w:tc>
          <w:tcPr>
            <w:tcW w:w="6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1"/>
                <w:szCs w:val="11"/>
                <w:color w:val="auto"/>
              </w:rPr>
            </w:pPr>
          </w:p>
        </w:tc>
      </w:tr>
      <w:tr>
        <w:trPr>
          <w:trHeight w:val="142"/>
        </w:trPr>
        <w:tc>
          <w:tcPr>
            <w:tcW w:w="7560" w:type="dxa"/>
            <w:vAlign w:val="bottom"/>
            <w:tcBorders>
              <w:top w:val="single" w:sz="8" w:color="A6A6A6"/>
            </w:tcBorders>
          </w:tcPr>
          <w:p>
            <w:pPr>
              <w:ind w:left="160"/>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top w:val="single" w:sz="8" w:color="A3A3A3"/>
            </w:tcBorders>
          </w:tcPr>
          <w:p>
            <w:pPr>
              <w:spacing w:after="0"/>
              <w:rPr>
                <w:sz w:val="12"/>
                <w:szCs w:val="12"/>
                <w:color w:val="auto"/>
              </w:rPr>
            </w:pPr>
          </w:p>
        </w:tc>
        <w:tc>
          <w:tcPr>
            <w:tcW w:w="660" w:type="dxa"/>
            <w:vAlign w:val="bottom"/>
            <w:tcBorders>
              <w:top w:val="single" w:sz="8" w:color="004483"/>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10,440</w:t>
            </w:r>
          </w:p>
        </w:tc>
        <w:tc>
          <w:tcPr>
            <w:tcW w:w="100" w:type="dxa"/>
            <w:vAlign w:val="bottom"/>
          </w:tcPr>
          <w:p>
            <w:pPr>
              <w:spacing w:after="0"/>
              <w:rPr>
                <w:sz w:val="12"/>
                <w:szCs w:val="12"/>
                <w:color w:val="auto"/>
              </w:rPr>
            </w:pPr>
          </w:p>
        </w:tc>
        <w:tc>
          <w:tcPr>
            <w:tcW w:w="200" w:type="dxa"/>
            <w:vAlign w:val="bottom"/>
            <w:tcBorders>
              <w:top w:val="single" w:sz="8" w:color="A3A3A3"/>
            </w:tcBorders>
          </w:tcPr>
          <w:p>
            <w:pPr>
              <w:spacing w:after="0"/>
              <w:rPr>
                <w:sz w:val="12"/>
                <w:szCs w:val="12"/>
                <w:color w:val="auto"/>
              </w:rPr>
            </w:pPr>
          </w:p>
        </w:tc>
        <w:tc>
          <w:tcPr>
            <w:tcW w:w="760" w:type="dxa"/>
            <w:vAlign w:val="bottom"/>
            <w:tcBorders>
              <w:top w:val="single" w:sz="8" w:color="004483"/>
              <w:bottom w:val="single" w:sz="8" w:color="004483"/>
            </w:tcBorders>
          </w:tcPr>
          <w:p>
            <w:pPr>
              <w:jc w:val="right"/>
              <w:ind w:right="693"/>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9,212</w:t>
            </w:r>
          </w:p>
        </w:tc>
        <w:tc>
          <w:tcPr>
            <w:tcW w:w="120" w:type="dxa"/>
            <w:vAlign w:val="bottom"/>
          </w:tcPr>
          <w:p>
            <w:pPr>
              <w:spacing w:after="0"/>
              <w:rPr>
                <w:sz w:val="12"/>
                <w:szCs w:val="1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our defined benefit plans consolidated assets were determined using the fair value hierarchy of inputs described in Note D. The fair values by category of inputs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8"/>
                <w:szCs w:val="8"/>
                <w:b w:val="1"/>
                <w:bCs w:val="1"/>
                <w:color w:val="auto"/>
                <w:w w:val="94"/>
              </w:rPr>
              <w:t>December 31, 2020</w:t>
            </w: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gridSpan w:val="3"/>
          </w:tcPr>
          <w:p>
            <w:pPr>
              <w:jc w:val="right"/>
              <w:ind w:right="260"/>
              <w:spacing w:after="0" w:line="78" w:lineRule="exact"/>
              <w:rPr>
                <w:sz w:val="20"/>
                <w:szCs w:val="20"/>
                <w:color w:val="auto"/>
              </w:rPr>
            </w:pPr>
            <w:r>
              <w:rPr>
                <w:rFonts w:ascii="Arial" w:cs="Arial" w:eastAsia="Arial" w:hAnsi="Arial"/>
                <w:sz w:val="8"/>
                <w:szCs w:val="8"/>
                <w:b w:val="1"/>
                <w:bCs w:val="1"/>
                <w:color w:val="auto"/>
              </w:rPr>
              <w:t>Quoted Prices in</w:t>
            </w: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Active Markets</w:t>
            </w:r>
          </w:p>
        </w:tc>
        <w:tc>
          <w:tcPr>
            <w:tcW w:w="280" w:type="dxa"/>
            <w:vAlign w:val="bottom"/>
          </w:tcPr>
          <w:p>
            <w:pPr>
              <w:spacing w:after="0"/>
              <w:rPr>
                <w:sz w:val="7"/>
                <w:szCs w:val="7"/>
                <w:color w:val="auto"/>
              </w:rPr>
            </w:pPr>
          </w:p>
        </w:tc>
        <w:tc>
          <w:tcPr>
            <w:tcW w:w="112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Significant Other</w:t>
            </w:r>
          </w:p>
        </w:tc>
        <w:tc>
          <w:tcPr>
            <w:tcW w:w="400" w:type="dxa"/>
            <w:vAlign w:val="bottom"/>
          </w:tcPr>
          <w:p>
            <w:pPr>
              <w:spacing w:after="0"/>
              <w:rPr>
                <w:sz w:val="7"/>
                <w:szCs w:val="7"/>
                <w:color w:val="auto"/>
              </w:rPr>
            </w:pPr>
          </w:p>
        </w:tc>
        <w:tc>
          <w:tcPr>
            <w:tcW w:w="10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Significant</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for Identical</w:t>
            </w:r>
          </w:p>
        </w:tc>
        <w:tc>
          <w:tcPr>
            <w:tcW w:w="280" w:type="dxa"/>
            <w:vAlign w:val="bottom"/>
          </w:tcPr>
          <w:p>
            <w:pPr>
              <w:spacing w:after="0"/>
              <w:rPr>
                <w:sz w:val="7"/>
                <w:szCs w:val="7"/>
                <w:color w:val="auto"/>
              </w:rPr>
            </w:pPr>
          </w:p>
        </w:tc>
        <w:tc>
          <w:tcPr>
            <w:tcW w:w="112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Observable</w:t>
            </w:r>
          </w:p>
        </w:tc>
        <w:tc>
          <w:tcPr>
            <w:tcW w:w="400" w:type="dxa"/>
            <w:vAlign w:val="bottom"/>
          </w:tcPr>
          <w:p>
            <w:pPr>
              <w:spacing w:after="0"/>
              <w:rPr>
                <w:sz w:val="7"/>
                <w:szCs w:val="7"/>
                <w:color w:val="auto"/>
              </w:rPr>
            </w:pPr>
          </w:p>
        </w:tc>
        <w:tc>
          <w:tcPr>
            <w:tcW w:w="10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Unobservable</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8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Asset Categories</w:t>
            </w:r>
          </w:p>
        </w:tc>
        <w:tc>
          <w:tcPr>
            <w:tcW w:w="300" w:type="dxa"/>
            <w:vAlign w:val="bottom"/>
          </w:tcPr>
          <w:p>
            <w:pPr>
              <w:spacing w:after="0"/>
              <w:rPr>
                <w:sz w:val="8"/>
                <w:szCs w:val="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Assets (Level 1)</w:t>
            </w:r>
          </w:p>
        </w:tc>
        <w:tc>
          <w:tcPr>
            <w:tcW w:w="280" w:type="dxa"/>
            <w:vAlign w:val="bottom"/>
          </w:tcPr>
          <w:p>
            <w:pPr>
              <w:spacing w:after="0"/>
              <w:rPr>
                <w:sz w:val="8"/>
                <w:szCs w:val="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Inputs (Level 2)</w:t>
            </w:r>
          </w:p>
        </w:tc>
        <w:tc>
          <w:tcPr>
            <w:tcW w:w="400" w:type="dxa"/>
            <w:vAlign w:val="bottom"/>
          </w:tcPr>
          <w:p>
            <w:pPr>
              <w:spacing w:after="0"/>
              <w:rPr>
                <w:sz w:val="8"/>
                <w:szCs w:val="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Inputs (Level 3)</w:t>
            </w:r>
          </w:p>
        </w:tc>
        <w:tc>
          <w:tcPr>
            <w:tcW w:w="4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9"/>
        </w:trPr>
        <w:tc>
          <w:tcPr>
            <w:tcW w:w="5820" w:type="dxa"/>
            <w:vAlign w:val="bottom"/>
            <w:tcBorders>
              <w:bottom w:val="single" w:sz="8" w:color="004483"/>
            </w:tcBorders>
            <w:gridSpan w:val="2"/>
            <w:vMerge w:val="continue"/>
          </w:tcPr>
          <w:p>
            <w:pPr>
              <w:spacing w:after="0"/>
              <w:rPr>
                <w:sz w:val="8"/>
                <w:szCs w:val="8"/>
                <w:color w:val="auto"/>
              </w:rPr>
            </w:pPr>
          </w:p>
        </w:tc>
        <w:tc>
          <w:tcPr>
            <w:tcW w:w="300" w:type="dxa"/>
            <w:vAlign w:val="bottom"/>
            <w:tcBorders>
              <w:bottom w:val="single" w:sz="8" w:color="004483"/>
            </w:tcBorders>
          </w:tcPr>
          <w:p>
            <w:pPr>
              <w:spacing w:after="0"/>
              <w:rPr>
                <w:sz w:val="8"/>
                <w:szCs w:val="8"/>
                <w:color w:val="auto"/>
              </w:rPr>
            </w:pPr>
          </w:p>
        </w:tc>
        <w:tc>
          <w:tcPr>
            <w:tcW w:w="8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2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4"/>
          </w:tcPr>
          <w:p>
            <w:pPr>
              <w:jc w:val="center"/>
              <w:ind w:left="433"/>
              <w:spacing w:after="0"/>
              <w:rPr>
                <w:sz w:val="20"/>
                <w:szCs w:val="20"/>
                <w:color w:val="auto"/>
              </w:rPr>
            </w:pPr>
            <w:r>
              <w:rPr>
                <w:rFonts w:ascii="Arial" w:cs="Arial" w:eastAsia="Arial" w:hAnsi="Arial"/>
                <w:sz w:val="8"/>
                <w:szCs w:val="8"/>
                <w:color w:val="auto"/>
                <w:w w:val="94"/>
              </w:rPr>
              <w:t>(dollars in thousands)</w:t>
            </w:r>
          </w:p>
        </w:tc>
        <w:tc>
          <w:tcPr>
            <w:tcW w:w="7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line="133" w:lineRule="exact"/>
              <w:rPr>
                <w:sz w:val="20"/>
                <w:szCs w:val="20"/>
                <w:color w:val="auto"/>
              </w:rPr>
            </w:pPr>
            <w:r>
              <w:rPr>
                <w:rFonts w:ascii="Arial" w:cs="Arial" w:eastAsia="Arial" w:hAnsi="Arial"/>
                <w:sz w:val="9"/>
                <w:szCs w:val="9"/>
                <w:color w:val="auto"/>
              </w:rPr>
              <w:t xml:space="preserve">Equity Securities </w:t>
            </w:r>
            <w:r>
              <w:rPr>
                <w:rFonts w:ascii="Arial" w:cs="Arial" w:eastAsia="Arial" w:hAnsi="Arial"/>
                <w:sz w:val="15"/>
                <w:szCs w:val="15"/>
                <w:color w:val="auto"/>
                <w:vertAlign w:val="superscript"/>
              </w:rPr>
              <w:t>(a)</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4,639</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jc w:val="right"/>
              <w:ind w:right="29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5,304</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line="133" w:lineRule="exact"/>
              <w:rPr>
                <w:sz w:val="20"/>
                <w:szCs w:val="20"/>
                <w:color w:val="auto"/>
              </w:rPr>
            </w:pPr>
            <w:r>
              <w:rPr>
                <w:rFonts w:ascii="Arial" w:cs="Arial" w:eastAsia="Arial" w:hAnsi="Arial"/>
                <w:sz w:val="9"/>
                <w:szCs w:val="9"/>
                <w:color w:val="auto"/>
              </w:rPr>
              <w:t xml:space="preserve">Fixed Income Securities </w:t>
            </w:r>
            <w:r>
              <w:rPr>
                <w:rFonts w:ascii="Arial" w:cs="Arial" w:eastAsia="Arial" w:hAnsi="Arial"/>
                <w:sz w:val="15"/>
                <w:szCs w:val="15"/>
                <w:color w:val="auto"/>
                <w:vertAlign w:val="superscript"/>
              </w:rPr>
              <w:t>(a)</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1,218</w:t>
            </w:r>
          </w:p>
        </w:tc>
        <w:tc>
          <w:tcPr>
            <w:tcW w:w="12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3,656</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4,874</w:t>
            </w:r>
          </w:p>
        </w:tc>
        <w:tc>
          <w:tcPr>
            <w:tcW w:w="0" w:type="dxa"/>
            <w:vAlign w:val="bottom"/>
          </w:tcPr>
          <w:p>
            <w:pPr>
              <w:spacing w:after="0"/>
              <w:rPr>
                <w:sz w:val="1"/>
                <w:szCs w:val="1"/>
                <w:color w:val="auto"/>
              </w:rPr>
            </w:pPr>
          </w:p>
        </w:tc>
      </w:tr>
      <w:tr>
        <w:trPr>
          <w:trHeight w:val="131"/>
        </w:trPr>
        <w:tc>
          <w:tcPr>
            <w:tcW w:w="5820" w:type="dxa"/>
            <w:vAlign w:val="bottom"/>
            <w:gridSpan w:val="2"/>
          </w:tcPr>
          <w:p>
            <w:pPr>
              <w:spacing w:after="0"/>
              <w:rPr>
                <w:sz w:val="20"/>
                <w:szCs w:val="20"/>
                <w:color w:val="auto"/>
              </w:rPr>
            </w:pPr>
            <w:r>
              <w:rPr>
                <w:rFonts w:ascii="Arial" w:cs="Arial" w:eastAsia="Arial" w:hAnsi="Arial"/>
                <w:sz w:val="11"/>
                <w:szCs w:val="11"/>
                <w:color w:val="auto"/>
              </w:rPr>
              <w:t>Cash Equivalents</w:t>
            </w:r>
          </w:p>
        </w:tc>
        <w:tc>
          <w:tcPr>
            <w:tcW w:w="3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42"/>
        </w:trPr>
        <w:tc>
          <w:tcPr>
            <w:tcW w:w="5680" w:type="dxa"/>
            <w:vAlign w:val="bottom"/>
            <w:tcBorders>
              <w:top w:val="single" w:sz="8" w:color="A6A6A6"/>
            </w:tcBorders>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2,145</w:t>
            </w:r>
          </w:p>
        </w:tc>
        <w:tc>
          <w:tcPr>
            <w:tcW w:w="12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280" w:type="dxa"/>
            <w:vAlign w:val="bottom"/>
            <w:tcBorders>
              <w:top w:val="single" w:sz="8" w:color="004483"/>
              <w:bottom w:val="single" w:sz="8" w:color="004483"/>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8,295</w:t>
            </w:r>
          </w:p>
        </w:tc>
        <w:tc>
          <w:tcPr>
            <w:tcW w:w="10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400" w:type="dxa"/>
            <w:vAlign w:val="bottom"/>
            <w:tcBorders>
              <w:top w:val="single" w:sz="8" w:color="004483"/>
              <w:bottom w:val="single" w:sz="8" w:color="004483"/>
            </w:tcBorders>
          </w:tcPr>
          <w:p>
            <w:pPr>
              <w:jc w:val="right"/>
              <w:ind w:right="29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10,440</w:t>
            </w:r>
          </w:p>
        </w:tc>
        <w:tc>
          <w:tcPr>
            <w:tcW w:w="0" w:type="dxa"/>
            <w:vAlign w:val="bottom"/>
          </w:tcPr>
          <w:p>
            <w:pPr>
              <w:spacing w:after="0"/>
              <w:rPr>
                <w:sz w:val="1"/>
                <w:szCs w:val="1"/>
                <w:color w:val="auto"/>
              </w:rPr>
            </w:pPr>
          </w:p>
        </w:tc>
      </w:tr>
      <w:tr>
        <w:trPr>
          <w:trHeight w:val="297"/>
        </w:trPr>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8"/>
                <w:szCs w:val="8"/>
                <w:b w:val="1"/>
                <w:bCs w:val="1"/>
                <w:color w:val="auto"/>
                <w:w w:val="94"/>
              </w:rPr>
              <w:t>December 31, 2019</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5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gridSpan w:val="3"/>
          </w:tcPr>
          <w:p>
            <w:pPr>
              <w:jc w:val="right"/>
              <w:ind w:right="260"/>
              <w:spacing w:after="0" w:line="78" w:lineRule="exact"/>
              <w:rPr>
                <w:sz w:val="20"/>
                <w:szCs w:val="20"/>
                <w:color w:val="auto"/>
              </w:rPr>
            </w:pPr>
            <w:r>
              <w:rPr>
                <w:rFonts w:ascii="Arial" w:cs="Arial" w:eastAsia="Arial" w:hAnsi="Arial"/>
                <w:sz w:val="8"/>
                <w:szCs w:val="8"/>
                <w:b w:val="1"/>
                <w:bCs w:val="1"/>
                <w:color w:val="auto"/>
              </w:rPr>
              <w:t>Quoted Prices in</w:t>
            </w: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Active Markets</w:t>
            </w:r>
          </w:p>
        </w:tc>
        <w:tc>
          <w:tcPr>
            <w:tcW w:w="280" w:type="dxa"/>
            <w:vAlign w:val="bottom"/>
          </w:tcPr>
          <w:p>
            <w:pPr>
              <w:spacing w:after="0"/>
              <w:rPr>
                <w:sz w:val="7"/>
                <w:szCs w:val="7"/>
                <w:color w:val="auto"/>
              </w:rPr>
            </w:pPr>
          </w:p>
        </w:tc>
        <w:tc>
          <w:tcPr>
            <w:tcW w:w="112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Significant Other</w:t>
            </w:r>
          </w:p>
        </w:tc>
        <w:tc>
          <w:tcPr>
            <w:tcW w:w="400" w:type="dxa"/>
            <w:vAlign w:val="bottom"/>
          </w:tcPr>
          <w:p>
            <w:pPr>
              <w:spacing w:after="0"/>
              <w:rPr>
                <w:sz w:val="7"/>
                <w:szCs w:val="7"/>
                <w:color w:val="auto"/>
              </w:rPr>
            </w:pPr>
          </w:p>
        </w:tc>
        <w:tc>
          <w:tcPr>
            <w:tcW w:w="10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Significant</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for Identical</w:t>
            </w:r>
          </w:p>
        </w:tc>
        <w:tc>
          <w:tcPr>
            <w:tcW w:w="280" w:type="dxa"/>
            <w:vAlign w:val="bottom"/>
          </w:tcPr>
          <w:p>
            <w:pPr>
              <w:spacing w:after="0"/>
              <w:rPr>
                <w:sz w:val="7"/>
                <w:szCs w:val="7"/>
                <w:color w:val="auto"/>
              </w:rPr>
            </w:pPr>
          </w:p>
        </w:tc>
        <w:tc>
          <w:tcPr>
            <w:tcW w:w="112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Observable</w:t>
            </w:r>
          </w:p>
        </w:tc>
        <w:tc>
          <w:tcPr>
            <w:tcW w:w="400" w:type="dxa"/>
            <w:vAlign w:val="bottom"/>
          </w:tcPr>
          <w:p>
            <w:pPr>
              <w:spacing w:after="0"/>
              <w:rPr>
                <w:sz w:val="7"/>
                <w:szCs w:val="7"/>
                <w:color w:val="auto"/>
              </w:rPr>
            </w:pPr>
          </w:p>
        </w:tc>
        <w:tc>
          <w:tcPr>
            <w:tcW w:w="100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Unobservable</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Assets (Level 1)</w:t>
            </w:r>
          </w:p>
        </w:tc>
        <w:tc>
          <w:tcPr>
            <w:tcW w:w="280" w:type="dxa"/>
            <w:vAlign w:val="bottom"/>
          </w:tcPr>
          <w:p>
            <w:pPr>
              <w:spacing w:after="0"/>
              <w:rPr>
                <w:sz w:val="8"/>
                <w:szCs w:val="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Inputs (Level 2)</w:t>
            </w:r>
          </w:p>
        </w:tc>
        <w:tc>
          <w:tcPr>
            <w:tcW w:w="400" w:type="dxa"/>
            <w:vAlign w:val="bottom"/>
          </w:tcPr>
          <w:p>
            <w:pPr>
              <w:spacing w:after="0"/>
              <w:rPr>
                <w:sz w:val="8"/>
                <w:szCs w:val="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Inputs (Level 3)</w:t>
            </w:r>
          </w:p>
        </w:tc>
        <w:tc>
          <w:tcPr>
            <w:tcW w:w="4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9"/>
        </w:trPr>
        <w:tc>
          <w:tcPr>
            <w:tcW w:w="5820" w:type="dxa"/>
            <w:vAlign w:val="bottom"/>
            <w:tcBorders>
              <w:bottom w:val="single" w:sz="8" w:color="004483"/>
            </w:tcBorders>
            <w:gridSpan w:val="2"/>
          </w:tcPr>
          <w:p>
            <w:pPr>
              <w:spacing w:after="0"/>
              <w:rPr>
                <w:sz w:val="20"/>
                <w:szCs w:val="20"/>
                <w:color w:val="auto"/>
              </w:rPr>
            </w:pPr>
            <w:r>
              <w:rPr>
                <w:rFonts w:ascii="Arial" w:cs="Arial" w:eastAsia="Arial" w:hAnsi="Arial"/>
                <w:sz w:val="8"/>
                <w:szCs w:val="8"/>
                <w:color w:val="auto"/>
              </w:rPr>
              <w:t>Asset Categories</w:t>
            </w:r>
          </w:p>
        </w:tc>
        <w:tc>
          <w:tcPr>
            <w:tcW w:w="300" w:type="dxa"/>
            <w:vAlign w:val="bottom"/>
            <w:tcBorders>
              <w:bottom w:val="single" w:sz="8" w:color="004483"/>
            </w:tcBorders>
          </w:tcPr>
          <w:p>
            <w:pPr>
              <w:spacing w:after="0"/>
              <w:rPr>
                <w:sz w:val="8"/>
                <w:szCs w:val="8"/>
                <w:color w:val="auto"/>
              </w:rPr>
            </w:pPr>
          </w:p>
        </w:tc>
        <w:tc>
          <w:tcPr>
            <w:tcW w:w="84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280" w:type="dxa"/>
            <w:vAlign w:val="bottom"/>
            <w:tcBorders>
              <w:bottom w:val="single" w:sz="8" w:color="004483"/>
            </w:tcBorders>
          </w:tcPr>
          <w:p>
            <w:pPr>
              <w:spacing w:after="0"/>
              <w:rPr>
                <w:sz w:val="8"/>
                <w:szCs w:val="8"/>
                <w:color w:val="auto"/>
              </w:rPr>
            </w:pPr>
          </w:p>
        </w:tc>
        <w:tc>
          <w:tcPr>
            <w:tcW w:w="1520" w:type="dxa"/>
            <w:vAlign w:val="bottom"/>
            <w:tcBorders>
              <w:bottom w:val="single" w:sz="8" w:color="004483"/>
            </w:tcBorders>
            <w:gridSpan w:val="4"/>
          </w:tcPr>
          <w:p>
            <w:pPr>
              <w:jc w:val="center"/>
              <w:ind w:left="433"/>
              <w:spacing w:after="0"/>
              <w:rPr>
                <w:sz w:val="20"/>
                <w:szCs w:val="20"/>
                <w:color w:val="auto"/>
              </w:rPr>
            </w:pPr>
            <w:r>
              <w:rPr>
                <w:rFonts w:ascii="Arial" w:cs="Arial" w:eastAsia="Arial" w:hAnsi="Arial"/>
                <w:sz w:val="8"/>
                <w:szCs w:val="8"/>
                <w:color w:val="auto"/>
                <w:w w:val="94"/>
              </w:rPr>
              <w:t>(dollars in thousands)</w:t>
            </w:r>
          </w:p>
        </w:tc>
        <w:tc>
          <w:tcPr>
            <w:tcW w:w="7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46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line="133" w:lineRule="exact"/>
              <w:rPr>
                <w:sz w:val="20"/>
                <w:szCs w:val="20"/>
                <w:color w:val="auto"/>
              </w:rPr>
            </w:pPr>
            <w:r>
              <w:rPr>
                <w:rFonts w:ascii="Arial" w:cs="Arial" w:eastAsia="Arial" w:hAnsi="Arial"/>
                <w:sz w:val="9"/>
                <w:szCs w:val="9"/>
                <w:color w:val="auto"/>
              </w:rPr>
              <w:t xml:space="preserve">Equity Securities </w:t>
            </w:r>
            <w:r>
              <w:rPr>
                <w:rFonts w:ascii="Arial" w:cs="Arial" w:eastAsia="Arial" w:hAnsi="Arial"/>
                <w:sz w:val="15"/>
                <w:szCs w:val="15"/>
                <w:color w:val="auto"/>
                <w:vertAlign w:val="superscript"/>
              </w:rPr>
              <w:t>(a)</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705</w:t>
            </w:r>
          </w:p>
        </w:tc>
        <w:tc>
          <w:tcPr>
            <w:tcW w:w="12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3,974</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jc w:val="right"/>
              <w:ind w:right="29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jc w:val="right"/>
              <w:ind w:right="35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4,679</w:t>
            </w:r>
          </w:p>
        </w:tc>
        <w:tc>
          <w:tcPr>
            <w:tcW w:w="0" w:type="dxa"/>
            <w:vAlign w:val="bottom"/>
          </w:tcPr>
          <w:p>
            <w:pPr>
              <w:spacing w:after="0"/>
              <w:rPr>
                <w:sz w:val="1"/>
                <w:szCs w:val="1"/>
                <w:color w:val="auto"/>
              </w:rPr>
            </w:pPr>
          </w:p>
        </w:tc>
      </w:tr>
      <w:tr>
        <w:trPr>
          <w:trHeight w:val="133"/>
        </w:trPr>
        <w:tc>
          <w:tcPr>
            <w:tcW w:w="5680" w:type="dxa"/>
            <w:vAlign w:val="bottom"/>
            <w:tcBorders>
              <w:bottom w:val="single" w:sz="8" w:color="A6A6A6"/>
            </w:tcBorders>
          </w:tcPr>
          <w:p>
            <w:pPr>
              <w:spacing w:after="0" w:line="133" w:lineRule="exact"/>
              <w:rPr>
                <w:sz w:val="20"/>
                <w:szCs w:val="20"/>
                <w:color w:val="auto"/>
              </w:rPr>
            </w:pPr>
            <w:r>
              <w:rPr>
                <w:rFonts w:ascii="Arial" w:cs="Arial" w:eastAsia="Arial" w:hAnsi="Arial"/>
                <w:sz w:val="9"/>
                <w:szCs w:val="9"/>
                <w:color w:val="auto"/>
              </w:rPr>
              <w:t xml:space="preserve">Fixed Income Securities </w:t>
            </w:r>
            <w:r>
              <w:rPr>
                <w:rFonts w:ascii="Arial" w:cs="Arial" w:eastAsia="Arial" w:hAnsi="Arial"/>
                <w:sz w:val="15"/>
                <w:szCs w:val="15"/>
                <w:color w:val="auto"/>
                <w:vertAlign w:val="superscript"/>
              </w:rPr>
              <w:t>(a)</w:t>
            </w:r>
          </w:p>
        </w:tc>
        <w:tc>
          <w:tcPr>
            <w:tcW w:w="140" w:type="dxa"/>
            <w:vAlign w:val="bottom"/>
            <w:tcBorders>
              <w:bottom w:val="single" w:sz="8" w:color="A3A3A3"/>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1,076</w:t>
            </w:r>
          </w:p>
        </w:tc>
        <w:tc>
          <w:tcPr>
            <w:tcW w:w="12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3,217</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3A3A3"/>
            </w:tcBorders>
          </w:tcPr>
          <w:p>
            <w:pPr>
              <w:spacing w:after="0"/>
              <w:rPr>
                <w:sz w:val="11"/>
                <w:szCs w:val="11"/>
                <w:color w:val="auto"/>
              </w:rPr>
            </w:pPr>
          </w:p>
        </w:tc>
        <w:tc>
          <w:tcPr>
            <w:tcW w:w="4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4,293</w:t>
            </w:r>
          </w:p>
        </w:tc>
        <w:tc>
          <w:tcPr>
            <w:tcW w:w="0" w:type="dxa"/>
            <w:vAlign w:val="bottom"/>
          </w:tcPr>
          <w:p>
            <w:pPr>
              <w:spacing w:after="0"/>
              <w:rPr>
                <w:sz w:val="1"/>
                <w:szCs w:val="1"/>
                <w:color w:val="auto"/>
              </w:rPr>
            </w:pPr>
          </w:p>
        </w:tc>
      </w:tr>
      <w:tr>
        <w:trPr>
          <w:trHeight w:val="131"/>
        </w:trPr>
        <w:tc>
          <w:tcPr>
            <w:tcW w:w="5820" w:type="dxa"/>
            <w:vAlign w:val="bottom"/>
            <w:gridSpan w:val="2"/>
          </w:tcPr>
          <w:p>
            <w:pPr>
              <w:spacing w:after="0"/>
              <w:rPr>
                <w:sz w:val="20"/>
                <w:szCs w:val="20"/>
                <w:color w:val="auto"/>
              </w:rPr>
            </w:pPr>
            <w:r>
              <w:rPr>
                <w:rFonts w:ascii="Arial" w:cs="Arial" w:eastAsia="Arial" w:hAnsi="Arial"/>
                <w:sz w:val="11"/>
                <w:szCs w:val="11"/>
                <w:color w:val="auto"/>
              </w:rPr>
              <w:t>Cash Equivalents</w:t>
            </w:r>
          </w:p>
        </w:tc>
        <w:tc>
          <w:tcPr>
            <w:tcW w:w="3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42"/>
        </w:trPr>
        <w:tc>
          <w:tcPr>
            <w:tcW w:w="5680" w:type="dxa"/>
            <w:vAlign w:val="bottom"/>
            <w:tcBorders>
              <w:top w:val="single" w:sz="8" w:color="A6A6A6"/>
            </w:tcBorders>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300" w:type="dxa"/>
            <w:vAlign w:val="bottom"/>
            <w:tcBorders>
              <w:top w:val="single" w:sz="8" w:color="004483"/>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280" w:type="dxa"/>
            <w:vAlign w:val="bottom"/>
            <w:tcBorders>
              <w:top w:val="single" w:sz="8" w:color="004483"/>
              <w:bottom w:val="single" w:sz="8" w:color="004483"/>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7,191</w:t>
            </w:r>
          </w:p>
        </w:tc>
        <w:tc>
          <w:tcPr>
            <w:tcW w:w="10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400" w:type="dxa"/>
            <w:vAlign w:val="bottom"/>
            <w:tcBorders>
              <w:top w:val="single" w:sz="8" w:color="004483"/>
              <w:bottom w:val="single" w:sz="8" w:color="004483"/>
            </w:tcBorders>
          </w:tcPr>
          <w:p>
            <w:pPr>
              <w:jc w:val="right"/>
              <w:ind w:right="29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3A3A3"/>
            </w:tcBorders>
          </w:tcPr>
          <w:p>
            <w:pPr>
              <w:spacing w:after="0"/>
              <w:rPr>
                <w:sz w:val="12"/>
                <w:szCs w:val="12"/>
                <w:color w:val="auto"/>
              </w:rPr>
            </w:pPr>
          </w:p>
        </w:tc>
        <w:tc>
          <w:tcPr>
            <w:tcW w:w="460" w:type="dxa"/>
            <w:vAlign w:val="bottom"/>
            <w:tcBorders>
              <w:top w:val="single" w:sz="8" w:color="004483"/>
              <w:bottom w:val="single" w:sz="8" w:color="004483"/>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9,212</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860" w:hanging="436"/>
        <w:spacing w:after="0"/>
        <w:tabs>
          <w:tab w:leader="none" w:pos="8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Level 2 assets are maintained by an investment manager and consist of collective funds that are not actively traded.</w:t>
      </w:r>
    </w:p>
    <w:p>
      <w:pPr>
        <w:spacing w:after="0" w:line="121" w:lineRule="exact"/>
        <w:rPr>
          <w:sz w:val="20"/>
          <w:szCs w:val="20"/>
          <w:color w:val="auto"/>
        </w:rPr>
      </w:pPr>
    </w:p>
    <w:p>
      <w:pPr>
        <w:ind w:right="600"/>
        <w:spacing w:after="0" w:line="324" w:lineRule="auto"/>
        <w:rPr>
          <w:sz w:val="20"/>
          <w:szCs w:val="20"/>
          <w:color w:val="auto"/>
        </w:rPr>
      </w:pPr>
      <w:r>
        <w:rPr>
          <w:rFonts w:ascii="Arial" w:cs="Arial" w:eastAsia="Arial" w:hAnsi="Arial"/>
          <w:sz w:val="11"/>
          <w:szCs w:val="11"/>
          <w:color w:val="auto"/>
        </w:rPr>
        <w:t>Texas Lehigh also provides a profit sharing plan, which covers substantially all salaried employees, and a 401(k) plan, which covers substantially all employees. Texas Lehigh matches employees’ 401(k) contributions up to 4% of employees’ salaries. Texas Lehigh’s contributions to the profit sharing and 401(k) plans were $0.8 million, $0.8 million, and $0.7 million in 2020, 2019, and 2018,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color w:val="auto"/>
        </w:rPr>
        <w:t>(K) CREDIT FACILITY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Texas Lehigh had a $25.0 million revolving credit facility (the “Credit Facility”), which terminated on July 20, 2020, and was not renewed.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 FAIR VALUE OF FINANCIAL INSTRUMENTS</w:t>
      </w:r>
    </w:p>
    <w:p>
      <w:pPr>
        <w:spacing w:after="0" w:line="102"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The carrying values of cash and cash equivalents, accounts receivable, accounts payable and accrued liabilities approximate their fair values at December 31, 2020 due to the short-term maturities of these assets and liabilities.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 RELATED-PARTY TRANSACTIONS</w:t>
      </w:r>
    </w:p>
    <w:p>
      <w:pPr>
        <w:spacing w:after="0" w:line="102" w:lineRule="exact"/>
        <w:rPr>
          <w:sz w:val="20"/>
          <w:szCs w:val="20"/>
          <w:color w:val="auto"/>
        </w:rPr>
      </w:pPr>
    </w:p>
    <w:p>
      <w:pPr>
        <w:ind w:right="140"/>
        <w:spacing w:after="0" w:line="269" w:lineRule="auto"/>
        <w:rPr>
          <w:sz w:val="20"/>
          <w:szCs w:val="20"/>
          <w:color w:val="auto"/>
        </w:rPr>
      </w:pPr>
      <w:r>
        <w:rPr>
          <w:rFonts w:ascii="Arial" w:cs="Arial" w:eastAsia="Arial" w:hAnsi="Arial"/>
          <w:sz w:val="12"/>
          <w:szCs w:val="12"/>
          <w:color w:val="auto"/>
        </w:rPr>
        <w:t>Texas Lehigh had sales to affiliates of $24.6 million, $28.9 million, and $30.8 million in 2020, 2019, and 2018, respectively, of which $3.3 million and $6.5 million is included in trade accounts receivable at December 31, 2020 and 2019, respectively. Texas Lehigh purchased $28.0 million, $29.8 million, and $28.4 million of cement from HCC in 2020, 2019, and 2018, respectively, $1.7 million and $1.0 million of slag from Skyway Cement Company in 2020 and 2019, respectively, and $0.1 million of slag from Lehigh Hanson Cement in 2020. Texas Lehigh accrued ($0.2) million and $0.2 million for purchased cement and slag received from these affiliates but not paid for at December 31, 2020 and 2019, respectively.</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Texas Lehigh reimburses EXP for certain expenses paid by EXP on Texas Lehigh’s behalf. Total payments made to EXP for reimbursement of expenses were $3.9 million, $3.7 million, and $3.4 million during 2020, 2019, and 2018, respectively. At December 31, 2020 and 2019, Texas Lehigh had accrued liabilities of $0.5 million and $0.5 million, respectively, for the reimbursement of expenses paid by EXP.</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55"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b w:val="1"/>
          <w:bCs w:val="1"/>
          <w:color w:val="auto"/>
        </w:rPr>
        <w:t>Report of Independent Auditors</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The Management Committee Texas Lehigh Cement Company LP:</w:t>
      </w:r>
    </w:p>
    <w:p>
      <w:pPr>
        <w:spacing w:after="0" w:line="87"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We have audited the accompanying financial statements of Texas Lehigh Cement Company LP, which comprise the balance sheets as of December 31, 2020 and 2019, and the related statements of earnings, comprehensive earnings, changes in partners’ capital, and cash flows for each of the three years in the period ended December 31, 2020, and the related notes to the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Responsibility for the Financial Statements</w:t>
      </w:r>
    </w:p>
    <w:p>
      <w:pPr>
        <w:spacing w:after="0" w:line="101"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Auditor’s Responsibility</w:t>
      </w:r>
    </w:p>
    <w:p>
      <w:pPr>
        <w:spacing w:after="0" w:line="101" w:lineRule="exact"/>
        <w:rPr>
          <w:sz w:val="20"/>
          <w:szCs w:val="20"/>
          <w:color w:val="auto"/>
        </w:rPr>
      </w:pPr>
    </w:p>
    <w:p>
      <w:pPr>
        <w:ind w:right="440"/>
        <w:spacing w:after="0" w:line="277"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w:t>
      </w:r>
    </w:p>
    <w:p>
      <w:pPr>
        <w:spacing w:after="0" w:line="101"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Texas Lehigh Cement Company LP at December 31, 2020 and 2019, and the results of its operations and its cash flows for each of the three years in the period ended December 31, 2020, in conformity with U.S. generally accepted accounting principles.</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April 23, 2021</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EVALUATION OF DISCLOSURE CONTROLS AND PROCEDURES</w:t>
      </w:r>
    </w:p>
    <w:p>
      <w:pPr>
        <w:spacing w:after="0" w:line="101"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We have established a system of disclosure controls and other procedures that are designed to ensure that information required to be disclosed by us in the reports that we file or submit under the Securities Exchange Act of 1934 (Exchange Act) is recorded, processed, summarized, and reported within the time periods specified by the SEC. Such information is also accumulated and communicated to management, including our Chief Executive Officer and Chief Financial Officer,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There were no changes that occurred during our last fiscal quarter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004483"/>
        </w:rPr>
        <w:t>MANAGEMENT REPORT ON INTERNAL CONTROL OVER FINANCIAL REPORTING</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(2013 framework). Based on our evaluation under the framework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our management concluded that our internal control over financial reporting was effective as of March 31, 2021. The effectiveness of our internal control over financial reporting as of March 31, 2021, has been audited by Ernst &amp; Young LLP, an independent registered public accounting firm, as stated in their report which is included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50" w:right="33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Eagle Materials Inc. and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01" w:lineRule="exact"/>
        <w:rPr>
          <w:sz w:val="20"/>
          <w:szCs w:val="20"/>
          <w:color w:val="auto"/>
        </w:rPr>
      </w:pPr>
    </w:p>
    <w:p>
      <w:pPr>
        <w:jc w:val="both"/>
        <w:ind w:right="460"/>
        <w:spacing w:after="0" w:line="271" w:lineRule="auto"/>
        <w:rPr>
          <w:sz w:val="20"/>
          <w:szCs w:val="20"/>
          <w:color w:val="auto"/>
        </w:rPr>
      </w:pPr>
      <w:r>
        <w:rPr>
          <w:rFonts w:ascii="Arial" w:cs="Arial" w:eastAsia="Arial" w:hAnsi="Arial"/>
          <w:sz w:val="12"/>
          <w:szCs w:val="12"/>
          <w:color w:val="auto"/>
        </w:rPr>
        <w:t>We have audited Eagle Materials Inc. and Subsidiaries’ internal control over financial reporting as of March 31, 2021,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2021, based on the COSO criteria.</w:t>
      </w:r>
    </w:p>
    <w:p>
      <w:pPr>
        <w:spacing w:after="0" w:line="64" w:lineRule="exact"/>
        <w:rPr>
          <w:sz w:val="20"/>
          <w:szCs w:val="20"/>
          <w:color w:val="auto"/>
        </w:rPr>
      </w:pPr>
    </w:p>
    <w:p>
      <w:pPr>
        <w:jc w:val="both"/>
        <w:ind w:right="80"/>
        <w:spacing w:after="0" w:line="271"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March 31, 2021 and 2020, the related consolidated statements of earnings, comprehensive earnings, stockholders’ equity and cash flows for each of the three years in the period ended March 31, 2021, and the related notes, and our report dated May 21, 2021 expressed an unqualified opinion thereon.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ind w:right="160"/>
        <w:spacing w:after="0" w:line="277"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Dallas, Texas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May 21, 2021</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300" w:top="364" w:right="459" w:bottom="1440" w:gutter="0" w:footer="0" w:header="0"/>
        </w:sectPr>
      </w:pPr>
    </w:p>
    <w:bookmarkStart w:id="118" w:name="page119"/>
    <w:bookmarkEnd w:id="118"/>
    <w:p>
      <w:pPr>
        <w:ind w:left="8"/>
        <w:spacing w:after="0"/>
        <w:rPr>
          <w:sz w:val="20"/>
          <w:szCs w:val="20"/>
          <w:color w:val="auto"/>
        </w:rPr>
      </w:pPr>
      <w:r>
        <w:rPr>
          <w:rFonts w:ascii="Arial" w:cs="Arial" w:eastAsia="Arial" w:hAnsi="Arial"/>
          <w:sz w:val="16"/>
          <w:szCs w:val="16"/>
          <w:b w:val="1"/>
          <w:bCs w:val="1"/>
          <w:color w:val="004483"/>
        </w:rPr>
        <w:t>PART III</w:t>
      </w:r>
    </w:p>
    <w:p>
      <w:pPr>
        <w:spacing w:after="0" w:line="30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ind w:left="8" w:right="300"/>
        <w:spacing w:after="0" w:line="277" w:lineRule="auto"/>
        <w:rPr>
          <w:sz w:val="20"/>
          <w:szCs w:val="20"/>
          <w:color w:val="auto"/>
        </w:rPr>
      </w:pPr>
      <w:r>
        <w:rPr>
          <w:rFonts w:ascii="Arial" w:cs="Arial" w:eastAsia="Arial" w:hAnsi="Arial"/>
          <w:sz w:val="12"/>
          <w:szCs w:val="12"/>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August 3, 2021 Annual Meeting of Stockholders (the 2021 EXP Proxy Statement):</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520" w:type="dxa"/>
            <w:vAlign w:val="bottom"/>
            <w:tcBorders>
              <w:bottom w:val="single" w:sz="8" w:color="004483"/>
            </w:tcBorders>
          </w:tcPr>
          <w:p>
            <w:pPr>
              <w:spacing w:after="0"/>
              <w:rPr>
                <w:sz w:val="20"/>
                <w:szCs w:val="20"/>
                <w:color w:val="auto"/>
              </w:rPr>
            </w:pPr>
            <w:r>
              <w:rPr>
                <w:rFonts w:ascii="Arial" w:cs="Arial" w:eastAsia="Arial" w:hAnsi="Arial"/>
                <w:sz w:val="11"/>
                <w:szCs w:val="11"/>
                <w:b w:val="1"/>
                <w:bCs w:val="1"/>
                <w:color w:val="auto"/>
              </w:rPr>
              <w:t>Items</w:t>
            </w:r>
          </w:p>
        </w:tc>
        <w:tc>
          <w:tcPr>
            <w:tcW w:w="10780" w:type="dxa"/>
            <w:vAlign w:val="bottom"/>
            <w:tcBorders>
              <w:bottom w:val="single" w:sz="8" w:color="004483"/>
            </w:tcBorders>
          </w:tcPr>
          <w:p>
            <w:pPr>
              <w:ind w:left="240"/>
              <w:spacing w:after="0"/>
              <w:rPr>
                <w:sz w:val="20"/>
                <w:szCs w:val="20"/>
                <w:color w:val="auto"/>
              </w:rPr>
            </w:pPr>
            <w:r>
              <w:rPr>
                <w:rFonts w:ascii="Arial" w:cs="Arial" w:eastAsia="Arial" w:hAnsi="Arial"/>
                <w:sz w:val="11"/>
                <w:szCs w:val="11"/>
                <w:b w:val="1"/>
                <w:bCs w:val="1"/>
                <w:color w:val="auto"/>
              </w:rPr>
              <w:t>Caption in the 2021 EXP Proxy Statement</w:t>
            </w:r>
          </w:p>
        </w:tc>
      </w:tr>
      <w:tr>
        <w:trPr>
          <w:trHeight w:val="142"/>
        </w:trPr>
        <w:tc>
          <w:tcPr>
            <w:tcW w:w="5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10</w:t>
            </w:r>
          </w:p>
        </w:tc>
        <w:tc>
          <w:tcPr>
            <w:tcW w:w="10780" w:type="dxa"/>
            <w:vAlign w:val="bottom"/>
            <w:tcBorders>
              <w:bottom w:val="single" w:sz="8" w:color="A6A6A6"/>
            </w:tcBorders>
          </w:tcPr>
          <w:p>
            <w:pPr>
              <w:ind w:left="220"/>
              <w:spacing w:after="0"/>
              <w:rPr>
                <w:sz w:val="20"/>
                <w:szCs w:val="20"/>
                <w:color w:val="auto"/>
              </w:rPr>
            </w:pPr>
            <w:r>
              <w:rPr>
                <w:rFonts w:ascii="Arial" w:cs="Arial" w:eastAsia="Arial" w:hAnsi="Arial"/>
                <w:sz w:val="11"/>
                <w:szCs w:val="11"/>
                <w:color w:val="auto"/>
              </w:rPr>
              <w:t>Executive Officers who are not Directors</w:t>
            </w:r>
          </w:p>
        </w:tc>
      </w:tr>
      <w:tr>
        <w:trPr>
          <w:trHeight w:val="133"/>
        </w:trPr>
        <w:tc>
          <w:tcPr>
            <w:tcW w:w="5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10</w:t>
            </w:r>
          </w:p>
        </w:tc>
        <w:tc>
          <w:tcPr>
            <w:tcW w:w="10780" w:type="dxa"/>
            <w:vAlign w:val="bottom"/>
            <w:tcBorders>
              <w:bottom w:val="single" w:sz="8" w:color="A6A6A6"/>
            </w:tcBorders>
          </w:tcPr>
          <w:p>
            <w:pPr>
              <w:ind w:left="220"/>
              <w:spacing w:after="0"/>
              <w:rPr>
                <w:sz w:val="20"/>
                <w:szCs w:val="20"/>
                <w:color w:val="auto"/>
              </w:rPr>
            </w:pPr>
            <w:r>
              <w:rPr>
                <w:rFonts w:ascii="Arial" w:cs="Arial" w:eastAsia="Arial" w:hAnsi="Arial"/>
                <w:sz w:val="11"/>
                <w:szCs w:val="11"/>
                <w:color w:val="auto"/>
              </w:rPr>
              <w:t>Election of Directors and Related Matters Stock Ownership-Section 16(a) Beneficial Ownership Reporting</w:t>
            </w:r>
          </w:p>
        </w:tc>
      </w:tr>
      <w:tr>
        <w:trPr>
          <w:trHeight w:val="133"/>
        </w:trPr>
        <w:tc>
          <w:tcPr>
            <w:tcW w:w="5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10</w:t>
            </w:r>
          </w:p>
        </w:tc>
        <w:tc>
          <w:tcPr>
            <w:tcW w:w="10780" w:type="dxa"/>
            <w:vAlign w:val="bottom"/>
            <w:tcBorders>
              <w:bottom w:val="single" w:sz="8" w:color="A6A6A6"/>
            </w:tcBorders>
          </w:tcPr>
          <w:p>
            <w:pPr>
              <w:ind w:left="220"/>
              <w:spacing w:after="0"/>
              <w:rPr>
                <w:sz w:val="20"/>
                <w:szCs w:val="20"/>
                <w:color w:val="auto"/>
              </w:rPr>
            </w:pPr>
            <w:r>
              <w:rPr>
                <w:rFonts w:ascii="Arial" w:cs="Arial" w:eastAsia="Arial" w:hAnsi="Arial"/>
                <w:sz w:val="11"/>
                <w:szCs w:val="11"/>
                <w:color w:val="auto"/>
              </w:rPr>
              <w:t>Compliance</w:t>
            </w:r>
          </w:p>
        </w:tc>
      </w:tr>
    </w:tbl>
    <w:p>
      <w:pPr>
        <w:spacing w:after="0" w:line="19" w:lineRule="exact"/>
        <w:rPr>
          <w:sz w:val="20"/>
          <w:szCs w:val="20"/>
          <w:color w:val="auto"/>
        </w:rPr>
      </w:pPr>
    </w:p>
    <w:p>
      <w:pPr>
        <w:ind w:left="748" w:hanging="748"/>
        <w:spacing w:after="0"/>
        <w:tabs>
          <w:tab w:leader="none" w:pos="748" w:val="left"/>
        </w:tabs>
        <w:numPr>
          <w:ilvl w:val="0"/>
          <w:numId w:val="24"/>
        </w:numPr>
        <w:rPr>
          <w:rFonts w:ascii="Arial" w:cs="Arial" w:eastAsia="Arial" w:hAnsi="Arial"/>
          <w:sz w:val="11"/>
          <w:szCs w:val="11"/>
          <w:color w:val="auto"/>
        </w:rPr>
      </w:pPr>
      <w:r>
        <w:rPr>
          <w:rFonts w:ascii="Arial" w:cs="Arial" w:eastAsia="Arial" w:hAnsi="Arial"/>
          <w:sz w:val="11"/>
          <w:szCs w:val="11"/>
          <w:color w:val="auto"/>
        </w:rPr>
        <w:t>Stock Ownership – Code of Conduct</w:t>
      </w:r>
    </w:p>
    <w:p>
      <w:pPr>
        <w:spacing w:after="0" w:line="26" w:lineRule="exact"/>
        <w:rPr>
          <w:rFonts w:ascii="Arial" w:cs="Arial" w:eastAsia="Arial" w:hAnsi="Arial"/>
          <w:sz w:val="11"/>
          <w:szCs w:val="11"/>
          <w:color w:val="auto"/>
        </w:rPr>
      </w:pPr>
    </w:p>
    <w:p>
      <w:pPr>
        <w:ind w:left="748" w:hanging="748"/>
        <w:spacing w:after="0"/>
        <w:tabs>
          <w:tab w:leader="none" w:pos="748" w:val="left"/>
        </w:tabs>
        <w:numPr>
          <w:ilvl w:val="0"/>
          <w:numId w:val="24"/>
        </w:numPr>
        <w:rPr>
          <w:rFonts w:ascii="Arial" w:cs="Arial" w:eastAsia="Arial" w:hAnsi="Arial"/>
          <w:sz w:val="11"/>
          <w:szCs w:val="11"/>
          <w:color w:val="auto"/>
        </w:rPr>
      </w:pPr>
      <w:r>
        <w:rPr>
          <w:rFonts w:ascii="Arial" w:cs="Arial" w:eastAsia="Arial" w:hAnsi="Arial"/>
          <w:sz w:val="11"/>
          <w:szCs w:val="1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60" w:lineRule="exact"/>
        <w:rPr>
          <w:sz w:val="20"/>
          <w:szCs w:val="20"/>
          <w:color w:val="auto"/>
        </w:rPr>
      </w:pPr>
    </w:p>
    <w:p>
      <w:pPr>
        <w:ind w:left="748" w:hanging="748"/>
        <w:spacing w:after="0"/>
        <w:tabs>
          <w:tab w:leader="none" w:pos="748" w:val="left"/>
        </w:tabs>
        <w:numPr>
          <w:ilvl w:val="0"/>
          <w:numId w:val="25"/>
        </w:numPr>
        <w:rPr>
          <w:rFonts w:ascii="Arial" w:cs="Arial" w:eastAsia="Arial" w:hAnsi="Arial"/>
          <w:sz w:val="11"/>
          <w:szCs w:val="11"/>
          <w:color w:val="auto"/>
        </w:rPr>
      </w:pPr>
      <w:r>
        <w:rPr>
          <w:rFonts w:ascii="Arial" w:cs="Arial" w:eastAsia="Arial" w:hAnsi="Arial"/>
          <w:sz w:val="11"/>
          <w:szCs w:val="11"/>
          <w:color w:val="auto"/>
        </w:rPr>
        <w:t>Potential Payments Upon Termination or Change in Control</w:t>
      </w:r>
    </w:p>
    <w:p>
      <w:pPr>
        <w:spacing w:after="0" w:line="26" w:lineRule="exact"/>
        <w:rPr>
          <w:rFonts w:ascii="Arial" w:cs="Arial" w:eastAsia="Arial" w:hAnsi="Arial"/>
          <w:sz w:val="11"/>
          <w:szCs w:val="11"/>
          <w:color w:val="auto"/>
        </w:rPr>
      </w:pPr>
    </w:p>
    <w:p>
      <w:pPr>
        <w:ind w:left="748" w:hanging="748"/>
        <w:spacing w:after="0"/>
        <w:tabs>
          <w:tab w:leader="none" w:pos="748" w:val="left"/>
        </w:tabs>
        <w:numPr>
          <w:ilvl w:val="0"/>
          <w:numId w:val="25"/>
        </w:numPr>
        <w:rPr>
          <w:rFonts w:ascii="Arial" w:cs="Arial" w:eastAsia="Arial" w:hAnsi="Arial"/>
          <w:sz w:val="11"/>
          <w:szCs w:val="11"/>
          <w:color w:val="auto"/>
        </w:rPr>
      </w:pPr>
      <w:r>
        <w:rPr>
          <w:rFonts w:ascii="Arial" w:cs="Arial" w:eastAsia="Arial" w:hAnsi="Arial"/>
          <w:sz w:val="11"/>
          <w:szCs w:val="11"/>
          <w:color w:val="auto"/>
        </w:rPr>
        <w:t>Stock Ownership</w:t>
      </w:r>
    </w:p>
    <w:p>
      <w:pPr>
        <w:spacing w:after="0" w:line="26" w:lineRule="exact"/>
        <w:rPr>
          <w:rFonts w:ascii="Arial" w:cs="Arial" w:eastAsia="Arial" w:hAnsi="Arial"/>
          <w:sz w:val="11"/>
          <w:szCs w:val="11"/>
          <w:color w:val="auto"/>
        </w:rPr>
      </w:pPr>
    </w:p>
    <w:p>
      <w:pPr>
        <w:ind w:left="748" w:hanging="748"/>
        <w:spacing w:after="0"/>
        <w:tabs>
          <w:tab w:leader="none" w:pos="748" w:val="left"/>
        </w:tabs>
        <w:numPr>
          <w:ilvl w:val="0"/>
          <w:numId w:val="25"/>
        </w:numPr>
        <w:rPr>
          <w:rFonts w:ascii="Arial" w:cs="Arial" w:eastAsia="Arial" w:hAnsi="Arial"/>
          <w:sz w:val="11"/>
          <w:szCs w:val="11"/>
          <w:color w:val="auto"/>
        </w:rPr>
      </w:pPr>
      <w:r>
        <w:rPr>
          <w:rFonts w:ascii="Arial" w:cs="Arial" w:eastAsia="Arial" w:hAnsi="Arial"/>
          <w:sz w:val="11"/>
          <w:szCs w:val="11"/>
          <w:color w:val="auto"/>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7" w:lineRule="exact"/>
        <w:rPr>
          <w:sz w:val="20"/>
          <w:szCs w:val="20"/>
          <w:color w:val="auto"/>
        </w:rPr>
      </w:pPr>
    </w:p>
    <w:p>
      <w:pPr>
        <w:ind w:left="748" w:hanging="748"/>
        <w:spacing w:after="0"/>
        <w:tabs>
          <w:tab w:leader="none" w:pos="748" w:val="left"/>
        </w:tabs>
        <w:numPr>
          <w:ilvl w:val="0"/>
          <w:numId w:val="26"/>
        </w:numPr>
        <w:rPr>
          <w:rFonts w:ascii="Arial" w:cs="Arial" w:eastAsia="Arial" w:hAnsi="Arial"/>
          <w:sz w:val="11"/>
          <w:szCs w:val="11"/>
          <w:color w:val="auto"/>
        </w:rPr>
      </w:pPr>
      <w:r>
        <w:rPr>
          <w:rFonts w:ascii="Arial" w:cs="Arial" w:eastAsia="Arial" w:hAnsi="Arial"/>
          <w:sz w:val="11"/>
          <w:szCs w:val="11"/>
          <w:color w:val="auto"/>
        </w:rPr>
        <w:t>Election of Directors and Related Matters</w:t>
      </w:r>
    </w:p>
    <w:p>
      <w:pPr>
        <w:spacing w:after="0" w:line="26" w:lineRule="exact"/>
        <w:rPr>
          <w:rFonts w:ascii="Arial" w:cs="Arial" w:eastAsia="Arial" w:hAnsi="Arial"/>
          <w:sz w:val="11"/>
          <w:szCs w:val="11"/>
          <w:color w:val="auto"/>
        </w:rPr>
      </w:pPr>
    </w:p>
    <w:p>
      <w:pPr>
        <w:ind w:left="748" w:hanging="748"/>
        <w:spacing w:after="0"/>
        <w:tabs>
          <w:tab w:leader="none" w:pos="748"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04483"/>
        </w:rPr>
        <w:t>CODE OF ETHICS</w:t>
      </w:r>
    </w:p>
    <w:p>
      <w:pPr>
        <w:spacing w:after="0" w:line="89" w:lineRule="exact"/>
        <w:rPr>
          <w:sz w:val="20"/>
          <w:szCs w:val="20"/>
          <w:color w:val="auto"/>
        </w:rPr>
      </w:pPr>
    </w:p>
    <w:p>
      <w:pPr>
        <w:ind w:left="8" w:right="40"/>
        <w:spacing w:after="0" w:line="282" w:lineRule="auto"/>
        <w:rPr>
          <w:sz w:val="20"/>
          <w:szCs w:val="20"/>
          <w:color w:val="auto"/>
        </w:rPr>
      </w:pPr>
      <w:r>
        <w:rPr>
          <w:rFonts w:ascii="Arial" w:cs="Arial" w:eastAsia="Arial" w:hAnsi="Arial"/>
          <w:sz w:val="12"/>
          <w:szCs w:val="12"/>
          <w:color w:val="auto"/>
        </w:rPr>
        <w:t>The policies comprising the Company’s code of ethics (</w:t>
      </w:r>
      <w:r>
        <w:rPr>
          <w:rFonts w:ascii="Arial" w:cs="Arial" w:eastAsia="Arial" w:hAnsi="Arial"/>
          <w:sz w:val="12"/>
          <w:szCs w:val="12"/>
          <w:i w:val="1"/>
          <w:iCs w:val="1"/>
          <w:color w:val="auto"/>
        </w:rPr>
        <w:t>The Eagle Way – A Guide to Decision-Making on Business Conduct Issues</w:t>
      </w:r>
      <w:r>
        <w:rPr>
          <w:rFonts w:ascii="Arial" w:cs="Arial" w:eastAsia="Arial" w:hAnsi="Arial"/>
          <w:sz w:val="12"/>
          <w:szCs w:val="12"/>
          <w:color w:val="auto"/>
        </w:rPr>
        <w:t xml:space="preserve">) represents the code of ethics for the principal executive officer, principal financial officer, and principal accounting officer under 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2"/>
          <w:szCs w:val="12"/>
          <w:u w:val="single" w:color="auto"/>
          <w:color w:val="auto"/>
        </w:rPr>
        <w:t>www.eaglematerials.com</w:t>
      </w:r>
      <w:r>
        <w:rPr>
          <w:rFonts w:ascii="Arial" w:cs="Arial" w:eastAsia="Arial" w:hAnsi="Arial"/>
          <w:sz w:val="12"/>
          <w:szCs w:val="12"/>
          <w:color w:val="auto"/>
        </w:rPr>
        <w:t>.</w:t>
      </w:r>
    </w:p>
    <w:p>
      <w:pPr>
        <w:spacing w:after="0" w:line="57" w:lineRule="exact"/>
        <w:rPr>
          <w:sz w:val="20"/>
          <w:szCs w:val="20"/>
          <w:color w:val="auto"/>
        </w:rPr>
      </w:pPr>
    </w:p>
    <w:p>
      <w:pPr>
        <w:ind w:left="8" w:right="280"/>
        <w:spacing w:after="0" w:line="277" w:lineRule="auto"/>
        <w:rPr>
          <w:sz w:val="20"/>
          <w:szCs w:val="20"/>
          <w:color w:val="auto"/>
        </w:rPr>
      </w:pPr>
      <w:r>
        <w:rPr>
          <w:rFonts w:ascii="Arial" w:cs="Arial" w:eastAsia="Arial" w:hAnsi="Arial"/>
          <w:sz w:val="12"/>
          <w:szCs w:val="12"/>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w:t>
      </w:r>
    </w:p>
    <w:p>
      <w:pPr>
        <w:spacing w:after="0" w:line="27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9"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Item 10.</w:t>
      </w:r>
    </w:p>
    <w:p>
      <w:pPr>
        <w:spacing w:after="0" w:line="30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Item 10.</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50" w:right="29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b w:val="1"/>
          <w:bCs w:val="1"/>
          <w:color w:val="004483"/>
        </w:rPr>
        <w:t>EQUITY COMPENSATION PLAN</w:t>
      </w:r>
    </w:p>
    <w:p>
      <w:pPr>
        <w:spacing w:after="0" w:line="101"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The following table shows the number of outstanding options and shares available for future issuance of options under the Company’s equity compensation plans as of March 31, 2021. Our equity compensation plans have been approved by the Company’s stockholders.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rPr>
                <w:sz w:val="20"/>
                <w:szCs w:val="20"/>
                <w:color w:val="auto"/>
              </w:rPr>
            </w:pPr>
            <w:r>
              <w:rPr>
                <w:rFonts w:ascii="Arial" w:cs="Arial" w:eastAsia="Arial" w:hAnsi="Arial"/>
                <w:sz w:val="8"/>
                <w:szCs w:val="8"/>
                <w:b w:val="1"/>
                <w:bCs w:val="1"/>
                <w:color w:val="auto"/>
              </w:rPr>
              <w:t>Number of</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securities</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remaining</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Number of</w:t>
            </w: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for future</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securities to</w:t>
            </w: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issuance</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be issued upon</w:t>
            </w: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under equity</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exercise of</w:t>
            </w:r>
          </w:p>
        </w:tc>
        <w:tc>
          <w:tcPr>
            <w:tcW w:w="240" w:type="dxa"/>
            <w:vAlign w:val="bottom"/>
          </w:tcPr>
          <w:p>
            <w:pPr>
              <w:spacing w:after="0"/>
              <w:rPr>
                <w:sz w:val="7"/>
                <w:szCs w:val="7"/>
                <w:color w:val="auto"/>
              </w:rPr>
            </w:pPr>
          </w:p>
        </w:tc>
        <w:tc>
          <w:tcPr>
            <w:tcW w:w="116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Weighted-average</w:t>
            </w: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compensation</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outstanding</w:t>
            </w:r>
          </w:p>
        </w:tc>
        <w:tc>
          <w:tcPr>
            <w:tcW w:w="240" w:type="dxa"/>
            <w:vAlign w:val="bottom"/>
          </w:tcPr>
          <w:p>
            <w:pPr>
              <w:spacing w:after="0"/>
              <w:rPr>
                <w:sz w:val="7"/>
                <w:szCs w:val="7"/>
                <w:color w:val="auto"/>
              </w:rPr>
            </w:pPr>
          </w:p>
        </w:tc>
        <w:tc>
          <w:tcPr>
            <w:tcW w:w="116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exercise price of</w:t>
            </w: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plans excluding</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options,</w:t>
            </w:r>
          </w:p>
        </w:tc>
        <w:tc>
          <w:tcPr>
            <w:tcW w:w="240" w:type="dxa"/>
            <w:vAlign w:val="bottom"/>
          </w:tcPr>
          <w:p>
            <w:pPr>
              <w:spacing w:after="0"/>
              <w:rPr>
                <w:sz w:val="7"/>
                <w:szCs w:val="7"/>
                <w:color w:val="auto"/>
              </w:rPr>
            </w:pPr>
          </w:p>
        </w:tc>
        <w:tc>
          <w:tcPr>
            <w:tcW w:w="116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outstanding options,</w:t>
            </w: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securities</w:t>
            </w:r>
          </w:p>
        </w:tc>
        <w:tc>
          <w:tcPr>
            <w:tcW w:w="0" w:type="dxa"/>
            <w:vAlign w:val="bottom"/>
          </w:tcPr>
          <w:p>
            <w:pPr>
              <w:spacing w:after="0"/>
              <w:rPr>
                <w:sz w:val="1"/>
                <w:szCs w:val="1"/>
                <w:color w:val="auto"/>
              </w:rPr>
            </w:pPr>
          </w:p>
        </w:tc>
      </w:tr>
      <w:tr>
        <w:trPr>
          <w:trHeight w:val="90"/>
        </w:trPr>
        <w:tc>
          <w:tcPr>
            <w:tcW w:w="450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720" w:type="dxa"/>
            <w:vAlign w:val="bottom"/>
          </w:tcPr>
          <w:p>
            <w:pPr>
              <w:spacing w:after="0"/>
              <w:rPr>
                <w:sz w:val="7"/>
                <w:szCs w:val="7"/>
                <w:color w:val="auto"/>
              </w:rPr>
            </w:pPr>
          </w:p>
        </w:tc>
        <w:tc>
          <w:tcPr>
            <w:tcW w:w="140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warrants, and</w:t>
            </w:r>
          </w:p>
        </w:tc>
        <w:tc>
          <w:tcPr>
            <w:tcW w:w="240" w:type="dxa"/>
            <w:vAlign w:val="bottom"/>
          </w:tcPr>
          <w:p>
            <w:pPr>
              <w:spacing w:after="0"/>
              <w:rPr>
                <w:sz w:val="7"/>
                <w:szCs w:val="7"/>
                <w:color w:val="auto"/>
              </w:rPr>
            </w:pPr>
          </w:p>
        </w:tc>
        <w:tc>
          <w:tcPr>
            <w:tcW w:w="1160" w:type="dxa"/>
            <w:vAlign w:val="bottom"/>
            <w:gridSpan w:val="2"/>
          </w:tcPr>
          <w:p>
            <w:pPr>
              <w:jc w:val="right"/>
              <w:ind w:right="260"/>
              <w:spacing w:after="0" w:line="90" w:lineRule="exact"/>
              <w:rPr>
                <w:sz w:val="20"/>
                <w:szCs w:val="20"/>
                <w:color w:val="auto"/>
              </w:rPr>
            </w:pPr>
            <w:r>
              <w:rPr>
                <w:rFonts w:ascii="Arial" w:cs="Arial" w:eastAsia="Arial" w:hAnsi="Arial"/>
                <w:sz w:val="8"/>
                <w:szCs w:val="8"/>
                <w:b w:val="1"/>
                <w:bCs w:val="1"/>
                <w:color w:val="auto"/>
              </w:rPr>
              <w:t>warrants, and</w:t>
            </w:r>
          </w:p>
        </w:tc>
        <w:tc>
          <w:tcPr>
            <w:tcW w:w="1280" w:type="dxa"/>
            <w:vAlign w:val="bottom"/>
          </w:tcPr>
          <w:p>
            <w:pPr>
              <w:jc w:val="right"/>
              <w:ind w:right="75"/>
              <w:spacing w:after="0" w:line="90" w:lineRule="exact"/>
              <w:rPr>
                <w:sz w:val="20"/>
                <w:szCs w:val="20"/>
                <w:color w:val="auto"/>
              </w:rPr>
            </w:pPr>
            <w:r>
              <w:rPr>
                <w:rFonts w:ascii="Arial" w:cs="Arial" w:eastAsia="Arial" w:hAnsi="Arial"/>
                <w:sz w:val="8"/>
                <w:szCs w:val="8"/>
                <w:b w:val="1"/>
                <w:bCs w:val="1"/>
                <w:color w:val="auto"/>
              </w:rPr>
              <w:t>reflected in</w:t>
            </w:r>
          </w:p>
        </w:tc>
        <w:tc>
          <w:tcPr>
            <w:tcW w:w="0" w:type="dxa"/>
            <w:vAlign w:val="bottom"/>
          </w:tcPr>
          <w:p>
            <w:pPr>
              <w:spacing w:after="0"/>
              <w:rPr>
                <w:sz w:val="1"/>
                <w:szCs w:val="1"/>
                <w:color w:val="auto"/>
              </w:rPr>
            </w:pPr>
          </w:p>
        </w:tc>
      </w:tr>
      <w:tr>
        <w:trPr>
          <w:trHeight w:val="101"/>
        </w:trPr>
        <w:tc>
          <w:tcPr>
            <w:tcW w:w="4500" w:type="dxa"/>
            <w:vAlign w:val="bottom"/>
            <w:tcBorders>
              <w:bottom w:val="single" w:sz="8" w:color="004483"/>
            </w:tcBorders>
            <w:vMerge w:val="continue"/>
          </w:tcPr>
          <w:p>
            <w:pPr>
              <w:spacing w:after="0"/>
              <w:rPr>
                <w:sz w:val="8"/>
                <w:szCs w:val="8"/>
                <w:color w:val="auto"/>
              </w:rPr>
            </w:pPr>
          </w:p>
        </w:tc>
        <w:tc>
          <w:tcPr>
            <w:tcW w:w="2720" w:type="dxa"/>
            <w:vAlign w:val="bottom"/>
            <w:tcBorders>
              <w:bottom w:val="single" w:sz="8" w:color="004483"/>
            </w:tcBorders>
          </w:tcPr>
          <w:p>
            <w:pPr>
              <w:jc w:val="right"/>
              <w:ind w:right="112"/>
              <w:spacing w:after="0"/>
              <w:rPr>
                <w:sz w:val="20"/>
                <w:szCs w:val="20"/>
                <w:color w:val="auto"/>
              </w:rPr>
            </w:pPr>
            <w:r>
              <w:rPr>
                <w:rFonts w:ascii="Arial" w:cs="Arial" w:eastAsia="Arial" w:hAnsi="Arial"/>
                <w:sz w:val="8"/>
                <w:szCs w:val="8"/>
                <w:b w:val="1"/>
                <w:bCs w:val="1"/>
                <w:color w:val="auto"/>
              </w:rPr>
              <w:t>Incentive Plan</w:t>
            </w:r>
          </w:p>
        </w:tc>
        <w:tc>
          <w:tcPr>
            <w:tcW w:w="1400" w:type="dxa"/>
            <w:vAlign w:val="bottom"/>
            <w:tcBorders>
              <w:bottom w:val="single" w:sz="8" w:color="004483"/>
            </w:tcBorders>
            <w:gridSpan w:val="2"/>
          </w:tcPr>
          <w:p>
            <w:pPr>
              <w:jc w:val="right"/>
              <w:ind w:right="260"/>
              <w:spacing w:after="0"/>
              <w:rPr>
                <w:sz w:val="20"/>
                <w:szCs w:val="20"/>
                <w:color w:val="auto"/>
              </w:rPr>
            </w:pPr>
            <w:r>
              <w:rPr>
                <w:rFonts w:ascii="Arial" w:cs="Arial" w:eastAsia="Arial" w:hAnsi="Arial"/>
                <w:sz w:val="8"/>
                <w:szCs w:val="8"/>
                <w:b w:val="1"/>
                <w:bCs w:val="1"/>
                <w:color w:val="auto"/>
              </w:rPr>
              <w:t>rights</w:t>
            </w:r>
          </w:p>
        </w:tc>
        <w:tc>
          <w:tcPr>
            <w:tcW w:w="240" w:type="dxa"/>
            <w:vAlign w:val="bottom"/>
            <w:tcBorders>
              <w:bottom w:val="single" w:sz="8" w:color="004483"/>
            </w:tcBorders>
          </w:tcPr>
          <w:p>
            <w:pPr>
              <w:spacing w:after="0"/>
              <w:rPr>
                <w:sz w:val="8"/>
                <w:szCs w:val="8"/>
                <w:color w:val="auto"/>
              </w:rPr>
            </w:pPr>
          </w:p>
        </w:tc>
        <w:tc>
          <w:tcPr>
            <w:tcW w:w="1160" w:type="dxa"/>
            <w:vAlign w:val="bottom"/>
            <w:tcBorders>
              <w:bottom w:val="single" w:sz="8" w:color="004483"/>
            </w:tcBorders>
            <w:gridSpan w:val="2"/>
          </w:tcPr>
          <w:p>
            <w:pPr>
              <w:jc w:val="right"/>
              <w:ind w:right="260"/>
              <w:spacing w:after="0"/>
              <w:rPr>
                <w:sz w:val="20"/>
                <w:szCs w:val="20"/>
                <w:color w:val="auto"/>
              </w:rPr>
            </w:pPr>
            <w:r>
              <w:rPr>
                <w:rFonts w:ascii="Arial" w:cs="Arial" w:eastAsia="Arial" w:hAnsi="Arial"/>
                <w:sz w:val="8"/>
                <w:szCs w:val="8"/>
                <w:b w:val="1"/>
                <w:bCs w:val="1"/>
                <w:color w:val="auto"/>
              </w:rPr>
              <w:t>rights</w:t>
            </w:r>
          </w:p>
        </w:tc>
        <w:tc>
          <w:tcPr>
            <w:tcW w:w="1280" w:type="dxa"/>
            <w:vAlign w:val="bottom"/>
            <w:tcBorders>
              <w:bottom w:val="single" w:sz="8" w:color="004483"/>
            </w:tcBorders>
          </w:tcPr>
          <w:p>
            <w:pPr>
              <w:jc w:val="right"/>
              <w:ind w:right="75"/>
              <w:spacing w:after="0"/>
              <w:rPr>
                <w:sz w:val="20"/>
                <w:szCs w:val="20"/>
                <w:color w:val="auto"/>
              </w:rPr>
            </w:pPr>
            <w:r>
              <w:rPr>
                <w:rFonts w:ascii="Arial" w:cs="Arial" w:eastAsia="Arial" w:hAnsi="Arial"/>
                <w:sz w:val="8"/>
                <w:szCs w:val="8"/>
                <w:b w:val="1"/>
                <w:bCs w:val="1"/>
                <w:color w:val="auto"/>
              </w:rPr>
              <w:t>column</w:t>
            </w:r>
          </w:p>
        </w:tc>
        <w:tc>
          <w:tcPr>
            <w:tcW w:w="0" w:type="dxa"/>
            <w:vAlign w:val="bottom"/>
          </w:tcPr>
          <w:p>
            <w:pPr>
              <w:spacing w:after="0"/>
              <w:rPr>
                <w:sz w:val="1"/>
                <w:szCs w:val="1"/>
                <w:color w:val="auto"/>
              </w:rPr>
            </w:pPr>
          </w:p>
        </w:tc>
      </w:tr>
      <w:tr>
        <w:trPr>
          <w:trHeight w:val="131"/>
        </w:trPr>
        <w:tc>
          <w:tcPr>
            <w:tcW w:w="4500" w:type="dxa"/>
            <w:vAlign w:val="bottom"/>
            <w:tcBorders>
              <w:bottom w:val="single" w:sz="8" w:color="A6A6A6"/>
            </w:tcBorders>
          </w:tcPr>
          <w:p>
            <w:pPr>
              <w:spacing w:after="0"/>
              <w:rPr>
                <w:sz w:val="20"/>
                <w:szCs w:val="20"/>
                <w:color w:val="auto"/>
              </w:rPr>
            </w:pPr>
            <w:r>
              <w:rPr>
                <w:rFonts w:ascii="Arial" w:cs="Arial" w:eastAsia="Arial" w:hAnsi="Arial"/>
                <w:sz w:val="11"/>
                <w:szCs w:val="11"/>
                <w:color w:val="004483"/>
              </w:rPr>
              <w:t>Equity compensation plans approved by stockholders</w:t>
            </w:r>
          </w:p>
        </w:tc>
        <w:tc>
          <w:tcPr>
            <w:tcW w:w="272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2013</w:t>
            </w:r>
          </w:p>
        </w:tc>
        <w:tc>
          <w:tcPr>
            <w:tcW w:w="1260" w:type="dxa"/>
            <w:vAlign w:val="bottom"/>
            <w:tcBorders>
              <w:bottom w:val="single" w:sz="8" w:color="A6A6A6"/>
            </w:tcBorders>
          </w:tcPr>
          <w:p>
            <w:pPr>
              <w:jc w:val="right"/>
              <w:ind w:right="75"/>
              <w:spacing w:after="0"/>
              <w:rPr>
                <w:sz w:val="20"/>
                <w:szCs w:val="20"/>
                <w:color w:val="auto"/>
              </w:rPr>
            </w:pPr>
            <w:r>
              <w:rPr>
                <w:rFonts w:ascii="Arial" w:cs="Arial" w:eastAsia="Arial" w:hAnsi="Arial"/>
                <w:sz w:val="11"/>
                <w:szCs w:val="11"/>
                <w:color w:val="auto"/>
              </w:rPr>
              <w:t>708,501</w:t>
            </w:r>
          </w:p>
        </w:tc>
        <w:tc>
          <w:tcPr>
            <w:tcW w:w="140" w:type="dxa"/>
            <w:vAlign w:val="bottom"/>
            <w:tcBorders>
              <w:bottom w:val="single" w:sz="8" w:color="A6A6A6"/>
            </w:tcBorders>
          </w:tcPr>
          <w:p>
            <w:pPr>
              <w:spacing w:after="0"/>
              <w:rPr>
                <w:sz w:val="11"/>
                <w:szCs w:val="11"/>
                <w:color w:val="auto"/>
              </w:rPr>
            </w:pP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ind w:right="74"/>
              <w:spacing w:after="0"/>
              <w:rPr>
                <w:sz w:val="20"/>
                <w:szCs w:val="20"/>
                <w:color w:val="auto"/>
              </w:rPr>
            </w:pPr>
            <w:r>
              <w:rPr>
                <w:rFonts w:ascii="Arial" w:cs="Arial" w:eastAsia="Arial" w:hAnsi="Arial"/>
                <w:sz w:val="11"/>
                <w:szCs w:val="11"/>
                <w:color w:val="auto"/>
              </w:rPr>
              <w:t>83.85</w:t>
            </w:r>
          </w:p>
        </w:tc>
        <w:tc>
          <w:tcPr>
            <w:tcW w:w="140" w:type="dxa"/>
            <w:vAlign w:val="bottom"/>
            <w:tcBorders>
              <w:bottom w:val="single" w:sz="8" w:color="A6A6A6"/>
            </w:tcBorders>
          </w:tcPr>
          <w:p>
            <w:pPr>
              <w:spacing w:after="0"/>
              <w:rPr>
                <w:sz w:val="11"/>
                <w:szCs w:val="11"/>
                <w:color w:val="auto"/>
              </w:rPr>
            </w:pPr>
          </w:p>
        </w:tc>
        <w:tc>
          <w:tcPr>
            <w:tcW w:w="1280" w:type="dxa"/>
            <w:vAlign w:val="bottom"/>
            <w:tcBorders>
              <w:bottom w:val="single" w:sz="8" w:color="A6A6A6"/>
            </w:tcBorders>
          </w:tcPr>
          <w:p>
            <w:pPr>
              <w:jc w:val="right"/>
              <w:ind w:right="75"/>
              <w:spacing w:after="0"/>
              <w:rPr>
                <w:sz w:val="20"/>
                <w:szCs w:val="20"/>
                <w:color w:val="auto"/>
              </w:rPr>
            </w:pPr>
            <w:r>
              <w:rPr>
                <w:rFonts w:ascii="Arial" w:cs="Arial" w:eastAsia="Arial" w:hAnsi="Arial"/>
                <w:sz w:val="11"/>
                <w:szCs w:val="11"/>
                <w:color w:val="auto"/>
              </w:rPr>
              <w:t>3,449,686</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20"/>
                <w:szCs w:val="20"/>
                <w:color w:val="auto"/>
              </w:rPr>
            </w:pPr>
            <w:r>
              <w:rPr>
                <w:rFonts w:ascii="Arial" w:cs="Arial" w:eastAsia="Arial" w:hAnsi="Arial"/>
                <w:sz w:val="11"/>
                <w:szCs w:val="11"/>
                <w:color w:val="004483"/>
              </w:rPr>
              <w:t>Equity compensation plans not approved by stockholders</w:t>
            </w:r>
          </w:p>
        </w:tc>
        <w:tc>
          <w:tcPr>
            <w:tcW w:w="2720" w:type="dxa"/>
            <w:vAlign w:val="bottom"/>
          </w:tcPr>
          <w:p>
            <w:pPr>
              <w:spacing w:after="0"/>
              <w:rPr>
                <w:sz w:val="11"/>
                <w:szCs w:val="1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7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500" w:type="dxa"/>
            <w:vAlign w:val="bottom"/>
            <w:tcBorders>
              <w:top w:val="single" w:sz="8" w:color="A6A6A6"/>
            </w:tcBorders>
          </w:tcPr>
          <w:p>
            <w:pPr>
              <w:spacing w:after="0"/>
              <w:rPr>
                <w:sz w:val="12"/>
                <w:szCs w:val="12"/>
                <w:color w:val="auto"/>
              </w:rPr>
            </w:pPr>
          </w:p>
        </w:tc>
        <w:tc>
          <w:tcPr>
            <w:tcW w:w="2720" w:type="dxa"/>
            <w:vAlign w:val="bottom"/>
            <w:tcBorders>
              <w:top w:val="single" w:sz="8" w:color="A6A6A6"/>
            </w:tcBorders>
          </w:tcPr>
          <w:p>
            <w:pPr>
              <w:spacing w:after="0"/>
              <w:rPr>
                <w:sz w:val="12"/>
                <w:szCs w:val="12"/>
                <w:color w:val="auto"/>
              </w:rPr>
            </w:pPr>
          </w:p>
        </w:tc>
        <w:tc>
          <w:tcPr>
            <w:tcW w:w="1260" w:type="dxa"/>
            <w:vAlign w:val="bottom"/>
            <w:tcBorders>
              <w:top w:val="single" w:sz="8" w:color="004483"/>
              <w:bottom w:val="single" w:sz="8" w:color="004483"/>
            </w:tcBorders>
          </w:tcPr>
          <w:p>
            <w:pPr>
              <w:jc w:val="right"/>
              <w:ind w:right="75"/>
              <w:spacing w:after="0"/>
              <w:rPr>
                <w:sz w:val="20"/>
                <w:szCs w:val="20"/>
                <w:color w:val="auto"/>
              </w:rPr>
            </w:pPr>
            <w:r>
              <w:rPr>
                <w:rFonts w:ascii="Arial" w:cs="Arial" w:eastAsia="Arial" w:hAnsi="Arial"/>
                <w:sz w:val="11"/>
                <w:szCs w:val="11"/>
                <w:b w:val="1"/>
                <w:bCs w:val="1"/>
                <w:color w:val="auto"/>
              </w:rPr>
              <w:t>708,501</w:t>
            </w:r>
          </w:p>
        </w:tc>
        <w:tc>
          <w:tcPr>
            <w:tcW w:w="140" w:type="dxa"/>
            <w:vAlign w:val="bottom"/>
            <w:tcBorders>
              <w:top w:val="single" w:sz="8" w:color="A6A6A6"/>
            </w:tcBorders>
          </w:tcPr>
          <w:p>
            <w:pPr>
              <w:spacing w:after="0"/>
              <w:rPr>
                <w:sz w:val="12"/>
                <w:szCs w:val="12"/>
                <w:color w:val="auto"/>
              </w:rPr>
            </w:pPr>
          </w:p>
        </w:tc>
        <w:tc>
          <w:tcPr>
            <w:tcW w:w="240" w:type="dxa"/>
            <w:vAlign w:val="bottom"/>
            <w:tcBorders>
              <w:top w:val="single" w:sz="8" w:color="004483"/>
              <w:bottom w:val="single" w:sz="8" w:color="004483"/>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ind w:right="74"/>
              <w:spacing w:after="0"/>
              <w:rPr>
                <w:sz w:val="20"/>
                <w:szCs w:val="20"/>
                <w:color w:val="auto"/>
              </w:rPr>
            </w:pPr>
            <w:r>
              <w:rPr>
                <w:rFonts w:ascii="Arial" w:cs="Arial" w:eastAsia="Arial" w:hAnsi="Arial"/>
                <w:sz w:val="11"/>
                <w:szCs w:val="11"/>
                <w:b w:val="1"/>
                <w:bCs w:val="1"/>
                <w:color w:val="auto"/>
              </w:rPr>
              <w:t>83.85</w:t>
            </w:r>
          </w:p>
        </w:tc>
        <w:tc>
          <w:tcPr>
            <w:tcW w:w="140" w:type="dxa"/>
            <w:vAlign w:val="bottom"/>
            <w:tcBorders>
              <w:top w:val="single" w:sz="8" w:color="A6A6A6"/>
            </w:tcBorders>
          </w:tcPr>
          <w:p>
            <w:pPr>
              <w:spacing w:after="0"/>
              <w:rPr>
                <w:sz w:val="12"/>
                <w:szCs w:val="12"/>
                <w:color w:val="auto"/>
              </w:rPr>
            </w:pPr>
          </w:p>
        </w:tc>
        <w:tc>
          <w:tcPr>
            <w:tcW w:w="1280" w:type="dxa"/>
            <w:vAlign w:val="bottom"/>
            <w:tcBorders>
              <w:top w:val="single" w:sz="8" w:color="004483"/>
              <w:bottom w:val="single" w:sz="8" w:color="004483"/>
            </w:tcBorders>
          </w:tcPr>
          <w:p>
            <w:pPr>
              <w:jc w:val="right"/>
              <w:ind w:right="75"/>
              <w:spacing w:after="0"/>
              <w:rPr>
                <w:sz w:val="20"/>
                <w:szCs w:val="20"/>
                <w:color w:val="auto"/>
              </w:rPr>
            </w:pPr>
            <w:r>
              <w:rPr>
                <w:rFonts w:ascii="Arial" w:cs="Arial" w:eastAsia="Arial" w:hAnsi="Arial"/>
                <w:sz w:val="11"/>
                <w:szCs w:val="11"/>
                <w:b w:val="1"/>
                <w:bCs w:val="1"/>
                <w:color w:val="auto"/>
              </w:rPr>
              <w:t>3,449,686</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See Item 10.</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See Item 10.</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22" w:right="299" w:bottom="1440" w:gutter="0" w:footer="0" w:header="0"/>
        </w:sectPr>
      </w:pPr>
    </w:p>
    <w:bookmarkStart w:id="120" w:name="page121"/>
    <w:bookmarkEnd w:id="120"/>
    <w:p>
      <w:pPr>
        <w:ind w:left="8"/>
        <w:spacing w:after="0"/>
        <w:rPr>
          <w:sz w:val="20"/>
          <w:szCs w:val="20"/>
          <w:color w:val="auto"/>
        </w:rPr>
      </w:pPr>
      <w:r>
        <w:rPr>
          <w:rFonts w:ascii="Arial" w:cs="Arial" w:eastAsia="Arial" w:hAnsi="Arial"/>
          <w:sz w:val="16"/>
          <w:szCs w:val="16"/>
          <w:b w:val="1"/>
          <w:bCs w:val="1"/>
          <w:color w:val="004483"/>
        </w:rPr>
        <w:t>PART IV</w:t>
      </w:r>
    </w:p>
    <w:p>
      <w:pPr>
        <w:spacing w:after="0" w:line="30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0" w:lineRule="exact"/>
        <w:rPr>
          <w:sz w:val="20"/>
          <w:szCs w:val="20"/>
          <w:color w:val="auto"/>
        </w:rPr>
      </w:pPr>
    </w:p>
    <w:p>
      <w:pPr>
        <w:ind w:left="268" w:hanging="268"/>
        <w:spacing w:after="0"/>
        <w:tabs>
          <w:tab w:leader="none" w:pos="2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Report:</w:t>
      </w:r>
    </w:p>
    <w:p>
      <w:pPr>
        <w:spacing w:after="0" w:line="73" w:lineRule="exact"/>
        <w:rPr>
          <w:rFonts w:ascii="Arial" w:cs="Arial" w:eastAsia="Arial" w:hAnsi="Arial"/>
          <w:sz w:val="12"/>
          <w:szCs w:val="12"/>
          <w:color w:val="auto"/>
        </w:rPr>
      </w:pPr>
    </w:p>
    <w:p>
      <w:pPr>
        <w:ind w:left="528" w:hanging="267"/>
        <w:spacing w:after="0"/>
        <w:tabs>
          <w:tab w:leader="none" w:pos="528" w:val="left"/>
        </w:tabs>
        <w:numPr>
          <w:ilvl w:val="1"/>
          <w:numId w:val="27"/>
        </w:numPr>
        <w:rPr>
          <w:rFonts w:ascii="Arial" w:cs="Arial" w:eastAsia="Arial" w:hAnsi="Arial"/>
          <w:sz w:val="12"/>
          <w:szCs w:val="12"/>
          <w:color w:val="auto"/>
        </w:rPr>
      </w:pPr>
      <w:r>
        <w:rPr>
          <w:rFonts w:ascii="Arial" w:cs="Arial" w:eastAsia="Arial" w:hAnsi="Arial"/>
          <w:sz w:val="12"/>
          <w:szCs w:val="12"/>
          <w:b w:val="1"/>
          <w:bCs w:val="1"/>
          <w:color w:val="auto"/>
        </w:rPr>
        <w:t>Financial Statements</w:t>
      </w:r>
    </w:p>
    <w:p>
      <w:pPr>
        <w:spacing w:after="0" w:line="29"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2"/>
          <w:szCs w:val="12"/>
          <w:color w:val="auto"/>
        </w:rPr>
        <w:t>Reference is made to the Index to Financial Statements under Item 8 in Part II hereof, where these documents are listed.</w:t>
      </w:r>
    </w:p>
    <w:p>
      <w:pPr>
        <w:spacing w:after="0" w:line="73" w:lineRule="exact"/>
        <w:rPr>
          <w:rFonts w:ascii="Arial" w:cs="Arial" w:eastAsia="Arial" w:hAnsi="Arial"/>
          <w:sz w:val="12"/>
          <w:szCs w:val="12"/>
          <w:color w:val="auto"/>
        </w:rPr>
      </w:pPr>
    </w:p>
    <w:p>
      <w:pPr>
        <w:ind w:left="528" w:hanging="267"/>
        <w:spacing w:after="0"/>
        <w:tabs>
          <w:tab w:leader="none" w:pos="528" w:val="left"/>
        </w:tabs>
        <w:numPr>
          <w:ilvl w:val="1"/>
          <w:numId w:val="27"/>
        </w:numPr>
        <w:rPr>
          <w:rFonts w:ascii="Arial" w:cs="Arial" w:eastAsia="Arial" w:hAnsi="Arial"/>
          <w:sz w:val="12"/>
          <w:szCs w:val="12"/>
          <w:color w:val="auto"/>
        </w:rPr>
      </w:pPr>
      <w:r>
        <w:rPr>
          <w:rFonts w:ascii="Arial" w:cs="Arial" w:eastAsia="Arial" w:hAnsi="Arial"/>
          <w:sz w:val="12"/>
          <w:szCs w:val="12"/>
          <w:b w:val="1"/>
          <w:bCs w:val="1"/>
          <w:color w:val="auto"/>
        </w:rPr>
        <w:t>Schedules</w:t>
      </w:r>
    </w:p>
    <w:p>
      <w:pPr>
        <w:spacing w:after="0" w:line="29"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2"/>
          <w:szCs w:val="12"/>
          <w:color w:val="auto"/>
        </w:rPr>
        <w:t>Schedules are omitted because they are not applicable or not required, or the information required to be set forth therein is included in the consolidated financial statements referenced above in section</w:t>
      </w:r>
    </w:p>
    <w:p>
      <w:pPr>
        <w:spacing w:after="0" w:line="15"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2"/>
          <w:szCs w:val="12"/>
          <w:color w:val="auto"/>
        </w:rPr>
        <w:t>(a) (1) of this Item 15.</w:t>
      </w:r>
    </w:p>
    <w:p>
      <w:pPr>
        <w:spacing w:after="0" w:line="73" w:lineRule="exact"/>
        <w:rPr>
          <w:rFonts w:ascii="Arial" w:cs="Arial" w:eastAsia="Arial" w:hAnsi="Arial"/>
          <w:sz w:val="12"/>
          <w:szCs w:val="12"/>
          <w:color w:val="auto"/>
        </w:rPr>
      </w:pPr>
    </w:p>
    <w:p>
      <w:pPr>
        <w:ind w:left="528" w:hanging="267"/>
        <w:spacing w:after="0"/>
        <w:tabs>
          <w:tab w:leader="none" w:pos="528" w:val="left"/>
        </w:tabs>
        <w:numPr>
          <w:ilvl w:val="1"/>
          <w:numId w:val="27"/>
        </w:numPr>
        <w:rPr>
          <w:rFonts w:ascii="Arial" w:cs="Arial" w:eastAsia="Arial" w:hAnsi="Arial"/>
          <w:sz w:val="12"/>
          <w:szCs w:val="12"/>
          <w:color w:val="auto"/>
        </w:rPr>
      </w:pPr>
      <w:r>
        <w:rPr>
          <w:rFonts w:ascii="Arial" w:cs="Arial" w:eastAsia="Arial" w:hAnsi="Arial"/>
          <w:sz w:val="12"/>
          <w:szCs w:val="12"/>
          <w:b w:val="1"/>
          <w:bCs w:val="1"/>
          <w:color w:val="auto"/>
        </w:rPr>
        <w:t>Exhibits</w:t>
      </w:r>
    </w:p>
    <w:p>
      <w:pPr>
        <w:spacing w:after="0" w:line="29"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2"/>
          <w:szCs w:val="12"/>
          <w:color w:val="auto"/>
        </w:rPr>
        <w:t>The information on exhibits required by this Item 15 is set forth in the Eagle Materials Inc. Index to Exhibits appearing on pages 120-125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7"/>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8"/>
          </w:cols>
          <w:pgMar w:left="292" w:top="250" w:right="45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color w:val="auto"/>
        </w:rPr>
        <w:t>INDEX TO EXHIBITS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EAGLE MATERIALS INC.</w:t>
      </w:r>
    </w:p>
    <w:p>
      <w:pPr>
        <w:spacing w:after="0"/>
        <w:rPr>
          <w:sz w:val="20"/>
          <w:szCs w:val="20"/>
          <w:color w:val="auto"/>
        </w:rPr>
      </w:pPr>
      <w:r>
        <w:rPr>
          <w:rFonts w:ascii="Arial" w:cs="Arial" w:eastAsia="Arial" w:hAnsi="Arial"/>
          <w:sz w:val="13"/>
          <w:szCs w:val="13"/>
          <w:b w:val="1"/>
          <w:bCs w:val="1"/>
          <w:color w:val="auto"/>
        </w:rPr>
        <w:t>AND SUBSIDIARIES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60" w:type="dxa"/>
            <w:vAlign w:val="bottom"/>
            <w:gridSpan w:val="2"/>
          </w:tcPr>
          <w:p>
            <w:pPr>
              <w:spacing w:after="0"/>
              <w:rPr>
                <w:sz w:val="20"/>
                <w:szCs w:val="20"/>
                <w:color w:val="auto"/>
              </w:rPr>
            </w:pPr>
            <w:r>
              <w:rPr>
                <w:rFonts w:ascii="Arial" w:cs="Arial" w:eastAsia="Arial" w:hAnsi="Arial"/>
                <w:sz w:val="10"/>
                <w:szCs w:val="10"/>
                <w:color w:val="auto"/>
              </w:rPr>
              <w:t>EXHIBIT</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060" w:type="dxa"/>
            <w:vAlign w:val="bottom"/>
            <w:gridSpan w:val="2"/>
          </w:tcPr>
          <w:p>
            <w:pPr>
              <w:spacing w:after="0" w:line="105" w:lineRule="exact"/>
              <w:rPr>
                <w:sz w:val="20"/>
                <w:szCs w:val="20"/>
                <w:color w:val="auto"/>
              </w:rPr>
            </w:pPr>
            <w:r>
              <w:rPr>
                <w:rFonts w:ascii="Arial" w:cs="Arial" w:eastAsia="Arial" w:hAnsi="Arial"/>
                <w:sz w:val="10"/>
                <w:szCs w:val="10"/>
                <w:color w:val="auto"/>
              </w:rPr>
              <w:t>NUMBER</w:t>
            </w:r>
          </w:p>
        </w:tc>
        <w:tc>
          <w:tcPr>
            <w:tcW w:w="10240" w:type="dxa"/>
            <w:vAlign w:val="bottom"/>
            <w:gridSpan w:val="20"/>
          </w:tcPr>
          <w:p>
            <w:pPr>
              <w:spacing w:after="0" w:line="105" w:lineRule="exact"/>
              <w:rPr>
                <w:sz w:val="20"/>
                <w:szCs w:val="20"/>
                <w:color w:val="auto"/>
              </w:rPr>
            </w:pPr>
            <w:r>
              <w:rPr>
                <w:rFonts w:ascii="Arial" w:cs="Arial" w:eastAsia="Arial" w:hAnsi="Arial"/>
                <w:sz w:val="10"/>
                <w:szCs w:val="10"/>
                <w:color w:val="auto"/>
              </w:rPr>
              <w:t>DESCRIPTION OF EXHIBITS</w:t>
            </w:r>
          </w:p>
        </w:tc>
      </w:tr>
      <w:tr>
        <w:trPr>
          <w:trHeight w:val="178"/>
        </w:trPr>
        <w:tc>
          <w:tcPr>
            <w:tcW w:w="980" w:type="dxa"/>
            <w:vAlign w:val="bottom"/>
            <w:tcBorders>
              <w:top w:val="single" w:sz="8" w:color="auto"/>
            </w:tcBorders>
          </w:tcPr>
          <w:p>
            <w:pPr>
              <w:ind w:left="60"/>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5"/>
                <w:szCs w:val="15"/>
                <w:color w:val="auto"/>
              </w:rPr>
            </w:pPr>
          </w:p>
        </w:tc>
        <w:tc>
          <w:tcPr>
            <w:tcW w:w="9860" w:type="dxa"/>
            <w:vAlign w:val="bottom"/>
            <w:tcBorders>
              <w:top w:val="single" w:sz="8" w:color="auto"/>
              <w:bottom w:val="single" w:sz="8" w:color="0000EE"/>
            </w:tcBorders>
            <w:gridSpan w:val="8"/>
          </w:tcPr>
          <w:p>
            <w:pPr>
              <w:spacing w:after="0"/>
              <w:rPr>
                <w:rFonts w:ascii="Arial" w:cs="Arial" w:eastAsia="Arial" w:hAnsi="Arial"/>
                <w:sz w:val="11"/>
                <w:szCs w:val="11"/>
                <w:color w:val="0000EE"/>
                <w:w w:val="97"/>
              </w:rPr>
            </w:pPr>
            <w:hyperlink r:id="rId186">
              <w:r>
                <w:rPr>
                  <w:rFonts w:ascii="Arial" w:cs="Arial" w:eastAsia="Arial" w:hAnsi="Arial"/>
                  <w:sz w:val="11"/>
                  <w:szCs w:val="11"/>
                  <w:color w:val="0000EE"/>
                  <w:w w:val="97"/>
                </w:rPr>
                <w:t>Amended and Restated Agreement and Plan of Merger, dated as of November 4, 2003, among Centex Corporation, Centex Construction Products, Inc. (now known as Eagle Materials Inc.), and ARG Merger</w:t>
              </w:r>
            </w:hyperlink>
          </w:p>
        </w:tc>
        <w:tc>
          <w:tcPr>
            <w:tcW w:w="380" w:type="dxa"/>
            <w:vAlign w:val="bottom"/>
            <w:tcBorders>
              <w:top w:val="single" w:sz="8" w:color="auto"/>
            </w:tcBorders>
            <w:gridSpan w:val="12"/>
          </w:tcPr>
          <w:p>
            <w:pPr>
              <w:spacing w:after="0"/>
              <w:rPr>
                <w:sz w:val="15"/>
                <w:szCs w:val="15"/>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w w:val="98"/>
              </w:rPr>
            </w:pPr>
            <w:hyperlink r:id="rId186">
              <w:r>
                <w:rPr>
                  <w:rFonts w:ascii="Arial" w:cs="Arial" w:eastAsia="Arial" w:hAnsi="Arial"/>
                  <w:sz w:val="11"/>
                  <w:szCs w:val="11"/>
                  <w:color w:val="0000EE"/>
                  <w:w w:val="98"/>
                </w:rPr>
                <w:t>Corporation filed as Exhibit 2.1 to the Company’s Current Report on Form 8-K/A filed with the Securities and Exchange Commission (the Commission) on November 12, 2003 (File No. 001-12984) and incorporated</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top w:val="single" w:sz="8" w:color="0000EE"/>
              <w:bottom w:val="single" w:sz="8" w:color="0000EE"/>
            </w:tcBorders>
            <w:gridSpan w:val="2"/>
          </w:tcPr>
          <w:p>
            <w:pPr>
              <w:spacing w:after="0" w:line="106" w:lineRule="exact"/>
              <w:rPr>
                <w:rFonts w:ascii="Arial" w:cs="Arial" w:eastAsia="Arial" w:hAnsi="Arial"/>
                <w:sz w:val="11"/>
                <w:szCs w:val="11"/>
                <w:color w:val="0000EE"/>
                <w:w w:val="96"/>
              </w:rPr>
            </w:pPr>
            <w:hyperlink r:id="rId186">
              <w:r>
                <w:rPr>
                  <w:rFonts w:ascii="Arial" w:cs="Arial" w:eastAsia="Arial" w:hAnsi="Arial"/>
                  <w:sz w:val="11"/>
                  <w:szCs w:val="11"/>
                  <w:color w:val="0000EE"/>
                  <w:w w:val="96"/>
                </w:rPr>
                <w:t>herein by reference.</w:t>
              </w:r>
            </w:hyperlink>
          </w:p>
        </w:tc>
        <w:tc>
          <w:tcPr>
            <w:tcW w:w="9180" w:type="dxa"/>
            <w:vAlign w:val="bottom"/>
            <w:tcBorders>
              <w:top w:val="single" w:sz="8" w:color="0000EE"/>
            </w:tcBorders>
            <w:gridSpan w:val="15"/>
          </w:tcPr>
          <w:p>
            <w:pPr>
              <w:spacing w:after="0"/>
              <w:rPr>
                <w:sz w:val="9"/>
                <w:szCs w:val="9"/>
                <w:color w:val="auto"/>
              </w:rPr>
            </w:pPr>
          </w:p>
        </w:tc>
        <w:tc>
          <w:tcPr>
            <w:tcW w:w="100" w:type="dxa"/>
            <w:vAlign w:val="bottom"/>
            <w:gridSpan w:val="3"/>
          </w:tcPr>
          <w:p>
            <w:pPr>
              <w:spacing w:after="0"/>
              <w:rPr>
                <w:sz w:val="9"/>
                <w:szCs w:val="9"/>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6"/>
                <w:szCs w:val="16"/>
                <w:color w:val="auto"/>
              </w:rPr>
            </w:pPr>
          </w:p>
        </w:tc>
        <w:tc>
          <w:tcPr>
            <w:tcW w:w="10020" w:type="dxa"/>
            <w:vAlign w:val="bottom"/>
            <w:tcBorders>
              <w:bottom w:val="single" w:sz="8" w:color="0000EE"/>
            </w:tcBorders>
            <w:gridSpan w:val="14"/>
          </w:tcPr>
          <w:p>
            <w:pPr>
              <w:spacing w:after="0"/>
              <w:rPr>
                <w:rFonts w:ascii="Arial" w:cs="Arial" w:eastAsia="Arial" w:hAnsi="Arial"/>
                <w:sz w:val="11"/>
                <w:szCs w:val="11"/>
                <w:color w:val="0000EE"/>
                <w:w w:val="97"/>
              </w:rPr>
            </w:pPr>
            <w:hyperlink r:id="rId187">
              <w:r>
                <w:rPr>
                  <w:rFonts w:ascii="Arial" w:cs="Arial" w:eastAsia="Arial" w:hAnsi="Arial"/>
                  <w:sz w:val="11"/>
                  <w:szCs w:val="11"/>
                  <w:color w:val="0000EE"/>
                  <w:w w:val="97"/>
                </w:rPr>
                <w:t>Amended and Restated Distribution Agreement dated as of November 4, 2003 between Centex Corporation and Centex Construction Products, Inc. (now known as Eagle Materials Inc.) filed as Exhibit 2.2 to the</w:t>
              </w:r>
            </w:hyperlink>
          </w:p>
        </w:tc>
        <w:tc>
          <w:tcPr>
            <w:tcW w:w="220" w:type="dxa"/>
            <w:vAlign w:val="bottom"/>
            <w:gridSpan w:val="6"/>
          </w:tcPr>
          <w:p>
            <w:pPr>
              <w:spacing w:after="0"/>
              <w:rPr>
                <w:sz w:val="16"/>
                <w:szCs w:val="16"/>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40" w:type="dxa"/>
            <w:vAlign w:val="bottom"/>
            <w:tcBorders>
              <w:bottom w:val="single" w:sz="8" w:color="0000EE"/>
            </w:tcBorders>
            <w:gridSpan w:val="5"/>
          </w:tcPr>
          <w:p>
            <w:pPr>
              <w:spacing w:after="0" w:line="106" w:lineRule="exact"/>
              <w:rPr>
                <w:rFonts w:ascii="Arial" w:cs="Arial" w:eastAsia="Arial" w:hAnsi="Arial"/>
                <w:sz w:val="11"/>
                <w:szCs w:val="11"/>
                <w:color w:val="0000EE"/>
                <w:w w:val="97"/>
              </w:rPr>
            </w:pPr>
            <w:hyperlink r:id="rId187">
              <w:r>
                <w:rPr>
                  <w:rFonts w:ascii="Arial" w:cs="Arial" w:eastAsia="Arial" w:hAnsi="Arial"/>
                  <w:sz w:val="11"/>
                  <w:szCs w:val="11"/>
                  <w:color w:val="0000EE"/>
                  <w:w w:val="97"/>
                </w:rPr>
                <w:t>Company’s Current Report on Form 8-K/A filed with the Commission on November 12, 2003 (File No. 001-12984) and incorporated herein by reference.</w:t>
              </w:r>
            </w:hyperlink>
          </w:p>
        </w:tc>
        <w:tc>
          <w:tcPr>
            <w:tcW w:w="3000" w:type="dxa"/>
            <w:vAlign w:val="bottom"/>
            <w:gridSpan w:val="15"/>
          </w:tcPr>
          <w:p>
            <w:pPr>
              <w:spacing w:after="0"/>
              <w:rPr>
                <w:sz w:val="9"/>
                <w:szCs w:val="9"/>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6"/>
                <w:szCs w:val="16"/>
                <w:color w:val="auto"/>
              </w:rPr>
            </w:pPr>
          </w:p>
        </w:tc>
        <w:tc>
          <w:tcPr>
            <w:tcW w:w="10240" w:type="dxa"/>
            <w:vAlign w:val="bottom"/>
            <w:gridSpan w:val="20"/>
          </w:tcPr>
          <w:p>
            <w:pPr>
              <w:spacing w:after="0"/>
              <w:rPr>
                <w:rFonts w:ascii="Arial" w:cs="Arial" w:eastAsia="Arial" w:hAnsi="Arial"/>
                <w:sz w:val="11"/>
                <w:szCs w:val="11"/>
                <w:color w:val="0000EE"/>
              </w:rPr>
            </w:pPr>
            <w:hyperlink r:id="rId188">
              <w:r>
                <w:rPr>
                  <w:rFonts w:ascii="Arial" w:cs="Arial" w:eastAsia="Arial" w:hAnsi="Arial"/>
                  <w:sz w:val="11"/>
                  <w:szCs w:val="11"/>
                  <w:color w:val="0000EE"/>
                </w:rPr>
                <w:t>Restated Certificate of Incorporation filed as Exhibit 3.1 to the Company’s Current Report on Form 8-K filed with the Commission on April 11, 2006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ind w:left="60"/>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rPr>
                <w:rFonts w:ascii="Arial" w:cs="Arial" w:eastAsia="Arial" w:hAnsi="Arial"/>
                <w:sz w:val="11"/>
                <w:szCs w:val="11"/>
                <w:color w:val="0000EE"/>
                <w:w w:val="97"/>
              </w:rPr>
            </w:pPr>
            <w:hyperlink r:id="rId189">
              <w:r>
                <w:rPr>
                  <w:rFonts w:ascii="Arial" w:cs="Arial" w:eastAsia="Arial" w:hAnsi="Arial"/>
                  <w:sz w:val="11"/>
                  <w:szCs w:val="11"/>
                  <w:color w:val="0000EE"/>
                  <w:w w:val="97"/>
                </w:rPr>
                <w:t>Restated Certificate of Designation, Preferences and Rights of Series A Preferred Stock filed as Exhibit 3.2 to the Company’s Current Report on Form 8-K filed with the Commission on April 11, 2006 (File No. 001-</w:t>
              </w:r>
            </w:hyperlink>
          </w:p>
        </w:tc>
        <w:tc>
          <w:tcPr>
            <w:tcW w:w="120" w:type="dxa"/>
            <w:vAlign w:val="bottom"/>
            <w:gridSpan w:val="4"/>
          </w:tcPr>
          <w:p>
            <w:pPr>
              <w:spacing w:after="0"/>
              <w:rPr>
                <w:sz w:val="17"/>
                <w:szCs w:val="17"/>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89">
              <w:r>
                <w:rPr>
                  <w:rFonts w:ascii="Arial" w:cs="Arial" w:eastAsia="Arial" w:hAnsi="Arial"/>
                  <w:sz w:val="11"/>
                  <w:szCs w:val="11"/>
                  <w:color w:val="0000EE"/>
                </w:rPr>
                <w:t>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6"/>
                <w:szCs w:val="16"/>
                <w:color w:val="auto"/>
              </w:rPr>
            </w:pPr>
          </w:p>
        </w:tc>
        <w:tc>
          <w:tcPr>
            <w:tcW w:w="10240" w:type="dxa"/>
            <w:vAlign w:val="bottom"/>
            <w:gridSpan w:val="20"/>
          </w:tcPr>
          <w:p>
            <w:pPr>
              <w:spacing w:after="0"/>
              <w:rPr>
                <w:rFonts w:ascii="Arial" w:cs="Arial" w:eastAsia="Arial" w:hAnsi="Arial"/>
                <w:sz w:val="11"/>
                <w:szCs w:val="11"/>
                <w:color w:val="0000EE"/>
              </w:rPr>
            </w:pPr>
            <w:hyperlink r:id="rId190">
              <w:r>
                <w:rPr>
                  <w:rFonts w:ascii="Arial" w:cs="Arial" w:eastAsia="Arial" w:hAnsi="Arial"/>
                  <w:sz w:val="11"/>
                  <w:szCs w:val="11"/>
                  <w:color w:val="0000EE"/>
                </w:rPr>
                <w:t>Amended and Restated Bylaws filed as Exhibit 3.3 to the Company’s Annual Report on Form 10-K for the fiscal year ended March 31, 2007, filed with the Commission on May 29, 2007 (File No. 001-12984) and</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980" w:type="dxa"/>
            <w:vAlign w:val="bottom"/>
            <w:tcBorders>
              <w:top w:val="single" w:sz="8" w:color="0000EE"/>
            </w:tcBorders>
            <w:gridSpan w:val="12"/>
          </w:tcPr>
          <w:p>
            <w:pPr>
              <w:spacing w:after="0" w:line="106" w:lineRule="exact"/>
              <w:rPr>
                <w:rFonts w:ascii="Arial" w:cs="Arial" w:eastAsia="Arial" w:hAnsi="Arial"/>
                <w:sz w:val="11"/>
                <w:szCs w:val="11"/>
                <w:color w:val="0000EE"/>
              </w:rPr>
            </w:pPr>
            <w:hyperlink r:id="rId190">
              <w:r>
                <w:rPr>
                  <w:rFonts w:ascii="Arial" w:cs="Arial" w:eastAsia="Arial" w:hAnsi="Arial"/>
                  <w:sz w:val="11"/>
                  <w:szCs w:val="11"/>
                  <w:color w:val="0000EE"/>
                </w:rPr>
                <w:t>incorporated herein by reference.</w:t>
              </w:r>
            </w:hyperlink>
          </w:p>
        </w:tc>
        <w:tc>
          <w:tcPr>
            <w:tcW w:w="260" w:type="dxa"/>
            <w:vAlign w:val="bottom"/>
            <w:gridSpan w:val="8"/>
          </w:tcPr>
          <w:p>
            <w:pPr>
              <w:spacing w:after="0"/>
              <w:rPr>
                <w:sz w:val="9"/>
                <w:szCs w:val="9"/>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6"/>
                <w:szCs w:val="16"/>
                <w:color w:val="auto"/>
              </w:rPr>
            </w:pPr>
          </w:p>
        </w:tc>
        <w:tc>
          <w:tcPr>
            <w:tcW w:w="10100" w:type="dxa"/>
            <w:vAlign w:val="bottom"/>
            <w:tcBorders>
              <w:bottom w:val="single" w:sz="8" w:color="0000EE"/>
            </w:tcBorders>
            <w:gridSpan w:val="15"/>
          </w:tcPr>
          <w:p>
            <w:pPr>
              <w:spacing w:after="0"/>
              <w:rPr>
                <w:rFonts w:ascii="Arial" w:cs="Arial" w:eastAsia="Arial" w:hAnsi="Arial"/>
                <w:sz w:val="11"/>
                <w:szCs w:val="11"/>
                <w:color w:val="0000EE"/>
                <w:w w:val="97"/>
              </w:rPr>
            </w:pPr>
            <w:hyperlink r:id="rId191">
              <w:r>
                <w:rPr>
                  <w:rFonts w:ascii="Arial" w:cs="Arial" w:eastAsia="Arial" w:hAnsi="Arial"/>
                  <w:sz w:val="11"/>
                  <w:szCs w:val="11"/>
                  <w:color w:val="0000EE"/>
                  <w:w w:val="97"/>
                </w:rPr>
                <w:t>Amendment to Amended and Restated Bylaws filed as Exhibit 3.1 to the Company’s Current Report on Form 8-K filed with the Commission on November 24, 2008 (File No. 001-12984) and incorporated herein by</w:t>
              </w:r>
            </w:hyperlink>
          </w:p>
        </w:tc>
        <w:tc>
          <w:tcPr>
            <w:tcW w:w="140" w:type="dxa"/>
            <w:vAlign w:val="bottom"/>
            <w:gridSpan w:val="5"/>
          </w:tcPr>
          <w:p>
            <w:pPr>
              <w:spacing w:after="0"/>
              <w:rPr>
                <w:sz w:val="16"/>
                <w:szCs w:val="16"/>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91">
              <w:r>
                <w:rPr>
                  <w:rFonts w:ascii="Arial" w:cs="Arial" w:eastAsia="Arial" w:hAnsi="Arial"/>
                  <w:sz w:val="11"/>
                  <w:szCs w:val="11"/>
                  <w:color w:val="0000EE"/>
                </w:rPr>
                <w:t>reference.</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6"/>
                <w:szCs w:val="16"/>
                <w:color w:val="auto"/>
              </w:rPr>
            </w:pPr>
          </w:p>
        </w:tc>
        <w:tc>
          <w:tcPr>
            <w:tcW w:w="10240" w:type="dxa"/>
            <w:vAlign w:val="bottom"/>
            <w:gridSpan w:val="20"/>
          </w:tcPr>
          <w:p>
            <w:pPr>
              <w:spacing w:after="0"/>
              <w:rPr>
                <w:rFonts w:ascii="Arial" w:cs="Arial" w:eastAsia="Arial" w:hAnsi="Arial"/>
                <w:sz w:val="11"/>
                <w:szCs w:val="11"/>
                <w:color w:val="0000EE"/>
              </w:rPr>
            </w:pPr>
            <w:hyperlink r:id="rId192">
              <w:r>
                <w:rPr>
                  <w:rFonts w:ascii="Arial" w:cs="Arial" w:eastAsia="Arial" w:hAnsi="Arial"/>
                  <w:sz w:val="11"/>
                  <w:szCs w:val="11"/>
                  <w:color w:val="0000EE"/>
                </w:rPr>
                <w:t>Amendment to Amended and Restated Bylaws filed as Exhibit 3.1 to the Company’s Current Report on Form 8-K filed with the Commission on February 3, 2012 (File No. 001-12984) and incorporated herein by</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960" w:type="dxa"/>
            <w:vAlign w:val="bottom"/>
            <w:tcBorders>
              <w:top w:val="single" w:sz="8" w:color="0000EE"/>
            </w:tcBorders>
            <w:gridSpan w:val="11"/>
          </w:tcPr>
          <w:p>
            <w:pPr>
              <w:spacing w:after="0" w:line="106" w:lineRule="exact"/>
              <w:rPr>
                <w:rFonts w:ascii="Arial" w:cs="Arial" w:eastAsia="Arial" w:hAnsi="Arial"/>
                <w:sz w:val="11"/>
                <w:szCs w:val="11"/>
                <w:color w:val="0000EE"/>
              </w:rPr>
            </w:pPr>
            <w:hyperlink r:id="rId192">
              <w:r>
                <w:rPr>
                  <w:rFonts w:ascii="Arial" w:cs="Arial" w:eastAsia="Arial" w:hAnsi="Arial"/>
                  <w:sz w:val="11"/>
                  <w:szCs w:val="11"/>
                  <w:color w:val="0000EE"/>
                </w:rPr>
                <w:t>reference.</w:t>
              </w:r>
            </w:hyperlink>
          </w:p>
        </w:tc>
        <w:tc>
          <w:tcPr>
            <w:tcW w:w="280" w:type="dxa"/>
            <w:vAlign w:val="bottom"/>
            <w:gridSpan w:val="9"/>
          </w:tcPr>
          <w:p>
            <w:pPr>
              <w:spacing w:after="0"/>
              <w:rPr>
                <w:sz w:val="9"/>
                <w:szCs w:val="9"/>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6"/>
                <w:szCs w:val="16"/>
                <w:color w:val="auto"/>
              </w:rPr>
            </w:pPr>
          </w:p>
        </w:tc>
        <w:tc>
          <w:tcPr>
            <w:tcW w:w="9880" w:type="dxa"/>
            <w:vAlign w:val="bottom"/>
            <w:tcBorders>
              <w:bottom w:val="single" w:sz="8" w:color="0000EE"/>
            </w:tcBorders>
            <w:gridSpan w:val="9"/>
          </w:tcPr>
          <w:p>
            <w:pPr>
              <w:spacing w:after="0"/>
              <w:rPr>
                <w:rFonts w:ascii="Arial" w:cs="Arial" w:eastAsia="Arial" w:hAnsi="Arial"/>
                <w:sz w:val="11"/>
                <w:szCs w:val="11"/>
                <w:color w:val="0000EE"/>
                <w:w w:val="97"/>
              </w:rPr>
            </w:pPr>
            <w:hyperlink r:id="rId193">
              <w:r>
                <w:rPr>
                  <w:rFonts w:ascii="Arial" w:cs="Arial" w:eastAsia="Arial" w:hAnsi="Arial"/>
                  <w:sz w:val="11"/>
                  <w:szCs w:val="11"/>
                  <w:color w:val="0000EE"/>
                  <w:w w:val="97"/>
                </w:rPr>
                <w:t>Amendment to Amended and Restated Bylaws filed as Exhibit 3.1 to the Company’s Current Report on Form 8-K filed with the Commission on August 7, 2015 (File No. 001-12984) and incorporated herein by</w:t>
              </w:r>
            </w:hyperlink>
          </w:p>
        </w:tc>
        <w:tc>
          <w:tcPr>
            <w:tcW w:w="360" w:type="dxa"/>
            <w:vAlign w:val="bottom"/>
            <w:gridSpan w:val="11"/>
          </w:tcPr>
          <w:p>
            <w:pPr>
              <w:spacing w:after="0"/>
              <w:rPr>
                <w:sz w:val="16"/>
                <w:szCs w:val="16"/>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93">
              <w:r>
                <w:rPr>
                  <w:rFonts w:ascii="Arial" w:cs="Arial" w:eastAsia="Arial" w:hAnsi="Arial"/>
                  <w:sz w:val="11"/>
                  <w:szCs w:val="11"/>
                  <w:color w:val="0000EE"/>
                </w:rPr>
                <w:t>reference.</w:t>
              </w:r>
            </w:hyperlink>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980" w:type="dxa"/>
            <w:vAlign w:val="bottom"/>
          </w:tcPr>
          <w:p>
            <w:pPr>
              <w:ind w:left="6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6"/>
                <w:szCs w:val="16"/>
                <w:color w:val="auto"/>
              </w:rPr>
            </w:pPr>
          </w:p>
        </w:tc>
        <w:tc>
          <w:tcPr>
            <w:tcW w:w="10240" w:type="dxa"/>
            <w:vAlign w:val="bottom"/>
            <w:gridSpan w:val="20"/>
          </w:tcPr>
          <w:p>
            <w:pPr>
              <w:spacing w:after="0"/>
              <w:rPr>
                <w:rFonts w:ascii="Arial" w:cs="Arial" w:eastAsia="Arial" w:hAnsi="Arial"/>
                <w:sz w:val="11"/>
                <w:szCs w:val="11"/>
                <w:color w:val="0000EE"/>
                <w:w w:val="99"/>
              </w:rPr>
            </w:pPr>
            <w:hyperlink r:id="rId194">
              <w:r>
                <w:rPr>
                  <w:rFonts w:ascii="Arial" w:cs="Arial" w:eastAsia="Arial" w:hAnsi="Arial"/>
                  <w:sz w:val="11"/>
                  <w:szCs w:val="11"/>
                  <w:color w:val="0000EE"/>
                  <w:w w:val="99"/>
                </w:rPr>
                <w:t>Third Amended and Restated Credit Agreement dated as of October 30, 2014 among Eagle Materials Inc., the Lenders party thereto, JPMorgan Chase Bank, N.A. as Administrative Agent, and the other Lenders</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20" w:type="dxa"/>
            <w:vAlign w:val="bottom"/>
            <w:tcBorders>
              <w:top w:val="single" w:sz="8" w:color="0000EE"/>
            </w:tcBorders>
            <w:gridSpan w:val="14"/>
          </w:tcPr>
          <w:p>
            <w:pPr>
              <w:spacing w:after="0" w:line="106" w:lineRule="exact"/>
              <w:rPr>
                <w:rFonts w:ascii="Arial" w:cs="Arial" w:eastAsia="Arial" w:hAnsi="Arial"/>
                <w:sz w:val="11"/>
                <w:szCs w:val="11"/>
                <w:color w:val="0000EE"/>
              </w:rPr>
            </w:pPr>
            <w:hyperlink r:id="rId194">
              <w:r>
                <w:rPr>
                  <w:rFonts w:ascii="Arial" w:cs="Arial" w:eastAsia="Arial" w:hAnsi="Arial"/>
                  <w:sz w:val="11"/>
                  <w:szCs w:val="11"/>
                  <w:color w:val="0000EE"/>
                </w:rPr>
                <w:t>party thereto, filed as Exhibit 10.7 to the Company’s Quarterly Report on Form 10-Q for the quarter ended September 30, 2014, filed with the Commission on November 5, 2014 (File No. 001-12984) and</w:t>
              </w:r>
            </w:hyperlink>
          </w:p>
        </w:tc>
        <w:tc>
          <w:tcPr>
            <w:tcW w:w="220" w:type="dxa"/>
            <w:vAlign w:val="bottom"/>
            <w:gridSpan w:val="6"/>
          </w:tcPr>
          <w:p>
            <w:pPr>
              <w:spacing w:after="0"/>
              <w:rPr>
                <w:sz w:val="9"/>
                <w:szCs w:val="9"/>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0" w:type="dxa"/>
            <w:vAlign w:val="bottom"/>
            <w:tcBorders>
              <w:top w:val="single" w:sz="8" w:color="0000EE"/>
            </w:tcBorders>
            <w:gridSpan w:val="6"/>
          </w:tcPr>
          <w:p>
            <w:pPr>
              <w:spacing w:after="0" w:line="106" w:lineRule="exact"/>
              <w:rPr>
                <w:rFonts w:ascii="Arial" w:cs="Arial" w:eastAsia="Arial" w:hAnsi="Arial"/>
                <w:sz w:val="11"/>
                <w:szCs w:val="11"/>
                <w:color w:val="0000EE"/>
              </w:rPr>
            </w:pPr>
            <w:hyperlink r:id="rId194">
              <w:r>
                <w:rPr>
                  <w:rFonts w:ascii="Arial" w:cs="Arial" w:eastAsia="Arial" w:hAnsi="Arial"/>
                  <w:sz w:val="11"/>
                  <w:szCs w:val="11"/>
                  <w:color w:val="0000EE"/>
                </w:rPr>
                <w:t>incorporated herein by reference.</w:t>
              </w:r>
            </w:hyperlink>
          </w:p>
        </w:tc>
        <w:tc>
          <w:tcPr>
            <w:tcW w:w="640" w:type="dxa"/>
            <w:vAlign w:val="bottom"/>
            <w:gridSpan w:val="14"/>
          </w:tcPr>
          <w:p>
            <w:pPr>
              <w:spacing w:after="0"/>
              <w:rPr>
                <w:sz w:val="9"/>
                <w:szCs w:val="9"/>
                <w:color w:val="auto"/>
              </w:rPr>
            </w:pPr>
          </w:p>
        </w:tc>
      </w:tr>
      <w:tr>
        <w:trPr>
          <w:trHeight w:val="20"/>
        </w:trPr>
        <w:tc>
          <w:tcPr>
            <w:tcW w:w="1060" w:type="dxa"/>
            <w:vAlign w:val="bottom"/>
            <w:gridSpan w:val="2"/>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060" w:type="dxa"/>
            <w:vAlign w:val="bottom"/>
            <w:gridSpan w:val="2"/>
          </w:tcPr>
          <w:p>
            <w:pPr>
              <w:ind w:left="60"/>
              <w:spacing w:after="0"/>
              <w:rPr>
                <w:sz w:val="20"/>
                <w:szCs w:val="20"/>
                <w:color w:val="auto"/>
              </w:rPr>
            </w:pPr>
            <w:r>
              <w:rPr>
                <w:rFonts w:ascii="Arial" w:cs="Arial" w:eastAsia="Arial" w:hAnsi="Arial"/>
                <w:sz w:val="11"/>
                <w:szCs w:val="11"/>
                <w:color w:val="auto"/>
              </w:rPr>
              <w:t>4.1(a)</w:t>
            </w:r>
          </w:p>
        </w:tc>
        <w:tc>
          <w:tcPr>
            <w:tcW w:w="10240" w:type="dxa"/>
            <w:vAlign w:val="bottom"/>
            <w:gridSpan w:val="20"/>
          </w:tcPr>
          <w:p>
            <w:pPr>
              <w:spacing w:after="0"/>
              <w:rPr>
                <w:rFonts w:ascii="Arial" w:cs="Arial" w:eastAsia="Arial" w:hAnsi="Arial"/>
                <w:sz w:val="11"/>
                <w:szCs w:val="11"/>
                <w:color w:val="0000EE"/>
                <w:w w:val="98"/>
              </w:rPr>
            </w:pPr>
            <w:hyperlink r:id="rId195">
              <w:r>
                <w:rPr>
                  <w:rFonts w:ascii="Arial" w:cs="Arial" w:eastAsia="Arial" w:hAnsi="Arial"/>
                  <w:sz w:val="11"/>
                  <w:szCs w:val="11"/>
                  <w:color w:val="0000EE"/>
                  <w:w w:val="98"/>
                </w:rPr>
                <w:t>Amendment No. 1 to Third Amended and Restated Credit Agreement by and among the Company, JPMorgan Chase Bank, N.A., as Administrative Agent, and the other Lenders party thereto dated August 10, 2015,</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0" w:type="dxa"/>
            <w:vAlign w:val="bottom"/>
            <w:tcBorders>
              <w:top w:val="single" w:sz="8" w:color="0000EE"/>
              <w:bottom w:val="single" w:sz="8" w:color="0000EE"/>
            </w:tcBorders>
            <w:gridSpan w:val="13"/>
          </w:tcPr>
          <w:p>
            <w:pPr>
              <w:spacing w:after="0" w:line="106" w:lineRule="exact"/>
              <w:rPr>
                <w:rFonts w:ascii="Arial" w:cs="Arial" w:eastAsia="Arial" w:hAnsi="Arial"/>
                <w:sz w:val="11"/>
                <w:szCs w:val="11"/>
                <w:color w:val="0000EE"/>
                <w:w w:val="97"/>
              </w:rPr>
            </w:pPr>
            <w:hyperlink r:id="rId195">
              <w:r>
                <w:rPr>
                  <w:rFonts w:ascii="Arial" w:cs="Arial" w:eastAsia="Arial" w:hAnsi="Arial"/>
                  <w:sz w:val="11"/>
                  <w:szCs w:val="11"/>
                  <w:color w:val="0000EE"/>
                  <w:w w:val="97"/>
                </w:rPr>
                <w:t>filed as Exhibit 10.4 to the Company’s Quarterly Report on Form 10-Q for the quarter ended September 30, 2015, filed with the Commission on October 27, 2015 (File No. 001-12984) and incorporated herein by</w:t>
              </w:r>
            </w:hyperlink>
          </w:p>
        </w:tc>
        <w:tc>
          <w:tcPr>
            <w:tcW w:w="200" w:type="dxa"/>
            <w:vAlign w:val="bottom"/>
            <w:tcBorders>
              <w:top w:val="single" w:sz="8" w:color="0000EE"/>
            </w:tcBorders>
            <w:gridSpan w:val="6"/>
          </w:tcPr>
          <w:p>
            <w:pPr>
              <w:spacing w:after="0"/>
              <w:rPr>
                <w:sz w:val="9"/>
                <w:szCs w:val="9"/>
                <w:color w:val="auto"/>
              </w:rPr>
            </w:pPr>
          </w:p>
        </w:tc>
        <w:tc>
          <w:tcPr>
            <w:tcW w:w="40" w:type="dxa"/>
            <w:vAlign w:val="bottom"/>
          </w:tcPr>
          <w:p>
            <w:pPr>
              <w:spacing w:after="0"/>
              <w:rPr>
                <w:sz w:val="9"/>
                <w:szCs w:val="9"/>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95">
              <w:r>
                <w:rPr>
                  <w:rFonts w:ascii="Arial" w:cs="Arial" w:eastAsia="Arial" w:hAnsi="Arial"/>
                  <w:sz w:val="11"/>
                  <w:szCs w:val="11"/>
                  <w:color w:val="0000EE"/>
                </w:rPr>
                <w:t>reference.</w:t>
              </w:r>
            </w:hyperlink>
          </w:p>
        </w:tc>
      </w:tr>
      <w:tr>
        <w:trPr>
          <w:trHeight w:val="20"/>
        </w:trPr>
        <w:tc>
          <w:tcPr>
            <w:tcW w:w="10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7"/>
        </w:trPr>
        <w:tc>
          <w:tcPr>
            <w:tcW w:w="1060" w:type="dxa"/>
            <w:vAlign w:val="bottom"/>
            <w:gridSpan w:val="2"/>
          </w:tcPr>
          <w:p>
            <w:pPr>
              <w:ind w:left="60"/>
              <w:spacing w:after="0"/>
              <w:rPr>
                <w:sz w:val="20"/>
                <w:szCs w:val="20"/>
                <w:color w:val="auto"/>
              </w:rPr>
            </w:pPr>
            <w:r>
              <w:rPr>
                <w:rFonts w:ascii="Arial" w:cs="Arial" w:eastAsia="Arial" w:hAnsi="Arial"/>
                <w:sz w:val="11"/>
                <w:szCs w:val="11"/>
                <w:color w:val="auto"/>
              </w:rPr>
              <w:t>4.1(b)</w:t>
            </w:r>
          </w:p>
        </w:tc>
        <w:tc>
          <w:tcPr>
            <w:tcW w:w="10240" w:type="dxa"/>
            <w:vAlign w:val="bottom"/>
            <w:gridSpan w:val="20"/>
          </w:tcPr>
          <w:p>
            <w:pPr>
              <w:spacing w:after="0"/>
              <w:rPr>
                <w:rFonts w:ascii="Arial" w:cs="Arial" w:eastAsia="Arial" w:hAnsi="Arial"/>
                <w:sz w:val="11"/>
                <w:szCs w:val="11"/>
                <w:color w:val="0000EE"/>
                <w:w w:val="98"/>
              </w:rPr>
            </w:pPr>
            <w:hyperlink r:id="rId196">
              <w:r>
                <w:rPr>
                  <w:rFonts w:ascii="Arial" w:cs="Arial" w:eastAsia="Arial" w:hAnsi="Arial"/>
                  <w:sz w:val="11"/>
                  <w:szCs w:val="11"/>
                  <w:color w:val="0000EE"/>
                  <w:w w:val="98"/>
                </w:rPr>
                <w:t>Amendment No. 2 to Third Amended and Restated Credit Agreement, dated as of August 2, 2016, among the Company, the lenders identified therein, and JPMorgan Chase Bank, N.A., as the administrative agent,</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920" w:type="dxa"/>
            <w:vAlign w:val="bottom"/>
            <w:tcBorders>
              <w:top w:val="single" w:sz="8" w:color="0000EE"/>
              <w:bottom w:val="single" w:sz="8" w:color="0000EE"/>
            </w:tcBorders>
            <w:gridSpan w:val="10"/>
          </w:tcPr>
          <w:p>
            <w:pPr>
              <w:spacing w:after="0" w:line="106" w:lineRule="exact"/>
              <w:rPr>
                <w:rFonts w:ascii="Arial" w:cs="Arial" w:eastAsia="Arial" w:hAnsi="Arial"/>
                <w:sz w:val="11"/>
                <w:szCs w:val="11"/>
                <w:color w:val="0000EE"/>
                <w:w w:val="97"/>
              </w:rPr>
            </w:pPr>
            <w:hyperlink r:id="rId196">
              <w:r>
                <w:rPr>
                  <w:rFonts w:ascii="Arial" w:cs="Arial" w:eastAsia="Arial" w:hAnsi="Arial"/>
                  <w:sz w:val="11"/>
                  <w:szCs w:val="11"/>
                  <w:color w:val="0000EE"/>
                  <w:w w:val="97"/>
                </w:rPr>
                <w:t>issuing bank, and swingline lender thereunder, filed as Exhibit 10.1 to the Company’s Current Report on Form 8-K filed with the Commission on August 2, 2016 (File No. 001-12984) and incorporated herein by</w:t>
              </w:r>
            </w:hyperlink>
          </w:p>
        </w:tc>
        <w:tc>
          <w:tcPr>
            <w:tcW w:w="220" w:type="dxa"/>
            <w:vAlign w:val="bottom"/>
            <w:tcBorders>
              <w:top w:val="single" w:sz="8" w:color="0000EE"/>
            </w:tcBorders>
            <w:gridSpan w:val="7"/>
          </w:tcPr>
          <w:p>
            <w:pPr>
              <w:spacing w:after="0"/>
              <w:rPr>
                <w:sz w:val="9"/>
                <w:szCs w:val="9"/>
                <w:color w:val="auto"/>
              </w:rPr>
            </w:pPr>
          </w:p>
        </w:tc>
        <w:tc>
          <w:tcPr>
            <w:tcW w:w="100" w:type="dxa"/>
            <w:vAlign w:val="bottom"/>
            <w:gridSpan w:val="3"/>
          </w:tcPr>
          <w:p>
            <w:pPr>
              <w:spacing w:after="0"/>
              <w:rPr>
                <w:sz w:val="9"/>
                <w:szCs w:val="9"/>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96">
              <w:r>
                <w:rPr>
                  <w:rFonts w:ascii="Arial" w:cs="Arial" w:eastAsia="Arial" w:hAnsi="Arial"/>
                  <w:sz w:val="11"/>
                  <w:szCs w:val="11"/>
                  <w:color w:val="0000EE"/>
                </w:rPr>
                <w:t>reference.</w:t>
              </w:r>
            </w:hyperlink>
          </w:p>
        </w:tc>
      </w:tr>
      <w:tr>
        <w:trPr>
          <w:trHeight w:val="20"/>
        </w:trPr>
        <w:tc>
          <w:tcPr>
            <w:tcW w:w="10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0" w:type="dxa"/>
            <w:vAlign w:val="bottom"/>
            <w:gridSpan w:val="8"/>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7"/>
        </w:trPr>
        <w:tc>
          <w:tcPr>
            <w:tcW w:w="1060" w:type="dxa"/>
            <w:vAlign w:val="bottom"/>
            <w:gridSpan w:val="2"/>
          </w:tcPr>
          <w:p>
            <w:pPr>
              <w:ind w:left="60"/>
              <w:spacing w:after="0"/>
              <w:rPr>
                <w:sz w:val="20"/>
                <w:szCs w:val="20"/>
                <w:color w:val="auto"/>
              </w:rPr>
            </w:pPr>
            <w:r>
              <w:rPr>
                <w:rFonts w:ascii="Arial" w:cs="Arial" w:eastAsia="Arial" w:hAnsi="Arial"/>
                <w:sz w:val="11"/>
                <w:szCs w:val="11"/>
                <w:color w:val="auto"/>
              </w:rPr>
              <w:t>4.1(c)</w:t>
            </w:r>
          </w:p>
        </w:tc>
        <w:tc>
          <w:tcPr>
            <w:tcW w:w="10160" w:type="dxa"/>
            <w:vAlign w:val="bottom"/>
            <w:tcBorders>
              <w:bottom w:val="single" w:sz="8" w:color="0000EE"/>
            </w:tcBorders>
            <w:gridSpan w:val="18"/>
          </w:tcPr>
          <w:p>
            <w:pPr>
              <w:spacing w:after="0"/>
              <w:rPr>
                <w:rFonts w:ascii="Arial" w:cs="Arial" w:eastAsia="Arial" w:hAnsi="Arial"/>
                <w:sz w:val="11"/>
                <w:szCs w:val="11"/>
                <w:color w:val="0000EE"/>
                <w:w w:val="97"/>
              </w:rPr>
            </w:pPr>
            <w:hyperlink r:id="rId197">
              <w:r>
                <w:rPr>
                  <w:rFonts w:ascii="Arial" w:cs="Arial" w:eastAsia="Arial" w:hAnsi="Arial"/>
                  <w:sz w:val="11"/>
                  <w:szCs w:val="11"/>
                  <w:color w:val="0000EE"/>
                  <w:w w:val="97"/>
                </w:rPr>
                <w:t>Amendment No. 3 to Third Amended and Restated Credit Agreement, dated as of December 20, 2019, by and among Eagle Materials Inc., as Borrower, the Lenders party thereto and JPMorgan Chase Bank, N.A.,</w:t>
              </w:r>
            </w:hyperlink>
          </w:p>
        </w:tc>
        <w:tc>
          <w:tcPr>
            <w:tcW w:w="80" w:type="dxa"/>
            <w:vAlign w:val="bottom"/>
            <w:gridSpan w:val="2"/>
          </w:tcPr>
          <w:p>
            <w:pPr>
              <w:spacing w:after="0"/>
              <w:rPr>
                <w:sz w:val="16"/>
                <w:szCs w:val="16"/>
                <w:color w:val="auto"/>
              </w:rPr>
            </w:pPr>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40" w:type="dxa"/>
            <w:vAlign w:val="bottom"/>
            <w:gridSpan w:val="20"/>
          </w:tcPr>
          <w:p>
            <w:pPr>
              <w:spacing w:after="0" w:line="106" w:lineRule="exact"/>
              <w:rPr>
                <w:rFonts w:ascii="Arial" w:cs="Arial" w:eastAsia="Arial" w:hAnsi="Arial"/>
                <w:sz w:val="11"/>
                <w:szCs w:val="11"/>
                <w:color w:val="0000EE"/>
              </w:rPr>
            </w:pPr>
            <w:hyperlink r:id="rId197">
              <w:r>
                <w:rPr>
                  <w:rFonts w:ascii="Arial" w:cs="Arial" w:eastAsia="Arial" w:hAnsi="Arial"/>
                  <w:sz w:val="11"/>
                  <w:szCs w:val="11"/>
                  <w:color w:val="0000EE"/>
                </w:rPr>
                <w:t>as the Administrative Agent, Issuing Bank and Swingline Lender thereunder, filed as Exhibit 10.1 to the Current Report on Form 8-K filed with the Commission on December 20, 2019 (File No. 001-12984) and</w:t>
              </w:r>
            </w:hyperlink>
          </w:p>
        </w:tc>
      </w:tr>
      <w:tr>
        <w:trPr>
          <w:trHeight w:val="106"/>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80" w:type="dxa"/>
            <w:vAlign w:val="bottom"/>
            <w:tcBorders>
              <w:top w:val="single" w:sz="8" w:color="0000EE"/>
            </w:tcBorders>
            <w:gridSpan w:val="9"/>
          </w:tcPr>
          <w:p>
            <w:pPr>
              <w:spacing w:after="0" w:line="106" w:lineRule="exact"/>
              <w:rPr>
                <w:rFonts w:ascii="Arial" w:cs="Arial" w:eastAsia="Arial" w:hAnsi="Arial"/>
                <w:sz w:val="11"/>
                <w:szCs w:val="11"/>
                <w:color w:val="0000EE"/>
              </w:rPr>
            </w:pPr>
            <w:hyperlink r:id="rId197">
              <w:r>
                <w:rPr>
                  <w:rFonts w:ascii="Arial" w:cs="Arial" w:eastAsia="Arial" w:hAnsi="Arial"/>
                  <w:sz w:val="11"/>
                  <w:szCs w:val="11"/>
                  <w:color w:val="0000EE"/>
                </w:rPr>
                <w:t>incorporated herein by reference.</w:t>
              </w:r>
            </w:hyperlink>
          </w:p>
        </w:tc>
        <w:tc>
          <w:tcPr>
            <w:tcW w:w="360" w:type="dxa"/>
            <w:vAlign w:val="bottom"/>
            <w:gridSpan w:val="11"/>
          </w:tcPr>
          <w:p>
            <w:pPr>
              <w:spacing w:after="0"/>
              <w:rPr>
                <w:sz w:val="9"/>
                <w:szCs w:val="9"/>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26"/>
        </w:trPr>
        <w:tc>
          <w:tcPr>
            <w:tcW w:w="1060" w:type="dxa"/>
            <w:vAlign w:val="bottom"/>
          </w:tcPr>
          <w:p>
            <w:pPr>
              <w:jc w:val="right"/>
              <w:ind w:right="666"/>
              <w:spacing w:after="0"/>
              <w:rPr>
                <w:sz w:val="20"/>
                <w:szCs w:val="20"/>
                <w:color w:val="auto"/>
              </w:rPr>
            </w:pPr>
            <w:r>
              <w:rPr>
                <w:rFonts w:ascii="Arial" w:cs="Arial" w:eastAsia="Arial" w:hAnsi="Arial"/>
                <w:sz w:val="11"/>
                <w:szCs w:val="11"/>
                <w:color w:val="auto"/>
              </w:rPr>
              <w:t>4.1(d)</w:t>
            </w:r>
          </w:p>
        </w:tc>
        <w:tc>
          <w:tcPr>
            <w:tcW w:w="10140" w:type="dxa"/>
            <w:vAlign w:val="bottom"/>
            <w:tcBorders>
              <w:bottom w:val="single" w:sz="8" w:color="0000EE"/>
            </w:tcBorders>
            <w:gridSpan w:val="21"/>
          </w:tcPr>
          <w:p>
            <w:pPr>
              <w:spacing w:after="0"/>
              <w:rPr>
                <w:rFonts w:ascii="Arial" w:cs="Arial" w:eastAsia="Arial" w:hAnsi="Arial"/>
                <w:sz w:val="11"/>
                <w:szCs w:val="11"/>
                <w:color w:val="0000EE"/>
                <w:w w:val="97"/>
              </w:rPr>
            </w:pPr>
            <w:hyperlink r:id="rId199">
              <w:r>
                <w:rPr>
                  <w:rFonts w:ascii="Arial" w:cs="Arial" w:eastAsia="Arial" w:hAnsi="Arial"/>
                  <w:sz w:val="11"/>
                  <w:szCs w:val="11"/>
                  <w:color w:val="0000EE"/>
                  <w:w w:val="97"/>
                </w:rPr>
                <w:t>Amendment No. 4 to Third Amended and Restated Credit Agreement, dated as of April 9, 2020, by and among Eagle Materials Inc., as Borrower, the Lenders party thereto and JPMorgan Chase Bank, N.A., as the</w:t>
              </w:r>
            </w:hyperlink>
          </w:p>
        </w:tc>
        <w:tc>
          <w:tcPr>
            <w:tcW w:w="80" w:type="dxa"/>
            <w:vAlign w:val="bottom"/>
            <w:gridSpan w:val="3"/>
          </w:tcPr>
          <w:p>
            <w:pPr>
              <w:spacing w:after="0"/>
              <w:rPr>
                <w:sz w:val="10"/>
                <w:szCs w:val="10"/>
                <w:color w:val="auto"/>
              </w:rPr>
            </w:pPr>
          </w:p>
        </w:tc>
      </w:tr>
      <w:tr>
        <w:trPr>
          <w:trHeight w:val="106"/>
        </w:trPr>
        <w:tc>
          <w:tcPr>
            <w:tcW w:w="1060" w:type="dxa"/>
            <w:vAlign w:val="bottom"/>
          </w:tcPr>
          <w:p>
            <w:pPr>
              <w:spacing w:after="0"/>
              <w:rPr>
                <w:sz w:val="9"/>
                <w:szCs w:val="9"/>
                <w:color w:val="auto"/>
              </w:rPr>
            </w:pPr>
          </w:p>
        </w:tc>
        <w:tc>
          <w:tcPr>
            <w:tcW w:w="9920" w:type="dxa"/>
            <w:vAlign w:val="bottom"/>
            <w:tcBorders>
              <w:bottom w:val="single" w:sz="8" w:color="0000EE"/>
            </w:tcBorders>
            <w:gridSpan w:val="16"/>
          </w:tcPr>
          <w:p>
            <w:pPr>
              <w:spacing w:after="0" w:line="106" w:lineRule="exact"/>
              <w:rPr>
                <w:rFonts w:ascii="Arial" w:cs="Arial" w:eastAsia="Arial" w:hAnsi="Arial"/>
                <w:sz w:val="11"/>
                <w:szCs w:val="11"/>
                <w:color w:val="0000EE"/>
                <w:w w:val="97"/>
              </w:rPr>
            </w:pPr>
            <w:hyperlink r:id="rId199">
              <w:r>
                <w:rPr>
                  <w:rFonts w:ascii="Arial" w:cs="Arial" w:eastAsia="Arial" w:hAnsi="Arial"/>
                  <w:sz w:val="11"/>
                  <w:szCs w:val="11"/>
                  <w:color w:val="0000EE"/>
                  <w:w w:val="97"/>
                </w:rPr>
                <w:t>Administrative Agent, Issuing Bank and Swingline Lender thereunder, filed as Exhibit 10.1 to the Current Report on Form 8-K filed with the Commission on April 13, 2020 (File No. 001-12984) and incorporated</w:t>
              </w:r>
            </w:hyperlink>
          </w:p>
        </w:tc>
        <w:tc>
          <w:tcPr>
            <w:tcW w:w="300" w:type="dxa"/>
            <w:vAlign w:val="bottom"/>
            <w:gridSpan w:val="8"/>
          </w:tcPr>
          <w:p>
            <w:pPr>
              <w:spacing w:after="0"/>
              <w:rPr>
                <w:sz w:val="9"/>
                <w:szCs w:val="9"/>
                <w:color w:val="auto"/>
              </w:rPr>
            </w:pPr>
          </w:p>
        </w:tc>
      </w:tr>
      <w:tr>
        <w:trPr>
          <w:trHeight w:val="106"/>
        </w:trPr>
        <w:tc>
          <w:tcPr>
            <w:tcW w:w="1060" w:type="dxa"/>
            <w:vAlign w:val="bottom"/>
          </w:tcPr>
          <w:p>
            <w:pPr>
              <w:spacing w:after="0"/>
              <w:rPr>
                <w:sz w:val="9"/>
                <w:szCs w:val="9"/>
                <w:color w:val="auto"/>
              </w:rPr>
            </w:pPr>
          </w:p>
        </w:tc>
        <w:tc>
          <w:tcPr>
            <w:tcW w:w="960" w:type="dxa"/>
            <w:vAlign w:val="bottom"/>
            <w:tcBorders>
              <w:bottom w:val="single" w:sz="8" w:color="0000EE"/>
            </w:tcBorders>
            <w:gridSpan w:val="3"/>
          </w:tcPr>
          <w:p>
            <w:pPr>
              <w:spacing w:after="0" w:line="106" w:lineRule="exact"/>
              <w:rPr>
                <w:rFonts w:ascii="Arial" w:cs="Arial" w:eastAsia="Arial" w:hAnsi="Arial"/>
                <w:sz w:val="11"/>
                <w:szCs w:val="11"/>
                <w:color w:val="0000EE"/>
                <w:w w:val="96"/>
              </w:rPr>
            </w:pPr>
            <w:hyperlink r:id="rId199">
              <w:r>
                <w:rPr>
                  <w:rFonts w:ascii="Arial" w:cs="Arial" w:eastAsia="Arial" w:hAnsi="Arial"/>
                  <w:sz w:val="11"/>
                  <w:szCs w:val="11"/>
                  <w:color w:val="0000EE"/>
                  <w:w w:val="96"/>
                </w:rPr>
                <w:t>herein by reference.</w:t>
              </w:r>
            </w:hyperlink>
          </w:p>
        </w:tc>
        <w:tc>
          <w:tcPr>
            <w:tcW w:w="9260" w:type="dxa"/>
            <w:vAlign w:val="bottom"/>
            <w:gridSpan w:val="21"/>
          </w:tcPr>
          <w:p>
            <w:pPr>
              <w:spacing w:after="0"/>
              <w:rPr>
                <w:sz w:val="9"/>
                <w:szCs w:val="9"/>
                <w:color w:val="auto"/>
              </w:rPr>
            </w:pPr>
          </w:p>
        </w:tc>
      </w:tr>
      <w:tr>
        <w:trPr>
          <w:trHeight w:val="187"/>
        </w:trPr>
        <w:tc>
          <w:tcPr>
            <w:tcW w:w="1060" w:type="dxa"/>
            <w:vAlign w:val="bottom"/>
          </w:tcPr>
          <w:p>
            <w:pPr>
              <w:jc w:val="right"/>
              <w:ind w:right="666"/>
              <w:spacing w:after="0"/>
              <w:rPr>
                <w:sz w:val="20"/>
                <w:szCs w:val="20"/>
                <w:color w:val="auto"/>
              </w:rPr>
            </w:pPr>
            <w:r>
              <w:rPr>
                <w:rFonts w:ascii="Arial" w:cs="Arial" w:eastAsia="Arial" w:hAnsi="Arial"/>
                <w:sz w:val="11"/>
                <w:szCs w:val="11"/>
                <w:color w:val="auto"/>
              </w:rPr>
              <w:t>4.1(e)</w:t>
            </w:r>
          </w:p>
        </w:tc>
        <w:tc>
          <w:tcPr>
            <w:tcW w:w="10220" w:type="dxa"/>
            <w:vAlign w:val="bottom"/>
            <w:tcBorders>
              <w:bottom w:val="single" w:sz="8" w:color="0000EE"/>
            </w:tcBorders>
            <w:gridSpan w:val="24"/>
          </w:tcPr>
          <w:p>
            <w:pPr>
              <w:spacing w:after="0"/>
              <w:rPr>
                <w:rFonts w:ascii="Arial" w:cs="Arial" w:eastAsia="Arial" w:hAnsi="Arial"/>
                <w:sz w:val="11"/>
                <w:szCs w:val="11"/>
                <w:color w:val="0000EE"/>
                <w:w w:val="97"/>
              </w:rPr>
            </w:pPr>
            <w:hyperlink r:id="rId200">
              <w:r>
                <w:rPr>
                  <w:rFonts w:ascii="Arial" w:cs="Arial" w:eastAsia="Arial" w:hAnsi="Arial"/>
                  <w:sz w:val="11"/>
                  <w:szCs w:val="11"/>
                  <w:color w:val="0000EE"/>
                  <w:w w:val="97"/>
                </w:rPr>
                <w:t>Amendment No. 5 to Third Amended and Restated Credit Agreement, dated as of January 13, 2021, by and among Eagle Materials Inc., as the Borrower, the Lenders party thereto and JPMorgan Chase Bank, N.A.,</w:t>
              </w:r>
            </w:hyperlink>
          </w:p>
        </w:tc>
      </w:tr>
      <w:tr>
        <w:trPr>
          <w:trHeight w:val="106"/>
        </w:trPr>
        <w:tc>
          <w:tcPr>
            <w:tcW w:w="1060" w:type="dxa"/>
            <w:vAlign w:val="bottom"/>
          </w:tcPr>
          <w:p>
            <w:pPr>
              <w:spacing w:after="0"/>
              <w:rPr>
                <w:sz w:val="9"/>
                <w:szCs w:val="9"/>
                <w:color w:val="auto"/>
              </w:rPr>
            </w:pPr>
          </w:p>
        </w:tc>
        <w:tc>
          <w:tcPr>
            <w:tcW w:w="10220" w:type="dxa"/>
            <w:vAlign w:val="bottom"/>
            <w:gridSpan w:val="24"/>
          </w:tcPr>
          <w:p>
            <w:pPr>
              <w:spacing w:after="0" w:line="106" w:lineRule="exact"/>
              <w:rPr>
                <w:rFonts w:ascii="Arial" w:cs="Arial" w:eastAsia="Arial" w:hAnsi="Arial"/>
                <w:sz w:val="11"/>
                <w:szCs w:val="11"/>
                <w:color w:val="0000EE"/>
                <w:w w:val="98"/>
              </w:rPr>
            </w:pPr>
            <w:hyperlink r:id="rId200">
              <w:r>
                <w:rPr>
                  <w:rFonts w:ascii="Arial" w:cs="Arial" w:eastAsia="Arial" w:hAnsi="Arial"/>
                  <w:sz w:val="11"/>
                  <w:szCs w:val="11"/>
                  <w:color w:val="0000EE"/>
                  <w:w w:val="98"/>
                </w:rPr>
                <w:t>as the Administrative Agent, Issuing Bank and Swingline Lender thereunder, as consented to by the subsidiary guarantors listed on the signature pages thereto, filed as Exhibit 10.1 to the Current Report on Form 8-</w:t>
              </w:r>
            </w:hyperlink>
          </w:p>
        </w:tc>
      </w:tr>
      <w:tr>
        <w:trPr>
          <w:trHeight w:val="106"/>
        </w:trPr>
        <w:tc>
          <w:tcPr>
            <w:tcW w:w="1060" w:type="dxa"/>
            <w:vAlign w:val="bottom"/>
          </w:tcPr>
          <w:p>
            <w:pPr>
              <w:spacing w:after="0"/>
              <w:rPr>
                <w:sz w:val="9"/>
                <w:szCs w:val="9"/>
                <w:color w:val="auto"/>
              </w:rPr>
            </w:pPr>
          </w:p>
        </w:tc>
        <w:tc>
          <w:tcPr>
            <w:tcW w:w="10180" w:type="dxa"/>
            <w:vAlign w:val="bottom"/>
            <w:tcBorders>
              <w:top w:val="single" w:sz="8" w:color="0000EE"/>
            </w:tcBorders>
            <w:gridSpan w:val="22"/>
          </w:tcPr>
          <w:p>
            <w:pPr>
              <w:spacing w:after="0" w:line="106" w:lineRule="exact"/>
              <w:rPr>
                <w:rFonts w:ascii="Arial" w:cs="Arial" w:eastAsia="Arial" w:hAnsi="Arial"/>
                <w:sz w:val="11"/>
                <w:szCs w:val="11"/>
                <w:color w:val="0000EE"/>
              </w:rPr>
            </w:pPr>
            <w:hyperlink r:id="rId200">
              <w:r>
                <w:rPr>
                  <w:rFonts w:ascii="Arial" w:cs="Arial" w:eastAsia="Arial" w:hAnsi="Arial"/>
                  <w:sz w:val="11"/>
                  <w:szCs w:val="11"/>
                  <w:color w:val="0000EE"/>
                </w:rPr>
                <w:t>K, filed with the Commission on January 13, 2021 (File No. 001-12984) and incorporated herein by reference</w:t>
              </w:r>
              <w:r>
                <w:rPr>
                  <w:rFonts w:ascii="Arial" w:cs="Arial" w:eastAsia="Arial" w:hAnsi="Arial"/>
                  <w:sz w:val="11"/>
                  <w:szCs w:val="11"/>
                  <w:color w:val="000000"/>
                </w:rPr>
                <w:t>.</w:t>
              </w:r>
            </w:hyperlink>
          </w:p>
        </w:tc>
        <w:tc>
          <w:tcPr>
            <w:tcW w:w="40" w:type="dxa"/>
            <w:vAlign w:val="bottom"/>
            <w:gridSpan w:val="2"/>
          </w:tcPr>
          <w:p>
            <w:pPr>
              <w:spacing w:after="0"/>
              <w:rPr>
                <w:sz w:val="9"/>
                <w:szCs w:val="9"/>
                <w:color w:val="auto"/>
              </w:rPr>
            </w:pP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060" w:type="dxa"/>
            <w:vAlign w:val="bottom"/>
          </w:tcPr>
          <w:p>
            <w:pPr>
              <w:jc w:val="right"/>
              <w:ind w:right="706"/>
              <w:spacing w:after="0"/>
              <w:rPr>
                <w:sz w:val="20"/>
                <w:szCs w:val="20"/>
                <w:color w:val="auto"/>
              </w:rPr>
            </w:pPr>
            <w:r>
              <w:rPr>
                <w:rFonts w:ascii="Arial" w:cs="Arial" w:eastAsia="Arial" w:hAnsi="Arial"/>
                <w:sz w:val="11"/>
                <w:szCs w:val="11"/>
                <w:color w:val="auto"/>
              </w:rPr>
              <w:t>4.1(f)</w:t>
            </w:r>
          </w:p>
        </w:tc>
        <w:tc>
          <w:tcPr>
            <w:tcW w:w="10220" w:type="dxa"/>
            <w:vAlign w:val="bottom"/>
            <w:tcBorders>
              <w:bottom w:val="single" w:sz="8" w:color="0000EE"/>
            </w:tcBorders>
            <w:gridSpan w:val="24"/>
          </w:tcPr>
          <w:p>
            <w:pPr>
              <w:spacing w:after="0"/>
              <w:rPr>
                <w:rFonts w:ascii="Arial" w:cs="Arial" w:eastAsia="Arial" w:hAnsi="Arial"/>
                <w:sz w:val="11"/>
                <w:szCs w:val="11"/>
                <w:color w:val="0000EE"/>
                <w:w w:val="97"/>
              </w:rPr>
            </w:pPr>
            <w:hyperlink r:id="rId201">
              <w:r>
                <w:rPr>
                  <w:rFonts w:ascii="Arial" w:cs="Arial" w:eastAsia="Arial" w:hAnsi="Arial"/>
                  <w:sz w:val="11"/>
                  <w:szCs w:val="11"/>
                  <w:color w:val="0000EE"/>
                  <w:w w:val="97"/>
                </w:rPr>
                <w:t>Amendment No. 6 to Third Amended and Restated Credit Agreement, dated as of March 4, 2021, by and among Eagle Materials Inc., as the Borrower, the Lenders party thereto and JPMorgan Chase Bank, N.A., as</w:t>
              </w:r>
            </w:hyperlink>
          </w:p>
        </w:tc>
      </w:tr>
      <w:tr>
        <w:trPr>
          <w:trHeight w:val="106"/>
        </w:trPr>
        <w:tc>
          <w:tcPr>
            <w:tcW w:w="1060" w:type="dxa"/>
            <w:vAlign w:val="bottom"/>
          </w:tcPr>
          <w:p>
            <w:pPr>
              <w:spacing w:after="0"/>
              <w:rPr>
                <w:sz w:val="9"/>
                <w:szCs w:val="9"/>
                <w:color w:val="auto"/>
              </w:rPr>
            </w:pPr>
          </w:p>
        </w:tc>
        <w:tc>
          <w:tcPr>
            <w:tcW w:w="10120" w:type="dxa"/>
            <w:vAlign w:val="bottom"/>
            <w:tcBorders>
              <w:bottom w:val="single" w:sz="8" w:color="0000EE"/>
            </w:tcBorders>
            <w:gridSpan w:val="20"/>
          </w:tcPr>
          <w:p>
            <w:pPr>
              <w:spacing w:after="0" w:line="106" w:lineRule="exact"/>
              <w:rPr>
                <w:rFonts w:ascii="Arial" w:cs="Arial" w:eastAsia="Arial" w:hAnsi="Arial"/>
                <w:sz w:val="11"/>
                <w:szCs w:val="11"/>
                <w:color w:val="0000EE"/>
                <w:w w:val="97"/>
              </w:rPr>
            </w:pPr>
            <w:hyperlink r:id="rId201">
              <w:r>
                <w:rPr>
                  <w:rFonts w:ascii="Arial" w:cs="Arial" w:eastAsia="Arial" w:hAnsi="Arial"/>
                  <w:sz w:val="11"/>
                  <w:szCs w:val="11"/>
                  <w:color w:val="0000EE"/>
                  <w:w w:val="97"/>
                </w:rPr>
                <w:t>the Administrative Agent, Issuing Bank and Swingline Lender thereunder, as consented to by the subsidiary guarantors listed on the signature pages thereto, filed as Exhibit 10.1 to the Current Report on Form 8-K</w:t>
              </w:r>
            </w:hyperlink>
          </w:p>
        </w:tc>
        <w:tc>
          <w:tcPr>
            <w:tcW w:w="100" w:type="dxa"/>
            <w:vAlign w:val="bottom"/>
            <w:gridSpan w:val="4"/>
          </w:tcPr>
          <w:p>
            <w:pPr>
              <w:spacing w:after="0"/>
              <w:rPr>
                <w:sz w:val="9"/>
                <w:szCs w:val="9"/>
                <w:color w:val="auto"/>
              </w:rPr>
            </w:pPr>
          </w:p>
        </w:tc>
      </w:tr>
      <w:tr>
        <w:trPr>
          <w:trHeight w:val="106"/>
        </w:trPr>
        <w:tc>
          <w:tcPr>
            <w:tcW w:w="1060" w:type="dxa"/>
            <w:vAlign w:val="bottom"/>
          </w:tcPr>
          <w:p>
            <w:pPr>
              <w:spacing w:after="0"/>
              <w:rPr>
                <w:sz w:val="9"/>
                <w:szCs w:val="9"/>
                <w:color w:val="auto"/>
              </w:rPr>
            </w:pPr>
          </w:p>
        </w:tc>
        <w:tc>
          <w:tcPr>
            <w:tcW w:w="10220" w:type="dxa"/>
            <w:vAlign w:val="bottom"/>
            <w:gridSpan w:val="24"/>
          </w:tcPr>
          <w:p>
            <w:pPr>
              <w:spacing w:after="0" w:line="106" w:lineRule="exact"/>
              <w:rPr>
                <w:rFonts w:ascii="Arial" w:cs="Arial" w:eastAsia="Arial" w:hAnsi="Arial"/>
                <w:sz w:val="11"/>
                <w:szCs w:val="11"/>
                <w:color w:val="0000EE"/>
              </w:rPr>
            </w:pPr>
            <w:hyperlink r:id="rId201">
              <w:r>
                <w:rPr>
                  <w:rFonts w:ascii="Arial" w:cs="Arial" w:eastAsia="Arial" w:hAnsi="Arial"/>
                  <w:sz w:val="11"/>
                  <w:szCs w:val="11"/>
                  <w:color w:val="0000EE"/>
                </w:rPr>
                <w:t>filed with the Commission on March 5, 2021 (File No. 001-12984) and incorporated herein by reference</w:t>
              </w:r>
              <w:r>
                <w:rPr>
                  <w:rFonts w:ascii="Arial" w:cs="Arial" w:eastAsia="Arial" w:hAnsi="Arial"/>
                  <w:sz w:val="11"/>
                  <w:szCs w:val="11"/>
                  <w:color w:val="000000"/>
                </w:rPr>
                <w:t>.</w:t>
              </w:r>
            </w:hyperlink>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060" w:type="dxa"/>
            <w:vAlign w:val="bottom"/>
          </w:tcPr>
          <w:p>
            <w:pPr>
              <w:jc w:val="right"/>
              <w:ind w:right="806"/>
              <w:spacing w:after="0"/>
              <w:rPr>
                <w:sz w:val="20"/>
                <w:szCs w:val="20"/>
                <w:color w:val="auto"/>
              </w:rPr>
            </w:pPr>
            <w:r>
              <w:rPr>
                <w:rFonts w:ascii="Arial" w:cs="Arial" w:eastAsia="Arial" w:hAnsi="Arial"/>
                <w:sz w:val="11"/>
                <w:szCs w:val="11"/>
                <w:color w:val="auto"/>
              </w:rPr>
              <w:t>4.2</w:t>
            </w:r>
          </w:p>
        </w:tc>
        <w:tc>
          <w:tcPr>
            <w:tcW w:w="10200" w:type="dxa"/>
            <w:vAlign w:val="bottom"/>
            <w:tcBorders>
              <w:bottom w:val="single" w:sz="8" w:color="0000EE"/>
            </w:tcBorders>
            <w:gridSpan w:val="23"/>
          </w:tcPr>
          <w:p>
            <w:pPr>
              <w:spacing w:after="0"/>
              <w:rPr>
                <w:rFonts w:ascii="Arial" w:cs="Arial" w:eastAsia="Arial" w:hAnsi="Arial"/>
                <w:sz w:val="11"/>
                <w:szCs w:val="11"/>
                <w:color w:val="0000EE"/>
                <w:w w:val="97"/>
              </w:rPr>
            </w:pPr>
            <w:hyperlink r:id="rId202">
              <w:r>
                <w:rPr>
                  <w:rFonts w:ascii="Arial" w:cs="Arial" w:eastAsia="Arial" w:hAnsi="Arial"/>
                  <w:sz w:val="11"/>
                  <w:szCs w:val="11"/>
                  <w:color w:val="0000EE"/>
                  <w:w w:val="97"/>
                </w:rPr>
                <w:t>Credit Agreement, dated as of December 20, 2019, among Eagle Materials Inc., the Lenders party thereto, JPMorgan Chase Bank, N.A., as Administrative Agent, Goldman Sachs Bank USA, Bank of America, N.A.,</w:t>
              </w:r>
            </w:hyperlink>
          </w:p>
        </w:tc>
        <w:tc>
          <w:tcPr>
            <w:tcW w:w="20" w:type="dxa"/>
            <w:vAlign w:val="bottom"/>
          </w:tcPr>
          <w:p>
            <w:pPr>
              <w:spacing w:after="0"/>
              <w:rPr>
                <w:sz w:val="16"/>
                <w:szCs w:val="16"/>
                <w:color w:val="auto"/>
              </w:rPr>
            </w:pPr>
          </w:p>
        </w:tc>
      </w:tr>
      <w:tr>
        <w:trPr>
          <w:trHeight w:val="106"/>
        </w:trPr>
        <w:tc>
          <w:tcPr>
            <w:tcW w:w="1060" w:type="dxa"/>
            <w:vAlign w:val="bottom"/>
          </w:tcPr>
          <w:p>
            <w:pPr>
              <w:spacing w:after="0"/>
              <w:rPr>
                <w:sz w:val="9"/>
                <w:szCs w:val="9"/>
                <w:color w:val="auto"/>
              </w:rPr>
            </w:pPr>
          </w:p>
        </w:tc>
        <w:tc>
          <w:tcPr>
            <w:tcW w:w="9840" w:type="dxa"/>
            <w:vAlign w:val="bottom"/>
            <w:tcBorders>
              <w:bottom w:val="single" w:sz="8" w:color="0000EE"/>
            </w:tcBorders>
            <w:gridSpan w:val="14"/>
          </w:tcPr>
          <w:p>
            <w:pPr>
              <w:spacing w:after="0" w:line="106" w:lineRule="exact"/>
              <w:rPr>
                <w:rFonts w:ascii="Arial" w:cs="Arial" w:eastAsia="Arial" w:hAnsi="Arial"/>
                <w:sz w:val="11"/>
                <w:szCs w:val="11"/>
                <w:color w:val="0000EE"/>
                <w:w w:val="97"/>
              </w:rPr>
            </w:pPr>
            <w:hyperlink r:id="rId202">
              <w:r>
                <w:rPr>
                  <w:rFonts w:ascii="Arial" w:cs="Arial" w:eastAsia="Arial" w:hAnsi="Arial"/>
                  <w:sz w:val="11"/>
                  <w:szCs w:val="11"/>
                  <w:color w:val="0000EE"/>
                  <w:w w:val="97"/>
                </w:rPr>
                <w:t>PNC Bank, National Association, Wells Fargo Bank, N.A., and Truist Bank, as Co-Syndication Agents, and JPMorgan Chase Bank, N.A. and Goldman Sachs Bank USA, as Joint Bookrunners and Joint Lead</w:t>
              </w:r>
            </w:hyperlink>
          </w:p>
        </w:tc>
        <w:tc>
          <w:tcPr>
            <w:tcW w:w="380" w:type="dxa"/>
            <w:vAlign w:val="bottom"/>
            <w:gridSpan w:val="10"/>
          </w:tcPr>
          <w:p>
            <w:pPr>
              <w:spacing w:after="0"/>
              <w:rPr>
                <w:sz w:val="9"/>
                <w:szCs w:val="9"/>
                <w:color w:val="auto"/>
              </w:rPr>
            </w:pPr>
          </w:p>
        </w:tc>
      </w:tr>
      <w:tr>
        <w:trPr>
          <w:trHeight w:val="106"/>
        </w:trPr>
        <w:tc>
          <w:tcPr>
            <w:tcW w:w="1060" w:type="dxa"/>
            <w:vAlign w:val="bottom"/>
          </w:tcPr>
          <w:p>
            <w:pPr>
              <w:spacing w:after="0"/>
              <w:rPr>
                <w:sz w:val="9"/>
                <w:szCs w:val="9"/>
                <w:color w:val="auto"/>
              </w:rPr>
            </w:pPr>
          </w:p>
        </w:tc>
        <w:tc>
          <w:tcPr>
            <w:tcW w:w="8380" w:type="dxa"/>
            <w:vAlign w:val="bottom"/>
            <w:tcBorders>
              <w:bottom w:val="single" w:sz="8" w:color="0000EE"/>
            </w:tcBorders>
            <w:gridSpan w:val="12"/>
          </w:tcPr>
          <w:p>
            <w:pPr>
              <w:spacing w:after="0" w:line="106" w:lineRule="exact"/>
              <w:rPr>
                <w:rFonts w:ascii="Arial" w:cs="Arial" w:eastAsia="Arial" w:hAnsi="Arial"/>
                <w:sz w:val="11"/>
                <w:szCs w:val="11"/>
                <w:color w:val="0000EE"/>
                <w:w w:val="97"/>
              </w:rPr>
            </w:pPr>
            <w:hyperlink r:id="rId202">
              <w:r>
                <w:rPr>
                  <w:rFonts w:ascii="Arial" w:cs="Arial" w:eastAsia="Arial" w:hAnsi="Arial"/>
                  <w:sz w:val="11"/>
                  <w:szCs w:val="11"/>
                  <w:color w:val="0000EE"/>
                  <w:w w:val="97"/>
                </w:rPr>
                <w:t>Arrangers, filed as Exhibit 10.2 to the Current Report on Form 8-K filed with the Commission on December 20, 2019 (File No. 001-12984) and incorporated herein by reference.</w:t>
              </w:r>
            </w:hyperlink>
          </w:p>
        </w:tc>
        <w:tc>
          <w:tcPr>
            <w:tcW w:w="1840" w:type="dxa"/>
            <w:vAlign w:val="bottom"/>
            <w:gridSpan w:val="12"/>
          </w:tcPr>
          <w:p>
            <w:pPr>
              <w:spacing w:after="0"/>
              <w:rPr>
                <w:sz w:val="9"/>
                <w:szCs w:val="9"/>
                <w:color w:val="auto"/>
              </w:rPr>
            </w:pPr>
          </w:p>
        </w:tc>
      </w:tr>
      <w:tr>
        <w:trPr>
          <w:trHeight w:val="187"/>
        </w:trPr>
        <w:tc>
          <w:tcPr>
            <w:tcW w:w="1060" w:type="dxa"/>
            <w:vAlign w:val="bottom"/>
          </w:tcPr>
          <w:p>
            <w:pPr>
              <w:jc w:val="right"/>
              <w:ind w:right="666"/>
              <w:spacing w:after="0"/>
              <w:rPr>
                <w:sz w:val="20"/>
                <w:szCs w:val="20"/>
                <w:color w:val="auto"/>
              </w:rPr>
            </w:pPr>
            <w:r>
              <w:rPr>
                <w:rFonts w:ascii="Arial" w:cs="Arial" w:eastAsia="Arial" w:hAnsi="Arial"/>
                <w:sz w:val="11"/>
                <w:szCs w:val="11"/>
                <w:color w:val="auto"/>
              </w:rPr>
              <w:t>4.2(a)</w:t>
            </w:r>
          </w:p>
        </w:tc>
        <w:tc>
          <w:tcPr>
            <w:tcW w:w="10220" w:type="dxa"/>
            <w:vAlign w:val="bottom"/>
            <w:gridSpan w:val="24"/>
          </w:tcPr>
          <w:p>
            <w:pPr>
              <w:spacing w:after="0"/>
              <w:rPr>
                <w:rFonts w:ascii="Arial" w:cs="Arial" w:eastAsia="Arial" w:hAnsi="Arial"/>
                <w:sz w:val="11"/>
                <w:szCs w:val="11"/>
                <w:color w:val="0000EE"/>
                <w:w w:val="98"/>
              </w:rPr>
            </w:pPr>
            <w:hyperlink r:id="rId203">
              <w:r>
                <w:rPr>
                  <w:rFonts w:ascii="Arial" w:cs="Arial" w:eastAsia="Arial" w:hAnsi="Arial"/>
                  <w:sz w:val="11"/>
                  <w:szCs w:val="11"/>
                  <w:color w:val="0000EE"/>
                  <w:w w:val="98"/>
                </w:rPr>
                <w:t>Amendment No. 1 to Credit Agreement, dated as of April 9, 2020, among Eagle Materials Inc., as the Borrower, the Lenders party thereto, and JPMorgan Chase Bank, N.A., as Administrative Agent, filed as Exhibit</w:t>
              </w:r>
            </w:hyperlink>
          </w:p>
        </w:tc>
      </w:tr>
      <w:tr>
        <w:trPr>
          <w:trHeight w:val="106"/>
        </w:trPr>
        <w:tc>
          <w:tcPr>
            <w:tcW w:w="1060" w:type="dxa"/>
            <w:vAlign w:val="bottom"/>
          </w:tcPr>
          <w:p>
            <w:pPr>
              <w:spacing w:after="0"/>
              <w:rPr>
                <w:sz w:val="9"/>
                <w:szCs w:val="9"/>
                <w:color w:val="auto"/>
              </w:rPr>
            </w:pPr>
          </w:p>
        </w:tc>
        <w:tc>
          <w:tcPr>
            <w:tcW w:w="6840" w:type="dxa"/>
            <w:vAlign w:val="bottom"/>
            <w:tcBorders>
              <w:top w:val="single" w:sz="8" w:color="0000EE"/>
              <w:bottom w:val="single" w:sz="8" w:color="0000EE"/>
            </w:tcBorders>
            <w:gridSpan w:val="9"/>
          </w:tcPr>
          <w:p>
            <w:pPr>
              <w:spacing w:after="0" w:line="106" w:lineRule="exact"/>
              <w:rPr>
                <w:rFonts w:ascii="Arial" w:cs="Arial" w:eastAsia="Arial" w:hAnsi="Arial"/>
                <w:sz w:val="11"/>
                <w:szCs w:val="11"/>
                <w:color w:val="0000EE"/>
                <w:w w:val="97"/>
              </w:rPr>
            </w:pPr>
            <w:hyperlink r:id="rId203">
              <w:r>
                <w:rPr>
                  <w:rFonts w:ascii="Arial" w:cs="Arial" w:eastAsia="Arial" w:hAnsi="Arial"/>
                  <w:sz w:val="11"/>
                  <w:szCs w:val="11"/>
                  <w:color w:val="0000EE"/>
                  <w:w w:val="97"/>
                </w:rPr>
                <w:t>10.</w:t>
              </w:r>
              <w:r>
                <w:rPr>
                  <w:rFonts w:ascii="Arial" w:cs="Arial" w:eastAsia="Arial" w:hAnsi="Arial"/>
                  <w:sz w:val="11"/>
                  <w:szCs w:val="11"/>
                  <w:u w:val="single" w:color="auto"/>
                  <w:color w:val="0000EE"/>
                  <w:w w:val="97"/>
                </w:rPr>
                <w:t>2</w:t>
              </w:r>
              <w:r>
                <w:rPr>
                  <w:rFonts w:ascii="Arial" w:cs="Arial" w:eastAsia="Arial" w:hAnsi="Arial"/>
                  <w:sz w:val="11"/>
                  <w:szCs w:val="11"/>
                  <w:color w:val="0000EE"/>
                  <w:w w:val="97"/>
                </w:rPr>
                <w:t xml:space="preserve"> to the Current Report on Form 8-K filed with the Commission on April 13, 2020 (File No. 001-12984) and incorporated herein by reference.</w:t>
              </w:r>
            </w:hyperlink>
          </w:p>
        </w:tc>
        <w:tc>
          <w:tcPr>
            <w:tcW w:w="3300" w:type="dxa"/>
            <w:vAlign w:val="bottom"/>
            <w:tcBorders>
              <w:top w:val="single" w:sz="8" w:color="0000EE"/>
            </w:tcBorders>
            <w:gridSpan w:val="12"/>
          </w:tcPr>
          <w:p>
            <w:pPr>
              <w:spacing w:after="0"/>
              <w:rPr>
                <w:sz w:val="9"/>
                <w:szCs w:val="9"/>
                <w:color w:val="auto"/>
              </w:rPr>
            </w:pPr>
          </w:p>
        </w:tc>
        <w:tc>
          <w:tcPr>
            <w:tcW w:w="80" w:type="dxa"/>
            <w:vAlign w:val="bottom"/>
            <w:gridSpan w:val="3"/>
          </w:tcPr>
          <w:p>
            <w:pPr>
              <w:spacing w:after="0"/>
              <w:rPr>
                <w:sz w:val="9"/>
                <w:szCs w:val="9"/>
                <w:color w:val="auto"/>
              </w:rPr>
            </w:pPr>
          </w:p>
        </w:tc>
      </w:tr>
      <w:tr>
        <w:trPr>
          <w:trHeight w:val="187"/>
        </w:trPr>
        <w:tc>
          <w:tcPr>
            <w:tcW w:w="1060" w:type="dxa"/>
            <w:vAlign w:val="bottom"/>
          </w:tcPr>
          <w:p>
            <w:pPr>
              <w:jc w:val="right"/>
              <w:ind w:right="666"/>
              <w:spacing w:after="0"/>
              <w:rPr>
                <w:sz w:val="20"/>
                <w:szCs w:val="20"/>
                <w:color w:val="auto"/>
              </w:rPr>
            </w:pPr>
            <w:r>
              <w:rPr>
                <w:rFonts w:ascii="Arial" w:cs="Arial" w:eastAsia="Arial" w:hAnsi="Arial"/>
                <w:sz w:val="11"/>
                <w:szCs w:val="11"/>
                <w:color w:val="auto"/>
              </w:rPr>
              <w:t>4.2(b)</w:t>
            </w:r>
          </w:p>
        </w:tc>
        <w:tc>
          <w:tcPr>
            <w:tcW w:w="10220" w:type="dxa"/>
            <w:vAlign w:val="bottom"/>
            <w:tcBorders>
              <w:bottom w:val="single" w:sz="8" w:color="0000EE"/>
            </w:tcBorders>
            <w:gridSpan w:val="24"/>
          </w:tcPr>
          <w:p>
            <w:pPr>
              <w:spacing w:after="0"/>
              <w:rPr>
                <w:rFonts w:ascii="Arial" w:cs="Arial" w:eastAsia="Arial" w:hAnsi="Arial"/>
                <w:sz w:val="11"/>
                <w:szCs w:val="11"/>
                <w:color w:val="0000EE"/>
                <w:w w:val="97"/>
              </w:rPr>
            </w:pPr>
            <w:hyperlink r:id="rId204">
              <w:r>
                <w:rPr>
                  <w:rFonts w:ascii="Arial" w:cs="Arial" w:eastAsia="Arial" w:hAnsi="Arial"/>
                  <w:sz w:val="11"/>
                  <w:szCs w:val="11"/>
                  <w:color w:val="0000EE"/>
                  <w:w w:val="97"/>
                </w:rPr>
                <w:t>Amendment No. 2 to Credit Agreement, dated as of March 4, 2021, among Eagle Materials Inc., as the Borrower, the Lenders party thereto, and JPMorgan Chase Bank, N.A., as Administrative Agent, filed as Exhibit</w:t>
              </w:r>
            </w:hyperlink>
          </w:p>
        </w:tc>
      </w:tr>
      <w:tr>
        <w:trPr>
          <w:trHeight w:val="106"/>
        </w:trPr>
        <w:tc>
          <w:tcPr>
            <w:tcW w:w="1060" w:type="dxa"/>
            <w:vAlign w:val="bottom"/>
          </w:tcPr>
          <w:p>
            <w:pPr>
              <w:spacing w:after="0"/>
              <w:rPr>
                <w:sz w:val="9"/>
                <w:szCs w:val="9"/>
                <w:color w:val="auto"/>
              </w:rPr>
            </w:pPr>
          </w:p>
        </w:tc>
        <w:tc>
          <w:tcPr>
            <w:tcW w:w="10220" w:type="dxa"/>
            <w:vAlign w:val="bottom"/>
            <w:gridSpan w:val="24"/>
          </w:tcPr>
          <w:p>
            <w:pPr>
              <w:spacing w:after="0" w:line="106" w:lineRule="exact"/>
              <w:rPr>
                <w:rFonts w:ascii="Arial" w:cs="Arial" w:eastAsia="Arial" w:hAnsi="Arial"/>
                <w:sz w:val="11"/>
                <w:szCs w:val="11"/>
                <w:color w:val="0000EE"/>
              </w:rPr>
            </w:pPr>
            <w:hyperlink r:id="rId204">
              <w:r>
                <w:rPr>
                  <w:rFonts w:ascii="Arial" w:cs="Arial" w:eastAsia="Arial" w:hAnsi="Arial"/>
                  <w:sz w:val="11"/>
                  <w:szCs w:val="11"/>
                  <w:color w:val="0000EE"/>
                </w:rPr>
                <w:t>10.</w:t>
              </w:r>
              <w:r>
                <w:rPr>
                  <w:rFonts w:ascii="Arial" w:cs="Arial" w:eastAsia="Arial" w:hAnsi="Arial"/>
                  <w:sz w:val="11"/>
                  <w:szCs w:val="11"/>
                  <w:u w:val="single" w:color="auto"/>
                  <w:color w:val="0000EE"/>
                </w:rPr>
                <w:t>2</w:t>
              </w:r>
              <w:r>
                <w:rPr>
                  <w:rFonts w:ascii="Arial" w:cs="Arial" w:eastAsia="Arial" w:hAnsi="Arial"/>
                  <w:sz w:val="11"/>
                  <w:szCs w:val="11"/>
                  <w:color w:val="0000EE"/>
                </w:rPr>
                <w:t xml:space="preserve"> to the Current Report on Form 8-K filed with the Commission on March 5, 2021 (File No. 001-12984) and incorporated herein by reference</w:t>
              </w:r>
              <w:r>
                <w:rPr>
                  <w:rFonts w:ascii="Arial" w:cs="Arial" w:eastAsia="Arial" w:hAnsi="Arial"/>
                  <w:sz w:val="11"/>
                  <w:szCs w:val="11"/>
                  <w:color w:val="000000"/>
                </w:rPr>
                <w:t>.</w:t>
              </w:r>
            </w:hyperlink>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7"/>
        </w:trPr>
        <w:tc>
          <w:tcPr>
            <w:tcW w:w="1060" w:type="dxa"/>
            <w:vAlign w:val="bottom"/>
          </w:tcPr>
          <w:p>
            <w:pPr>
              <w:jc w:val="right"/>
              <w:ind w:right="806"/>
              <w:spacing w:after="0"/>
              <w:rPr>
                <w:sz w:val="20"/>
                <w:szCs w:val="20"/>
                <w:color w:val="auto"/>
              </w:rPr>
            </w:pPr>
            <w:r>
              <w:rPr>
                <w:rFonts w:ascii="Arial" w:cs="Arial" w:eastAsia="Arial" w:hAnsi="Arial"/>
                <w:sz w:val="11"/>
                <w:szCs w:val="11"/>
                <w:color w:val="auto"/>
              </w:rPr>
              <w:t>4.3</w:t>
            </w:r>
          </w:p>
        </w:tc>
        <w:tc>
          <w:tcPr>
            <w:tcW w:w="10220" w:type="dxa"/>
            <w:vAlign w:val="bottom"/>
            <w:gridSpan w:val="24"/>
          </w:tcPr>
          <w:p>
            <w:pPr>
              <w:spacing w:after="0"/>
              <w:rPr>
                <w:rFonts w:ascii="Arial" w:cs="Arial" w:eastAsia="Arial" w:hAnsi="Arial"/>
                <w:sz w:val="11"/>
                <w:szCs w:val="11"/>
                <w:color w:val="0000EE"/>
              </w:rPr>
            </w:pPr>
            <w:hyperlink r:id="rId205">
              <w:r>
                <w:rPr>
                  <w:rFonts w:ascii="Arial" w:cs="Arial" w:eastAsia="Arial" w:hAnsi="Arial"/>
                  <w:sz w:val="11"/>
                  <w:szCs w:val="11"/>
                  <w:color w:val="0000EE"/>
                </w:rPr>
                <w:t>First Supplemental Indenture, dated as of August 2, 2016, among Eagle Materials Inc., the guarantor parties identified therein, and The Bank of New York Mellon Trust Company, N.A., filed as Exhibit 4.2 to the</w:t>
              </w:r>
            </w:hyperlink>
          </w:p>
        </w:tc>
      </w:tr>
      <w:tr>
        <w:trPr>
          <w:trHeight w:val="106"/>
        </w:trPr>
        <w:tc>
          <w:tcPr>
            <w:tcW w:w="1060" w:type="dxa"/>
            <w:vAlign w:val="bottom"/>
          </w:tcPr>
          <w:p>
            <w:pPr>
              <w:spacing w:after="0"/>
              <w:rPr>
                <w:sz w:val="9"/>
                <w:szCs w:val="9"/>
                <w:color w:val="auto"/>
              </w:rPr>
            </w:pPr>
          </w:p>
        </w:tc>
        <w:tc>
          <w:tcPr>
            <w:tcW w:w="6920" w:type="dxa"/>
            <w:vAlign w:val="bottom"/>
            <w:tcBorders>
              <w:top w:val="single" w:sz="8" w:color="0000EE"/>
              <w:bottom w:val="single" w:sz="8" w:color="0000EE"/>
            </w:tcBorders>
            <w:gridSpan w:val="10"/>
          </w:tcPr>
          <w:p>
            <w:pPr>
              <w:spacing w:after="0" w:line="106" w:lineRule="exact"/>
              <w:rPr>
                <w:rFonts w:ascii="Arial" w:cs="Arial" w:eastAsia="Arial" w:hAnsi="Arial"/>
                <w:sz w:val="11"/>
                <w:szCs w:val="11"/>
                <w:color w:val="0000EE"/>
                <w:w w:val="97"/>
              </w:rPr>
            </w:pPr>
            <w:hyperlink r:id="rId205">
              <w:r>
                <w:rPr>
                  <w:rFonts w:ascii="Arial" w:cs="Arial" w:eastAsia="Arial" w:hAnsi="Arial"/>
                  <w:sz w:val="11"/>
                  <w:szCs w:val="11"/>
                  <w:color w:val="0000EE"/>
                  <w:w w:val="97"/>
                </w:rPr>
                <w:t>Company’s Current Report on Form 8-K filed with the Commission on August 2, 2016 (File No. 001-12984) and incorporated herein by reference.</w:t>
              </w:r>
            </w:hyperlink>
          </w:p>
        </w:tc>
        <w:tc>
          <w:tcPr>
            <w:tcW w:w="3000" w:type="dxa"/>
            <w:vAlign w:val="bottom"/>
            <w:tcBorders>
              <w:top w:val="single" w:sz="8" w:color="0000EE"/>
            </w:tcBorders>
            <w:gridSpan w:val="6"/>
          </w:tcPr>
          <w:p>
            <w:pPr>
              <w:spacing w:after="0"/>
              <w:rPr>
                <w:sz w:val="9"/>
                <w:szCs w:val="9"/>
                <w:color w:val="auto"/>
              </w:rPr>
            </w:pPr>
          </w:p>
        </w:tc>
        <w:tc>
          <w:tcPr>
            <w:tcW w:w="300" w:type="dxa"/>
            <w:vAlign w:val="bottom"/>
            <w:gridSpan w:val="8"/>
          </w:tcPr>
          <w:p>
            <w:pPr>
              <w:spacing w:after="0"/>
              <w:rPr>
                <w:sz w:val="9"/>
                <w:szCs w:val="9"/>
                <w:color w:val="auto"/>
              </w:rPr>
            </w:pPr>
          </w:p>
        </w:tc>
      </w:tr>
      <w:tr>
        <w:trPr>
          <w:trHeight w:val="187"/>
        </w:trPr>
        <w:tc>
          <w:tcPr>
            <w:tcW w:w="1060" w:type="dxa"/>
            <w:vAlign w:val="bottom"/>
          </w:tcPr>
          <w:p>
            <w:pPr>
              <w:jc w:val="right"/>
              <w:ind w:right="806"/>
              <w:spacing w:after="0"/>
              <w:rPr>
                <w:sz w:val="20"/>
                <w:szCs w:val="20"/>
                <w:color w:val="auto"/>
              </w:rPr>
            </w:pPr>
            <w:r>
              <w:rPr>
                <w:rFonts w:ascii="Arial" w:cs="Arial" w:eastAsia="Arial" w:hAnsi="Arial"/>
                <w:sz w:val="11"/>
                <w:szCs w:val="11"/>
                <w:color w:val="auto"/>
              </w:rPr>
              <w:t>4.4</w:t>
            </w:r>
          </w:p>
        </w:tc>
        <w:tc>
          <w:tcPr>
            <w:tcW w:w="10060" w:type="dxa"/>
            <w:vAlign w:val="bottom"/>
            <w:tcBorders>
              <w:bottom w:val="single" w:sz="8" w:color="0000EE"/>
            </w:tcBorders>
            <w:gridSpan w:val="19"/>
          </w:tcPr>
          <w:p>
            <w:pPr>
              <w:spacing w:after="0"/>
              <w:rPr>
                <w:rFonts w:ascii="Arial" w:cs="Arial" w:eastAsia="Arial" w:hAnsi="Arial"/>
                <w:sz w:val="11"/>
                <w:szCs w:val="11"/>
                <w:color w:val="0000EE"/>
                <w:w w:val="97"/>
              </w:rPr>
            </w:pPr>
            <w:hyperlink r:id="rId205">
              <w:r>
                <w:rPr>
                  <w:rFonts w:ascii="Arial" w:cs="Arial" w:eastAsia="Arial" w:hAnsi="Arial"/>
                  <w:sz w:val="11"/>
                  <w:szCs w:val="11"/>
                  <w:color w:val="0000EE"/>
                  <w:w w:val="97"/>
                </w:rPr>
                <w:t>Form of 4.500% Senior Notes due 2026 filed as Exhibit 4.3 to the Company’s Current Report on Form 8-K filed with the Commission on August 2, 2016 (File No. 001-12984) and incorporated herein by reference.</w:t>
              </w:r>
            </w:hyperlink>
          </w:p>
        </w:tc>
        <w:tc>
          <w:tcPr>
            <w:tcW w:w="160" w:type="dxa"/>
            <w:vAlign w:val="bottom"/>
            <w:gridSpan w:val="5"/>
          </w:tcPr>
          <w:p>
            <w:pPr>
              <w:spacing w:after="0"/>
              <w:rPr>
                <w:sz w:val="16"/>
                <w:szCs w:val="16"/>
                <w:color w:val="auto"/>
              </w:rPr>
            </w:pPr>
          </w:p>
        </w:tc>
      </w:tr>
      <w:tr>
        <w:trPr>
          <w:trHeight w:val="187"/>
        </w:trPr>
        <w:tc>
          <w:tcPr>
            <w:tcW w:w="1060" w:type="dxa"/>
            <w:vAlign w:val="bottom"/>
          </w:tcPr>
          <w:p>
            <w:pPr>
              <w:jc w:val="right"/>
              <w:ind w:right="806"/>
              <w:spacing w:after="0"/>
              <w:rPr>
                <w:sz w:val="20"/>
                <w:szCs w:val="20"/>
                <w:color w:val="auto"/>
              </w:rPr>
            </w:pPr>
            <w:r>
              <w:rPr>
                <w:rFonts w:ascii="Arial" w:cs="Arial" w:eastAsia="Arial" w:hAnsi="Arial"/>
                <w:sz w:val="11"/>
                <w:szCs w:val="11"/>
                <w:color w:val="auto"/>
                <w:w w:val="83"/>
              </w:rPr>
              <w:t>10.1</w:t>
            </w:r>
          </w:p>
        </w:tc>
        <w:tc>
          <w:tcPr>
            <w:tcW w:w="10220" w:type="dxa"/>
            <w:vAlign w:val="bottom"/>
            <w:gridSpan w:val="24"/>
          </w:tcPr>
          <w:p>
            <w:pPr>
              <w:spacing w:after="0"/>
              <w:rPr>
                <w:rFonts w:ascii="Arial" w:cs="Arial" w:eastAsia="Arial" w:hAnsi="Arial"/>
                <w:sz w:val="11"/>
                <w:szCs w:val="11"/>
                <w:color w:val="0000EE"/>
                <w:w w:val="99"/>
              </w:rPr>
            </w:pPr>
            <w:hyperlink r:id="rId206">
              <w:r>
                <w:rPr>
                  <w:rFonts w:ascii="Arial" w:cs="Arial" w:eastAsia="Arial" w:hAnsi="Arial"/>
                  <w:sz w:val="11"/>
                  <w:szCs w:val="11"/>
                  <w:color w:val="0000EE"/>
                  <w:w w:val="99"/>
                </w:rPr>
                <w:t>Limited Partnership Agreement of Texas Lehigh Cement Company LP by and between Texas Cement Company and Lehigh Portland Cement Company effective as of October 1, 2000, filed as Exhibit 10.2 to the</w:t>
              </w:r>
            </w:hyperlink>
          </w:p>
        </w:tc>
      </w:tr>
      <w:tr>
        <w:trPr>
          <w:trHeight w:val="106"/>
        </w:trPr>
        <w:tc>
          <w:tcPr>
            <w:tcW w:w="1060" w:type="dxa"/>
            <w:vAlign w:val="bottom"/>
          </w:tcPr>
          <w:p>
            <w:pPr>
              <w:spacing w:after="0"/>
              <w:rPr>
                <w:sz w:val="9"/>
                <w:szCs w:val="9"/>
                <w:color w:val="auto"/>
              </w:rPr>
            </w:pPr>
          </w:p>
        </w:tc>
        <w:tc>
          <w:tcPr>
            <w:tcW w:w="10020" w:type="dxa"/>
            <w:vAlign w:val="bottom"/>
            <w:tcBorders>
              <w:top w:val="single" w:sz="8" w:color="0000EE"/>
            </w:tcBorders>
            <w:gridSpan w:val="17"/>
          </w:tcPr>
          <w:p>
            <w:pPr>
              <w:spacing w:after="0" w:line="106" w:lineRule="exact"/>
              <w:rPr>
                <w:rFonts w:ascii="Arial" w:cs="Arial" w:eastAsia="Arial" w:hAnsi="Arial"/>
                <w:sz w:val="11"/>
                <w:szCs w:val="11"/>
                <w:color w:val="0000EE"/>
              </w:rPr>
            </w:pPr>
            <w:hyperlink r:id="rId206">
              <w:r>
                <w:rPr>
                  <w:rFonts w:ascii="Arial" w:cs="Arial" w:eastAsia="Arial" w:hAnsi="Arial"/>
                  <w:sz w:val="11"/>
                  <w:szCs w:val="11"/>
                  <w:color w:val="0000EE"/>
                </w:rPr>
                <w:t>Company’s Annual Report on Form 10-K for the fiscal year ended March 31, 2001, filed with the Commission on June 27, 2001 (File No. 001-12984) and incorporated herein by reference.</w:t>
              </w:r>
            </w:hyperlink>
          </w:p>
        </w:tc>
        <w:tc>
          <w:tcPr>
            <w:tcW w:w="200" w:type="dxa"/>
            <w:vAlign w:val="bottom"/>
            <w:gridSpan w:val="7"/>
          </w:tcPr>
          <w:p>
            <w:pPr>
              <w:spacing w:after="0"/>
              <w:rPr>
                <w:sz w:val="9"/>
                <w:szCs w:val="9"/>
                <w:color w:val="auto"/>
              </w:rPr>
            </w:pPr>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7"/>
        </w:trPr>
        <w:tc>
          <w:tcPr>
            <w:tcW w:w="1060" w:type="dxa"/>
            <w:vAlign w:val="bottom"/>
          </w:tcPr>
          <w:p>
            <w:pPr>
              <w:jc w:val="right"/>
              <w:ind w:right="666"/>
              <w:spacing w:after="0"/>
              <w:rPr>
                <w:sz w:val="20"/>
                <w:szCs w:val="20"/>
                <w:color w:val="auto"/>
              </w:rPr>
            </w:pPr>
            <w:r>
              <w:rPr>
                <w:rFonts w:ascii="Arial" w:cs="Arial" w:eastAsia="Arial" w:hAnsi="Arial"/>
                <w:sz w:val="11"/>
                <w:szCs w:val="11"/>
                <w:color w:val="auto"/>
                <w:w w:val="91"/>
              </w:rPr>
              <w:t>10.1(a)</w:t>
            </w:r>
          </w:p>
        </w:tc>
        <w:tc>
          <w:tcPr>
            <w:tcW w:w="10040" w:type="dxa"/>
            <w:vAlign w:val="bottom"/>
            <w:tcBorders>
              <w:bottom w:val="single" w:sz="8" w:color="0000EE"/>
            </w:tcBorders>
            <w:gridSpan w:val="18"/>
          </w:tcPr>
          <w:p>
            <w:pPr>
              <w:spacing w:after="0"/>
              <w:rPr>
                <w:rFonts w:ascii="Arial" w:cs="Arial" w:eastAsia="Arial" w:hAnsi="Arial"/>
                <w:sz w:val="11"/>
                <w:szCs w:val="11"/>
                <w:color w:val="0000EE"/>
                <w:w w:val="97"/>
              </w:rPr>
            </w:pPr>
            <w:hyperlink r:id="rId207">
              <w:r>
                <w:rPr>
                  <w:rFonts w:ascii="Arial" w:cs="Arial" w:eastAsia="Arial" w:hAnsi="Arial"/>
                  <w:sz w:val="11"/>
                  <w:szCs w:val="11"/>
                  <w:color w:val="0000EE"/>
                  <w:w w:val="97"/>
                </w:rPr>
                <w:t>Amendment No. 1 to Agreement of Limited Partnership by and among Texas Cement Company; TLCC LP LLC; TLCC GP LLC; Lehigh Portland Cement Company; Lehigh Portland Investments, LLC; and Lehigh</w:t>
              </w:r>
            </w:hyperlink>
          </w:p>
        </w:tc>
        <w:tc>
          <w:tcPr>
            <w:tcW w:w="180" w:type="dxa"/>
            <w:vAlign w:val="bottom"/>
            <w:gridSpan w:val="6"/>
          </w:tcPr>
          <w:p>
            <w:pPr>
              <w:spacing w:after="0"/>
              <w:rPr>
                <w:sz w:val="16"/>
                <w:szCs w:val="16"/>
                <w:color w:val="auto"/>
              </w:rPr>
            </w:pPr>
          </w:p>
        </w:tc>
      </w:tr>
      <w:tr>
        <w:trPr>
          <w:trHeight w:val="106"/>
        </w:trPr>
        <w:tc>
          <w:tcPr>
            <w:tcW w:w="1060" w:type="dxa"/>
            <w:vAlign w:val="bottom"/>
          </w:tcPr>
          <w:p>
            <w:pPr>
              <w:spacing w:after="0"/>
              <w:rPr>
                <w:sz w:val="9"/>
                <w:szCs w:val="9"/>
                <w:color w:val="auto"/>
              </w:rPr>
            </w:pPr>
          </w:p>
        </w:tc>
        <w:tc>
          <w:tcPr>
            <w:tcW w:w="10220" w:type="dxa"/>
            <w:vAlign w:val="bottom"/>
            <w:gridSpan w:val="24"/>
          </w:tcPr>
          <w:p>
            <w:pPr>
              <w:spacing w:after="0" w:line="106" w:lineRule="exact"/>
              <w:rPr>
                <w:rFonts w:ascii="Arial" w:cs="Arial" w:eastAsia="Arial" w:hAnsi="Arial"/>
                <w:sz w:val="11"/>
                <w:szCs w:val="11"/>
                <w:color w:val="0000EE"/>
              </w:rPr>
            </w:pPr>
            <w:hyperlink r:id="rId207">
              <w:r>
                <w:rPr>
                  <w:rFonts w:ascii="Arial" w:cs="Arial" w:eastAsia="Arial" w:hAnsi="Arial"/>
                  <w:sz w:val="11"/>
                  <w:szCs w:val="11"/>
                  <w:color w:val="0000EE"/>
                </w:rPr>
                <w:t>Portland Holdings, LLC effective as of October 2, 2000, filed as Exhibit 10.2(a) to the 2001 Form 10-K (File No. 001-12984) and incorporated herein by reference.</w:t>
              </w:r>
            </w:hyperlink>
          </w:p>
        </w:tc>
      </w:tr>
      <w:tr>
        <w:trPr>
          <w:trHeight w:val="20"/>
        </w:trPr>
        <w:tc>
          <w:tcPr>
            <w:tcW w:w="10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7"/>
        </w:trPr>
        <w:tc>
          <w:tcPr>
            <w:tcW w:w="1060" w:type="dxa"/>
            <w:vAlign w:val="bottom"/>
          </w:tcPr>
          <w:p>
            <w:pPr>
              <w:jc w:val="right"/>
              <w:ind w:right="806"/>
              <w:spacing w:after="0"/>
              <w:rPr>
                <w:sz w:val="20"/>
                <w:szCs w:val="20"/>
                <w:color w:val="auto"/>
              </w:rPr>
            </w:pPr>
            <w:r>
              <w:rPr>
                <w:rFonts w:ascii="Arial" w:cs="Arial" w:eastAsia="Arial" w:hAnsi="Arial"/>
                <w:sz w:val="11"/>
                <w:szCs w:val="11"/>
                <w:color w:val="auto"/>
                <w:w w:val="83"/>
              </w:rPr>
              <w:t>10.2</w:t>
            </w:r>
          </w:p>
        </w:tc>
        <w:tc>
          <w:tcPr>
            <w:tcW w:w="10220" w:type="dxa"/>
            <w:vAlign w:val="bottom"/>
            <w:gridSpan w:val="24"/>
          </w:tcPr>
          <w:p>
            <w:pPr>
              <w:spacing w:after="0"/>
              <w:rPr>
                <w:rFonts w:ascii="Arial" w:cs="Arial" w:eastAsia="Arial" w:hAnsi="Arial"/>
                <w:sz w:val="11"/>
                <w:szCs w:val="11"/>
                <w:color w:val="0000EE"/>
              </w:rPr>
            </w:pPr>
            <w:hyperlink r:id="rId208">
              <w:r>
                <w:rPr>
                  <w:rFonts w:ascii="Arial" w:cs="Arial" w:eastAsia="Arial" w:hAnsi="Arial"/>
                  <w:sz w:val="11"/>
                  <w:szCs w:val="11"/>
                  <w:color w:val="0000EE"/>
                </w:rPr>
                <w:t>The Eagle Materials Inc. Amended and Restated Incentive Plan, filed as Exhibit A to the Company’s Schedule 14A filed with the Commission on June 21, 2013 (File No. 001-12984) and incorporated herein by</w:t>
              </w:r>
            </w:hyperlink>
          </w:p>
        </w:tc>
      </w:tr>
      <w:tr>
        <w:trPr>
          <w:trHeight w:val="95"/>
        </w:trPr>
        <w:tc>
          <w:tcPr>
            <w:tcW w:w="1060" w:type="dxa"/>
            <w:vAlign w:val="bottom"/>
          </w:tcPr>
          <w:p>
            <w:pPr>
              <w:spacing w:after="0"/>
              <w:rPr>
                <w:sz w:val="8"/>
                <w:szCs w:val="8"/>
                <w:color w:val="auto"/>
              </w:rPr>
            </w:pPr>
          </w:p>
        </w:tc>
        <w:tc>
          <w:tcPr>
            <w:tcW w:w="480" w:type="dxa"/>
            <w:vAlign w:val="bottom"/>
            <w:tcBorders>
              <w:top w:val="single" w:sz="8" w:color="0000EE"/>
              <w:bottom w:val="single" w:sz="8" w:color="0000EE"/>
            </w:tcBorders>
          </w:tcPr>
          <w:p>
            <w:pPr>
              <w:spacing w:after="0" w:line="88" w:lineRule="exact"/>
              <w:rPr>
                <w:rFonts w:ascii="Arial" w:cs="Arial" w:eastAsia="Arial" w:hAnsi="Arial"/>
                <w:sz w:val="10"/>
                <w:szCs w:val="10"/>
                <w:color w:val="0000EE"/>
              </w:rPr>
            </w:pPr>
            <w:hyperlink r:id="rId208">
              <w:r>
                <w:rPr>
                  <w:rFonts w:ascii="Arial" w:cs="Arial" w:eastAsia="Arial" w:hAnsi="Arial"/>
                  <w:sz w:val="10"/>
                  <w:szCs w:val="10"/>
                  <w:color w:val="0000EE"/>
                </w:rPr>
                <w:t>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08">
              <w:r>
                <w:rPr>
                  <w:rFonts w:ascii="Arial" w:cs="Arial" w:eastAsia="Arial" w:hAnsi="Arial"/>
                  <w:sz w:val="9"/>
                  <w:szCs w:val="9"/>
                  <w:color w:val="0000EE"/>
                </w:rPr>
                <w:t>(1)</w:t>
              </w:r>
            </w:hyperlink>
          </w:p>
        </w:tc>
        <w:tc>
          <w:tcPr>
            <w:tcW w:w="1960" w:type="dxa"/>
            <w:vAlign w:val="bottom"/>
            <w:tcBorders>
              <w:top w:val="single" w:sz="8" w:color="0000EE"/>
            </w:tcBorders>
            <w:gridSpan w:val="2"/>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180" w:type="dxa"/>
            <w:vAlign w:val="bottom"/>
            <w:tcBorders>
              <w:top w:val="single" w:sz="8" w:color="0000EE"/>
            </w:tcBorders>
            <w:gridSpan w:val="10"/>
          </w:tcPr>
          <w:p>
            <w:pPr>
              <w:spacing w:after="0"/>
              <w:rPr>
                <w:sz w:val="8"/>
                <w:szCs w:val="8"/>
                <w:color w:val="auto"/>
              </w:rPr>
            </w:pPr>
          </w:p>
        </w:tc>
        <w:tc>
          <w:tcPr>
            <w:tcW w:w="160" w:type="dxa"/>
            <w:vAlign w:val="bottom"/>
            <w:gridSpan w:val="4"/>
          </w:tcPr>
          <w:p>
            <w:pPr>
              <w:spacing w:after="0"/>
              <w:rPr>
                <w:sz w:val="8"/>
                <w:szCs w:val="8"/>
                <w:color w:val="auto"/>
              </w:rPr>
            </w:pPr>
          </w:p>
        </w:tc>
        <w:tc>
          <w:tcPr>
            <w:tcW w:w="160" w:type="dxa"/>
            <w:vAlign w:val="bottom"/>
            <w:gridSpan w:val="5"/>
          </w:tcPr>
          <w:p>
            <w:pPr>
              <w:spacing w:after="0"/>
              <w:rPr>
                <w:sz w:val="8"/>
                <w:szCs w:val="8"/>
                <w:color w:val="auto"/>
              </w:rPr>
            </w:pPr>
          </w:p>
        </w:tc>
      </w:tr>
      <w:tr>
        <w:trPr>
          <w:trHeight w:val="198"/>
        </w:trPr>
        <w:tc>
          <w:tcPr>
            <w:tcW w:w="1060" w:type="dxa"/>
            <w:vAlign w:val="bottom"/>
          </w:tcPr>
          <w:p>
            <w:pPr>
              <w:jc w:val="right"/>
              <w:ind w:right="666"/>
              <w:spacing w:after="0"/>
              <w:rPr>
                <w:sz w:val="20"/>
                <w:szCs w:val="20"/>
                <w:color w:val="auto"/>
              </w:rPr>
            </w:pPr>
            <w:r>
              <w:rPr>
                <w:rFonts w:ascii="Arial" w:cs="Arial" w:eastAsia="Arial" w:hAnsi="Arial"/>
                <w:sz w:val="11"/>
                <w:szCs w:val="11"/>
                <w:color w:val="auto"/>
                <w:w w:val="91"/>
              </w:rPr>
              <w:t>10.2(a)</w:t>
            </w:r>
          </w:p>
        </w:tc>
        <w:tc>
          <w:tcPr>
            <w:tcW w:w="10220" w:type="dxa"/>
            <w:vAlign w:val="bottom"/>
            <w:gridSpan w:val="24"/>
          </w:tcPr>
          <w:p>
            <w:pPr>
              <w:spacing w:after="0"/>
              <w:rPr>
                <w:rFonts w:ascii="Arial" w:cs="Arial" w:eastAsia="Arial" w:hAnsi="Arial"/>
                <w:sz w:val="11"/>
                <w:szCs w:val="11"/>
                <w:color w:val="0000EE"/>
                <w:w w:val="99"/>
              </w:rPr>
            </w:pPr>
            <w:hyperlink r:id="rId209">
              <w:r>
                <w:rPr>
                  <w:rFonts w:ascii="Arial" w:cs="Arial" w:eastAsia="Arial" w:hAnsi="Arial"/>
                  <w:sz w:val="11"/>
                  <w:szCs w:val="11"/>
                  <w:color w:val="0000EE"/>
                  <w:w w:val="99"/>
                </w:rPr>
                <w:t>Amendment to Amended and Restated Incentive Plan, filed as Exhibit 10.4 to the Company’s Quarterly Report on Form 10-Q for the quarter ended June 30, 2017, filed with the Commission on July 28, 2017 (File</w:t>
              </w:r>
            </w:hyperlink>
          </w:p>
        </w:tc>
      </w:tr>
      <w:tr>
        <w:trPr>
          <w:trHeight w:val="95"/>
        </w:trPr>
        <w:tc>
          <w:tcPr>
            <w:tcW w:w="1060" w:type="dxa"/>
            <w:vAlign w:val="bottom"/>
          </w:tcPr>
          <w:p>
            <w:pPr>
              <w:spacing w:after="0"/>
              <w:rPr>
                <w:sz w:val="8"/>
                <w:szCs w:val="8"/>
                <w:color w:val="auto"/>
              </w:rPr>
            </w:pPr>
          </w:p>
        </w:tc>
        <w:tc>
          <w:tcPr>
            <w:tcW w:w="2580" w:type="dxa"/>
            <w:vAlign w:val="bottom"/>
            <w:tcBorders>
              <w:top w:val="single" w:sz="8" w:color="0000EE"/>
              <w:bottom w:val="single" w:sz="8" w:color="0000EE"/>
            </w:tcBorders>
            <w:gridSpan w:val="4"/>
          </w:tcPr>
          <w:p>
            <w:pPr>
              <w:spacing w:after="0" w:line="88" w:lineRule="exact"/>
              <w:rPr>
                <w:rFonts w:ascii="Arial" w:cs="Arial" w:eastAsia="Arial" w:hAnsi="Arial"/>
                <w:sz w:val="10"/>
                <w:szCs w:val="10"/>
                <w:color w:val="0000EE"/>
              </w:rPr>
            </w:pPr>
            <w:hyperlink r:id="rId209">
              <w:r>
                <w:rPr>
                  <w:rFonts w:ascii="Arial" w:cs="Arial" w:eastAsia="Arial" w:hAnsi="Arial"/>
                  <w:sz w:val="10"/>
                  <w:szCs w:val="10"/>
                  <w:color w:val="0000EE"/>
                </w:rPr>
                <w:t>No. 001-12984) and incorporated herein by 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09">
              <w:r>
                <w:rPr>
                  <w:rFonts w:ascii="Arial" w:cs="Arial" w:eastAsia="Arial" w:hAnsi="Arial"/>
                  <w:sz w:val="9"/>
                  <w:szCs w:val="9"/>
                  <w:color w:val="0000EE"/>
                </w:rPr>
                <w:t>(1)</w:t>
              </w:r>
            </w:hyperlink>
          </w:p>
        </w:tc>
        <w:tc>
          <w:tcPr>
            <w:tcW w:w="7340" w:type="dxa"/>
            <w:vAlign w:val="bottom"/>
            <w:tcBorders>
              <w:top w:val="single" w:sz="8" w:color="0000EE"/>
            </w:tcBorders>
            <w:gridSpan w:val="14"/>
          </w:tcPr>
          <w:p>
            <w:pPr>
              <w:spacing w:after="0"/>
              <w:rPr>
                <w:sz w:val="8"/>
                <w:szCs w:val="8"/>
                <w:color w:val="auto"/>
              </w:rPr>
            </w:pPr>
          </w:p>
        </w:tc>
        <w:tc>
          <w:tcPr>
            <w:tcW w:w="160" w:type="dxa"/>
            <w:vAlign w:val="bottom"/>
            <w:gridSpan w:val="5"/>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65"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20"/>
                <w:szCs w:val="20"/>
                <w:color w:val="auto"/>
              </w:rPr>
            </w:pPr>
            <w:r>
              <w:rPr>
                <w:rFonts w:ascii="Arial" w:cs="Arial" w:eastAsia="Arial" w:hAnsi="Arial"/>
                <w:sz w:val="11"/>
                <w:szCs w:val="11"/>
                <w:color w:val="auto"/>
              </w:rPr>
              <w:t>10.3</w:t>
            </w:r>
          </w:p>
        </w:tc>
        <w:tc>
          <w:tcPr>
            <w:tcW w:w="9920" w:type="dxa"/>
            <w:vAlign w:val="bottom"/>
            <w:tcBorders>
              <w:bottom w:val="single" w:sz="8" w:color="0000EE"/>
            </w:tcBorders>
            <w:gridSpan w:val="13"/>
          </w:tcPr>
          <w:p>
            <w:pPr>
              <w:spacing w:after="0"/>
              <w:rPr>
                <w:rFonts w:ascii="Arial" w:cs="Arial" w:eastAsia="Arial" w:hAnsi="Arial"/>
                <w:sz w:val="11"/>
                <w:szCs w:val="11"/>
                <w:color w:val="0000EE"/>
                <w:w w:val="97"/>
              </w:rPr>
            </w:pPr>
            <w:hyperlink r:id="rId211">
              <w:r>
                <w:rPr>
                  <w:rFonts w:ascii="Arial" w:cs="Arial" w:eastAsia="Arial" w:hAnsi="Arial"/>
                  <w:sz w:val="11"/>
                  <w:szCs w:val="11"/>
                  <w:color w:val="0000EE"/>
                  <w:w w:val="97"/>
                </w:rPr>
                <w:t>Form of Restricted Stock Unit Agreement for Non-Employee Directors filed as Exhibit 10.1 to the Company’s Current Report on Form 8-K filed with the Commission on August 1, 2006 (File No. 001-12984) and</w:t>
              </w:r>
            </w:hyperlink>
          </w:p>
        </w:tc>
        <w:tc>
          <w:tcPr>
            <w:tcW w:w="320" w:type="dxa"/>
            <w:vAlign w:val="bottom"/>
            <w:gridSpan w:val="5"/>
          </w:tcPr>
          <w:p>
            <w:pPr>
              <w:spacing w:after="0"/>
              <w:rPr>
                <w:sz w:val="10"/>
                <w:szCs w:val="10"/>
                <w:color w:val="auto"/>
              </w:rPr>
            </w:pPr>
          </w:p>
        </w:tc>
      </w:tr>
      <w:tr>
        <w:trPr>
          <w:trHeight w:val="97"/>
        </w:trPr>
        <w:tc>
          <w:tcPr>
            <w:tcW w:w="1060" w:type="dxa"/>
            <w:vAlign w:val="bottom"/>
          </w:tcPr>
          <w:p>
            <w:pPr>
              <w:spacing w:after="0"/>
              <w:rPr>
                <w:sz w:val="8"/>
                <w:szCs w:val="8"/>
                <w:color w:val="auto"/>
              </w:rPr>
            </w:pPr>
          </w:p>
        </w:tc>
        <w:tc>
          <w:tcPr>
            <w:tcW w:w="1580" w:type="dxa"/>
            <w:vAlign w:val="bottom"/>
            <w:tcBorders>
              <w:bottom w:val="single" w:sz="8" w:color="0000EE"/>
            </w:tcBorders>
          </w:tcPr>
          <w:p>
            <w:pPr>
              <w:spacing w:after="0" w:line="88" w:lineRule="exact"/>
              <w:rPr>
                <w:rFonts w:ascii="Arial" w:cs="Arial" w:eastAsia="Arial" w:hAnsi="Arial"/>
                <w:sz w:val="10"/>
                <w:szCs w:val="10"/>
                <w:color w:val="0000EE"/>
              </w:rPr>
            </w:pPr>
            <w:hyperlink r:id="rId211">
              <w:r>
                <w:rPr>
                  <w:rFonts w:ascii="Arial" w:cs="Arial" w:eastAsia="Arial" w:hAnsi="Arial"/>
                  <w:sz w:val="10"/>
                  <w:szCs w:val="10"/>
                  <w:color w:val="0000EE"/>
                </w:rPr>
                <w:t>incorporated herein by reference.</w:t>
              </w:r>
            </w:hyperlink>
          </w:p>
        </w:tc>
        <w:tc>
          <w:tcPr>
            <w:tcW w:w="220" w:type="dxa"/>
            <w:vAlign w:val="bottom"/>
          </w:tcPr>
          <w:p>
            <w:pPr>
              <w:jc w:val="right"/>
              <w:ind w:right="34"/>
              <w:spacing w:after="0" w:line="79" w:lineRule="exact"/>
              <w:rPr>
                <w:rFonts w:ascii="Arial" w:cs="Arial" w:eastAsia="Arial" w:hAnsi="Arial"/>
                <w:sz w:val="9"/>
                <w:szCs w:val="9"/>
                <w:color w:val="0000EE"/>
              </w:rPr>
            </w:pPr>
            <w:hyperlink r:id="rId211">
              <w:r>
                <w:rPr>
                  <w:rFonts w:ascii="Arial" w:cs="Arial" w:eastAsia="Arial" w:hAnsi="Arial"/>
                  <w:sz w:val="9"/>
                  <w:szCs w:val="9"/>
                  <w:color w:val="0000EE"/>
                </w:rPr>
                <w:t>(1)</w:t>
              </w:r>
            </w:hyperlink>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10.4</w:t>
            </w:r>
          </w:p>
        </w:tc>
        <w:tc>
          <w:tcPr>
            <w:tcW w:w="10240" w:type="dxa"/>
            <w:vAlign w:val="bottom"/>
            <w:gridSpan w:val="18"/>
          </w:tcPr>
          <w:p>
            <w:pPr>
              <w:spacing w:after="0"/>
              <w:rPr>
                <w:rFonts w:ascii="Arial" w:cs="Arial" w:eastAsia="Arial" w:hAnsi="Arial"/>
                <w:sz w:val="11"/>
                <w:szCs w:val="11"/>
                <w:color w:val="0000EE"/>
                <w:w w:val="99"/>
              </w:rPr>
            </w:pPr>
            <w:hyperlink r:id="rId212">
              <w:r>
                <w:rPr>
                  <w:rFonts w:ascii="Arial" w:cs="Arial" w:eastAsia="Arial" w:hAnsi="Arial"/>
                  <w:sz w:val="11"/>
                  <w:szCs w:val="11"/>
                  <w:color w:val="0000EE"/>
                  <w:w w:val="99"/>
                </w:rPr>
                <w:t>Form of Restricted Stock Agreement filed as Exhibit 10.8 to the Company’s Quarterly Report on Form 10-Q for the quarter ended June 30, 2010, filed with the Commission on August 6, 2010 (File No. 001-12984)</w:t>
              </w:r>
            </w:hyperlink>
          </w:p>
        </w:tc>
      </w:tr>
      <w:tr>
        <w:trPr>
          <w:trHeight w:val="97"/>
        </w:trPr>
        <w:tc>
          <w:tcPr>
            <w:tcW w:w="1060" w:type="dxa"/>
            <w:vAlign w:val="bottom"/>
          </w:tcPr>
          <w:p>
            <w:pPr>
              <w:spacing w:after="0"/>
              <w:rPr>
                <w:sz w:val="8"/>
                <w:szCs w:val="8"/>
                <w:color w:val="auto"/>
              </w:rPr>
            </w:pPr>
          </w:p>
        </w:tc>
        <w:tc>
          <w:tcPr>
            <w:tcW w:w="1800" w:type="dxa"/>
            <w:vAlign w:val="bottom"/>
            <w:tcBorders>
              <w:top w:val="single" w:sz="8" w:color="0000EE"/>
              <w:bottom w:val="single" w:sz="8" w:color="0000EE"/>
            </w:tcBorders>
            <w:gridSpan w:val="2"/>
          </w:tcPr>
          <w:p>
            <w:pPr>
              <w:spacing w:after="0" w:line="88" w:lineRule="exact"/>
              <w:rPr>
                <w:rFonts w:ascii="Arial" w:cs="Arial" w:eastAsia="Arial" w:hAnsi="Arial"/>
                <w:sz w:val="10"/>
                <w:szCs w:val="10"/>
                <w:color w:val="0000EE"/>
              </w:rPr>
            </w:pPr>
            <w:hyperlink r:id="rId212">
              <w:r>
                <w:rPr>
                  <w:rFonts w:ascii="Arial" w:cs="Arial" w:eastAsia="Arial" w:hAnsi="Arial"/>
                  <w:sz w:val="10"/>
                  <w:szCs w:val="10"/>
                  <w:color w:val="0000EE"/>
                </w:rPr>
                <w:t>and incorporated herein by reference.</w:t>
              </w:r>
            </w:hyperlink>
          </w:p>
        </w:tc>
        <w:tc>
          <w:tcPr>
            <w:tcW w:w="1400" w:type="dxa"/>
            <w:vAlign w:val="bottom"/>
            <w:tcBorders>
              <w:top w:val="single" w:sz="8" w:color="0000EE"/>
            </w:tcBorders>
          </w:tcPr>
          <w:p>
            <w:pPr>
              <w:jc w:val="right"/>
              <w:ind w:right="1214"/>
              <w:spacing w:after="0" w:line="79" w:lineRule="exact"/>
              <w:rPr>
                <w:rFonts w:ascii="Arial" w:cs="Arial" w:eastAsia="Arial" w:hAnsi="Arial"/>
                <w:sz w:val="9"/>
                <w:szCs w:val="9"/>
                <w:color w:val="0000EE"/>
              </w:rPr>
            </w:pPr>
            <w:hyperlink r:id="rId212">
              <w:r>
                <w:rPr>
                  <w:rFonts w:ascii="Arial" w:cs="Arial" w:eastAsia="Arial" w:hAnsi="Arial"/>
                  <w:sz w:val="9"/>
                  <w:szCs w:val="9"/>
                  <w:color w:val="0000EE"/>
                </w:rPr>
                <w:t>(1)</w:t>
              </w:r>
            </w:hyperlink>
          </w:p>
        </w:tc>
        <w:tc>
          <w:tcPr>
            <w:tcW w:w="4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9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gridSpan w:val="2"/>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10.5</w:t>
            </w:r>
          </w:p>
        </w:tc>
        <w:tc>
          <w:tcPr>
            <w:tcW w:w="10160" w:type="dxa"/>
            <w:vAlign w:val="bottom"/>
            <w:tcBorders>
              <w:bottom w:val="single" w:sz="8" w:color="0000EE"/>
            </w:tcBorders>
            <w:gridSpan w:val="16"/>
          </w:tcPr>
          <w:p>
            <w:pPr>
              <w:spacing w:after="0"/>
              <w:rPr>
                <w:rFonts w:ascii="Arial" w:cs="Arial" w:eastAsia="Arial" w:hAnsi="Arial"/>
                <w:sz w:val="11"/>
                <w:szCs w:val="11"/>
                <w:color w:val="0000EE"/>
                <w:w w:val="97"/>
              </w:rPr>
            </w:pPr>
            <w:hyperlink r:id="rId213">
              <w:r>
                <w:rPr>
                  <w:rFonts w:ascii="Arial" w:cs="Arial" w:eastAsia="Arial" w:hAnsi="Arial"/>
                  <w:sz w:val="11"/>
                  <w:szCs w:val="11"/>
                  <w:color w:val="0000EE"/>
                  <w:w w:val="97"/>
                </w:rPr>
                <w:t>Form of Non-Qualified Stock Option Agreement for Senior Executives filed as Exhibit 10.5 to the Company’s Quarterly Report on Form 10-Q for the quarter ended September 30, 2012, filed with the Commission on</w:t>
              </w:r>
            </w:hyperlink>
          </w:p>
        </w:tc>
        <w:tc>
          <w:tcPr>
            <w:tcW w:w="80" w:type="dxa"/>
            <w:vAlign w:val="bottom"/>
            <w:gridSpan w:val="2"/>
          </w:tcPr>
          <w:p>
            <w:pPr>
              <w:spacing w:after="0"/>
              <w:rPr>
                <w:sz w:val="17"/>
                <w:szCs w:val="17"/>
                <w:color w:val="auto"/>
              </w:rPr>
            </w:pPr>
          </w:p>
        </w:tc>
      </w:tr>
      <w:tr>
        <w:trPr>
          <w:trHeight w:val="95"/>
        </w:trPr>
        <w:tc>
          <w:tcPr>
            <w:tcW w:w="1060" w:type="dxa"/>
            <w:vAlign w:val="bottom"/>
          </w:tcPr>
          <w:p>
            <w:pPr>
              <w:spacing w:after="0"/>
              <w:rPr>
                <w:sz w:val="8"/>
                <w:szCs w:val="8"/>
                <w:color w:val="auto"/>
              </w:rPr>
            </w:pPr>
          </w:p>
        </w:tc>
        <w:tc>
          <w:tcPr>
            <w:tcW w:w="3720" w:type="dxa"/>
            <w:vAlign w:val="bottom"/>
            <w:tcBorders>
              <w:bottom w:val="single" w:sz="8" w:color="0000EE"/>
            </w:tcBorders>
            <w:gridSpan w:val="5"/>
          </w:tcPr>
          <w:p>
            <w:pPr>
              <w:spacing w:after="0" w:line="88" w:lineRule="exact"/>
              <w:rPr>
                <w:rFonts w:ascii="Arial" w:cs="Arial" w:eastAsia="Arial" w:hAnsi="Arial"/>
                <w:sz w:val="10"/>
                <w:szCs w:val="10"/>
                <w:color w:val="0000EE"/>
              </w:rPr>
            </w:pPr>
            <w:hyperlink r:id="rId213">
              <w:r>
                <w:rPr>
                  <w:rFonts w:ascii="Arial" w:cs="Arial" w:eastAsia="Arial" w:hAnsi="Arial"/>
                  <w:sz w:val="10"/>
                  <w:szCs w:val="10"/>
                  <w:color w:val="0000EE"/>
                </w:rPr>
                <w:t>November 8, 2012 (File No. 001-12984) and incorporated herein by reference.</w:t>
              </w:r>
            </w:hyperlink>
          </w:p>
        </w:tc>
        <w:tc>
          <w:tcPr>
            <w:tcW w:w="140" w:type="dxa"/>
            <w:vAlign w:val="bottom"/>
            <w:tcBorders>
              <w:bottom w:val="single" w:sz="8" w:color="0000EE"/>
            </w:tcBorders>
          </w:tcPr>
          <w:p>
            <w:pPr>
              <w:jc w:val="right"/>
              <w:spacing w:after="0" w:line="79" w:lineRule="exact"/>
              <w:rPr>
                <w:rFonts w:ascii="Arial" w:cs="Arial" w:eastAsia="Arial" w:hAnsi="Arial"/>
                <w:sz w:val="9"/>
                <w:szCs w:val="9"/>
                <w:color w:val="0000EE"/>
              </w:rPr>
            </w:pPr>
            <w:hyperlink r:id="rId213">
              <w:r>
                <w:rPr>
                  <w:rFonts w:ascii="Arial" w:cs="Arial" w:eastAsia="Arial" w:hAnsi="Arial"/>
                  <w:sz w:val="9"/>
                  <w:szCs w:val="9"/>
                  <w:color w:val="0000EE"/>
                </w:rPr>
                <w:t>(1)</w:t>
              </w:r>
            </w:hyperlink>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80" w:type="dxa"/>
            <w:vAlign w:val="bottom"/>
            <w:gridSpan w:val="3"/>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10.6</w:t>
            </w:r>
          </w:p>
        </w:tc>
        <w:tc>
          <w:tcPr>
            <w:tcW w:w="10240" w:type="dxa"/>
            <w:vAlign w:val="bottom"/>
            <w:gridSpan w:val="18"/>
          </w:tcPr>
          <w:p>
            <w:pPr>
              <w:spacing w:after="0"/>
              <w:rPr>
                <w:rFonts w:ascii="Arial" w:cs="Arial" w:eastAsia="Arial" w:hAnsi="Arial"/>
                <w:sz w:val="11"/>
                <w:szCs w:val="11"/>
                <w:color w:val="0000EE"/>
              </w:rPr>
            </w:pPr>
            <w:hyperlink r:id="rId214">
              <w:r>
                <w:rPr>
                  <w:rFonts w:ascii="Arial" w:cs="Arial" w:eastAsia="Arial" w:hAnsi="Arial"/>
                  <w:sz w:val="11"/>
                  <w:szCs w:val="11"/>
                  <w:color w:val="0000EE"/>
                </w:rPr>
                <w:t>Form of Non-Qualified Stock Option Agreement for Non-Employee Directors filed as Exhibit 10.7 to the Company’s Quarterly Report on Form 10-Q for the quarter ended September 30, 2012, filed with the</w:t>
              </w:r>
            </w:hyperlink>
          </w:p>
        </w:tc>
      </w:tr>
      <w:tr>
        <w:trPr>
          <w:trHeight w:val="95"/>
        </w:trPr>
        <w:tc>
          <w:tcPr>
            <w:tcW w:w="1060" w:type="dxa"/>
            <w:vAlign w:val="bottom"/>
          </w:tcPr>
          <w:p>
            <w:pPr>
              <w:spacing w:after="0"/>
              <w:rPr>
                <w:sz w:val="8"/>
                <w:szCs w:val="8"/>
                <w:color w:val="auto"/>
              </w:rPr>
            </w:pPr>
          </w:p>
        </w:tc>
        <w:tc>
          <w:tcPr>
            <w:tcW w:w="4500" w:type="dxa"/>
            <w:vAlign w:val="bottom"/>
            <w:tcBorders>
              <w:top w:val="single" w:sz="8" w:color="0000EE"/>
              <w:bottom w:val="single" w:sz="8" w:color="0000EE"/>
            </w:tcBorders>
            <w:gridSpan w:val="8"/>
          </w:tcPr>
          <w:p>
            <w:pPr>
              <w:spacing w:after="0" w:line="88" w:lineRule="exact"/>
              <w:rPr>
                <w:rFonts w:ascii="Arial" w:cs="Arial" w:eastAsia="Arial" w:hAnsi="Arial"/>
                <w:sz w:val="10"/>
                <w:szCs w:val="10"/>
                <w:color w:val="0000EE"/>
              </w:rPr>
            </w:pPr>
            <w:hyperlink r:id="rId214">
              <w:r>
                <w:rPr>
                  <w:rFonts w:ascii="Arial" w:cs="Arial" w:eastAsia="Arial" w:hAnsi="Arial"/>
                  <w:sz w:val="10"/>
                  <w:szCs w:val="10"/>
                  <w:color w:val="0000EE"/>
                </w:rPr>
                <w:t>Commission on November 8, 2012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9" w:lineRule="exact"/>
              <w:rPr>
                <w:rFonts w:ascii="Arial" w:cs="Arial" w:eastAsia="Arial" w:hAnsi="Arial"/>
                <w:sz w:val="9"/>
                <w:szCs w:val="9"/>
                <w:color w:val="0000EE"/>
              </w:rPr>
            </w:pPr>
            <w:hyperlink r:id="rId214">
              <w:r>
                <w:rPr>
                  <w:rFonts w:ascii="Arial" w:cs="Arial" w:eastAsia="Arial" w:hAnsi="Arial"/>
                  <w:sz w:val="9"/>
                  <w:szCs w:val="9"/>
                  <w:color w:val="0000EE"/>
                </w:rPr>
                <w:t>(1)</w:t>
              </w:r>
            </w:hyperlink>
          </w:p>
        </w:tc>
        <w:tc>
          <w:tcPr>
            <w:tcW w:w="120" w:type="dxa"/>
            <w:vAlign w:val="bottom"/>
            <w:tcBorders>
              <w:top w:val="single" w:sz="8" w:color="0000EE"/>
            </w:tcBorders>
          </w:tcPr>
          <w:p>
            <w:pPr>
              <w:spacing w:after="0"/>
              <w:rPr>
                <w:sz w:val="8"/>
                <w:szCs w:val="8"/>
                <w:color w:val="auto"/>
              </w:rPr>
            </w:pPr>
          </w:p>
        </w:tc>
        <w:tc>
          <w:tcPr>
            <w:tcW w:w="4920" w:type="dxa"/>
            <w:vAlign w:val="bottom"/>
            <w:tcBorders>
              <w:top w:val="single" w:sz="8" w:color="0000EE"/>
            </w:tcBorders>
          </w:tcPr>
          <w:p>
            <w:pPr>
              <w:spacing w:after="0"/>
              <w:rPr>
                <w:sz w:val="8"/>
                <w:szCs w:val="8"/>
                <w:color w:val="auto"/>
              </w:rPr>
            </w:pPr>
          </w:p>
        </w:tc>
        <w:tc>
          <w:tcPr>
            <w:tcW w:w="260" w:type="dxa"/>
            <w:vAlign w:val="bottom"/>
            <w:gridSpan w:val="2"/>
          </w:tcPr>
          <w:p>
            <w:pPr>
              <w:spacing w:after="0"/>
              <w:rPr>
                <w:sz w:val="8"/>
                <w:szCs w:val="8"/>
                <w:color w:val="auto"/>
              </w:rPr>
            </w:pPr>
          </w:p>
        </w:tc>
        <w:tc>
          <w:tcPr>
            <w:tcW w:w="280" w:type="dxa"/>
            <w:vAlign w:val="bottom"/>
            <w:gridSpan w:val="3"/>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10.7</w:t>
            </w:r>
          </w:p>
        </w:tc>
        <w:tc>
          <w:tcPr>
            <w:tcW w:w="10160" w:type="dxa"/>
            <w:vAlign w:val="bottom"/>
            <w:tcBorders>
              <w:bottom w:val="single" w:sz="8" w:color="0000EE"/>
            </w:tcBorders>
            <w:gridSpan w:val="16"/>
          </w:tcPr>
          <w:p>
            <w:pPr>
              <w:spacing w:after="0"/>
              <w:rPr>
                <w:rFonts w:ascii="Arial" w:cs="Arial" w:eastAsia="Arial" w:hAnsi="Arial"/>
                <w:sz w:val="11"/>
                <w:szCs w:val="11"/>
                <w:color w:val="0000EE"/>
                <w:w w:val="97"/>
              </w:rPr>
            </w:pPr>
            <w:hyperlink r:id="rId215">
              <w:r>
                <w:rPr>
                  <w:rFonts w:ascii="Arial" w:cs="Arial" w:eastAsia="Arial" w:hAnsi="Arial"/>
                  <w:sz w:val="11"/>
                  <w:szCs w:val="11"/>
                  <w:color w:val="0000EE"/>
                  <w:w w:val="97"/>
                </w:rPr>
                <w:t>Form of Non-Qualified Stock Option Agreement for Senior Executives filed as Exhibit 10.2 to the Company’s Quarterly Report on Form 10-Q for the quarter ended September 30, 2013, filed with the Commission on</w:t>
              </w:r>
            </w:hyperlink>
          </w:p>
        </w:tc>
        <w:tc>
          <w:tcPr>
            <w:tcW w:w="80" w:type="dxa"/>
            <w:vAlign w:val="bottom"/>
            <w:gridSpan w:val="2"/>
          </w:tcPr>
          <w:p>
            <w:pPr>
              <w:spacing w:after="0"/>
              <w:rPr>
                <w:sz w:val="17"/>
                <w:szCs w:val="17"/>
                <w:color w:val="auto"/>
              </w:rPr>
            </w:pPr>
          </w:p>
        </w:tc>
      </w:tr>
      <w:tr>
        <w:trPr>
          <w:trHeight w:val="95"/>
        </w:trPr>
        <w:tc>
          <w:tcPr>
            <w:tcW w:w="1060" w:type="dxa"/>
            <w:vAlign w:val="bottom"/>
          </w:tcPr>
          <w:p>
            <w:pPr>
              <w:spacing w:after="0"/>
              <w:rPr>
                <w:sz w:val="8"/>
                <w:szCs w:val="8"/>
                <w:color w:val="auto"/>
              </w:rPr>
            </w:pPr>
          </w:p>
        </w:tc>
        <w:tc>
          <w:tcPr>
            <w:tcW w:w="3720" w:type="dxa"/>
            <w:vAlign w:val="bottom"/>
            <w:tcBorders>
              <w:bottom w:val="single" w:sz="8" w:color="0000EE"/>
            </w:tcBorders>
            <w:gridSpan w:val="5"/>
          </w:tcPr>
          <w:p>
            <w:pPr>
              <w:spacing w:after="0" w:line="88" w:lineRule="exact"/>
              <w:rPr>
                <w:rFonts w:ascii="Arial" w:cs="Arial" w:eastAsia="Arial" w:hAnsi="Arial"/>
                <w:sz w:val="10"/>
                <w:szCs w:val="10"/>
                <w:color w:val="0000EE"/>
              </w:rPr>
            </w:pPr>
            <w:hyperlink r:id="rId215">
              <w:r>
                <w:rPr>
                  <w:rFonts w:ascii="Arial" w:cs="Arial" w:eastAsia="Arial" w:hAnsi="Arial"/>
                  <w:sz w:val="10"/>
                  <w:szCs w:val="10"/>
                  <w:color w:val="0000EE"/>
                </w:rPr>
                <w:t>November 7, 2013 (File No. 001-12984) and incorporated herein by reference.</w:t>
              </w:r>
            </w:hyperlink>
          </w:p>
        </w:tc>
        <w:tc>
          <w:tcPr>
            <w:tcW w:w="140" w:type="dxa"/>
            <w:vAlign w:val="bottom"/>
            <w:tcBorders>
              <w:bottom w:val="single" w:sz="8" w:color="0000EE"/>
            </w:tcBorders>
          </w:tcPr>
          <w:p>
            <w:pPr>
              <w:jc w:val="right"/>
              <w:spacing w:after="0" w:line="79" w:lineRule="exact"/>
              <w:rPr>
                <w:rFonts w:ascii="Arial" w:cs="Arial" w:eastAsia="Arial" w:hAnsi="Arial"/>
                <w:sz w:val="9"/>
                <w:szCs w:val="9"/>
                <w:color w:val="0000EE"/>
              </w:rPr>
            </w:pPr>
            <w:hyperlink r:id="rId215">
              <w:r>
                <w:rPr>
                  <w:rFonts w:ascii="Arial" w:cs="Arial" w:eastAsia="Arial" w:hAnsi="Arial"/>
                  <w:sz w:val="9"/>
                  <w:szCs w:val="9"/>
                  <w:color w:val="0000EE"/>
                </w:rPr>
                <w:t>(1)</w:t>
              </w:r>
            </w:hyperlink>
          </w:p>
        </w:tc>
        <w:tc>
          <w:tcPr>
            <w:tcW w:w="5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5180" w:type="dxa"/>
            <w:vAlign w:val="bottom"/>
            <w:gridSpan w:val="3"/>
          </w:tcPr>
          <w:p>
            <w:pPr>
              <w:spacing w:after="0"/>
              <w:rPr>
                <w:sz w:val="8"/>
                <w:szCs w:val="8"/>
                <w:color w:val="auto"/>
              </w:rPr>
            </w:pPr>
          </w:p>
        </w:tc>
        <w:tc>
          <w:tcPr>
            <w:tcW w:w="280" w:type="dxa"/>
            <w:vAlign w:val="bottom"/>
            <w:gridSpan w:val="3"/>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10.8</w:t>
            </w:r>
          </w:p>
        </w:tc>
        <w:tc>
          <w:tcPr>
            <w:tcW w:w="10240" w:type="dxa"/>
            <w:vAlign w:val="bottom"/>
            <w:gridSpan w:val="18"/>
          </w:tcPr>
          <w:p>
            <w:pPr>
              <w:spacing w:after="0"/>
              <w:rPr>
                <w:rFonts w:ascii="Arial" w:cs="Arial" w:eastAsia="Arial" w:hAnsi="Arial"/>
                <w:sz w:val="11"/>
                <w:szCs w:val="11"/>
                <w:color w:val="0000EE"/>
              </w:rPr>
            </w:pPr>
            <w:hyperlink r:id="rId216">
              <w:r>
                <w:rPr>
                  <w:rFonts w:ascii="Arial" w:cs="Arial" w:eastAsia="Arial" w:hAnsi="Arial"/>
                  <w:sz w:val="11"/>
                  <w:szCs w:val="11"/>
                  <w:color w:val="0000EE"/>
                </w:rPr>
                <w:t>Form of Restricted Stock Agreement for Non-Employee Directors filed as Exhibit 10.5 to the Company’s Quarterly Report on Form 10-Q for the quarter ended September 30, 2013, filed with the Commission on</w:t>
              </w:r>
            </w:hyperlink>
          </w:p>
        </w:tc>
      </w:tr>
      <w:tr>
        <w:trPr>
          <w:trHeight w:val="95"/>
        </w:trPr>
        <w:tc>
          <w:tcPr>
            <w:tcW w:w="1060" w:type="dxa"/>
            <w:vAlign w:val="bottom"/>
          </w:tcPr>
          <w:p>
            <w:pPr>
              <w:spacing w:after="0"/>
              <w:rPr>
                <w:sz w:val="8"/>
                <w:szCs w:val="8"/>
                <w:color w:val="auto"/>
              </w:rPr>
            </w:pPr>
          </w:p>
        </w:tc>
        <w:tc>
          <w:tcPr>
            <w:tcW w:w="3720" w:type="dxa"/>
            <w:vAlign w:val="bottom"/>
            <w:tcBorders>
              <w:top w:val="single" w:sz="8" w:color="0000EE"/>
              <w:bottom w:val="single" w:sz="8" w:color="0000EE"/>
            </w:tcBorders>
            <w:gridSpan w:val="5"/>
          </w:tcPr>
          <w:p>
            <w:pPr>
              <w:spacing w:after="0" w:line="88" w:lineRule="exact"/>
              <w:rPr>
                <w:rFonts w:ascii="Arial" w:cs="Arial" w:eastAsia="Arial" w:hAnsi="Arial"/>
                <w:sz w:val="10"/>
                <w:szCs w:val="10"/>
                <w:color w:val="0000EE"/>
              </w:rPr>
            </w:pPr>
            <w:hyperlink r:id="rId216">
              <w:r>
                <w:rPr>
                  <w:rFonts w:ascii="Arial" w:cs="Arial" w:eastAsia="Arial" w:hAnsi="Arial"/>
                  <w:sz w:val="10"/>
                  <w:szCs w:val="10"/>
                  <w:color w:val="0000EE"/>
                </w:rPr>
                <w:t>November 7, 2013 (File No. 001-12984) and incorporated herein by 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16">
              <w:r>
                <w:rPr>
                  <w:rFonts w:ascii="Arial" w:cs="Arial" w:eastAsia="Arial" w:hAnsi="Arial"/>
                  <w:sz w:val="9"/>
                  <w:szCs w:val="9"/>
                  <w:color w:val="0000EE"/>
                </w:rPr>
                <w:t>(1)</w:t>
              </w:r>
            </w:hyperlink>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gridSpan w:val="2"/>
          </w:tcPr>
          <w:p>
            <w:pPr>
              <w:spacing w:after="0"/>
              <w:rPr>
                <w:sz w:val="8"/>
                <w:szCs w:val="8"/>
                <w:color w:val="auto"/>
              </w:rPr>
            </w:pPr>
          </w:p>
        </w:tc>
        <w:tc>
          <w:tcPr>
            <w:tcW w:w="140" w:type="dxa"/>
            <w:vAlign w:val="bottom"/>
            <w:tcBorders>
              <w:top w:val="single" w:sz="8" w:color="0000EE"/>
            </w:tcBorders>
            <w:gridSpan w:val="2"/>
          </w:tcPr>
          <w:p>
            <w:pPr>
              <w:spacing w:after="0"/>
              <w:rPr>
                <w:sz w:val="8"/>
                <w:szCs w:val="8"/>
                <w:color w:val="auto"/>
              </w:rPr>
            </w:pPr>
          </w:p>
        </w:tc>
        <w:tc>
          <w:tcPr>
            <w:tcW w:w="5180" w:type="dxa"/>
            <w:vAlign w:val="bottom"/>
            <w:tcBorders>
              <w:top w:val="single" w:sz="8" w:color="0000EE"/>
            </w:tcBorders>
            <w:gridSpan w:val="3"/>
          </w:tcPr>
          <w:p>
            <w:pPr>
              <w:spacing w:after="0"/>
              <w:rPr>
                <w:sz w:val="8"/>
                <w:szCs w:val="8"/>
                <w:color w:val="auto"/>
              </w:rPr>
            </w:pPr>
          </w:p>
        </w:tc>
        <w:tc>
          <w:tcPr>
            <w:tcW w:w="280" w:type="dxa"/>
            <w:vAlign w:val="bottom"/>
            <w:gridSpan w:val="3"/>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10.9</w:t>
            </w:r>
          </w:p>
        </w:tc>
        <w:tc>
          <w:tcPr>
            <w:tcW w:w="10160" w:type="dxa"/>
            <w:vAlign w:val="bottom"/>
            <w:tcBorders>
              <w:bottom w:val="single" w:sz="8" w:color="0000EE"/>
            </w:tcBorders>
            <w:gridSpan w:val="16"/>
          </w:tcPr>
          <w:p>
            <w:pPr>
              <w:spacing w:after="0"/>
              <w:rPr>
                <w:rFonts w:ascii="Arial" w:cs="Arial" w:eastAsia="Arial" w:hAnsi="Arial"/>
                <w:sz w:val="11"/>
                <w:szCs w:val="11"/>
                <w:color w:val="0000EE"/>
                <w:w w:val="97"/>
              </w:rPr>
            </w:pPr>
            <w:hyperlink r:id="rId217">
              <w:r>
                <w:rPr>
                  <w:rFonts w:ascii="Arial" w:cs="Arial" w:eastAsia="Arial" w:hAnsi="Arial"/>
                  <w:sz w:val="11"/>
                  <w:szCs w:val="11"/>
                  <w:color w:val="0000EE"/>
                  <w:w w:val="97"/>
                </w:rPr>
                <w:t>Form of Non-Qualified Stock Option Agreement for Senior Executives filed as Exhibit 10.2 to the Company’s Quarterly Report on Form 10-Q for the quarter ended September 30, 2014, filed with the Commission on</w:t>
              </w:r>
            </w:hyperlink>
          </w:p>
        </w:tc>
        <w:tc>
          <w:tcPr>
            <w:tcW w:w="80" w:type="dxa"/>
            <w:vAlign w:val="bottom"/>
            <w:gridSpan w:val="2"/>
          </w:tcPr>
          <w:p>
            <w:pPr>
              <w:spacing w:after="0"/>
              <w:rPr>
                <w:sz w:val="17"/>
                <w:szCs w:val="17"/>
                <w:color w:val="auto"/>
              </w:rPr>
            </w:pPr>
          </w:p>
        </w:tc>
      </w:tr>
      <w:tr>
        <w:trPr>
          <w:trHeight w:val="95"/>
        </w:trPr>
        <w:tc>
          <w:tcPr>
            <w:tcW w:w="1060" w:type="dxa"/>
            <w:vAlign w:val="bottom"/>
          </w:tcPr>
          <w:p>
            <w:pPr>
              <w:spacing w:after="0"/>
              <w:rPr>
                <w:sz w:val="8"/>
                <w:szCs w:val="8"/>
                <w:color w:val="auto"/>
              </w:rPr>
            </w:pPr>
          </w:p>
        </w:tc>
        <w:tc>
          <w:tcPr>
            <w:tcW w:w="3720" w:type="dxa"/>
            <w:vAlign w:val="bottom"/>
            <w:tcBorders>
              <w:bottom w:val="single" w:sz="8" w:color="0000EE"/>
            </w:tcBorders>
            <w:gridSpan w:val="5"/>
          </w:tcPr>
          <w:p>
            <w:pPr>
              <w:spacing w:after="0" w:line="88" w:lineRule="exact"/>
              <w:rPr>
                <w:rFonts w:ascii="Arial" w:cs="Arial" w:eastAsia="Arial" w:hAnsi="Arial"/>
                <w:sz w:val="10"/>
                <w:szCs w:val="10"/>
                <w:color w:val="0000EE"/>
              </w:rPr>
            </w:pPr>
            <w:hyperlink r:id="rId217">
              <w:r>
                <w:rPr>
                  <w:rFonts w:ascii="Arial" w:cs="Arial" w:eastAsia="Arial" w:hAnsi="Arial"/>
                  <w:sz w:val="10"/>
                  <w:szCs w:val="10"/>
                  <w:color w:val="0000EE"/>
                </w:rPr>
                <w:t>November 5, 2014 (File No. 001-12984) and incorporated herein by reference.</w:t>
              </w:r>
            </w:hyperlink>
          </w:p>
        </w:tc>
        <w:tc>
          <w:tcPr>
            <w:tcW w:w="140" w:type="dxa"/>
            <w:vAlign w:val="bottom"/>
            <w:tcBorders>
              <w:bottom w:val="single" w:sz="8" w:color="0000EE"/>
            </w:tcBorders>
          </w:tcPr>
          <w:p>
            <w:pPr>
              <w:jc w:val="right"/>
              <w:spacing w:after="0" w:line="79" w:lineRule="exact"/>
              <w:rPr>
                <w:rFonts w:ascii="Arial" w:cs="Arial" w:eastAsia="Arial" w:hAnsi="Arial"/>
                <w:sz w:val="9"/>
                <w:szCs w:val="9"/>
                <w:color w:val="0000EE"/>
              </w:rPr>
            </w:pPr>
            <w:hyperlink r:id="rId217">
              <w:r>
                <w:rPr>
                  <w:rFonts w:ascii="Arial" w:cs="Arial" w:eastAsia="Arial" w:hAnsi="Arial"/>
                  <w:sz w:val="9"/>
                  <w:szCs w:val="9"/>
                  <w:color w:val="0000EE"/>
                </w:rPr>
                <w:t>(1)</w:t>
              </w:r>
            </w:hyperlink>
          </w:p>
        </w:tc>
        <w:tc>
          <w:tcPr>
            <w:tcW w:w="5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5460" w:type="dxa"/>
            <w:vAlign w:val="bottom"/>
            <w:gridSpan w:val="6"/>
          </w:tcPr>
          <w:p>
            <w:pPr>
              <w:spacing w:after="0"/>
              <w:rPr>
                <w:sz w:val="8"/>
                <w:szCs w:val="8"/>
                <w:color w:val="auto"/>
              </w:rPr>
            </w:pPr>
          </w:p>
        </w:tc>
        <w:tc>
          <w:tcPr>
            <w:tcW w:w="20" w:type="dxa"/>
            <w:vAlign w:val="bottom"/>
          </w:tcPr>
          <w:p>
            <w:pPr>
              <w:spacing w:after="0"/>
              <w:rPr>
                <w:sz w:val="8"/>
                <w:szCs w:val="8"/>
                <w:color w:val="auto"/>
              </w:rPr>
            </w:pPr>
          </w:p>
        </w:tc>
      </w:tr>
      <w:tr>
        <w:trPr>
          <w:trHeight w:val="279"/>
        </w:trPr>
        <w:tc>
          <w:tcPr>
            <w:tcW w:w="1060" w:type="dxa"/>
            <w:vAlign w:val="bottom"/>
          </w:tcPr>
          <w:p>
            <w:pPr>
              <w:spacing w:after="0"/>
              <w:rPr>
                <w:sz w:val="20"/>
                <w:szCs w:val="20"/>
                <w:color w:val="auto"/>
              </w:rPr>
            </w:pPr>
            <w:r>
              <w:rPr>
                <w:rFonts w:ascii="Arial" w:cs="Arial" w:eastAsia="Arial" w:hAnsi="Arial"/>
                <w:sz w:val="11"/>
                <w:szCs w:val="11"/>
                <w:color w:val="auto"/>
              </w:rPr>
              <w:t>10.9(a)</w:t>
            </w:r>
          </w:p>
        </w:tc>
        <w:tc>
          <w:tcPr>
            <w:tcW w:w="10240" w:type="dxa"/>
            <w:vAlign w:val="bottom"/>
            <w:gridSpan w:val="18"/>
          </w:tcPr>
          <w:p>
            <w:pPr>
              <w:spacing w:after="0"/>
              <w:rPr>
                <w:rFonts w:ascii="Arial" w:cs="Arial" w:eastAsia="Arial" w:hAnsi="Arial"/>
                <w:sz w:val="11"/>
                <w:szCs w:val="11"/>
                <w:color w:val="0000EE"/>
              </w:rPr>
            </w:pPr>
            <w:hyperlink r:id="rId218">
              <w:r>
                <w:rPr>
                  <w:rFonts w:ascii="Arial" w:cs="Arial" w:eastAsia="Arial" w:hAnsi="Arial"/>
                  <w:sz w:val="11"/>
                  <w:szCs w:val="11"/>
                  <w:color w:val="0000EE"/>
                </w:rPr>
                <w:t>Form of Non-Qualified Stock Option Agreement for Non-Employee Directors filed as Exhibit 10.4 to the Company’s Quarterly Report on Form 10-Q for the quarter ended September 30, 2014, filed with the</w:t>
              </w:r>
            </w:hyperlink>
          </w:p>
        </w:tc>
      </w:tr>
      <w:tr>
        <w:trPr>
          <w:trHeight w:val="95"/>
        </w:trPr>
        <w:tc>
          <w:tcPr>
            <w:tcW w:w="1060" w:type="dxa"/>
            <w:vAlign w:val="bottom"/>
          </w:tcPr>
          <w:p>
            <w:pPr>
              <w:spacing w:after="0"/>
              <w:rPr>
                <w:sz w:val="8"/>
                <w:szCs w:val="8"/>
                <w:color w:val="auto"/>
              </w:rPr>
            </w:pPr>
          </w:p>
        </w:tc>
        <w:tc>
          <w:tcPr>
            <w:tcW w:w="4500" w:type="dxa"/>
            <w:vAlign w:val="bottom"/>
            <w:tcBorders>
              <w:top w:val="single" w:sz="8" w:color="0000EE"/>
              <w:bottom w:val="single" w:sz="8" w:color="0000EE"/>
            </w:tcBorders>
            <w:gridSpan w:val="8"/>
          </w:tcPr>
          <w:p>
            <w:pPr>
              <w:spacing w:after="0" w:line="88" w:lineRule="exact"/>
              <w:rPr>
                <w:rFonts w:ascii="Arial" w:cs="Arial" w:eastAsia="Arial" w:hAnsi="Arial"/>
                <w:sz w:val="10"/>
                <w:szCs w:val="10"/>
                <w:color w:val="0000EE"/>
              </w:rPr>
            </w:pPr>
            <w:hyperlink r:id="rId218">
              <w:r>
                <w:rPr>
                  <w:rFonts w:ascii="Arial" w:cs="Arial" w:eastAsia="Arial" w:hAnsi="Arial"/>
                  <w:sz w:val="10"/>
                  <w:szCs w:val="10"/>
                  <w:color w:val="0000EE"/>
                </w:rPr>
                <w:t>Commission on November 5, 2014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9" w:lineRule="exact"/>
              <w:rPr>
                <w:rFonts w:ascii="Arial" w:cs="Arial" w:eastAsia="Arial" w:hAnsi="Arial"/>
                <w:sz w:val="9"/>
                <w:szCs w:val="9"/>
                <w:color w:val="0000EE"/>
              </w:rPr>
            </w:pPr>
            <w:hyperlink r:id="rId218">
              <w:r>
                <w:rPr>
                  <w:rFonts w:ascii="Arial" w:cs="Arial" w:eastAsia="Arial" w:hAnsi="Arial"/>
                  <w:sz w:val="9"/>
                  <w:szCs w:val="9"/>
                  <w:color w:val="0000EE"/>
                </w:rPr>
                <w:t>(1)</w:t>
              </w:r>
            </w:hyperlink>
          </w:p>
        </w:tc>
        <w:tc>
          <w:tcPr>
            <w:tcW w:w="120" w:type="dxa"/>
            <w:vAlign w:val="bottom"/>
            <w:tcBorders>
              <w:top w:val="single" w:sz="8" w:color="0000EE"/>
              <w:bottom w:val="single" w:sz="8" w:color="0000EE"/>
            </w:tcBorders>
          </w:tcPr>
          <w:p>
            <w:pPr>
              <w:spacing w:after="0"/>
              <w:rPr>
                <w:sz w:val="8"/>
                <w:szCs w:val="8"/>
                <w:color w:val="auto"/>
              </w:rPr>
            </w:pPr>
          </w:p>
        </w:tc>
        <w:tc>
          <w:tcPr>
            <w:tcW w:w="4920" w:type="dxa"/>
            <w:vAlign w:val="bottom"/>
            <w:tcBorders>
              <w:top w:val="single" w:sz="8" w:color="0000EE"/>
            </w:tcBorders>
          </w:tcPr>
          <w:p>
            <w:pPr>
              <w:spacing w:after="0"/>
              <w:rPr>
                <w:sz w:val="8"/>
                <w:szCs w:val="8"/>
                <w:color w:val="auto"/>
              </w:rPr>
            </w:pPr>
          </w:p>
        </w:tc>
        <w:tc>
          <w:tcPr>
            <w:tcW w:w="540" w:type="dxa"/>
            <w:vAlign w:val="bottom"/>
            <w:gridSpan w:val="5"/>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10.9(b)</w:t>
            </w:r>
          </w:p>
        </w:tc>
        <w:tc>
          <w:tcPr>
            <w:tcW w:w="10240" w:type="dxa"/>
            <w:vAlign w:val="bottom"/>
            <w:gridSpan w:val="18"/>
          </w:tcPr>
          <w:p>
            <w:pPr>
              <w:spacing w:after="0"/>
              <w:rPr>
                <w:rFonts w:ascii="Arial" w:cs="Arial" w:eastAsia="Arial" w:hAnsi="Arial"/>
                <w:sz w:val="11"/>
                <w:szCs w:val="11"/>
                <w:color w:val="0000EE"/>
              </w:rPr>
            </w:pPr>
            <w:hyperlink r:id="rId219">
              <w:r>
                <w:rPr>
                  <w:rFonts w:ascii="Arial" w:cs="Arial" w:eastAsia="Arial" w:hAnsi="Arial"/>
                  <w:sz w:val="11"/>
                  <w:szCs w:val="11"/>
                  <w:color w:val="0000EE"/>
                </w:rPr>
                <w:t>Form of Restricted Stock Agreement for Non-Employee Directors filed as Exhibit 10.5 to the Company’s Quarterly Report on Form 10-Q for the quarter ended September 30, 2014, filed with the Commission on</w:t>
              </w:r>
            </w:hyperlink>
          </w:p>
        </w:tc>
      </w:tr>
      <w:tr>
        <w:trPr>
          <w:trHeight w:val="95"/>
        </w:trPr>
        <w:tc>
          <w:tcPr>
            <w:tcW w:w="1060" w:type="dxa"/>
            <w:vAlign w:val="bottom"/>
          </w:tcPr>
          <w:p>
            <w:pPr>
              <w:spacing w:after="0"/>
              <w:rPr>
                <w:sz w:val="8"/>
                <w:szCs w:val="8"/>
                <w:color w:val="auto"/>
              </w:rPr>
            </w:pPr>
          </w:p>
        </w:tc>
        <w:tc>
          <w:tcPr>
            <w:tcW w:w="3720" w:type="dxa"/>
            <w:vAlign w:val="bottom"/>
            <w:tcBorders>
              <w:top w:val="single" w:sz="8" w:color="0000EE"/>
              <w:bottom w:val="single" w:sz="8" w:color="0000EE"/>
            </w:tcBorders>
            <w:gridSpan w:val="5"/>
          </w:tcPr>
          <w:p>
            <w:pPr>
              <w:spacing w:after="0" w:line="88" w:lineRule="exact"/>
              <w:rPr>
                <w:rFonts w:ascii="Arial" w:cs="Arial" w:eastAsia="Arial" w:hAnsi="Arial"/>
                <w:sz w:val="10"/>
                <w:szCs w:val="10"/>
                <w:color w:val="0000EE"/>
              </w:rPr>
            </w:pPr>
            <w:hyperlink r:id="rId219">
              <w:r>
                <w:rPr>
                  <w:rFonts w:ascii="Arial" w:cs="Arial" w:eastAsia="Arial" w:hAnsi="Arial"/>
                  <w:sz w:val="10"/>
                  <w:szCs w:val="10"/>
                  <w:color w:val="0000EE"/>
                </w:rPr>
                <w:t>November 5, 2014 (File No. 001-12984) and incorporated herein by 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19">
              <w:r>
                <w:rPr>
                  <w:rFonts w:ascii="Arial" w:cs="Arial" w:eastAsia="Arial" w:hAnsi="Arial"/>
                  <w:sz w:val="9"/>
                  <w:szCs w:val="9"/>
                  <w:color w:val="0000EE"/>
                </w:rPr>
                <w:t>(1)</w:t>
              </w:r>
            </w:hyperlink>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gridSpan w:val="2"/>
          </w:tcPr>
          <w:p>
            <w:pPr>
              <w:spacing w:after="0"/>
              <w:rPr>
                <w:sz w:val="8"/>
                <w:szCs w:val="8"/>
                <w:color w:val="auto"/>
              </w:rPr>
            </w:pPr>
          </w:p>
        </w:tc>
        <w:tc>
          <w:tcPr>
            <w:tcW w:w="140" w:type="dxa"/>
            <w:vAlign w:val="bottom"/>
            <w:tcBorders>
              <w:top w:val="single" w:sz="8" w:color="0000EE"/>
            </w:tcBorders>
            <w:gridSpan w:val="2"/>
          </w:tcPr>
          <w:p>
            <w:pPr>
              <w:spacing w:after="0"/>
              <w:rPr>
                <w:sz w:val="8"/>
                <w:szCs w:val="8"/>
                <w:color w:val="auto"/>
              </w:rPr>
            </w:pPr>
          </w:p>
        </w:tc>
        <w:tc>
          <w:tcPr>
            <w:tcW w:w="5180" w:type="dxa"/>
            <w:vAlign w:val="bottom"/>
            <w:tcBorders>
              <w:top w:val="single" w:sz="8" w:color="0000EE"/>
            </w:tcBorders>
            <w:gridSpan w:val="3"/>
          </w:tcPr>
          <w:p>
            <w:pPr>
              <w:spacing w:after="0"/>
              <w:rPr>
                <w:sz w:val="8"/>
                <w:szCs w:val="8"/>
                <w:color w:val="auto"/>
              </w:rPr>
            </w:pPr>
          </w:p>
        </w:tc>
        <w:tc>
          <w:tcPr>
            <w:tcW w:w="280" w:type="dxa"/>
            <w:vAlign w:val="bottom"/>
            <w:gridSpan w:val="3"/>
          </w:tcPr>
          <w:p>
            <w:pPr>
              <w:spacing w:after="0"/>
              <w:rPr>
                <w:sz w:val="8"/>
                <w:szCs w:val="8"/>
                <w:color w:val="auto"/>
              </w:rPr>
            </w:pPr>
          </w:p>
        </w:tc>
        <w:tc>
          <w:tcPr>
            <w:tcW w:w="2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10.10</w:t>
            </w:r>
          </w:p>
        </w:tc>
        <w:tc>
          <w:tcPr>
            <w:tcW w:w="10240" w:type="dxa"/>
            <w:vAlign w:val="bottom"/>
            <w:gridSpan w:val="18"/>
          </w:tcPr>
          <w:p>
            <w:pPr>
              <w:spacing w:after="0"/>
              <w:rPr>
                <w:rFonts w:ascii="Arial" w:cs="Arial" w:eastAsia="Arial" w:hAnsi="Arial"/>
                <w:sz w:val="11"/>
                <w:szCs w:val="11"/>
                <w:color w:val="0000EE"/>
                <w:w w:val="97"/>
              </w:rPr>
            </w:pPr>
            <w:hyperlink r:id="rId220">
              <w:r>
                <w:rPr>
                  <w:rFonts w:ascii="Arial" w:cs="Arial" w:eastAsia="Arial" w:hAnsi="Arial"/>
                  <w:sz w:val="11"/>
                  <w:szCs w:val="11"/>
                  <w:color w:val="0000EE"/>
                  <w:w w:val="97"/>
                </w:rPr>
                <w:t>Form of Non-Qualified Stock Option Agreement for Senior Executives filed as Exhibit 10.6 to the Company’s Quarterly Report on Form 10-Q for the quarter ended June 30, 2015, filed with the Commission on August</w:t>
              </w:r>
            </w:hyperlink>
          </w:p>
        </w:tc>
      </w:tr>
      <w:tr>
        <w:trPr>
          <w:trHeight w:val="97"/>
        </w:trPr>
        <w:tc>
          <w:tcPr>
            <w:tcW w:w="1060" w:type="dxa"/>
            <w:vAlign w:val="bottom"/>
          </w:tcPr>
          <w:p>
            <w:pPr>
              <w:spacing w:after="0"/>
              <w:rPr>
                <w:sz w:val="8"/>
                <w:szCs w:val="8"/>
                <w:color w:val="auto"/>
              </w:rPr>
            </w:pPr>
          </w:p>
        </w:tc>
        <w:tc>
          <w:tcPr>
            <w:tcW w:w="3200" w:type="dxa"/>
            <w:vAlign w:val="bottom"/>
            <w:tcBorders>
              <w:top w:val="single" w:sz="8" w:color="0000EE"/>
              <w:bottom w:val="single" w:sz="8" w:color="0000EE"/>
            </w:tcBorders>
            <w:gridSpan w:val="3"/>
          </w:tcPr>
          <w:p>
            <w:pPr>
              <w:spacing w:after="0" w:line="88" w:lineRule="exact"/>
              <w:rPr>
                <w:rFonts w:ascii="Arial" w:cs="Arial" w:eastAsia="Arial" w:hAnsi="Arial"/>
                <w:sz w:val="10"/>
                <w:szCs w:val="10"/>
                <w:color w:val="0000EE"/>
              </w:rPr>
            </w:pPr>
            <w:hyperlink r:id="rId220">
              <w:r>
                <w:rPr>
                  <w:rFonts w:ascii="Arial" w:cs="Arial" w:eastAsia="Arial" w:hAnsi="Arial"/>
                  <w:sz w:val="10"/>
                  <w:szCs w:val="10"/>
                  <w:color w:val="0000EE"/>
                </w:rPr>
                <w:t>4, 2015 (File No. 001-12984) and incorporated herein by reference.</w:t>
              </w:r>
            </w:hyperlink>
          </w:p>
        </w:tc>
        <w:tc>
          <w:tcPr>
            <w:tcW w:w="480" w:type="dxa"/>
            <w:vAlign w:val="bottom"/>
            <w:tcBorders>
              <w:top w:val="single" w:sz="8" w:color="0000EE"/>
            </w:tcBorders>
          </w:tcPr>
          <w:p>
            <w:pPr>
              <w:jc w:val="right"/>
              <w:ind w:right="294"/>
              <w:spacing w:after="0" w:line="79" w:lineRule="exact"/>
              <w:rPr>
                <w:rFonts w:ascii="Arial" w:cs="Arial" w:eastAsia="Arial" w:hAnsi="Arial"/>
                <w:sz w:val="9"/>
                <w:szCs w:val="9"/>
                <w:color w:val="0000EE"/>
              </w:rPr>
            </w:pPr>
            <w:hyperlink r:id="rId220">
              <w:r>
                <w:rPr>
                  <w:rFonts w:ascii="Arial" w:cs="Arial" w:eastAsia="Arial" w:hAnsi="Arial"/>
                  <w:sz w:val="9"/>
                  <w:szCs w:val="9"/>
                  <w:color w:val="0000EE"/>
                </w:rPr>
                <w:t>(1)</w:t>
              </w:r>
            </w:hyperlink>
          </w:p>
        </w:tc>
        <w:tc>
          <w:tcPr>
            <w:tcW w:w="180" w:type="dxa"/>
            <w:vAlign w:val="bottom"/>
            <w:tcBorders>
              <w:top w:val="single" w:sz="8" w:color="0000EE"/>
            </w:tcBorders>
            <w:gridSpan w:val="2"/>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gridSpan w:val="2"/>
          </w:tcPr>
          <w:p>
            <w:pPr>
              <w:spacing w:after="0"/>
              <w:rPr>
                <w:sz w:val="8"/>
                <w:szCs w:val="8"/>
                <w:color w:val="auto"/>
              </w:rPr>
            </w:pPr>
          </w:p>
        </w:tc>
        <w:tc>
          <w:tcPr>
            <w:tcW w:w="140" w:type="dxa"/>
            <w:vAlign w:val="bottom"/>
            <w:tcBorders>
              <w:top w:val="single" w:sz="8" w:color="0000EE"/>
            </w:tcBorders>
            <w:gridSpan w:val="2"/>
          </w:tcPr>
          <w:p>
            <w:pPr>
              <w:spacing w:after="0"/>
              <w:rPr>
                <w:sz w:val="8"/>
                <w:szCs w:val="8"/>
                <w:color w:val="auto"/>
              </w:rPr>
            </w:pPr>
          </w:p>
        </w:tc>
        <w:tc>
          <w:tcPr>
            <w:tcW w:w="5460" w:type="dxa"/>
            <w:vAlign w:val="bottom"/>
            <w:tcBorders>
              <w:top w:val="single" w:sz="8" w:color="0000EE"/>
            </w:tcBorders>
            <w:gridSpan w:val="6"/>
          </w:tcPr>
          <w:p>
            <w:pPr>
              <w:spacing w:after="0"/>
              <w:rPr>
                <w:sz w:val="8"/>
                <w:szCs w:val="8"/>
                <w:color w:val="auto"/>
              </w:rPr>
            </w:pPr>
          </w:p>
        </w:tc>
        <w:tc>
          <w:tcPr>
            <w:tcW w:w="2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10.10(a)</w:t>
            </w:r>
          </w:p>
        </w:tc>
        <w:tc>
          <w:tcPr>
            <w:tcW w:w="10240" w:type="dxa"/>
            <w:vAlign w:val="bottom"/>
            <w:gridSpan w:val="18"/>
          </w:tcPr>
          <w:p>
            <w:pPr>
              <w:spacing w:after="0"/>
              <w:rPr>
                <w:rFonts w:ascii="Arial" w:cs="Arial" w:eastAsia="Arial" w:hAnsi="Arial"/>
                <w:sz w:val="11"/>
                <w:szCs w:val="11"/>
                <w:color w:val="0000EE"/>
              </w:rPr>
            </w:pPr>
            <w:hyperlink r:id="rId221">
              <w:r>
                <w:rPr>
                  <w:rFonts w:ascii="Arial" w:cs="Arial" w:eastAsia="Arial" w:hAnsi="Arial"/>
                  <w:sz w:val="11"/>
                  <w:szCs w:val="11"/>
                  <w:color w:val="0000EE"/>
                </w:rPr>
                <w:t>Form of Non-Qualified Stock Option Agreement for Non-Employee Directors filed as Exhibit 10.2 to the Company’s Quarterly Report on Form 10-Q for the quarter ended September 30, 2015, filed with the</w:t>
              </w:r>
            </w:hyperlink>
          </w:p>
        </w:tc>
      </w:tr>
      <w:tr>
        <w:trPr>
          <w:trHeight w:val="97"/>
        </w:trPr>
        <w:tc>
          <w:tcPr>
            <w:tcW w:w="1060" w:type="dxa"/>
            <w:vAlign w:val="bottom"/>
          </w:tcPr>
          <w:p>
            <w:pPr>
              <w:spacing w:after="0"/>
              <w:rPr>
                <w:sz w:val="8"/>
                <w:szCs w:val="8"/>
                <w:color w:val="auto"/>
              </w:rPr>
            </w:pPr>
          </w:p>
        </w:tc>
        <w:tc>
          <w:tcPr>
            <w:tcW w:w="444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21">
              <w:r>
                <w:rPr>
                  <w:rFonts w:ascii="Arial" w:cs="Arial" w:eastAsia="Arial" w:hAnsi="Arial"/>
                  <w:sz w:val="10"/>
                  <w:szCs w:val="10"/>
                  <w:color w:val="0000EE"/>
                </w:rPr>
                <w:t>Commission on October 27, 2015 (File No. 001-12984) and incorporated herein by reference.</w:t>
              </w:r>
            </w:hyperlink>
          </w:p>
        </w:tc>
        <w:tc>
          <w:tcPr>
            <w:tcW w:w="180" w:type="dxa"/>
            <w:vAlign w:val="bottom"/>
            <w:tcBorders>
              <w:top w:val="single" w:sz="8" w:color="0000EE"/>
            </w:tcBorders>
            <w:gridSpan w:val="2"/>
          </w:tcPr>
          <w:p>
            <w:pPr>
              <w:jc w:val="right"/>
              <w:spacing w:after="0" w:line="79" w:lineRule="exact"/>
              <w:rPr>
                <w:rFonts w:ascii="Arial" w:cs="Arial" w:eastAsia="Arial" w:hAnsi="Arial"/>
                <w:sz w:val="9"/>
                <w:szCs w:val="9"/>
                <w:color w:val="0000EE"/>
              </w:rPr>
            </w:pPr>
            <w:hyperlink r:id="rId221">
              <w:r>
                <w:rPr>
                  <w:rFonts w:ascii="Arial" w:cs="Arial" w:eastAsia="Arial" w:hAnsi="Arial"/>
                  <w:sz w:val="9"/>
                  <w:szCs w:val="9"/>
                  <w:color w:val="0000EE"/>
                </w:rPr>
                <w:t>(1)</w:t>
              </w:r>
            </w:hyperlink>
          </w:p>
        </w:tc>
        <w:tc>
          <w:tcPr>
            <w:tcW w:w="140" w:type="dxa"/>
            <w:vAlign w:val="bottom"/>
            <w:tcBorders>
              <w:top w:val="single" w:sz="8" w:color="0000EE"/>
            </w:tcBorders>
            <w:gridSpan w:val="2"/>
          </w:tcPr>
          <w:p>
            <w:pPr>
              <w:spacing w:after="0"/>
              <w:rPr>
                <w:sz w:val="8"/>
                <w:szCs w:val="8"/>
                <w:color w:val="auto"/>
              </w:rPr>
            </w:pPr>
          </w:p>
        </w:tc>
        <w:tc>
          <w:tcPr>
            <w:tcW w:w="4920" w:type="dxa"/>
            <w:vAlign w:val="bottom"/>
            <w:tcBorders>
              <w:top w:val="single" w:sz="8" w:color="0000EE"/>
            </w:tcBorders>
          </w:tcPr>
          <w:p>
            <w:pPr>
              <w:spacing w:after="0"/>
              <w:rPr>
                <w:sz w:val="8"/>
                <w:szCs w:val="8"/>
                <w:color w:val="auto"/>
              </w:rPr>
            </w:pPr>
          </w:p>
        </w:tc>
        <w:tc>
          <w:tcPr>
            <w:tcW w:w="560" w:type="dxa"/>
            <w:vAlign w:val="bottom"/>
            <w:gridSpan w:val="6"/>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10.10(b)</w:t>
            </w:r>
          </w:p>
        </w:tc>
        <w:tc>
          <w:tcPr>
            <w:tcW w:w="10240" w:type="dxa"/>
            <w:vAlign w:val="bottom"/>
            <w:gridSpan w:val="18"/>
          </w:tcPr>
          <w:p>
            <w:pPr>
              <w:spacing w:after="0"/>
              <w:rPr>
                <w:rFonts w:ascii="Arial" w:cs="Arial" w:eastAsia="Arial" w:hAnsi="Arial"/>
                <w:sz w:val="11"/>
                <w:szCs w:val="11"/>
                <w:color w:val="0000EE"/>
              </w:rPr>
            </w:pPr>
            <w:hyperlink r:id="rId222">
              <w:r>
                <w:rPr>
                  <w:rFonts w:ascii="Arial" w:cs="Arial" w:eastAsia="Arial" w:hAnsi="Arial"/>
                  <w:sz w:val="11"/>
                  <w:szCs w:val="11"/>
                  <w:color w:val="0000EE"/>
                </w:rPr>
                <w:t>Form of Restricted Stock Agreement for Non-Employee Directors filed as Exhibit 10.3 to the Company’s Quarterly Report on Form 10-Q for the quarter ended September 30, 2015, filed with the Commission on</w:t>
              </w:r>
            </w:hyperlink>
          </w:p>
        </w:tc>
      </w:tr>
      <w:tr>
        <w:trPr>
          <w:trHeight w:val="97"/>
        </w:trPr>
        <w:tc>
          <w:tcPr>
            <w:tcW w:w="1060" w:type="dxa"/>
            <w:vAlign w:val="bottom"/>
          </w:tcPr>
          <w:p>
            <w:pPr>
              <w:spacing w:after="0"/>
              <w:rPr>
                <w:sz w:val="8"/>
                <w:szCs w:val="8"/>
                <w:color w:val="auto"/>
              </w:rPr>
            </w:pPr>
          </w:p>
        </w:tc>
        <w:tc>
          <w:tcPr>
            <w:tcW w:w="3680" w:type="dxa"/>
            <w:vAlign w:val="bottom"/>
            <w:tcBorders>
              <w:top w:val="single" w:sz="8" w:color="0000EE"/>
              <w:bottom w:val="single" w:sz="8" w:color="0000EE"/>
            </w:tcBorders>
            <w:gridSpan w:val="4"/>
          </w:tcPr>
          <w:p>
            <w:pPr>
              <w:spacing w:after="0" w:line="88" w:lineRule="exact"/>
              <w:rPr>
                <w:rFonts w:ascii="Arial" w:cs="Arial" w:eastAsia="Arial" w:hAnsi="Arial"/>
                <w:sz w:val="10"/>
                <w:szCs w:val="10"/>
                <w:color w:val="0000EE"/>
              </w:rPr>
            </w:pPr>
            <w:hyperlink r:id="rId222">
              <w:r>
                <w:rPr>
                  <w:rFonts w:ascii="Arial" w:cs="Arial" w:eastAsia="Arial" w:hAnsi="Arial"/>
                  <w:sz w:val="10"/>
                  <w:szCs w:val="10"/>
                  <w:color w:val="0000EE"/>
                </w:rPr>
                <w:t>October 27, 2015 (File No. 001-12984) and incorporated herein by reference.</w:t>
              </w:r>
            </w:hyperlink>
          </w:p>
        </w:tc>
        <w:tc>
          <w:tcPr>
            <w:tcW w:w="180" w:type="dxa"/>
            <w:vAlign w:val="bottom"/>
            <w:tcBorders>
              <w:top w:val="single" w:sz="8" w:color="0000EE"/>
            </w:tcBorders>
            <w:gridSpan w:val="2"/>
          </w:tcPr>
          <w:p>
            <w:pPr>
              <w:jc w:val="right"/>
              <w:ind w:right="14"/>
              <w:spacing w:after="0" w:line="79" w:lineRule="exact"/>
              <w:rPr>
                <w:rFonts w:ascii="Arial" w:cs="Arial" w:eastAsia="Arial" w:hAnsi="Arial"/>
                <w:sz w:val="9"/>
                <w:szCs w:val="9"/>
                <w:color w:val="0000EE"/>
                <w:w w:val="90"/>
              </w:rPr>
            </w:pPr>
            <w:hyperlink r:id="rId222">
              <w:r>
                <w:rPr>
                  <w:rFonts w:ascii="Arial" w:cs="Arial" w:eastAsia="Arial" w:hAnsi="Arial"/>
                  <w:sz w:val="9"/>
                  <w:szCs w:val="9"/>
                  <w:color w:val="0000EE"/>
                  <w:w w:val="90"/>
                </w:rPr>
                <w:t>(1)</w:t>
              </w:r>
            </w:hyperlink>
          </w:p>
        </w:tc>
        <w:tc>
          <w:tcPr>
            <w:tcW w:w="760" w:type="dxa"/>
            <w:vAlign w:val="bottom"/>
            <w:tcBorders>
              <w:top w:val="single" w:sz="8" w:color="0000EE"/>
            </w:tcBorders>
            <w:gridSpan w:val="3"/>
          </w:tcPr>
          <w:p>
            <w:pPr>
              <w:spacing w:after="0"/>
              <w:rPr>
                <w:sz w:val="8"/>
                <w:szCs w:val="8"/>
                <w:color w:val="auto"/>
              </w:rPr>
            </w:pPr>
          </w:p>
        </w:tc>
        <w:tc>
          <w:tcPr>
            <w:tcW w:w="140" w:type="dxa"/>
            <w:vAlign w:val="bottom"/>
            <w:tcBorders>
              <w:top w:val="single" w:sz="8" w:color="0000EE"/>
            </w:tcBorders>
            <w:gridSpan w:val="2"/>
          </w:tcPr>
          <w:p>
            <w:pPr>
              <w:spacing w:after="0"/>
              <w:rPr>
                <w:sz w:val="8"/>
                <w:szCs w:val="8"/>
                <w:color w:val="auto"/>
              </w:rPr>
            </w:pPr>
          </w:p>
        </w:tc>
        <w:tc>
          <w:tcPr>
            <w:tcW w:w="5180" w:type="dxa"/>
            <w:vAlign w:val="bottom"/>
            <w:tcBorders>
              <w:top w:val="single" w:sz="8" w:color="0000EE"/>
            </w:tcBorders>
            <w:gridSpan w:val="3"/>
          </w:tcPr>
          <w:p>
            <w:pPr>
              <w:spacing w:after="0"/>
              <w:rPr>
                <w:sz w:val="8"/>
                <w:szCs w:val="8"/>
                <w:color w:val="auto"/>
              </w:rPr>
            </w:pPr>
          </w:p>
        </w:tc>
        <w:tc>
          <w:tcPr>
            <w:tcW w:w="300" w:type="dxa"/>
            <w:vAlign w:val="bottom"/>
            <w:gridSpan w:val="4"/>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10.11</w:t>
            </w:r>
          </w:p>
        </w:tc>
        <w:tc>
          <w:tcPr>
            <w:tcW w:w="10240" w:type="dxa"/>
            <w:vAlign w:val="bottom"/>
            <w:gridSpan w:val="18"/>
          </w:tcPr>
          <w:p>
            <w:pPr>
              <w:spacing w:after="0"/>
              <w:rPr>
                <w:rFonts w:ascii="Arial" w:cs="Arial" w:eastAsia="Arial" w:hAnsi="Arial"/>
                <w:sz w:val="11"/>
                <w:szCs w:val="11"/>
                <w:color w:val="0000EE"/>
              </w:rPr>
            </w:pPr>
            <w:hyperlink r:id="rId223">
              <w:r>
                <w:rPr>
                  <w:rFonts w:ascii="Arial" w:cs="Arial" w:eastAsia="Arial" w:hAnsi="Arial"/>
                  <w:sz w:val="11"/>
                  <w:szCs w:val="11"/>
                  <w:color w:val="0000EE"/>
                </w:rPr>
                <w:t>Form of Non-Qualified Stock Option Agreement for Non-Employee Directors filed as Exhibit 10.2 to the Company’s Quarterly Report on Form 10-Q for the quarter ended September 30, 2016, filed with the</w:t>
              </w:r>
            </w:hyperlink>
          </w:p>
        </w:tc>
      </w:tr>
      <w:tr>
        <w:trPr>
          <w:trHeight w:val="97"/>
        </w:trPr>
        <w:tc>
          <w:tcPr>
            <w:tcW w:w="1060" w:type="dxa"/>
            <w:vAlign w:val="bottom"/>
          </w:tcPr>
          <w:p>
            <w:pPr>
              <w:spacing w:after="0"/>
              <w:rPr>
                <w:sz w:val="8"/>
                <w:szCs w:val="8"/>
                <w:color w:val="auto"/>
              </w:rPr>
            </w:pPr>
          </w:p>
        </w:tc>
        <w:tc>
          <w:tcPr>
            <w:tcW w:w="444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23">
              <w:r>
                <w:rPr>
                  <w:rFonts w:ascii="Arial" w:cs="Arial" w:eastAsia="Arial" w:hAnsi="Arial"/>
                  <w:sz w:val="10"/>
                  <w:szCs w:val="10"/>
                  <w:color w:val="0000EE"/>
                </w:rPr>
                <w:t>Commission on October 24, 2016 (File No. 001-12984) and incorporated herein by reference.</w:t>
              </w:r>
            </w:hyperlink>
          </w:p>
        </w:tc>
        <w:tc>
          <w:tcPr>
            <w:tcW w:w="180" w:type="dxa"/>
            <w:vAlign w:val="bottom"/>
            <w:tcBorders>
              <w:top w:val="single" w:sz="8" w:color="0000EE"/>
            </w:tcBorders>
            <w:gridSpan w:val="2"/>
          </w:tcPr>
          <w:p>
            <w:pPr>
              <w:jc w:val="right"/>
              <w:spacing w:after="0" w:line="79" w:lineRule="exact"/>
              <w:rPr>
                <w:rFonts w:ascii="Arial" w:cs="Arial" w:eastAsia="Arial" w:hAnsi="Arial"/>
                <w:sz w:val="9"/>
                <w:szCs w:val="9"/>
                <w:color w:val="0000EE"/>
              </w:rPr>
            </w:pPr>
            <w:hyperlink r:id="rId223">
              <w:r>
                <w:rPr>
                  <w:rFonts w:ascii="Arial" w:cs="Arial" w:eastAsia="Arial" w:hAnsi="Arial"/>
                  <w:sz w:val="9"/>
                  <w:szCs w:val="9"/>
                  <w:color w:val="0000EE"/>
                </w:rPr>
                <w:t>(1)</w:t>
              </w:r>
            </w:hyperlink>
          </w:p>
        </w:tc>
        <w:tc>
          <w:tcPr>
            <w:tcW w:w="140" w:type="dxa"/>
            <w:vAlign w:val="bottom"/>
            <w:tcBorders>
              <w:top w:val="single" w:sz="8" w:color="0000EE"/>
            </w:tcBorders>
            <w:gridSpan w:val="2"/>
          </w:tcPr>
          <w:p>
            <w:pPr>
              <w:spacing w:after="0"/>
              <w:rPr>
                <w:sz w:val="8"/>
                <w:szCs w:val="8"/>
                <w:color w:val="auto"/>
              </w:rPr>
            </w:pPr>
          </w:p>
        </w:tc>
        <w:tc>
          <w:tcPr>
            <w:tcW w:w="4920" w:type="dxa"/>
            <w:vAlign w:val="bottom"/>
            <w:tcBorders>
              <w:top w:val="single" w:sz="8" w:color="0000EE"/>
            </w:tcBorders>
          </w:tcPr>
          <w:p>
            <w:pPr>
              <w:spacing w:after="0"/>
              <w:rPr>
                <w:sz w:val="8"/>
                <w:szCs w:val="8"/>
                <w:color w:val="auto"/>
              </w:rPr>
            </w:pPr>
          </w:p>
        </w:tc>
        <w:tc>
          <w:tcPr>
            <w:tcW w:w="560" w:type="dxa"/>
            <w:vAlign w:val="bottom"/>
            <w:gridSpan w:val="6"/>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10.11(a)</w:t>
            </w:r>
          </w:p>
        </w:tc>
        <w:tc>
          <w:tcPr>
            <w:tcW w:w="10240" w:type="dxa"/>
            <w:vAlign w:val="bottom"/>
            <w:gridSpan w:val="18"/>
          </w:tcPr>
          <w:p>
            <w:pPr>
              <w:spacing w:after="0"/>
              <w:rPr>
                <w:rFonts w:ascii="Arial" w:cs="Arial" w:eastAsia="Arial" w:hAnsi="Arial"/>
                <w:sz w:val="11"/>
                <w:szCs w:val="11"/>
                <w:color w:val="0000EE"/>
              </w:rPr>
            </w:pPr>
            <w:hyperlink r:id="rId224">
              <w:r>
                <w:rPr>
                  <w:rFonts w:ascii="Arial" w:cs="Arial" w:eastAsia="Arial" w:hAnsi="Arial"/>
                  <w:sz w:val="11"/>
                  <w:szCs w:val="11"/>
                  <w:color w:val="0000EE"/>
                </w:rPr>
                <w:t>Form of Restricted Stock Agreement for Non-Employee Directors filed as Exhibit 10.3 to the Company’s Quarterly Report on Form 10-Q for the quarter ended September 30, 2016, filed with the Commission on</w:t>
              </w:r>
            </w:hyperlink>
          </w:p>
        </w:tc>
      </w:tr>
      <w:tr>
        <w:trPr>
          <w:trHeight w:val="97"/>
        </w:trPr>
        <w:tc>
          <w:tcPr>
            <w:tcW w:w="1060" w:type="dxa"/>
            <w:vAlign w:val="bottom"/>
          </w:tcPr>
          <w:p>
            <w:pPr>
              <w:spacing w:after="0"/>
              <w:rPr>
                <w:sz w:val="8"/>
                <w:szCs w:val="8"/>
                <w:color w:val="auto"/>
              </w:rPr>
            </w:pPr>
          </w:p>
        </w:tc>
        <w:tc>
          <w:tcPr>
            <w:tcW w:w="3680" w:type="dxa"/>
            <w:vAlign w:val="bottom"/>
            <w:tcBorders>
              <w:top w:val="single" w:sz="8" w:color="0000EE"/>
              <w:bottom w:val="single" w:sz="8" w:color="0000EE"/>
            </w:tcBorders>
            <w:gridSpan w:val="4"/>
          </w:tcPr>
          <w:p>
            <w:pPr>
              <w:spacing w:after="0" w:line="88" w:lineRule="exact"/>
              <w:rPr>
                <w:rFonts w:ascii="Arial" w:cs="Arial" w:eastAsia="Arial" w:hAnsi="Arial"/>
                <w:sz w:val="10"/>
                <w:szCs w:val="10"/>
                <w:color w:val="0000EE"/>
              </w:rPr>
            </w:pPr>
            <w:hyperlink r:id="rId224">
              <w:r>
                <w:rPr>
                  <w:rFonts w:ascii="Arial" w:cs="Arial" w:eastAsia="Arial" w:hAnsi="Arial"/>
                  <w:sz w:val="10"/>
                  <w:szCs w:val="10"/>
                  <w:color w:val="0000EE"/>
                </w:rPr>
                <w:t>October 24, 2016 (File No. 001-12984) and incorporated herein by reference.</w:t>
              </w:r>
            </w:hyperlink>
          </w:p>
        </w:tc>
        <w:tc>
          <w:tcPr>
            <w:tcW w:w="180" w:type="dxa"/>
            <w:vAlign w:val="bottom"/>
            <w:tcBorders>
              <w:top w:val="single" w:sz="8" w:color="0000EE"/>
            </w:tcBorders>
            <w:gridSpan w:val="2"/>
          </w:tcPr>
          <w:p>
            <w:pPr>
              <w:jc w:val="right"/>
              <w:ind w:right="14"/>
              <w:spacing w:after="0" w:line="79" w:lineRule="exact"/>
              <w:rPr>
                <w:rFonts w:ascii="Arial" w:cs="Arial" w:eastAsia="Arial" w:hAnsi="Arial"/>
                <w:sz w:val="9"/>
                <w:szCs w:val="9"/>
                <w:color w:val="0000EE"/>
                <w:w w:val="90"/>
              </w:rPr>
            </w:pPr>
            <w:hyperlink r:id="rId224">
              <w:r>
                <w:rPr>
                  <w:rFonts w:ascii="Arial" w:cs="Arial" w:eastAsia="Arial" w:hAnsi="Arial"/>
                  <w:sz w:val="9"/>
                  <w:szCs w:val="9"/>
                  <w:color w:val="0000EE"/>
                  <w:w w:val="90"/>
                </w:rPr>
                <w:t>(1)</w:t>
              </w:r>
            </w:hyperlink>
          </w:p>
        </w:tc>
        <w:tc>
          <w:tcPr>
            <w:tcW w:w="760" w:type="dxa"/>
            <w:vAlign w:val="bottom"/>
            <w:tcBorders>
              <w:top w:val="single" w:sz="8" w:color="0000EE"/>
            </w:tcBorders>
            <w:gridSpan w:val="3"/>
          </w:tcPr>
          <w:p>
            <w:pPr>
              <w:spacing w:after="0"/>
              <w:rPr>
                <w:sz w:val="8"/>
                <w:szCs w:val="8"/>
                <w:color w:val="auto"/>
              </w:rPr>
            </w:pPr>
          </w:p>
        </w:tc>
        <w:tc>
          <w:tcPr>
            <w:tcW w:w="140" w:type="dxa"/>
            <w:vAlign w:val="bottom"/>
            <w:tcBorders>
              <w:top w:val="single" w:sz="8" w:color="0000EE"/>
            </w:tcBorders>
            <w:gridSpan w:val="2"/>
          </w:tcPr>
          <w:p>
            <w:pPr>
              <w:spacing w:after="0"/>
              <w:rPr>
                <w:sz w:val="8"/>
                <w:szCs w:val="8"/>
                <w:color w:val="auto"/>
              </w:rPr>
            </w:pPr>
          </w:p>
        </w:tc>
        <w:tc>
          <w:tcPr>
            <w:tcW w:w="5180" w:type="dxa"/>
            <w:vAlign w:val="bottom"/>
            <w:tcBorders>
              <w:top w:val="single" w:sz="8" w:color="0000EE"/>
            </w:tcBorders>
            <w:gridSpan w:val="3"/>
          </w:tcPr>
          <w:p>
            <w:pPr>
              <w:spacing w:after="0"/>
              <w:rPr>
                <w:sz w:val="8"/>
                <w:szCs w:val="8"/>
                <w:color w:val="auto"/>
              </w:rPr>
            </w:pPr>
          </w:p>
        </w:tc>
        <w:tc>
          <w:tcPr>
            <w:tcW w:w="300" w:type="dxa"/>
            <w:vAlign w:val="bottom"/>
            <w:gridSpan w:val="4"/>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10.11(b)</w:t>
            </w:r>
          </w:p>
        </w:tc>
        <w:tc>
          <w:tcPr>
            <w:tcW w:w="10240" w:type="dxa"/>
            <w:vAlign w:val="bottom"/>
            <w:tcBorders>
              <w:bottom w:val="single" w:sz="8" w:color="0000EE"/>
            </w:tcBorders>
            <w:gridSpan w:val="18"/>
          </w:tcPr>
          <w:p>
            <w:pPr>
              <w:spacing w:after="0"/>
              <w:rPr>
                <w:rFonts w:ascii="Arial" w:cs="Arial" w:eastAsia="Arial" w:hAnsi="Arial"/>
                <w:sz w:val="11"/>
                <w:szCs w:val="11"/>
                <w:color w:val="0000EE"/>
                <w:w w:val="97"/>
              </w:rPr>
            </w:pPr>
            <w:hyperlink r:id="rId225">
              <w:r>
                <w:rPr>
                  <w:rFonts w:ascii="Arial" w:cs="Arial" w:eastAsia="Arial" w:hAnsi="Arial"/>
                  <w:sz w:val="11"/>
                  <w:szCs w:val="11"/>
                  <w:color w:val="0000EE"/>
                  <w:w w:val="97"/>
                </w:rPr>
                <w:t>Form of Performance Vesting Non-Qualified Stock Option Agreement for Senior Executives filed as Exhibit 10.4 to the Company’s Quarterly Report on Form 10-Q for the quarter ended September 30, 2016, filed with</w:t>
              </w:r>
            </w:hyperlink>
          </w:p>
        </w:tc>
      </w:tr>
      <w:tr>
        <w:trPr>
          <w:trHeight w:val="95"/>
        </w:trPr>
        <w:tc>
          <w:tcPr>
            <w:tcW w:w="1060" w:type="dxa"/>
            <w:vAlign w:val="bottom"/>
          </w:tcPr>
          <w:p>
            <w:pPr>
              <w:spacing w:after="0"/>
              <w:rPr>
                <w:sz w:val="8"/>
                <w:szCs w:val="8"/>
                <w:color w:val="auto"/>
              </w:rPr>
            </w:pPr>
          </w:p>
        </w:tc>
        <w:tc>
          <w:tcPr>
            <w:tcW w:w="4620" w:type="dxa"/>
            <w:vAlign w:val="bottom"/>
            <w:tcBorders>
              <w:bottom w:val="single" w:sz="8" w:color="0000EE"/>
            </w:tcBorders>
            <w:gridSpan w:val="9"/>
          </w:tcPr>
          <w:p>
            <w:pPr>
              <w:spacing w:after="0" w:line="88" w:lineRule="exact"/>
              <w:rPr>
                <w:rFonts w:ascii="Arial" w:cs="Arial" w:eastAsia="Arial" w:hAnsi="Arial"/>
                <w:sz w:val="10"/>
                <w:szCs w:val="10"/>
                <w:color w:val="0000EE"/>
              </w:rPr>
            </w:pPr>
            <w:hyperlink r:id="rId225">
              <w:r>
                <w:rPr>
                  <w:rFonts w:ascii="Arial" w:cs="Arial" w:eastAsia="Arial" w:hAnsi="Arial"/>
                  <w:sz w:val="10"/>
                  <w:szCs w:val="10"/>
                  <w:color w:val="0000EE"/>
                </w:rPr>
                <w:t>the Commission on October 24, 2016 (File No. 001-12984) and incorporated herein by reference.</w:t>
              </w:r>
            </w:hyperlink>
          </w:p>
        </w:tc>
        <w:tc>
          <w:tcPr>
            <w:tcW w:w="140" w:type="dxa"/>
            <w:vAlign w:val="bottom"/>
            <w:tcBorders>
              <w:bottom w:val="single" w:sz="8" w:color="0000EE"/>
            </w:tcBorders>
            <w:gridSpan w:val="2"/>
          </w:tcPr>
          <w:p>
            <w:pPr>
              <w:jc w:val="right"/>
              <w:spacing w:after="0" w:line="79" w:lineRule="exact"/>
              <w:rPr>
                <w:rFonts w:ascii="Arial" w:cs="Arial" w:eastAsia="Arial" w:hAnsi="Arial"/>
                <w:sz w:val="9"/>
                <w:szCs w:val="9"/>
                <w:color w:val="0000EE"/>
              </w:rPr>
            </w:pPr>
            <w:hyperlink r:id="rId225">
              <w:r>
                <w:rPr>
                  <w:rFonts w:ascii="Arial" w:cs="Arial" w:eastAsia="Arial" w:hAnsi="Arial"/>
                  <w:sz w:val="9"/>
                  <w:szCs w:val="9"/>
                  <w:color w:val="0000EE"/>
                </w:rPr>
                <w:t>(1)</w:t>
              </w:r>
            </w:hyperlink>
          </w:p>
        </w:tc>
        <w:tc>
          <w:tcPr>
            <w:tcW w:w="5480" w:type="dxa"/>
            <w:vAlign w:val="bottom"/>
            <w:gridSpan w:val="7"/>
          </w:tcPr>
          <w:p>
            <w:pPr>
              <w:spacing w:after="0"/>
              <w:rPr>
                <w:sz w:val="8"/>
                <w:szCs w:val="8"/>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20"/>
                <w:szCs w:val="20"/>
                <w:color w:val="auto"/>
              </w:rPr>
            </w:pPr>
            <w:r>
              <w:rPr>
                <w:rFonts w:ascii="Arial" w:cs="Arial" w:eastAsia="Arial" w:hAnsi="Arial"/>
                <w:sz w:val="11"/>
                <w:szCs w:val="11"/>
                <w:color w:val="auto"/>
              </w:rPr>
              <w:t>10.11(c)</w:t>
            </w:r>
          </w:p>
        </w:tc>
        <w:tc>
          <w:tcPr>
            <w:tcW w:w="10220" w:type="dxa"/>
            <w:vAlign w:val="bottom"/>
            <w:gridSpan w:val="31"/>
          </w:tcPr>
          <w:p>
            <w:pPr>
              <w:spacing w:after="0"/>
              <w:rPr>
                <w:rFonts w:ascii="Arial" w:cs="Arial" w:eastAsia="Arial" w:hAnsi="Arial"/>
                <w:sz w:val="11"/>
                <w:szCs w:val="11"/>
                <w:color w:val="0000EE"/>
                <w:w w:val="99"/>
              </w:rPr>
            </w:pPr>
            <w:hyperlink r:id="rId227">
              <w:r>
                <w:rPr>
                  <w:rFonts w:ascii="Arial" w:cs="Arial" w:eastAsia="Arial" w:hAnsi="Arial"/>
                  <w:sz w:val="11"/>
                  <w:szCs w:val="11"/>
                  <w:color w:val="0000EE"/>
                  <w:w w:val="99"/>
                </w:rPr>
                <w:t>Form of Time Vesting Non-Qualified Stock Option Agreement for Senior Executives filed as Exhibit 10.5 to the Company’s Quarterly Report on Form 10-Q for the quarter ended September 30, 2016, filed with the</w:t>
              </w:r>
            </w:hyperlink>
          </w:p>
        </w:tc>
      </w:tr>
      <w:tr>
        <w:trPr>
          <w:trHeight w:val="95"/>
        </w:trPr>
        <w:tc>
          <w:tcPr>
            <w:tcW w:w="1060" w:type="dxa"/>
            <w:vAlign w:val="bottom"/>
          </w:tcPr>
          <w:p>
            <w:pPr>
              <w:spacing w:after="0"/>
              <w:rPr>
                <w:sz w:val="8"/>
                <w:szCs w:val="8"/>
                <w:color w:val="auto"/>
              </w:rPr>
            </w:pPr>
          </w:p>
        </w:tc>
        <w:tc>
          <w:tcPr>
            <w:tcW w:w="4440" w:type="dxa"/>
            <w:vAlign w:val="bottom"/>
            <w:tcBorders>
              <w:top w:val="single" w:sz="8" w:color="0000EE"/>
              <w:bottom w:val="single" w:sz="8" w:color="0000EE"/>
            </w:tcBorders>
            <w:gridSpan w:val="11"/>
          </w:tcPr>
          <w:p>
            <w:pPr>
              <w:spacing w:after="0" w:line="88" w:lineRule="exact"/>
              <w:rPr>
                <w:rFonts w:ascii="Arial" w:cs="Arial" w:eastAsia="Arial" w:hAnsi="Arial"/>
                <w:sz w:val="10"/>
                <w:szCs w:val="10"/>
                <w:color w:val="0000EE"/>
              </w:rPr>
            </w:pPr>
            <w:hyperlink r:id="rId227">
              <w:r>
                <w:rPr>
                  <w:rFonts w:ascii="Arial" w:cs="Arial" w:eastAsia="Arial" w:hAnsi="Arial"/>
                  <w:sz w:val="10"/>
                  <w:szCs w:val="10"/>
                  <w:color w:val="0000EE"/>
                </w:rPr>
                <w:t>Commission on October 24, 2016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9" w:lineRule="exact"/>
              <w:rPr>
                <w:rFonts w:ascii="Arial" w:cs="Arial" w:eastAsia="Arial" w:hAnsi="Arial"/>
                <w:sz w:val="9"/>
                <w:szCs w:val="9"/>
                <w:color w:val="0000EE"/>
              </w:rPr>
            </w:pPr>
            <w:hyperlink r:id="rId227">
              <w:r>
                <w:rPr>
                  <w:rFonts w:ascii="Arial" w:cs="Arial" w:eastAsia="Arial" w:hAnsi="Arial"/>
                  <w:sz w:val="9"/>
                  <w:szCs w:val="9"/>
                  <w:color w:val="0000EE"/>
                </w:rPr>
                <w:t>(1)</w:t>
              </w:r>
            </w:hyperlink>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4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10.12</w:t>
            </w:r>
          </w:p>
        </w:tc>
        <w:tc>
          <w:tcPr>
            <w:tcW w:w="10220" w:type="dxa"/>
            <w:vAlign w:val="bottom"/>
            <w:gridSpan w:val="31"/>
          </w:tcPr>
          <w:p>
            <w:pPr>
              <w:spacing w:after="0"/>
              <w:rPr>
                <w:rFonts w:ascii="Arial" w:cs="Arial" w:eastAsia="Arial" w:hAnsi="Arial"/>
                <w:sz w:val="11"/>
                <w:szCs w:val="11"/>
                <w:color w:val="0000EE"/>
              </w:rPr>
            </w:pPr>
            <w:hyperlink r:id="rId228">
              <w:r>
                <w:rPr>
                  <w:rFonts w:ascii="Arial" w:cs="Arial" w:eastAsia="Arial" w:hAnsi="Arial"/>
                  <w:sz w:val="11"/>
                  <w:szCs w:val="11"/>
                  <w:color w:val="0000EE"/>
                </w:rPr>
                <w:t>Form of Non-Qualified Stock Option Agreement for Non-Employee Directors filed as Exhibit 10.2 to the Company’s Quarterly Report on Form 10-Q for the quarter ended September 30, 2017, filed with the</w:t>
              </w:r>
            </w:hyperlink>
          </w:p>
        </w:tc>
      </w:tr>
      <w:tr>
        <w:trPr>
          <w:trHeight w:val="95"/>
        </w:trPr>
        <w:tc>
          <w:tcPr>
            <w:tcW w:w="1060" w:type="dxa"/>
            <w:vAlign w:val="bottom"/>
          </w:tcPr>
          <w:p>
            <w:pPr>
              <w:spacing w:after="0"/>
              <w:rPr>
                <w:sz w:val="8"/>
                <w:szCs w:val="8"/>
                <w:color w:val="auto"/>
              </w:rPr>
            </w:pPr>
          </w:p>
        </w:tc>
        <w:tc>
          <w:tcPr>
            <w:tcW w:w="4460" w:type="dxa"/>
            <w:vAlign w:val="bottom"/>
            <w:tcBorders>
              <w:top w:val="single" w:sz="8" w:color="0000EE"/>
              <w:bottom w:val="single" w:sz="8" w:color="0000EE"/>
            </w:tcBorders>
            <w:gridSpan w:val="12"/>
          </w:tcPr>
          <w:p>
            <w:pPr>
              <w:spacing w:after="0" w:line="88" w:lineRule="exact"/>
              <w:rPr>
                <w:rFonts w:ascii="Arial" w:cs="Arial" w:eastAsia="Arial" w:hAnsi="Arial"/>
                <w:sz w:val="10"/>
                <w:szCs w:val="10"/>
                <w:color w:val="0000EE"/>
              </w:rPr>
            </w:pPr>
            <w:hyperlink r:id="rId228">
              <w:r>
                <w:rPr>
                  <w:rFonts w:ascii="Arial" w:cs="Arial" w:eastAsia="Arial" w:hAnsi="Arial"/>
                  <w:sz w:val="10"/>
                  <w:szCs w:val="10"/>
                  <w:color w:val="0000EE"/>
                </w:rPr>
                <w:t>Commission on October 25, 2017 (File No. 001-12984) and incorporated herein by reference.</w:t>
              </w:r>
            </w:hyperlink>
          </w:p>
        </w:tc>
        <w:tc>
          <w:tcPr>
            <w:tcW w:w="160" w:type="dxa"/>
            <w:vAlign w:val="bottom"/>
            <w:tcBorders>
              <w:top w:val="single" w:sz="8" w:color="0000EE"/>
              <w:bottom w:val="single" w:sz="8" w:color="0000EE"/>
            </w:tcBorders>
            <w:gridSpan w:val="3"/>
          </w:tcPr>
          <w:p>
            <w:pPr>
              <w:jc w:val="right"/>
              <w:ind w:right="20"/>
              <w:spacing w:after="0" w:line="79" w:lineRule="exact"/>
              <w:rPr>
                <w:rFonts w:ascii="Arial" w:cs="Arial" w:eastAsia="Arial" w:hAnsi="Arial"/>
                <w:sz w:val="9"/>
                <w:szCs w:val="9"/>
                <w:color w:val="0000EE"/>
              </w:rPr>
            </w:pPr>
            <w:hyperlink r:id="rId228">
              <w:r>
                <w:rPr>
                  <w:rFonts w:ascii="Arial" w:cs="Arial" w:eastAsia="Arial" w:hAnsi="Arial"/>
                  <w:sz w:val="9"/>
                  <w:szCs w:val="9"/>
                  <w:color w:val="0000EE"/>
                </w:rPr>
                <w:t>(1)</w:t>
              </w:r>
            </w:hyperlink>
          </w:p>
        </w:tc>
        <w:tc>
          <w:tcPr>
            <w:tcW w:w="14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10.12(a)</w:t>
            </w:r>
          </w:p>
        </w:tc>
        <w:tc>
          <w:tcPr>
            <w:tcW w:w="10220" w:type="dxa"/>
            <w:vAlign w:val="bottom"/>
            <w:gridSpan w:val="31"/>
          </w:tcPr>
          <w:p>
            <w:pPr>
              <w:spacing w:after="0"/>
              <w:rPr>
                <w:rFonts w:ascii="Arial" w:cs="Arial" w:eastAsia="Arial" w:hAnsi="Arial"/>
                <w:sz w:val="11"/>
                <w:szCs w:val="11"/>
                <w:color w:val="0000EE"/>
                <w:w w:val="98"/>
              </w:rPr>
            </w:pPr>
            <w:hyperlink r:id="rId229">
              <w:r>
                <w:rPr>
                  <w:rFonts w:ascii="Arial" w:cs="Arial" w:eastAsia="Arial" w:hAnsi="Arial"/>
                  <w:sz w:val="11"/>
                  <w:szCs w:val="11"/>
                  <w:color w:val="0000EE"/>
                  <w:w w:val="98"/>
                </w:rPr>
                <w:t>Form of Performance Vesting Non-Qualified Stock Option Agreement for Senior Executives filed as Exhibit 10.5 to the Company’s Quarterly Report on Form 10-Q for the quarter ended June 30, 2017, filed with the</w:t>
              </w:r>
            </w:hyperlink>
          </w:p>
        </w:tc>
      </w:tr>
      <w:tr>
        <w:trPr>
          <w:trHeight w:val="95"/>
        </w:trPr>
        <w:tc>
          <w:tcPr>
            <w:tcW w:w="1060" w:type="dxa"/>
            <w:vAlign w:val="bottom"/>
          </w:tcPr>
          <w:p>
            <w:pPr>
              <w:spacing w:after="0"/>
              <w:rPr>
                <w:sz w:val="8"/>
                <w:szCs w:val="8"/>
                <w:color w:val="auto"/>
              </w:rPr>
            </w:pPr>
          </w:p>
        </w:tc>
        <w:tc>
          <w:tcPr>
            <w:tcW w:w="426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29">
              <w:r>
                <w:rPr>
                  <w:rFonts w:ascii="Arial" w:cs="Arial" w:eastAsia="Arial" w:hAnsi="Arial"/>
                  <w:sz w:val="10"/>
                  <w:szCs w:val="10"/>
                  <w:color w:val="0000EE"/>
                </w:rPr>
                <w:t>Commission on July 28, 2017 (File No. 001-12984) and incorporated herein by reference.</w:t>
              </w:r>
            </w:hyperlink>
          </w:p>
        </w:tc>
        <w:tc>
          <w:tcPr>
            <w:tcW w:w="160" w:type="dxa"/>
            <w:vAlign w:val="bottom"/>
            <w:tcBorders>
              <w:top w:val="single" w:sz="8" w:color="0000EE"/>
              <w:bottom w:val="single" w:sz="8" w:color="0000EE"/>
            </w:tcBorders>
            <w:gridSpan w:val="3"/>
          </w:tcPr>
          <w:p>
            <w:pPr>
              <w:jc w:val="right"/>
              <w:ind w:right="20"/>
              <w:spacing w:after="0" w:line="79" w:lineRule="exact"/>
              <w:rPr>
                <w:rFonts w:ascii="Arial" w:cs="Arial" w:eastAsia="Arial" w:hAnsi="Arial"/>
                <w:sz w:val="9"/>
                <w:szCs w:val="9"/>
                <w:color w:val="0000EE"/>
              </w:rPr>
            </w:pPr>
            <w:hyperlink r:id="rId229">
              <w:r>
                <w:rPr>
                  <w:rFonts w:ascii="Arial" w:cs="Arial" w:eastAsia="Arial" w:hAnsi="Arial"/>
                  <w:sz w:val="9"/>
                  <w:szCs w:val="9"/>
                  <w:color w:val="0000EE"/>
                </w:rPr>
                <w:t>(1)</w:t>
              </w:r>
            </w:hyperlink>
          </w:p>
        </w:tc>
        <w:tc>
          <w:tcPr>
            <w:tcW w:w="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gridSpan w:val="3"/>
          </w:tcPr>
          <w:p>
            <w:pPr>
              <w:spacing w:after="0"/>
              <w:rPr>
                <w:sz w:val="8"/>
                <w:szCs w:val="8"/>
                <w:color w:val="auto"/>
              </w:rPr>
            </w:pPr>
          </w:p>
        </w:tc>
        <w:tc>
          <w:tcPr>
            <w:tcW w:w="1460" w:type="dxa"/>
            <w:vAlign w:val="bottom"/>
            <w:tcBorders>
              <w:top w:val="single" w:sz="8" w:color="0000EE"/>
            </w:tcBorders>
            <w:gridSpan w:val="2"/>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10.12(b)</w:t>
            </w:r>
          </w:p>
        </w:tc>
        <w:tc>
          <w:tcPr>
            <w:tcW w:w="10220" w:type="dxa"/>
            <w:vAlign w:val="bottom"/>
            <w:gridSpan w:val="31"/>
          </w:tcPr>
          <w:p>
            <w:pPr>
              <w:spacing w:after="0"/>
              <w:rPr>
                <w:rFonts w:ascii="Arial" w:cs="Arial" w:eastAsia="Arial" w:hAnsi="Arial"/>
                <w:sz w:val="11"/>
                <w:szCs w:val="11"/>
                <w:color w:val="0000EE"/>
              </w:rPr>
            </w:pPr>
            <w:hyperlink r:id="rId230">
              <w:r>
                <w:rPr>
                  <w:rFonts w:ascii="Arial" w:cs="Arial" w:eastAsia="Arial" w:hAnsi="Arial"/>
                  <w:sz w:val="11"/>
                  <w:szCs w:val="11"/>
                  <w:color w:val="0000EE"/>
                </w:rPr>
                <w:t>Form of Time Vesting Non-Qualified Stock Option Agreement for Senior Executives filed as Exhibit 10.6 to the Company’s Quarterly Report on Form 10-Q for the quarter ended June 30, 2017, filed with the</w:t>
              </w:r>
            </w:hyperlink>
          </w:p>
        </w:tc>
      </w:tr>
      <w:tr>
        <w:trPr>
          <w:trHeight w:val="95"/>
        </w:trPr>
        <w:tc>
          <w:tcPr>
            <w:tcW w:w="1060" w:type="dxa"/>
            <w:vAlign w:val="bottom"/>
          </w:tcPr>
          <w:p>
            <w:pPr>
              <w:spacing w:after="0"/>
              <w:rPr>
                <w:sz w:val="8"/>
                <w:szCs w:val="8"/>
                <w:color w:val="auto"/>
              </w:rPr>
            </w:pPr>
          </w:p>
        </w:tc>
        <w:tc>
          <w:tcPr>
            <w:tcW w:w="426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30">
              <w:r>
                <w:rPr>
                  <w:rFonts w:ascii="Arial" w:cs="Arial" w:eastAsia="Arial" w:hAnsi="Arial"/>
                  <w:sz w:val="10"/>
                  <w:szCs w:val="10"/>
                  <w:color w:val="0000EE"/>
                </w:rPr>
                <w:t>Commission on July 28, 2017 (File No. 001-12984) and incorporated herein by reference.</w:t>
              </w:r>
            </w:hyperlink>
          </w:p>
        </w:tc>
        <w:tc>
          <w:tcPr>
            <w:tcW w:w="160" w:type="dxa"/>
            <w:vAlign w:val="bottom"/>
            <w:tcBorders>
              <w:top w:val="single" w:sz="8" w:color="0000EE"/>
              <w:bottom w:val="single" w:sz="8" w:color="0000EE"/>
            </w:tcBorders>
            <w:gridSpan w:val="3"/>
          </w:tcPr>
          <w:p>
            <w:pPr>
              <w:jc w:val="right"/>
              <w:ind w:right="20"/>
              <w:spacing w:after="0" w:line="79" w:lineRule="exact"/>
              <w:rPr>
                <w:rFonts w:ascii="Arial" w:cs="Arial" w:eastAsia="Arial" w:hAnsi="Arial"/>
                <w:sz w:val="9"/>
                <w:szCs w:val="9"/>
                <w:color w:val="0000EE"/>
              </w:rPr>
            </w:pPr>
            <w:hyperlink r:id="rId230">
              <w:r>
                <w:rPr>
                  <w:rFonts w:ascii="Arial" w:cs="Arial" w:eastAsia="Arial" w:hAnsi="Arial"/>
                  <w:sz w:val="9"/>
                  <w:szCs w:val="9"/>
                  <w:color w:val="0000EE"/>
                </w:rPr>
                <w:t>(1)</w:t>
              </w:r>
            </w:hyperlink>
          </w:p>
        </w:tc>
        <w:tc>
          <w:tcPr>
            <w:tcW w:w="20" w:type="dxa"/>
            <w:vAlign w:val="bottom"/>
            <w:tcBorders>
              <w:top w:val="single" w:sz="8" w:color="0000EE"/>
              <w:bottom w:val="single" w:sz="8" w:color="0000EE"/>
            </w:tcBorders>
          </w:tcPr>
          <w:p>
            <w:pPr>
              <w:spacing w:after="0"/>
              <w:rPr>
                <w:sz w:val="8"/>
                <w:szCs w:val="8"/>
                <w:color w:val="auto"/>
              </w:rPr>
            </w:pPr>
          </w:p>
        </w:tc>
        <w:tc>
          <w:tcPr>
            <w:tcW w:w="160" w:type="dxa"/>
            <w:vAlign w:val="bottom"/>
            <w:tcBorders>
              <w:top w:val="single" w:sz="8" w:color="0000EE"/>
            </w:tcBorders>
            <w:gridSpan w:val="3"/>
          </w:tcPr>
          <w:p>
            <w:pPr>
              <w:spacing w:after="0"/>
              <w:rPr>
                <w:sz w:val="8"/>
                <w:szCs w:val="8"/>
                <w:color w:val="auto"/>
              </w:rPr>
            </w:pPr>
          </w:p>
        </w:tc>
        <w:tc>
          <w:tcPr>
            <w:tcW w:w="1460" w:type="dxa"/>
            <w:vAlign w:val="bottom"/>
            <w:tcBorders>
              <w:top w:val="single" w:sz="8" w:color="0000EE"/>
            </w:tcBorders>
            <w:gridSpan w:val="2"/>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10.13</w:t>
            </w:r>
          </w:p>
        </w:tc>
        <w:tc>
          <w:tcPr>
            <w:tcW w:w="10220" w:type="dxa"/>
            <w:vAlign w:val="bottom"/>
            <w:gridSpan w:val="31"/>
          </w:tcPr>
          <w:p>
            <w:pPr>
              <w:spacing w:after="0"/>
              <w:rPr>
                <w:rFonts w:ascii="Arial" w:cs="Arial" w:eastAsia="Arial" w:hAnsi="Arial"/>
                <w:sz w:val="11"/>
                <w:szCs w:val="11"/>
                <w:color w:val="0000EE"/>
                <w:w w:val="98"/>
              </w:rPr>
            </w:pPr>
            <w:hyperlink r:id="rId231">
              <w:r>
                <w:rPr>
                  <w:rFonts w:ascii="Arial" w:cs="Arial" w:eastAsia="Arial" w:hAnsi="Arial"/>
                  <w:sz w:val="11"/>
                  <w:szCs w:val="11"/>
                  <w:color w:val="0000EE"/>
                  <w:w w:val="98"/>
                </w:rPr>
                <w:t>Form of Performance Vesting Non-Qualified Stock Option Agreement for Senior Executives filed as Exhibit 10.3 to the Company’s Quarterly Report on Form 10-Q for the quarter ended June 30, 2018, filed with the</w:t>
              </w:r>
            </w:hyperlink>
          </w:p>
        </w:tc>
      </w:tr>
      <w:tr>
        <w:trPr>
          <w:trHeight w:val="95"/>
        </w:trPr>
        <w:tc>
          <w:tcPr>
            <w:tcW w:w="1060" w:type="dxa"/>
            <w:vAlign w:val="bottom"/>
          </w:tcPr>
          <w:p>
            <w:pPr>
              <w:spacing w:after="0"/>
              <w:rPr>
                <w:sz w:val="8"/>
                <w:szCs w:val="8"/>
                <w:color w:val="auto"/>
              </w:rPr>
            </w:pPr>
          </w:p>
        </w:tc>
        <w:tc>
          <w:tcPr>
            <w:tcW w:w="426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31">
              <w:r>
                <w:rPr>
                  <w:rFonts w:ascii="Arial" w:cs="Arial" w:eastAsia="Arial" w:hAnsi="Arial"/>
                  <w:sz w:val="10"/>
                  <w:szCs w:val="10"/>
                  <w:color w:val="0000EE"/>
                </w:rPr>
                <w:t>Commission on July 30, 2018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9" w:lineRule="exact"/>
              <w:rPr>
                <w:rFonts w:ascii="Arial" w:cs="Arial" w:eastAsia="Arial" w:hAnsi="Arial"/>
                <w:sz w:val="9"/>
                <w:szCs w:val="9"/>
                <w:color w:val="0000EE"/>
              </w:rPr>
            </w:pPr>
            <w:hyperlink r:id="rId231">
              <w:r>
                <w:rPr>
                  <w:rFonts w:ascii="Arial" w:cs="Arial" w:eastAsia="Arial" w:hAnsi="Arial"/>
                  <w:sz w:val="9"/>
                  <w:szCs w:val="9"/>
                  <w:color w:val="0000EE"/>
                </w:rPr>
                <w:t>(1)</w:t>
              </w:r>
            </w:hyperlink>
          </w:p>
        </w:tc>
        <w:tc>
          <w:tcPr>
            <w:tcW w:w="40" w:type="dxa"/>
            <w:vAlign w:val="bottom"/>
            <w:tcBorders>
              <w:top w:val="single" w:sz="8" w:color="0000EE"/>
            </w:tcBorders>
            <w:gridSpan w:val="2"/>
          </w:tcPr>
          <w:p>
            <w:pPr>
              <w:spacing w:after="0"/>
              <w:rPr>
                <w:sz w:val="8"/>
                <w:szCs w:val="8"/>
                <w:color w:val="auto"/>
              </w:rPr>
            </w:pPr>
          </w:p>
        </w:tc>
        <w:tc>
          <w:tcPr>
            <w:tcW w:w="160" w:type="dxa"/>
            <w:vAlign w:val="bottom"/>
            <w:tcBorders>
              <w:top w:val="single" w:sz="8" w:color="0000EE"/>
            </w:tcBorders>
            <w:gridSpan w:val="3"/>
          </w:tcPr>
          <w:p>
            <w:pPr>
              <w:spacing w:after="0"/>
              <w:rPr>
                <w:sz w:val="8"/>
                <w:szCs w:val="8"/>
                <w:color w:val="auto"/>
              </w:rPr>
            </w:pPr>
          </w:p>
        </w:tc>
        <w:tc>
          <w:tcPr>
            <w:tcW w:w="1460" w:type="dxa"/>
            <w:vAlign w:val="bottom"/>
            <w:tcBorders>
              <w:top w:val="single" w:sz="8" w:color="0000EE"/>
            </w:tcBorders>
            <w:gridSpan w:val="2"/>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60" w:type="dxa"/>
            <w:vAlign w:val="bottom"/>
            <w:tcBorders>
              <w:top w:val="single" w:sz="8" w:color="0000EE"/>
            </w:tcBorders>
            <w:gridSpan w:val="2"/>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10.13(a)</w:t>
            </w:r>
          </w:p>
        </w:tc>
        <w:tc>
          <w:tcPr>
            <w:tcW w:w="10220" w:type="dxa"/>
            <w:vAlign w:val="bottom"/>
            <w:gridSpan w:val="31"/>
          </w:tcPr>
          <w:p>
            <w:pPr>
              <w:spacing w:after="0"/>
              <w:rPr>
                <w:rFonts w:ascii="Arial" w:cs="Arial" w:eastAsia="Arial" w:hAnsi="Arial"/>
                <w:sz w:val="11"/>
                <w:szCs w:val="11"/>
                <w:color w:val="0000EE"/>
              </w:rPr>
            </w:pPr>
            <w:hyperlink r:id="rId232">
              <w:r>
                <w:rPr>
                  <w:rFonts w:ascii="Arial" w:cs="Arial" w:eastAsia="Arial" w:hAnsi="Arial"/>
                  <w:sz w:val="11"/>
                  <w:szCs w:val="11"/>
                  <w:color w:val="0000EE"/>
                </w:rPr>
                <w:t>Form of Time Vesting Non-Qualified Stock Option Agreement for Senior Executives filed as Exhibit 10.4 to the Company’s Quarterly Report on Form 10-Q for the quarter ended June 30, 2018, filed with the</w:t>
              </w:r>
            </w:hyperlink>
          </w:p>
        </w:tc>
      </w:tr>
      <w:tr>
        <w:trPr>
          <w:trHeight w:val="95"/>
        </w:trPr>
        <w:tc>
          <w:tcPr>
            <w:tcW w:w="1060" w:type="dxa"/>
            <w:vAlign w:val="bottom"/>
          </w:tcPr>
          <w:p>
            <w:pPr>
              <w:spacing w:after="0"/>
              <w:rPr>
                <w:sz w:val="8"/>
                <w:szCs w:val="8"/>
                <w:color w:val="auto"/>
              </w:rPr>
            </w:pPr>
          </w:p>
        </w:tc>
        <w:tc>
          <w:tcPr>
            <w:tcW w:w="4260" w:type="dxa"/>
            <w:vAlign w:val="bottom"/>
            <w:tcBorders>
              <w:top w:val="single" w:sz="8" w:color="0000EE"/>
              <w:bottom w:val="single" w:sz="8" w:color="0000EE"/>
            </w:tcBorders>
            <w:gridSpan w:val="7"/>
          </w:tcPr>
          <w:p>
            <w:pPr>
              <w:spacing w:after="0" w:line="88" w:lineRule="exact"/>
              <w:rPr>
                <w:rFonts w:ascii="Arial" w:cs="Arial" w:eastAsia="Arial" w:hAnsi="Arial"/>
                <w:sz w:val="10"/>
                <w:szCs w:val="10"/>
                <w:color w:val="0000EE"/>
              </w:rPr>
            </w:pPr>
            <w:hyperlink r:id="rId232">
              <w:r>
                <w:rPr>
                  <w:rFonts w:ascii="Arial" w:cs="Arial" w:eastAsia="Arial" w:hAnsi="Arial"/>
                  <w:sz w:val="10"/>
                  <w:szCs w:val="10"/>
                  <w:color w:val="0000EE"/>
                </w:rPr>
                <w:t>Commission on July 30, 2018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9" w:lineRule="exact"/>
              <w:rPr>
                <w:rFonts w:ascii="Arial" w:cs="Arial" w:eastAsia="Arial" w:hAnsi="Arial"/>
                <w:sz w:val="9"/>
                <w:szCs w:val="9"/>
                <w:color w:val="0000EE"/>
              </w:rPr>
            </w:pPr>
            <w:hyperlink r:id="rId232">
              <w:r>
                <w:rPr>
                  <w:rFonts w:ascii="Arial" w:cs="Arial" w:eastAsia="Arial" w:hAnsi="Arial"/>
                  <w:sz w:val="9"/>
                  <w:szCs w:val="9"/>
                  <w:color w:val="0000EE"/>
                </w:rPr>
                <w:t>(1)</w:t>
              </w:r>
            </w:hyperlink>
          </w:p>
        </w:tc>
        <w:tc>
          <w:tcPr>
            <w:tcW w:w="40" w:type="dxa"/>
            <w:vAlign w:val="bottom"/>
            <w:tcBorders>
              <w:top w:val="single" w:sz="8" w:color="0000EE"/>
              <w:bottom w:val="single" w:sz="8" w:color="0000EE"/>
            </w:tcBorders>
            <w:gridSpan w:val="2"/>
          </w:tcPr>
          <w:p>
            <w:pPr>
              <w:spacing w:after="0"/>
              <w:rPr>
                <w:sz w:val="8"/>
                <w:szCs w:val="8"/>
                <w:color w:val="auto"/>
              </w:rPr>
            </w:pPr>
          </w:p>
        </w:tc>
        <w:tc>
          <w:tcPr>
            <w:tcW w:w="160" w:type="dxa"/>
            <w:vAlign w:val="bottom"/>
            <w:tcBorders>
              <w:top w:val="single" w:sz="8" w:color="0000EE"/>
            </w:tcBorders>
            <w:gridSpan w:val="3"/>
          </w:tcPr>
          <w:p>
            <w:pPr>
              <w:spacing w:after="0"/>
              <w:rPr>
                <w:sz w:val="8"/>
                <w:szCs w:val="8"/>
                <w:color w:val="auto"/>
              </w:rPr>
            </w:pPr>
          </w:p>
        </w:tc>
        <w:tc>
          <w:tcPr>
            <w:tcW w:w="1460" w:type="dxa"/>
            <w:vAlign w:val="bottom"/>
            <w:tcBorders>
              <w:top w:val="single" w:sz="8" w:color="0000EE"/>
            </w:tcBorders>
            <w:gridSpan w:val="2"/>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10.13(b)</w:t>
            </w:r>
          </w:p>
        </w:tc>
        <w:tc>
          <w:tcPr>
            <w:tcW w:w="10220" w:type="dxa"/>
            <w:vAlign w:val="bottom"/>
            <w:tcBorders>
              <w:bottom w:val="single" w:sz="8" w:color="0000EE"/>
            </w:tcBorders>
            <w:gridSpan w:val="31"/>
          </w:tcPr>
          <w:p>
            <w:pPr>
              <w:spacing w:after="0"/>
              <w:rPr>
                <w:rFonts w:ascii="Arial" w:cs="Arial" w:eastAsia="Arial" w:hAnsi="Arial"/>
                <w:sz w:val="11"/>
                <w:szCs w:val="11"/>
                <w:color w:val="0000EE"/>
                <w:w w:val="97"/>
              </w:rPr>
            </w:pPr>
            <w:hyperlink r:id="rId233">
              <w:r>
                <w:rPr>
                  <w:rFonts w:ascii="Arial" w:cs="Arial" w:eastAsia="Arial" w:hAnsi="Arial"/>
                  <w:sz w:val="11"/>
                  <w:szCs w:val="11"/>
                  <w:color w:val="0000EE"/>
                  <w:w w:val="97"/>
                </w:rPr>
                <w:t>Form of Performance Vesting Restricted Stock Agreement for Senior Executives filed as Exhibit 10.5 to the Company’s Quarterly Report on Form 10-Q for the quarter ended June 30, 2018, filed with the Commission</w:t>
              </w:r>
            </w:hyperlink>
          </w:p>
        </w:tc>
      </w:tr>
      <w:tr>
        <w:trPr>
          <w:trHeight w:val="97"/>
        </w:trPr>
        <w:tc>
          <w:tcPr>
            <w:tcW w:w="1060" w:type="dxa"/>
            <w:vAlign w:val="bottom"/>
          </w:tcPr>
          <w:p>
            <w:pPr>
              <w:spacing w:after="0"/>
              <w:rPr>
                <w:sz w:val="8"/>
                <w:szCs w:val="8"/>
                <w:color w:val="auto"/>
              </w:rPr>
            </w:pPr>
          </w:p>
        </w:tc>
        <w:tc>
          <w:tcPr>
            <w:tcW w:w="3640" w:type="dxa"/>
            <w:vAlign w:val="bottom"/>
            <w:tcBorders>
              <w:bottom w:val="single" w:sz="8" w:color="0000EE"/>
            </w:tcBorders>
            <w:gridSpan w:val="6"/>
          </w:tcPr>
          <w:p>
            <w:pPr>
              <w:spacing w:after="0" w:line="97" w:lineRule="exact"/>
              <w:rPr>
                <w:rFonts w:ascii="Arial" w:cs="Arial" w:eastAsia="Arial" w:hAnsi="Arial"/>
                <w:sz w:val="11"/>
                <w:szCs w:val="11"/>
                <w:color w:val="0000EE"/>
                <w:w w:val="97"/>
              </w:rPr>
            </w:pPr>
            <w:hyperlink r:id="rId233">
              <w:r>
                <w:rPr>
                  <w:rFonts w:ascii="Arial" w:cs="Arial" w:eastAsia="Arial" w:hAnsi="Arial"/>
                  <w:sz w:val="11"/>
                  <w:szCs w:val="11"/>
                  <w:color w:val="0000EE"/>
                  <w:w w:val="97"/>
                </w:rPr>
                <w:t>on July 30, 2018 (File No. 001-12984) and incorporated herein by reference.</w:t>
              </w:r>
            </w:hyperlink>
          </w:p>
        </w:tc>
        <w:tc>
          <w:tcPr>
            <w:tcW w:w="620" w:type="dxa"/>
            <w:vAlign w:val="bottom"/>
          </w:tcPr>
          <w:p>
            <w:pPr>
              <w:jc w:val="right"/>
              <w:ind w:right="434"/>
              <w:spacing w:after="0" w:line="79" w:lineRule="exact"/>
              <w:rPr>
                <w:rFonts w:ascii="Arial" w:cs="Arial" w:eastAsia="Arial" w:hAnsi="Arial"/>
                <w:sz w:val="9"/>
                <w:szCs w:val="9"/>
                <w:color w:val="0000EE"/>
              </w:rPr>
            </w:pPr>
            <w:hyperlink r:id="rId233">
              <w:r>
                <w:rPr>
                  <w:rFonts w:ascii="Arial" w:cs="Arial" w:eastAsia="Arial" w:hAnsi="Arial"/>
                  <w:sz w:val="9"/>
                  <w:szCs w:val="9"/>
                  <w:color w:val="0000EE"/>
                </w:rPr>
                <w:t>(1)</w:t>
              </w:r>
            </w:hyperlink>
          </w:p>
        </w:tc>
        <w:tc>
          <w:tcPr>
            <w:tcW w:w="40" w:type="dxa"/>
            <w:vAlign w:val="bottom"/>
          </w:tcPr>
          <w:p>
            <w:pPr>
              <w:spacing w:after="0"/>
              <w:rPr>
                <w:sz w:val="8"/>
                <w:szCs w:val="8"/>
                <w:color w:val="auto"/>
              </w:rPr>
            </w:pPr>
          </w:p>
        </w:tc>
        <w:tc>
          <w:tcPr>
            <w:tcW w:w="140" w:type="dxa"/>
            <w:vAlign w:val="bottom"/>
            <w:gridSpan w:val="3"/>
          </w:tcPr>
          <w:p>
            <w:pPr>
              <w:spacing w:after="0"/>
              <w:rPr>
                <w:sz w:val="8"/>
                <w:szCs w:val="8"/>
                <w:color w:val="auto"/>
              </w:rPr>
            </w:pPr>
          </w:p>
        </w:tc>
        <w:tc>
          <w:tcPr>
            <w:tcW w:w="160" w:type="dxa"/>
            <w:vAlign w:val="bottom"/>
            <w:gridSpan w:val="3"/>
          </w:tcPr>
          <w:p>
            <w:pPr>
              <w:spacing w:after="0"/>
              <w:rPr>
                <w:sz w:val="8"/>
                <w:szCs w:val="8"/>
                <w:color w:val="auto"/>
              </w:rPr>
            </w:pPr>
          </w:p>
        </w:tc>
        <w:tc>
          <w:tcPr>
            <w:tcW w:w="14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10.13(c)</w:t>
            </w:r>
          </w:p>
        </w:tc>
        <w:tc>
          <w:tcPr>
            <w:tcW w:w="10220" w:type="dxa"/>
            <w:vAlign w:val="bottom"/>
            <w:tcBorders>
              <w:bottom w:val="single" w:sz="8" w:color="0000EE"/>
            </w:tcBorders>
            <w:gridSpan w:val="31"/>
          </w:tcPr>
          <w:p>
            <w:pPr>
              <w:spacing w:after="0"/>
              <w:rPr>
                <w:rFonts w:ascii="Arial" w:cs="Arial" w:eastAsia="Arial" w:hAnsi="Arial"/>
                <w:sz w:val="11"/>
                <w:szCs w:val="11"/>
                <w:color w:val="0000EE"/>
                <w:w w:val="97"/>
              </w:rPr>
            </w:pPr>
            <w:hyperlink r:id="rId234">
              <w:r>
                <w:rPr>
                  <w:rFonts w:ascii="Arial" w:cs="Arial" w:eastAsia="Arial" w:hAnsi="Arial"/>
                  <w:sz w:val="11"/>
                  <w:szCs w:val="11"/>
                  <w:color w:val="0000EE"/>
                  <w:w w:val="97"/>
                </w:rPr>
                <w:t>Form of Time Vesting Restricted Stock Agreement for Senior Executives filed as Exhibit 10.6 to the Company’s Quarterly Report on Form 10-Q for the quarter ended June 30, 2018, filed with the Commission on July</w:t>
              </w:r>
            </w:hyperlink>
          </w:p>
        </w:tc>
      </w:tr>
      <w:tr>
        <w:trPr>
          <w:trHeight w:val="97"/>
        </w:trPr>
        <w:tc>
          <w:tcPr>
            <w:tcW w:w="1060" w:type="dxa"/>
            <w:vAlign w:val="bottom"/>
          </w:tcPr>
          <w:p>
            <w:pPr>
              <w:spacing w:after="0"/>
              <w:rPr>
                <w:sz w:val="8"/>
                <w:szCs w:val="8"/>
                <w:color w:val="auto"/>
              </w:rPr>
            </w:pPr>
          </w:p>
        </w:tc>
        <w:tc>
          <w:tcPr>
            <w:tcW w:w="3260" w:type="dxa"/>
            <w:vAlign w:val="bottom"/>
            <w:tcBorders>
              <w:bottom w:val="single" w:sz="8" w:color="0000EE"/>
            </w:tcBorders>
            <w:gridSpan w:val="5"/>
          </w:tcPr>
          <w:p>
            <w:pPr>
              <w:spacing w:after="0" w:line="97" w:lineRule="exact"/>
              <w:rPr>
                <w:rFonts w:ascii="Arial" w:cs="Arial" w:eastAsia="Arial" w:hAnsi="Arial"/>
                <w:sz w:val="11"/>
                <w:szCs w:val="11"/>
                <w:color w:val="0000EE"/>
                <w:w w:val="97"/>
              </w:rPr>
            </w:pPr>
            <w:hyperlink r:id="rId234">
              <w:r>
                <w:rPr>
                  <w:rFonts w:ascii="Arial" w:cs="Arial" w:eastAsia="Arial" w:hAnsi="Arial"/>
                  <w:sz w:val="11"/>
                  <w:szCs w:val="11"/>
                  <w:color w:val="0000EE"/>
                  <w:w w:val="97"/>
                </w:rPr>
                <w:t>30, 2018 (File No. 001-12984) and incorporated herein by reference.</w:t>
              </w:r>
            </w:hyperlink>
          </w:p>
        </w:tc>
        <w:tc>
          <w:tcPr>
            <w:tcW w:w="380" w:type="dxa"/>
            <w:vAlign w:val="bottom"/>
          </w:tcPr>
          <w:p>
            <w:pPr>
              <w:jc w:val="right"/>
              <w:ind w:right="194"/>
              <w:spacing w:after="0" w:line="79" w:lineRule="exact"/>
              <w:rPr>
                <w:rFonts w:ascii="Arial" w:cs="Arial" w:eastAsia="Arial" w:hAnsi="Arial"/>
                <w:sz w:val="9"/>
                <w:szCs w:val="9"/>
                <w:color w:val="0000EE"/>
              </w:rPr>
            </w:pPr>
            <w:hyperlink r:id="rId234">
              <w:r>
                <w:rPr>
                  <w:rFonts w:ascii="Arial" w:cs="Arial" w:eastAsia="Arial" w:hAnsi="Arial"/>
                  <w:sz w:val="9"/>
                  <w:szCs w:val="9"/>
                  <w:color w:val="0000EE"/>
                </w:rPr>
                <w:t>(1)</w:t>
              </w:r>
            </w:hyperlink>
          </w:p>
        </w:tc>
        <w:tc>
          <w:tcPr>
            <w:tcW w:w="660" w:type="dxa"/>
            <w:vAlign w:val="bottom"/>
            <w:gridSpan w:val="2"/>
          </w:tcPr>
          <w:p>
            <w:pPr>
              <w:spacing w:after="0"/>
              <w:rPr>
                <w:sz w:val="8"/>
                <w:szCs w:val="8"/>
                <w:color w:val="auto"/>
              </w:rPr>
            </w:pPr>
          </w:p>
        </w:tc>
        <w:tc>
          <w:tcPr>
            <w:tcW w:w="140" w:type="dxa"/>
            <w:vAlign w:val="bottom"/>
            <w:gridSpan w:val="3"/>
          </w:tcPr>
          <w:p>
            <w:pPr>
              <w:spacing w:after="0"/>
              <w:rPr>
                <w:sz w:val="8"/>
                <w:szCs w:val="8"/>
                <w:color w:val="auto"/>
              </w:rPr>
            </w:pPr>
          </w:p>
        </w:tc>
        <w:tc>
          <w:tcPr>
            <w:tcW w:w="160" w:type="dxa"/>
            <w:vAlign w:val="bottom"/>
            <w:gridSpan w:val="3"/>
          </w:tcPr>
          <w:p>
            <w:pPr>
              <w:spacing w:after="0"/>
              <w:rPr>
                <w:sz w:val="8"/>
                <w:szCs w:val="8"/>
                <w:color w:val="auto"/>
              </w:rPr>
            </w:pPr>
          </w:p>
        </w:tc>
        <w:tc>
          <w:tcPr>
            <w:tcW w:w="14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10.13(d)</w:t>
            </w:r>
          </w:p>
        </w:tc>
        <w:tc>
          <w:tcPr>
            <w:tcW w:w="9700" w:type="dxa"/>
            <w:vAlign w:val="bottom"/>
            <w:tcBorders>
              <w:bottom w:val="single" w:sz="8" w:color="0000EE"/>
            </w:tcBorders>
            <w:gridSpan w:val="21"/>
          </w:tcPr>
          <w:p>
            <w:pPr>
              <w:spacing w:after="0"/>
              <w:rPr>
                <w:rFonts w:ascii="Arial" w:cs="Arial" w:eastAsia="Arial" w:hAnsi="Arial"/>
                <w:sz w:val="11"/>
                <w:szCs w:val="11"/>
                <w:color w:val="0000EE"/>
                <w:w w:val="97"/>
              </w:rPr>
            </w:pPr>
            <w:hyperlink r:id="rId235">
              <w:r>
                <w:rPr>
                  <w:rFonts w:ascii="Arial" w:cs="Arial" w:eastAsia="Arial" w:hAnsi="Arial"/>
                  <w:sz w:val="11"/>
                  <w:szCs w:val="11"/>
                  <w:color w:val="0000EE"/>
                  <w:w w:val="97"/>
                </w:rPr>
                <w:t>Form of Non-Qualified Stock Option Agreement for Non-Employee Directors filed as Exhibit 10.2 to the Company’s Quarterly Report on Form 10-Q for the quarter ended September 30, 2018, filed with the</w:t>
              </w:r>
            </w:hyperlink>
          </w:p>
        </w:tc>
        <w:tc>
          <w:tcPr>
            <w:tcW w:w="520" w:type="dxa"/>
            <w:vAlign w:val="bottom"/>
            <w:gridSpan w:val="10"/>
          </w:tcPr>
          <w:p>
            <w:pPr>
              <w:spacing w:after="0"/>
              <w:rPr>
                <w:sz w:val="17"/>
                <w:szCs w:val="17"/>
                <w:color w:val="auto"/>
              </w:rPr>
            </w:pPr>
          </w:p>
        </w:tc>
      </w:tr>
      <w:tr>
        <w:trPr>
          <w:trHeight w:val="95"/>
        </w:trPr>
        <w:tc>
          <w:tcPr>
            <w:tcW w:w="1060" w:type="dxa"/>
            <w:vAlign w:val="bottom"/>
          </w:tcPr>
          <w:p>
            <w:pPr>
              <w:spacing w:after="0"/>
              <w:rPr>
                <w:sz w:val="8"/>
                <w:szCs w:val="8"/>
                <w:color w:val="auto"/>
              </w:rPr>
            </w:pPr>
          </w:p>
        </w:tc>
        <w:tc>
          <w:tcPr>
            <w:tcW w:w="4460" w:type="dxa"/>
            <w:vAlign w:val="bottom"/>
            <w:tcBorders>
              <w:bottom w:val="single" w:sz="8" w:color="0000EE"/>
            </w:tcBorders>
            <w:gridSpan w:val="12"/>
          </w:tcPr>
          <w:p>
            <w:pPr>
              <w:spacing w:after="0" w:line="88" w:lineRule="exact"/>
              <w:rPr>
                <w:rFonts w:ascii="Arial" w:cs="Arial" w:eastAsia="Arial" w:hAnsi="Arial"/>
                <w:sz w:val="10"/>
                <w:szCs w:val="10"/>
                <w:color w:val="0000EE"/>
              </w:rPr>
            </w:pPr>
            <w:hyperlink r:id="rId235">
              <w:r>
                <w:rPr>
                  <w:rFonts w:ascii="Arial" w:cs="Arial" w:eastAsia="Arial" w:hAnsi="Arial"/>
                  <w:sz w:val="10"/>
                  <w:szCs w:val="10"/>
                  <w:color w:val="0000EE"/>
                </w:rPr>
                <w:t>Commission on October 30, 2018 (File No. 001-12984) and incorporated herein by reference.</w:t>
              </w:r>
            </w:hyperlink>
          </w:p>
        </w:tc>
        <w:tc>
          <w:tcPr>
            <w:tcW w:w="140" w:type="dxa"/>
            <w:vAlign w:val="bottom"/>
            <w:tcBorders>
              <w:bottom w:val="single" w:sz="8" w:color="0000EE"/>
            </w:tcBorders>
            <w:gridSpan w:val="2"/>
          </w:tcPr>
          <w:p>
            <w:pPr>
              <w:jc w:val="right"/>
              <w:spacing w:after="0" w:line="79" w:lineRule="exact"/>
              <w:rPr>
                <w:rFonts w:ascii="Arial" w:cs="Arial" w:eastAsia="Arial" w:hAnsi="Arial"/>
                <w:sz w:val="9"/>
                <w:szCs w:val="9"/>
                <w:color w:val="0000EE"/>
              </w:rPr>
            </w:pPr>
            <w:hyperlink r:id="rId235">
              <w:r>
                <w:rPr>
                  <w:rFonts w:ascii="Arial" w:cs="Arial" w:eastAsia="Arial" w:hAnsi="Arial"/>
                  <w:sz w:val="9"/>
                  <w:szCs w:val="9"/>
                  <w:color w:val="0000EE"/>
                </w:rPr>
                <w:t>(1)</w:t>
              </w:r>
            </w:hyperlink>
          </w:p>
        </w:tc>
        <w:tc>
          <w:tcPr>
            <w:tcW w:w="14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 w:type="dxa"/>
            <w:vAlign w:val="bottom"/>
            <w:gridSpan w:val="4"/>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1"/>
                <w:szCs w:val="11"/>
                <w:color w:val="auto"/>
              </w:rPr>
              <w:t>10.14</w:t>
            </w:r>
          </w:p>
        </w:tc>
        <w:tc>
          <w:tcPr>
            <w:tcW w:w="9620" w:type="dxa"/>
            <w:vAlign w:val="bottom"/>
            <w:tcBorders>
              <w:bottom w:val="single" w:sz="8" w:color="0000EE"/>
            </w:tcBorders>
            <w:gridSpan w:val="19"/>
          </w:tcPr>
          <w:p>
            <w:pPr>
              <w:spacing w:after="0"/>
              <w:rPr>
                <w:rFonts w:ascii="Arial" w:cs="Arial" w:eastAsia="Arial" w:hAnsi="Arial"/>
                <w:sz w:val="11"/>
                <w:szCs w:val="11"/>
                <w:color w:val="0000EE"/>
                <w:w w:val="97"/>
              </w:rPr>
            </w:pPr>
            <w:hyperlink r:id="rId236">
              <w:r>
                <w:rPr>
                  <w:rFonts w:ascii="Arial" w:cs="Arial" w:eastAsia="Arial" w:hAnsi="Arial"/>
                  <w:sz w:val="11"/>
                  <w:szCs w:val="11"/>
                  <w:color w:val="0000EE"/>
                  <w:w w:val="97"/>
                </w:rPr>
                <w:t>The Eagle Materials Inc. Retirement Plan filed as Exhibit 4.6 to the Company’s Form S-8 POS, filed with the Commission on January 31, 2019 (File No. 001-12984) and incorporated herein by reference.</w:t>
              </w:r>
            </w:hyperlink>
          </w:p>
        </w:tc>
        <w:tc>
          <w:tcPr>
            <w:tcW w:w="140" w:type="dxa"/>
            <w:vAlign w:val="bottom"/>
            <w:gridSpan w:val="4"/>
          </w:tcPr>
          <w:p>
            <w:pPr>
              <w:jc w:val="right"/>
              <w:spacing w:after="0"/>
              <w:rPr>
                <w:rFonts w:ascii="Arial" w:cs="Arial" w:eastAsia="Arial" w:hAnsi="Arial"/>
                <w:sz w:val="9"/>
                <w:szCs w:val="9"/>
                <w:color w:val="0000EE"/>
              </w:rPr>
            </w:pPr>
            <w:hyperlink r:id="rId236">
              <w:r>
                <w:rPr>
                  <w:rFonts w:ascii="Arial" w:cs="Arial" w:eastAsia="Arial" w:hAnsi="Arial"/>
                  <w:sz w:val="9"/>
                  <w:szCs w:val="9"/>
                  <w:color w:val="0000EE"/>
                </w:rPr>
                <w:t>(1)</w:t>
              </w:r>
            </w:hyperlink>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1"/>
                <w:szCs w:val="11"/>
                <w:color w:val="auto"/>
              </w:rPr>
              <w:t>10.15</w:t>
            </w:r>
          </w:p>
        </w:tc>
        <w:tc>
          <w:tcPr>
            <w:tcW w:w="10180" w:type="dxa"/>
            <w:vAlign w:val="bottom"/>
            <w:tcBorders>
              <w:bottom w:val="single" w:sz="8" w:color="0000EE"/>
            </w:tcBorders>
            <w:gridSpan w:val="30"/>
          </w:tcPr>
          <w:p>
            <w:pPr>
              <w:spacing w:after="0"/>
              <w:rPr>
                <w:rFonts w:ascii="Arial" w:cs="Arial" w:eastAsia="Arial" w:hAnsi="Arial"/>
                <w:sz w:val="11"/>
                <w:szCs w:val="11"/>
                <w:color w:val="0000EE"/>
                <w:w w:val="97"/>
              </w:rPr>
            </w:pPr>
            <w:hyperlink r:id="rId237">
              <w:r>
                <w:rPr>
                  <w:rFonts w:ascii="Arial" w:cs="Arial" w:eastAsia="Arial" w:hAnsi="Arial"/>
                  <w:sz w:val="11"/>
                  <w:szCs w:val="11"/>
                  <w:color w:val="0000EE"/>
                  <w:w w:val="97"/>
                </w:rPr>
                <w:t>The Eagle Materials Inc. Amended and Restated Supplemental Executive Retirement Plan filed as Exhibit 10.4 to the Company’s Annual Report on Form 10-K for the fiscal year ended March 31, 2000, filed with the</w:t>
              </w:r>
            </w:hyperlink>
          </w:p>
        </w:tc>
        <w:tc>
          <w:tcPr>
            <w:tcW w:w="40" w:type="dxa"/>
            <w:vAlign w:val="bottom"/>
          </w:tcPr>
          <w:p>
            <w:pPr>
              <w:spacing w:after="0"/>
              <w:rPr>
                <w:sz w:val="21"/>
                <w:szCs w:val="21"/>
                <w:color w:val="auto"/>
              </w:rPr>
            </w:pPr>
          </w:p>
        </w:tc>
      </w:tr>
      <w:tr>
        <w:trPr>
          <w:trHeight w:val="97"/>
        </w:trPr>
        <w:tc>
          <w:tcPr>
            <w:tcW w:w="1060" w:type="dxa"/>
            <w:vAlign w:val="bottom"/>
          </w:tcPr>
          <w:p>
            <w:pPr>
              <w:spacing w:after="0"/>
              <w:rPr>
                <w:sz w:val="8"/>
                <w:szCs w:val="8"/>
                <w:color w:val="auto"/>
              </w:rPr>
            </w:pPr>
          </w:p>
        </w:tc>
        <w:tc>
          <w:tcPr>
            <w:tcW w:w="4300" w:type="dxa"/>
            <w:vAlign w:val="bottom"/>
            <w:tcBorders>
              <w:bottom w:val="single" w:sz="8" w:color="0000EE"/>
            </w:tcBorders>
            <w:gridSpan w:val="8"/>
          </w:tcPr>
          <w:p>
            <w:pPr>
              <w:spacing w:after="0" w:line="88" w:lineRule="exact"/>
              <w:rPr>
                <w:rFonts w:ascii="Arial" w:cs="Arial" w:eastAsia="Arial" w:hAnsi="Arial"/>
                <w:sz w:val="10"/>
                <w:szCs w:val="10"/>
                <w:color w:val="0000EE"/>
              </w:rPr>
            </w:pPr>
            <w:hyperlink r:id="rId237">
              <w:r>
                <w:rPr>
                  <w:rFonts w:ascii="Arial" w:cs="Arial" w:eastAsia="Arial" w:hAnsi="Arial"/>
                  <w:sz w:val="10"/>
                  <w:szCs w:val="10"/>
                  <w:color w:val="0000EE"/>
                </w:rPr>
                <w:t>Commission on June 21, 2000 (File No. 001-12984) and incorporated herein by reference.</w:t>
              </w:r>
            </w:hyperlink>
          </w:p>
        </w:tc>
        <w:tc>
          <w:tcPr>
            <w:tcW w:w="140" w:type="dxa"/>
            <w:vAlign w:val="bottom"/>
            <w:gridSpan w:val="3"/>
          </w:tcPr>
          <w:p>
            <w:pPr>
              <w:jc w:val="right"/>
              <w:spacing w:after="0" w:line="79" w:lineRule="exact"/>
              <w:rPr>
                <w:rFonts w:ascii="Arial" w:cs="Arial" w:eastAsia="Arial" w:hAnsi="Arial"/>
                <w:sz w:val="9"/>
                <w:szCs w:val="9"/>
                <w:color w:val="0000EE"/>
              </w:rPr>
            </w:pPr>
            <w:hyperlink r:id="rId237">
              <w:r>
                <w:rPr>
                  <w:rFonts w:ascii="Arial" w:cs="Arial" w:eastAsia="Arial" w:hAnsi="Arial"/>
                  <w:sz w:val="9"/>
                  <w:szCs w:val="9"/>
                  <w:color w:val="0000EE"/>
                </w:rPr>
                <w:t>(1)</w:t>
              </w:r>
            </w:hyperlink>
          </w:p>
        </w:tc>
        <w:tc>
          <w:tcPr>
            <w:tcW w:w="1620" w:type="dxa"/>
            <w:vAlign w:val="bottom"/>
            <w:gridSpan w:val="5"/>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6"/>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10.15(a)</w:t>
            </w:r>
          </w:p>
        </w:tc>
        <w:tc>
          <w:tcPr>
            <w:tcW w:w="10220" w:type="dxa"/>
            <w:vAlign w:val="bottom"/>
            <w:gridSpan w:val="31"/>
          </w:tcPr>
          <w:p>
            <w:pPr>
              <w:spacing w:after="0"/>
              <w:rPr>
                <w:rFonts w:ascii="Arial" w:cs="Arial" w:eastAsia="Arial" w:hAnsi="Arial"/>
                <w:sz w:val="11"/>
                <w:szCs w:val="11"/>
                <w:color w:val="0000EE"/>
                <w:w w:val="99"/>
              </w:rPr>
            </w:pPr>
            <w:hyperlink r:id="rId238">
              <w:r>
                <w:rPr>
                  <w:rFonts w:ascii="Arial" w:cs="Arial" w:eastAsia="Arial" w:hAnsi="Arial"/>
                  <w:sz w:val="11"/>
                  <w:szCs w:val="11"/>
                  <w:color w:val="0000EE"/>
                  <w:w w:val="99"/>
                </w:rPr>
                <w:t>First Amendment to the Eagle Materials Inc. Amended and Restated Supplemental Executive Retirement Plan, dated as of May 11, 2004, filed as Exhibit 10.4(a) to the Company’s Annual Report on Form 10-K for</w:t>
              </w:r>
            </w:hyperlink>
          </w:p>
        </w:tc>
      </w:tr>
      <w:tr>
        <w:trPr>
          <w:trHeight w:val="95"/>
        </w:trPr>
        <w:tc>
          <w:tcPr>
            <w:tcW w:w="1060" w:type="dxa"/>
            <w:vAlign w:val="bottom"/>
          </w:tcPr>
          <w:p>
            <w:pPr>
              <w:spacing w:after="0"/>
              <w:rPr>
                <w:sz w:val="8"/>
                <w:szCs w:val="8"/>
                <w:color w:val="auto"/>
              </w:rPr>
            </w:pPr>
          </w:p>
        </w:tc>
        <w:tc>
          <w:tcPr>
            <w:tcW w:w="6700" w:type="dxa"/>
            <w:vAlign w:val="bottom"/>
            <w:tcBorders>
              <w:top w:val="single" w:sz="8" w:color="0000EE"/>
              <w:bottom w:val="single" w:sz="8" w:color="0000EE"/>
            </w:tcBorders>
            <w:gridSpan w:val="17"/>
          </w:tcPr>
          <w:p>
            <w:pPr>
              <w:spacing w:after="0" w:line="88" w:lineRule="exact"/>
              <w:rPr>
                <w:rFonts w:ascii="Arial" w:cs="Arial" w:eastAsia="Arial" w:hAnsi="Arial"/>
                <w:sz w:val="10"/>
                <w:szCs w:val="10"/>
                <w:color w:val="0000EE"/>
              </w:rPr>
            </w:pPr>
            <w:hyperlink r:id="rId238">
              <w:r>
                <w:rPr>
                  <w:rFonts w:ascii="Arial" w:cs="Arial" w:eastAsia="Arial" w:hAnsi="Arial"/>
                  <w:sz w:val="10"/>
                  <w:szCs w:val="10"/>
                  <w:color w:val="0000EE"/>
                </w:rPr>
                <w:t>the fiscal year ended March 31, 2006, filed with the Commission on June 2, 2006 (File No. 001-12984) and incorporated herein by 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38">
              <w:r>
                <w:rPr>
                  <w:rFonts w:ascii="Arial" w:cs="Arial" w:eastAsia="Arial" w:hAnsi="Arial"/>
                  <w:sz w:val="9"/>
                  <w:szCs w:val="9"/>
                  <w:color w:val="0000EE"/>
                </w:rPr>
                <w:t>(1)</w:t>
              </w:r>
            </w:hyperlink>
          </w:p>
        </w:tc>
        <w:tc>
          <w:tcPr>
            <w:tcW w:w="2980" w:type="dxa"/>
            <w:vAlign w:val="bottom"/>
            <w:tcBorders>
              <w:top w:val="single" w:sz="8" w:color="0000EE"/>
            </w:tcBorders>
            <w:gridSpan w:val="6"/>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1"/>
                <w:szCs w:val="11"/>
                <w:color w:val="auto"/>
              </w:rPr>
              <w:t>10.16</w:t>
            </w:r>
          </w:p>
        </w:tc>
        <w:tc>
          <w:tcPr>
            <w:tcW w:w="10220" w:type="dxa"/>
            <w:vAlign w:val="bottom"/>
            <w:gridSpan w:val="31"/>
          </w:tcPr>
          <w:p>
            <w:pPr>
              <w:spacing w:after="0"/>
              <w:rPr>
                <w:rFonts w:ascii="Arial" w:cs="Arial" w:eastAsia="Arial" w:hAnsi="Arial"/>
                <w:sz w:val="11"/>
                <w:szCs w:val="11"/>
                <w:color w:val="0000EE"/>
                <w:w w:val="99"/>
              </w:rPr>
            </w:pPr>
            <w:hyperlink r:id="rId239">
              <w:r>
                <w:rPr>
                  <w:rFonts w:ascii="Arial" w:cs="Arial" w:eastAsia="Arial" w:hAnsi="Arial"/>
                  <w:sz w:val="11"/>
                  <w:szCs w:val="11"/>
                  <w:color w:val="0000EE"/>
                  <w:w w:val="99"/>
                </w:rPr>
                <w:t>Trademark License and Name Domain Agreement dated January 30, 2004, between the Company and Centex Corporation, filed as Exhibit 10.5 to the Company’s Annual Report on Form 10-K for the fiscal year</w:t>
              </w:r>
            </w:hyperlink>
          </w:p>
        </w:tc>
      </w:tr>
      <w:tr>
        <w:trPr>
          <w:trHeight w:val="106"/>
        </w:trPr>
        <w:tc>
          <w:tcPr>
            <w:tcW w:w="1060" w:type="dxa"/>
            <w:vAlign w:val="bottom"/>
          </w:tcPr>
          <w:p>
            <w:pPr>
              <w:spacing w:after="0"/>
              <w:rPr>
                <w:sz w:val="9"/>
                <w:szCs w:val="9"/>
                <w:color w:val="auto"/>
              </w:rPr>
            </w:pPr>
          </w:p>
        </w:tc>
        <w:tc>
          <w:tcPr>
            <w:tcW w:w="6060" w:type="dxa"/>
            <w:vAlign w:val="bottom"/>
            <w:tcBorders>
              <w:top w:val="single" w:sz="8" w:color="0000EE"/>
              <w:bottom w:val="single" w:sz="8" w:color="0000EE"/>
            </w:tcBorders>
            <w:gridSpan w:val="16"/>
          </w:tcPr>
          <w:p>
            <w:pPr>
              <w:spacing w:after="0" w:line="106" w:lineRule="exact"/>
              <w:rPr>
                <w:rFonts w:ascii="Arial" w:cs="Arial" w:eastAsia="Arial" w:hAnsi="Arial"/>
                <w:sz w:val="11"/>
                <w:szCs w:val="11"/>
                <w:color w:val="0000EE"/>
                <w:w w:val="97"/>
              </w:rPr>
            </w:pPr>
            <w:hyperlink r:id="rId239">
              <w:r>
                <w:rPr>
                  <w:rFonts w:ascii="Arial" w:cs="Arial" w:eastAsia="Arial" w:hAnsi="Arial"/>
                  <w:sz w:val="11"/>
                  <w:szCs w:val="11"/>
                  <w:color w:val="0000EE"/>
                  <w:w w:val="97"/>
                </w:rPr>
                <w:t>ended March 31, 2004, filed with the Commission on June 14, 2004 (File No. 001-12984) and incorporated herein by reference.</w:t>
              </w:r>
            </w:hyperlink>
          </w:p>
        </w:tc>
        <w:tc>
          <w:tcPr>
            <w:tcW w:w="3940" w:type="dxa"/>
            <w:vAlign w:val="bottom"/>
            <w:tcBorders>
              <w:top w:val="single" w:sz="8" w:color="0000EE"/>
            </w:tcBorders>
            <w:gridSpan w:val="10"/>
          </w:tcPr>
          <w:p>
            <w:pPr>
              <w:spacing w:after="0"/>
              <w:rPr>
                <w:sz w:val="9"/>
                <w:szCs w:val="9"/>
                <w:color w:val="auto"/>
              </w:rPr>
            </w:pPr>
          </w:p>
        </w:tc>
        <w:tc>
          <w:tcPr>
            <w:tcW w:w="220" w:type="dxa"/>
            <w:vAlign w:val="bottom"/>
            <w:gridSpan w:val="5"/>
          </w:tcPr>
          <w:p>
            <w:pPr>
              <w:spacing w:after="0"/>
              <w:rPr>
                <w:sz w:val="9"/>
                <w:szCs w:val="9"/>
                <w:color w:val="auto"/>
              </w:rPr>
            </w:pPr>
          </w:p>
        </w:tc>
      </w:tr>
      <w:tr>
        <w:trPr>
          <w:trHeight w:val="187"/>
        </w:trPr>
        <w:tc>
          <w:tcPr>
            <w:tcW w:w="1060" w:type="dxa"/>
            <w:vAlign w:val="bottom"/>
          </w:tcPr>
          <w:p>
            <w:pPr>
              <w:spacing w:after="0"/>
              <w:rPr>
                <w:sz w:val="20"/>
                <w:szCs w:val="20"/>
                <w:color w:val="auto"/>
              </w:rPr>
            </w:pPr>
            <w:r>
              <w:rPr>
                <w:rFonts w:ascii="Arial" w:cs="Arial" w:eastAsia="Arial" w:hAnsi="Arial"/>
                <w:sz w:val="11"/>
                <w:szCs w:val="11"/>
                <w:color w:val="auto"/>
              </w:rPr>
              <w:t>10.17</w:t>
            </w:r>
          </w:p>
        </w:tc>
        <w:tc>
          <w:tcPr>
            <w:tcW w:w="10220" w:type="dxa"/>
            <w:vAlign w:val="bottom"/>
            <w:gridSpan w:val="31"/>
          </w:tcPr>
          <w:p>
            <w:pPr>
              <w:spacing w:after="0"/>
              <w:rPr>
                <w:rFonts w:ascii="Arial" w:cs="Arial" w:eastAsia="Arial" w:hAnsi="Arial"/>
                <w:sz w:val="11"/>
                <w:szCs w:val="11"/>
                <w:color w:val="0000EE"/>
              </w:rPr>
            </w:pPr>
            <w:hyperlink r:id="rId240">
              <w:r>
                <w:rPr>
                  <w:rFonts w:ascii="Arial" w:cs="Arial" w:eastAsia="Arial" w:hAnsi="Arial"/>
                  <w:sz w:val="11"/>
                  <w:szCs w:val="11"/>
                  <w:color w:val="0000EE"/>
                </w:rPr>
                <w:t>Form of Indemnification Agreement between the Company and each of its directors filed as Exhibit 10.9 to the Company’s Annual Report on Form 10-K for the fiscal year ended March 31, 2004, filed with the</w:t>
              </w:r>
            </w:hyperlink>
          </w:p>
        </w:tc>
      </w:tr>
      <w:tr>
        <w:trPr>
          <w:trHeight w:val="106"/>
        </w:trPr>
        <w:tc>
          <w:tcPr>
            <w:tcW w:w="1060" w:type="dxa"/>
            <w:vAlign w:val="bottom"/>
          </w:tcPr>
          <w:p>
            <w:pPr>
              <w:spacing w:after="0"/>
              <w:rPr>
                <w:sz w:val="9"/>
                <w:szCs w:val="9"/>
                <w:color w:val="auto"/>
              </w:rPr>
            </w:pPr>
          </w:p>
        </w:tc>
        <w:tc>
          <w:tcPr>
            <w:tcW w:w="4300" w:type="dxa"/>
            <w:vAlign w:val="bottom"/>
            <w:tcBorders>
              <w:top w:val="single" w:sz="8" w:color="0000EE"/>
              <w:bottom w:val="single" w:sz="8" w:color="0000EE"/>
            </w:tcBorders>
            <w:gridSpan w:val="8"/>
          </w:tcPr>
          <w:p>
            <w:pPr>
              <w:spacing w:after="0" w:line="106" w:lineRule="exact"/>
              <w:rPr>
                <w:rFonts w:ascii="Arial" w:cs="Arial" w:eastAsia="Arial" w:hAnsi="Arial"/>
                <w:sz w:val="11"/>
                <w:szCs w:val="11"/>
                <w:color w:val="0000EE"/>
                <w:w w:val="97"/>
              </w:rPr>
            </w:pPr>
            <w:hyperlink r:id="rId240">
              <w:r>
                <w:rPr>
                  <w:rFonts w:ascii="Arial" w:cs="Arial" w:eastAsia="Arial" w:hAnsi="Arial"/>
                  <w:sz w:val="11"/>
                  <w:szCs w:val="11"/>
                  <w:color w:val="0000EE"/>
                  <w:w w:val="97"/>
                </w:rPr>
                <w:t>Commission on June 14, 2004 (File No. 001-12984) and incorporated herein by reference.</w:t>
              </w:r>
            </w:hyperlink>
          </w:p>
        </w:tc>
        <w:tc>
          <w:tcPr>
            <w:tcW w:w="5520" w:type="dxa"/>
            <w:vAlign w:val="bottom"/>
            <w:tcBorders>
              <w:top w:val="single" w:sz="8" w:color="0000EE"/>
            </w:tcBorders>
            <w:gridSpan w:val="16"/>
          </w:tcPr>
          <w:p>
            <w:pPr>
              <w:spacing w:after="0"/>
              <w:rPr>
                <w:sz w:val="9"/>
                <w:szCs w:val="9"/>
                <w:color w:val="auto"/>
              </w:rPr>
            </w:pPr>
          </w:p>
        </w:tc>
        <w:tc>
          <w:tcPr>
            <w:tcW w:w="400" w:type="dxa"/>
            <w:vAlign w:val="bottom"/>
            <w:gridSpan w:val="7"/>
          </w:tcPr>
          <w:p>
            <w:pPr>
              <w:spacing w:after="0"/>
              <w:rPr>
                <w:sz w:val="9"/>
                <w:szCs w:val="9"/>
                <w:color w:val="auto"/>
              </w:rPr>
            </w:pPr>
          </w:p>
        </w:tc>
      </w:tr>
      <w:tr>
        <w:trPr>
          <w:trHeight w:val="187"/>
        </w:trPr>
        <w:tc>
          <w:tcPr>
            <w:tcW w:w="1060" w:type="dxa"/>
            <w:vAlign w:val="bottom"/>
          </w:tcPr>
          <w:p>
            <w:pPr>
              <w:spacing w:after="0"/>
              <w:rPr>
                <w:sz w:val="20"/>
                <w:szCs w:val="20"/>
                <w:color w:val="auto"/>
              </w:rPr>
            </w:pPr>
            <w:r>
              <w:rPr>
                <w:rFonts w:ascii="Arial" w:cs="Arial" w:eastAsia="Arial" w:hAnsi="Arial"/>
                <w:sz w:val="11"/>
                <w:szCs w:val="11"/>
                <w:color w:val="auto"/>
              </w:rPr>
              <w:t>10.18</w:t>
            </w:r>
          </w:p>
        </w:tc>
        <w:tc>
          <w:tcPr>
            <w:tcW w:w="10220" w:type="dxa"/>
            <w:vAlign w:val="bottom"/>
            <w:gridSpan w:val="31"/>
          </w:tcPr>
          <w:p>
            <w:pPr>
              <w:spacing w:after="0"/>
              <w:rPr>
                <w:rFonts w:ascii="Arial" w:cs="Arial" w:eastAsia="Arial" w:hAnsi="Arial"/>
                <w:sz w:val="11"/>
                <w:szCs w:val="11"/>
                <w:color w:val="0000EE"/>
              </w:rPr>
            </w:pPr>
            <w:hyperlink r:id="rId241">
              <w:r>
                <w:rPr>
                  <w:rFonts w:ascii="Arial" w:cs="Arial" w:eastAsia="Arial" w:hAnsi="Arial"/>
                  <w:sz w:val="11"/>
                  <w:szCs w:val="11"/>
                  <w:color w:val="0000EE"/>
                </w:rPr>
                <w:t>Eagle Materials Inc. Salaried Incentive Compensation Program for Fiscal Year 2021 filed as Exhibit 10.1 to the Current Report on Form 8-K filed with the Commission on May 20, 2020 (File No. 001-12984) and</w:t>
              </w:r>
            </w:hyperlink>
          </w:p>
        </w:tc>
      </w:tr>
      <w:tr>
        <w:trPr>
          <w:trHeight w:val="95"/>
        </w:trPr>
        <w:tc>
          <w:tcPr>
            <w:tcW w:w="1060" w:type="dxa"/>
            <w:vAlign w:val="bottom"/>
          </w:tcPr>
          <w:p>
            <w:pPr>
              <w:spacing w:after="0"/>
              <w:rPr>
                <w:sz w:val="8"/>
                <w:szCs w:val="8"/>
                <w:color w:val="auto"/>
              </w:rPr>
            </w:pPr>
          </w:p>
        </w:tc>
        <w:tc>
          <w:tcPr>
            <w:tcW w:w="1580" w:type="dxa"/>
            <w:vAlign w:val="bottom"/>
            <w:tcBorders>
              <w:top w:val="single" w:sz="8" w:color="0000EE"/>
              <w:bottom w:val="single" w:sz="8" w:color="0000EE"/>
            </w:tcBorders>
            <w:gridSpan w:val="3"/>
          </w:tcPr>
          <w:p>
            <w:pPr>
              <w:spacing w:after="0" w:line="88" w:lineRule="exact"/>
              <w:rPr>
                <w:rFonts w:ascii="Arial" w:cs="Arial" w:eastAsia="Arial" w:hAnsi="Arial"/>
                <w:sz w:val="10"/>
                <w:szCs w:val="10"/>
                <w:color w:val="0000EE"/>
              </w:rPr>
            </w:pPr>
            <w:hyperlink r:id="rId241">
              <w:r>
                <w:rPr>
                  <w:rFonts w:ascii="Arial" w:cs="Arial" w:eastAsia="Arial" w:hAnsi="Arial"/>
                  <w:sz w:val="10"/>
                  <w:szCs w:val="10"/>
                  <w:color w:val="0000EE"/>
                </w:rPr>
                <w:t>incorporated herein by reference.</w:t>
              </w:r>
            </w:hyperlink>
          </w:p>
        </w:tc>
        <w:tc>
          <w:tcPr>
            <w:tcW w:w="14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rPr>
            </w:pPr>
            <w:hyperlink r:id="rId241">
              <w:r>
                <w:rPr>
                  <w:rFonts w:ascii="Arial" w:cs="Arial" w:eastAsia="Arial" w:hAnsi="Arial"/>
                  <w:sz w:val="9"/>
                  <w:szCs w:val="9"/>
                  <w:color w:val="0000EE"/>
                </w:rPr>
                <w:t>(1)</w:t>
              </w:r>
            </w:hyperlink>
          </w:p>
        </w:tc>
        <w:tc>
          <w:tcPr>
            <w:tcW w:w="8220" w:type="dxa"/>
            <w:vAlign w:val="bottom"/>
            <w:tcBorders>
              <w:top w:val="single" w:sz="8" w:color="0000EE"/>
            </w:tcBorders>
            <w:gridSpan w:val="21"/>
          </w:tcPr>
          <w:p>
            <w:pPr>
              <w:spacing w:after="0"/>
              <w:rPr>
                <w:sz w:val="8"/>
                <w:szCs w:val="8"/>
                <w:color w:val="auto"/>
              </w:rPr>
            </w:pPr>
          </w:p>
        </w:tc>
        <w:tc>
          <w:tcPr>
            <w:tcW w:w="180" w:type="dxa"/>
            <w:vAlign w:val="bottom"/>
            <w:gridSpan w:val="4"/>
          </w:tcPr>
          <w:p>
            <w:pPr>
              <w:spacing w:after="0"/>
              <w:rPr>
                <w:sz w:val="8"/>
                <w:szCs w:val="8"/>
                <w:color w:val="auto"/>
              </w:rPr>
            </w:pPr>
          </w:p>
        </w:tc>
        <w:tc>
          <w:tcPr>
            <w:tcW w:w="100" w:type="dxa"/>
            <w:vAlign w:val="bottom"/>
            <w:gridSpan w:val="2"/>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10.18(a)</w:t>
            </w:r>
          </w:p>
        </w:tc>
        <w:tc>
          <w:tcPr>
            <w:tcW w:w="10220" w:type="dxa"/>
            <w:vAlign w:val="bottom"/>
            <w:gridSpan w:val="31"/>
          </w:tcPr>
          <w:p>
            <w:pPr>
              <w:spacing w:after="0"/>
              <w:rPr>
                <w:rFonts w:ascii="Arial" w:cs="Arial" w:eastAsia="Arial" w:hAnsi="Arial"/>
                <w:sz w:val="11"/>
                <w:szCs w:val="11"/>
                <w:color w:val="0000EE"/>
                <w:w w:val="98"/>
              </w:rPr>
            </w:pPr>
            <w:hyperlink r:id="rId242">
              <w:r>
                <w:rPr>
                  <w:rFonts w:ascii="Arial" w:cs="Arial" w:eastAsia="Arial" w:hAnsi="Arial"/>
                  <w:sz w:val="11"/>
                  <w:szCs w:val="11"/>
                  <w:color w:val="0000EE"/>
                  <w:w w:val="98"/>
                </w:rPr>
                <w:t>Eagle Materials Inc. Special Situation Program for Fiscal Year 2021 filed as Exhibit 10.2 to the Current Report on Form 8-K filed with the Commission on May 20, 2020 (File No. 001-12984) and incorporated herein</w:t>
              </w:r>
            </w:hyperlink>
          </w:p>
        </w:tc>
      </w:tr>
      <w:tr>
        <w:trPr>
          <w:trHeight w:val="95"/>
        </w:trPr>
        <w:tc>
          <w:tcPr>
            <w:tcW w:w="1060" w:type="dxa"/>
            <w:vAlign w:val="bottom"/>
          </w:tcPr>
          <w:p>
            <w:pPr>
              <w:spacing w:after="0"/>
              <w:rPr>
                <w:sz w:val="8"/>
                <w:szCs w:val="8"/>
                <w:color w:val="auto"/>
              </w:rPr>
            </w:pPr>
          </w:p>
        </w:tc>
        <w:tc>
          <w:tcPr>
            <w:tcW w:w="660" w:type="dxa"/>
            <w:vAlign w:val="bottom"/>
            <w:tcBorders>
              <w:top w:val="single" w:sz="8" w:color="0000EE"/>
              <w:bottom w:val="single" w:sz="8" w:color="0000EE"/>
            </w:tcBorders>
          </w:tcPr>
          <w:p>
            <w:pPr>
              <w:spacing w:after="0" w:line="88" w:lineRule="exact"/>
              <w:rPr>
                <w:rFonts w:ascii="Arial" w:cs="Arial" w:eastAsia="Arial" w:hAnsi="Arial"/>
                <w:sz w:val="10"/>
                <w:szCs w:val="10"/>
                <w:color w:val="0000EE"/>
              </w:rPr>
            </w:pPr>
            <w:hyperlink r:id="rId242">
              <w:r>
                <w:rPr>
                  <w:rFonts w:ascii="Arial" w:cs="Arial" w:eastAsia="Arial" w:hAnsi="Arial"/>
                  <w:sz w:val="10"/>
                  <w:szCs w:val="10"/>
                  <w:color w:val="0000EE"/>
                </w:rPr>
                <w:t>by reference.</w:t>
              </w:r>
            </w:hyperlink>
          </w:p>
        </w:tc>
        <w:tc>
          <w:tcPr>
            <w:tcW w:w="100" w:type="dxa"/>
            <w:vAlign w:val="bottom"/>
            <w:tcBorders>
              <w:top w:val="single" w:sz="8" w:color="0000EE"/>
              <w:bottom w:val="single" w:sz="8" w:color="0000EE"/>
            </w:tcBorders>
          </w:tcPr>
          <w:p>
            <w:pPr>
              <w:jc w:val="right"/>
              <w:spacing w:after="0" w:line="79" w:lineRule="exact"/>
              <w:rPr>
                <w:rFonts w:ascii="Arial" w:cs="Arial" w:eastAsia="Arial" w:hAnsi="Arial"/>
                <w:sz w:val="9"/>
                <w:szCs w:val="9"/>
                <w:color w:val="0000EE"/>
                <w:w w:val="72"/>
              </w:rPr>
            </w:pPr>
            <w:hyperlink r:id="rId242">
              <w:r>
                <w:rPr>
                  <w:rFonts w:ascii="Arial" w:cs="Arial" w:eastAsia="Arial" w:hAnsi="Arial"/>
                  <w:sz w:val="9"/>
                  <w:szCs w:val="9"/>
                  <w:color w:val="0000EE"/>
                  <w:w w:val="72"/>
                </w:rPr>
                <w:t>(1)</w:t>
              </w:r>
            </w:hyperlink>
          </w:p>
        </w:tc>
        <w:tc>
          <w:tcPr>
            <w:tcW w:w="9360" w:type="dxa"/>
            <w:vAlign w:val="bottom"/>
            <w:tcBorders>
              <w:top w:val="single" w:sz="8" w:color="0000EE"/>
            </w:tcBorders>
            <w:gridSpan w:val="27"/>
          </w:tcPr>
          <w:p>
            <w:pPr>
              <w:spacing w:after="0"/>
              <w:rPr>
                <w:sz w:val="8"/>
                <w:szCs w:val="8"/>
                <w:color w:val="auto"/>
              </w:rPr>
            </w:pPr>
          </w:p>
        </w:tc>
        <w:tc>
          <w:tcPr>
            <w:tcW w:w="100" w:type="dxa"/>
            <w:vAlign w:val="bottom"/>
            <w:gridSpan w:val="2"/>
          </w:tcPr>
          <w:p>
            <w:pPr>
              <w:spacing w:after="0"/>
              <w:rPr>
                <w:sz w:val="8"/>
                <w:szCs w:val="8"/>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65"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20"/>
                <w:szCs w:val="20"/>
                <w:color w:val="auto"/>
              </w:rPr>
            </w:pPr>
            <w:r>
              <w:rPr>
                <w:rFonts w:ascii="Arial" w:cs="Arial" w:eastAsia="Arial" w:hAnsi="Arial"/>
                <w:sz w:val="11"/>
                <w:szCs w:val="11"/>
                <w:color w:val="auto"/>
              </w:rPr>
              <w:t>10.19</w:t>
            </w:r>
          </w:p>
        </w:tc>
        <w:tc>
          <w:tcPr>
            <w:tcW w:w="10220" w:type="dxa"/>
            <w:vAlign w:val="bottom"/>
            <w:tcBorders>
              <w:bottom w:val="single" w:sz="8" w:color="0000EE"/>
            </w:tcBorders>
            <w:gridSpan w:val="21"/>
          </w:tcPr>
          <w:p>
            <w:pPr>
              <w:spacing w:after="0"/>
              <w:rPr>
                <w:rFonts w:ascii="Arial" w:cs="Arial" w:eastAsia="Arial" w:hAnsi="Arial"/>
                <w:sz w:val="11"/>
                <w:szCs w:val="11"/>
                <w:color w:val="0000EE"/>
                <w:w w:val="98"/>
              </w:rPr>
            </w:pPr>
            <w:hyperlink r:id="rId244">
              <w:r>
                <w:rPr>
                  <w:rFonts w:ascii="Arial" w:cs="Arial" w:eastAsia="Arial" w:hAnsi="Arial"/>
                  <w:sz w:val="11"/>
                  <w:szCs w:val="11"/>
                  <w:color w:val="0000EE"/>
                  <w:w w:val="98"/>
                </w:rPr>
                <w:t>Change in Control Continuity Agreement, dated as of June 20, 2019, by and between Eagle Materials Inc. and Michael R. Haack, filed as Exhibit 10.1 to the Current Report on Form 8-K filed with the Commission on</w:t>
              </w:r>
            </w:hyperlink>
          </w:p>
        </w:tc>
      </w:tr>
      <w:tr>
        <w:trPr>
          <w:trHeight w:val="95"/>
        </w:trPr>
        <w:tc>
          <w:tcPr>
            <w:tcW w:w="1060" w:type="dxa"/>
            <w:vAlign w:val="bottom"/>
          </w:tcPr>
          <w:p>
            <w:pPr>
              <w:spacing w:after="0"/>
              <w:rPr>
                <w:sz w:val="8"/>
                <w:szCs w:val="8"/>
                <w:color w:val="auto"/>
              </w:rPr>
            </w:pPr>
          </w:p>
        </w:tc>
        <w:tc>
          <w:tcPr>
            <w:tcW w:w="3560" w:type="dxa"/>
            <w:vAlign w:val="bottom"/>
            <w:tcBorders>
              <w:bottom w:val="single" w:sz="8" w:color="0000EE"/>
            </w:tcBorders>
            <w:gridSpan w:val="4"/>
          </w:tcPr>
          <w:p>
            <w:pPr>
              <w:spacing w:after="0" w:line="88" w:lineRule="exact"/>
              <w:rPr>
                <w:rFonts w:ascii="Arial" w:cs="Arial" w:eastAsia="Arial" w:hAnsi="Arial"/>
                <w:sz w:val="10"/>
                <w:szCs w:val="10"/>
                <w:color w:val="0000EE"/>
              </w:rPr>
            </w:pPr>
            <w:hyperlink r:id="rId244">
              <w:r>
                <w:rPr>
                  <w:rFonts w:ascii="Arial" w:cs="Arial" w:eastAsia="Arial" w:hAnsi="Arial"/>
                  <w:sz w:val="10"/>
                  <w:szCs w:val="10"/>
                  <w:color w:val="0000EE"/>
                </w:rPr>
                <w:t>June 25, 2019 (File No. 001-12984) and incorporated herein by reference.</w:t>
              </w:r>
            </w:hyperlink>
          </w:p>
        </w:tc>
        <w:tc>
          <w:tcPr>
            <w:tcW w:w="120" w:type="dxa"/>
            <w:vAlign w:val="bottom"/>
            <w:tcBorders>
              <w:bottom w:val="single" w:sz="8" w:color="0000EE"/>
            </w:tcBorders>
            <w:gridSpan w:val="2"/>
          </w:tcPr>
          <w:p>
            <w:pPr>
              <w:jc w:val="right"/>
              <w:spacing w:after="0" w:line="79" w:lineRule="exact"/>
              <w:rPr>
                <w:rFonts w:ascii="Arial" w:cs="Arial" w:eastAsia="Arial" w:hAnsi="Arial"/>
                <w:sz w:val="9"/>
                <w:szCs w:val="9"/>
                <w:color w:val="0000EE"/>
                <w:w w:val="90"/>
              </w:rPr>
            </w:pPr>
            <w:hyperlink r:id="rId244">
              <w:r>
                <w:rPr>
                  <w:rFonts w:ascii="Arial" w:cs="Arial" w:eastAsia="Arial" w:hAnsi="Arial"/>
                  <w:sz w:val="9"/>
                  <w:szCs w:val="9"/>
                  <w:color w:val="0000EE"/>
                  <w:w w:val="90"/>
                </w:rPr>
                <w:t>(1)</w:t>
              </w:r>
            </w:hyperlink>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10.19(a)</w:t>
            </w:r>
          </w:p>
        </w:tc>
        <w:tc>
          <w:tcPr>
            <w:tcW w:w="10120" w:type="dxa"/>
            <w:vAlign w:val="bottom"/>
            <w:tcBorders>
              <w:bottom w:val="single" w:sz="8" w:color="0000EE"/>
            </w:tcBorders>
            <w:gridSpan w:val="18"/>
          </w:tcPr>
          <w:p>
            <w:pPr>
              <w:spacing w:after="0"/>
              <w:rPr>
                <w:rFonts w:ascii="Arial" w:cs="Arial" w:eastAsia="Arial" w:hAnsi="Arial"/>
                <w:sz w:val="11"/>
                <w:szCs w:val="11"/>
                <w:color w:val="0000EE"/>
                <w:w w:val="98"/>
              </w:rPr>
            </w:pPr>
            <w:hyperlink r:id="rId245">
              <w:r>
                <w:rPr>
                  <w:rFonts w:ascii="Arial" w:cs="Arial" w:eastAsia="Arial" w:hAnsi="Arial"/>
                  <w:sz w:val="11"/>
                  <w:szCs w:val="11"/>
                  <w:color w:val="0000EE"/>
                  <w:w w:val="98"/>
                </w:rPr>
                <w:t>Change in Control Continuity Agreement, dated as of June 20, 2019, by and between Eagle Materials Inc. and D. Craig Kesler, filed as Exhibit 10.2 to the Current Report on Form 8-K filed with the Commission on</w:t>
              </w:r>
            </w:hyperlink>
          </w:p>
        </w:tc>
        <w:tc>
          <w:tcPr>
            <w:tcW w:w="100" w:type="dxa"/>
            <w:vAlign w:val="bottom"/>
            <w:gridSpan w:val="3"/>
          </w:tcPr>
          <w:p>
            <w:pPr>
              <w:spacing w:after="0"/>
              <w:rPr>
                <w:sz w:val="21"/>
                <w:szCs w:val="21"/>
                <w:color w:val="auto"/>
              </w:rPr>
            </w:pPr>
          </w:p>
        </w:tc>
      </w:tr>
      <w:tr>
        <w:trPr>
          <w:trHeight w:val="95"/>
        </w:trPr>
        <w:tc>
          <w:tcPr>
            <w:tcW w:w="1060" w:type="dxa"/>
            <w:vAlign w:val="bottom"/>
          </w:tcPr>
          <w:p>
            <w:pPr>
              <w:spacing w:after="0"/>
              <w:rPr>
                <w:sz w:val="8"/>
                <w:szCs w:val="8"/>
                <w:color w:val="auto"/>
              </w:rPr>
            </w:pPr>
          </w:p>
        </w:tc>
        <w:tc>
          <w:tcPr>
            <w:tcW w:w="3560" w:type="dxa"/>
            <w:vAlign w:val="bottom"/>
            <w:tcBorders>
              <w:bottom w:val="single" w:sz="8" w:color="0000EE"/>
            </w:tcBorders>
            <w:gridSpan w:val="4"/>
          </w:tcPr>
          <w:p>
            <w:pPr>
              <w:spacing w:after="0" w:line="88" w:lineRule="exact"/>
              <w:rPr>
                <w:rFonts w:ascii="Arial" w:cs="Arial" w:eastAsia="Arial" w:hAnsi="Arial"/>
                <w:sz w:val="10"/>
                <w:szCs w:val="10"/>
                <w:color w:val="0000EE"/>
              </w:rPr>
            </w:pPr>
            <w:hyperlink r:id="rId245">
              <w:r>
                <w:rPr>
                  <w:rFonts w:ascii="Arial" w:cs="Arial" w:eastAsia="Arial" w:hAnsi="Arial"/>
                  <w:sz w:val="10"/>
                  <w:szCs w:val="10"/>
                  <w:color w:val="0000EE"/>
                </w:rPr>
                <w:t>June 25, 2019 (File No. 001-12984) and incorporated herein by reference.</w:t>
              </w:r>
            </w:hyperlink>
          </w:p>
        </w:tc>
        <w:tc>
          <w:tcPr>
            <w:tcW w:w="120" w:type="dxa"/>
            <w:vAlign w:val="bottom"/>
            <w:tcBorders>
              <w:bottom w:val="single" w:sz="8" w:color="0000EE"/>
            </w:tcBorders>
            <w:gridSpan w:val="2"/>
          </w:tcPr>
          <w:p>
            <w:pPr>
              <w:jc w:val="right"/>
              <w:spacing w:after="0" w:line="79" w:lineRule="exact"/>
              <w:rPr>
                <w:rFonts w:ascii="Arial" w:cs="Arial" w:eastAsia="Arial" w:hAnsi="Arial"/>
                <w:sz w:val="9"/>
                <w:szCs w:val="9"/>
                <w:color w:val="0000EE"/>
                <w:w w:val="90"/>
              </w:rPr>
            </w:pPr>
            <w:hyperlink r:id="rId245">
              <w:r>
                <w:rPr>
                  <w:rFonts w:ascii="Arial" w:cs="Arial" w:eastAsia="Arial" w:hAnsi="Arial"/>
                  <w:sz w:val="9"/>
                  <w:szCs w:val="9"/>
                  <w:color w:val="0000EE"/>
                  <w:w w:val="90"/>
                </w:rPr>
                <w:t>(1)</w:t>
              </w:r>
            </w:hyperlink>
          </w:p>
        </w:tc>
        <w:tc>
          <w:tcPr>
            <w:tcW w:w="560" w:type="dxa"/>
            <w:vAlign w:val="bottom"/>
            <w:tcBorders>
              <w:bottom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10.19(b)</w:t>
            </w:r>
          </w:p>
        </w:tc>
        <w:tc>
          <w:tcPr>
            <w:tcW w:w="10220" w:type="dxa"/>
            <w:vAlign w:val="bottom"/>
            <w:tcBorders>
              <w:bottom w:val="single" w:sz="8" w:color="0000EE"/>
            </w:tcBorders>
            <w:gridSpan w:val="21"/>
          </w:tcPr>
          <w:p>
            <w:pPr>
              <w:spacing w:after="0"/>
              <w:rPr>
                <w:rFonts w:ascii="Arial" w:cs="Arial" w:eastAsia="Arial" w:hAnsi="Arial"/>
                <w:sz w:val="11"/>
                <w:szCs w:val="11"/>
                <w:color w:val="0000EE"/>
                <w:w w:val="98"/>
              </w:rPr>
            </w:pPr>
            <w:hyperlink r:id="rId246">
              <w:r>
                <w:rPr>
                  <w:rFonts w:ascii="Arial" w:cs="Arial" w:eastAsia="Arial" w:hAnsi="Arial"/>
                  <w:sz w:val="11"/>
                  <w:szCs w:val="11"/>
                  <w:color w:val="0000EE"/>
                  <w:w w:val="98"/>
                </w:rPr>
                <w:t>Change in Control Continuity Agreement, dated as of June 20, 2019, by and between Eagle Materials Inc. and Robert S. Stewart, filed as Exhibit 10.3 to the Current Report on Form 8-K filed with the Commission on</w:t>
              </w:r>
            </w:hyperlink>
          </w:p>
        </w:tc>
      </w:tr>
      <w:tr>
        <w:trPr>
          <w:trHeight w:val="95"/>
        </w:trPr>
        <w:tc>
          <w:tcPr>
            <w:tcW w:w="1060" w:type="dxa"/>
            <w:vAlign w:val="bottom"/>
          </w:tcPr>
          <w:p>
            <w:pPr>
              <w:spacing w:after="0"/>
              <w:rPr>
                <w:sz w:val="8"/>
                <w:szCs w:val="8"/>
                <w:color w:val="auto"/>
              </w:rPr>
            </w:pPr>
          </w:p>
        </w:tc>
        <w:tc>
          <w:tcPr>
            <w:tcW w:w="3560" w:type="dxa"/>
            <w:vAlign w:val="bottom"/>
            <w:tcBorders>
              <w:bottom w:val="single" w:sz="8" w:color="0000EE"/>
            </w:tcBorders>
            <w:gridSpan w:val="4"/>
          </w:tcPr>
          <w:p>
            <w:pPr>
              <w:spacing w:after="0" w:line="88" w:lineRule="exact"/>
              <w:rPr>
                <w:rFonts w:ascii="Arial" w:cs="Arial" w:eastAsia="Arial" w:hAnsi="Arial"/>
                <w:sz w:val="10"/>
                <w:szCs w:val="10"/>
                <w:color w:val="0000EE"/>
              </w:rPr>
            </w:pPr>
            <w:hyperlink r:id="rId246">
              <w:r>
                <w:rPr>
                  <w:rFonts w:ascii="Arial" w:cs="Arial" w:eastAsia="Arial" w:hAnsi="Arial"/>
                  <w:sz w:val="10"/>
                  <w:szCs w:val="10"/>
                  <w:color w:val="0000EE"/>
                </w:rPr>
                <w:t>June 25, 2019 (File No. 001-12984) and incorporated herein by reference.</w:t>
              </w:r>
            </w:hyperlink>
          </w:p>
        </w:tc>
        <w:tc>
          <w:tcPr>
            <w:tcW w:w="120" w:type="dxa"/>
            <w:vAlign w:val="bottom"/>
            <w:tcBorders>
              <w:bottom w:val="single" w:sz="8" w:color="0000EE"/>
            </w:tcBorders>
            <w:gridSpan w:val="2"/>
          </w:tcPr>
          <w:p>
            <w:pPr>
              <w:jc w:val="right"/>
              <w:spacing w:after="0" w:line="79" w:lineRule="exact"/>
              <w:rPr>
                <w:rFonts w:ascii="Arial" w:cs="Arial" w:eastAsia="Arial" w:hAnsi="Arial"/>
                <w:sz w:val="9"/>
                <w:szCs w:val="9"/>
                <w:color w:val="0000EE"/>
                <w:w w:val="90"/>
              </w:rPr>
            </w:pPr>
            <w:hyperlink r:id="rId246">
              <w:r>
                <w:rPr>
                  <w:rFonts w:ascii="Arial" w:cs="Arial" w:eastAsia="Arial" w:hAnsi="Arial"/>
                  <w:sz w:val="9"/>
                  <w:szCs w:val="9"/>
                  <w:color w:val="0000EE"/>
                  <w:w w:val="90"/>
                </w:rPr>
                <w:t>(1)</w:t>
              </w:r>
            </w:hyperlink>
          </w:p>
        </w:tc>
        <w:tc>
          <w:tcPr>
            <w:tcW w:w="560" w:type="dxa"/>
            <w:vAlign w:val="bottom"/>
            <w:tcBorders>
              <w:bottom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10.19(c)</w:t>
            </w:r>
          </w:p>
        </w:tc>
        <w:tc>
          <w:tcPr>
            <w:tcW w:w="10200" w:type="dxa"/>
            <w:vAlign w:val="bottom"/>
            <w:tcBorders>
              <w:bottom w:val="single" w:sz="8" w:color="0000EE"/>
            </w:tcBorders>
            <w:gridSpan w:val="20"/>
          </w:tcPr>
          <w:p>
            <w:pPr>
              <w:spacing w:after="0"/>
              <w:rPr>
                <w:rFonts w:ascii="Arial" w:cs="Arial" w:eastAsia="Arial" w:hAnsi="Arial"/>
                <w:sz w:val="11"/>
                <w:szCs w:val="11"/>
                <w:color w:val="0000EE"/>
                <w:w w:val="97"/>
              </w:rPr>
            </w:pPr>
            <w:hyperlink r:id="rId247">
              <w:r>
                <w:rPr>
                  <w:rFonts w:ascii="Arial" w:cs="Arial" w:eastAsia="Arial" w:hAnsi="Arial"/>
                  <w:sz w:val="11"/>
                  <w:szCs w:val="11"/>
                  <w:color w:val="0000EE"/>
                  <w:w w:val="97"/>
                </w:rPr>
                <w:t>Change in Control Continuity Agreement, dated as of June 20, 2019, by and between Eagle Materials Inc. and James H. Graass, filed as Exhibit 10.4 to the Current Report on Form 8-K filed with the Commission on</w:t>
              </w:r>
            </w:hyperlink>
          </w:p>
        </w:tc>
        <w:tc>
          <w:tcPr>
            <w:tcW w:w="20" w:type="dxa"/>
            <w:vAlign w:val="bottom"/>
          </w:tcPr>
          <w:p>
            <w:pPr>
              <w:spacing w:after="0"/>
              <w:rPr>
                <w:sz w:val="21"/>
                <w:szCs w:val="21"/>
                <w:color w:val="auto"/>
              </w:rPr>
            </w:pPr>
          </w:p>
        </w:tc>
      </w:tr>
      <w:tr>
        <w:trPr>
          <w:trHeight w:val="95"/>
        </w:trPr>
        <w:tc>
          <w:tcPr>
            <w:tcW w:w="1060" w:type="dxa"/>
            <w:vAlign w:val="bottom"/>
          </w:tcPr>
          <w:p>
            <w:pPr>
              <w:spacing w:after="0"/>
              <w:rPr>
                <w:sz w:val="8"/>
                <w:szCs w:val="8"/>
                <w:color w:val="auto"/>
              </w:rPr>
            </w:pPr>
          </w:p>
        </w:tc>
        <w:tc>
          <w:tcPr>
            <w:tcW w:w="3560" w:type="dxa"/>
            <w:vAlign w:val="bottom"/>
            <w:tcBorders>
              <w:bottom w:val="single" w:sz="8" w:color="0000EE"/>
            </w:tcBorders>
            <w:gridSpan w:val="4"/>
          </w:tcPr>
          <w:p>
            <w:pPr>
              <w:spacing w:after="0" w:line="88" w:lineRule="exact"/>
              <w:rPr>
                <w:rFonts w:ascii="Arial" w:cs="Arial" w:eastAsia="Arial" w:hAnsi="Arial"/>
                <w:sz w:val="10"/>
                <w:szCs w:val="10"/>
                <w:color w:val="0000EE"/>
              </w:rPr>
            </w:pPr>
            <w:hyperlink r:id="rId247">
              <w:r>
                <w:rPr>
                  <w:rFonts w:ascii="Arial" w:cs="Arial" w:eastAsia="Arial" w:hAnsi="Arial"/>
                  <w:sz w:val="10"/>
                  <w:szCs w:val="10"/>
                  <w:color w:val="0000EE"/>
                </w:rPr>
                <w:t>June 25, 2019 (File No. 001-12984) and incorporated herein by reference.</w:t>
              </w:r>
            </w:hyperlink>
          </w:p>
        </w:tc>
        <w:tc>
          <w:tcPr>
            <w:tcW w:w="120" w:type="dxa"/>
            <w:vAlign w:val="bottom"/>
            <w:tcBorders>
              <w:bottom w:val="single" w:sz="8" w:color="0000EE"/>
            </w:tcBorders>
            <w:gridSpan w:val="2"/>
          </w:tcPr>
          <w:p>
            <w:pPr>
              <w:jc w:val="right"/>
              <w:spacing w:after="0" w:line="79" w:lineRule="exact"/>
              <w:rPr>
                <w:rFonts w:ascii="Arial" w:cs="Arial" w:eastAsia="Arial" w:hAnsi="Arial"/>
                <w:sz w:val="9"/>
                <w:szCs w:val="9"/>
                <w:color w:val="0000EE"/>
                <w:w w:val="90"/>
              </w:rPr>
            </w:pPr>
            <w:hyperlink r:id="rId247">
              <w:r>
                <w:rPr>
                  <w:rFonts w:ascii="Arial" w:cs="Arial" w:eastAsia="Arial" w:hAnsi="Arial"/>
                  <w:sz w:val="9"/>
                  <w:szCs w:val="9"/>
                  <w:color w:val="0000EE"/>
                  <w:w w:val="90"/>
                </w:rPr>
                <w:t>(1)</w:t>
              </w:r>
            </w:hyperlink>
          </w:p>
        </w:tc>
        <w:tc>
          <w:tcPr>
            <w:tcW w:w="560" w:type="dxa"/>
            <w:vAlign w:val="bottom"/>
            <w:tcBorders>
              <w:bottom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60" w:type="dxa"/>
            <w:vAlign w:val="bottom"/>
            <w:gridSpan w:val="2"/>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10.20</w:t>
            </w:r>
          </w:p>
        </w:tc>
        <w:tc>
          <w:tcPr>
            <w:tcW w:w="10160" w:type="dxa"/>
            <w:vAlign w:val="bottom"/>
            <w:tcBorders>
              <w:bottom w:val="single" w:sz="8" w:color="0000EE"/>
            </w:tcBorders>
            <w:gridSpan w:val="19"/>
          </w:tcPr>
          <w:p>
            <w:pPr>
              <w:spacing w:after="0"/>
              <w:rPr>
                <w:rFonts w:ascii="Arial" w:cs="Arial" w:eastAsia="Arial" w:hAnsi="Arial"/>
                <w:sz w:val="11"/>
                <w:szCs w:val="11"/>
                <w:color w:val="0000EE"/>
                <w:w w:val="97"/>
              </w:rPr>
            </w:pPr>
            <w:hyperlink r:id="rId248">
              <w:r>
                <w:rPr>
                  <w:rFonts w:ascii="Arial" w:cs="Arial" w:eastAsia="Arial" w:hAnsi="Arial"/>
                  <w:sz w:val="11"/>
                  <w:szCs w:val="11"/>
                  <w:color w:val="0000EE"/>
                  <w:w w:val="97"/>
                </w:rPr>
                <w:t>Form of Performance Vesting Non-Qualified Stock Option Agreement for Senior Executives, filed as Exhibit 10.8 to the Company’s Quarterly Report on Form 10-Q for the quarter ended June 30, 2019, filed with the</w:t>
              </w:r>
            </w:hyperlink>
          </w:p>
        </w:tc>
        <w:tc>
          <w:tcPr>
            <w:tcW w:w="60" w:type="dxa"/>
            <w:vAlign w:val="bottom"/>
            <w:gridSpan w:val="2"/>
          </w:tcPr>
          <w:p>
            <w:pPr>
              <w:spacing w:after="0"/>
              <w:rPr>
                <w:sz w:val="21"/>
                <w:szCs w:val="21"/>
                <w:color w:val="auto"/>
              </w:rPr>
            </w:pPr>
          </w:p>
        </w:tc>
      </w:tr>
      <w:tr>
        <w:trPr>
          <w:trHeight w:val="97"/>
        </w:trPr>
        <w:tc>
          <w:tcPr>
            <w:tcW w:w="1060" w:type="dxa"/>
            <w:vAlign w:val="bottom"/>
          </w:tcPr>
          <w:p>
            <w:pPr>
              <w:spacing w:after="0"/>
              <w:rPr>
                <w:sz w:val="8"/>
                <w:szCs w:val="8"/>
                <w:color w:val="auto"/>
              </w:rPr>
            </w:pPr>
          </w:p>
        </w:tc>
        <w:tc>
          <w:tcPr>
            <w:tcW w:w="4300" w:type="dxa"/>
            <w:vAlign w:val="bottom"/>
            <w:tcBorders>
              <w:bottom w:val="single" w:sz="8" w:color="0000EE"/>
            </w:tcBorders>
            <w:gridSpan w:val="8"/>
          </w:tcPr>
          <w:p>
            <w:pPr>
              <w:spacing w:after="0" w:line="88" w:lineRule="exact"/>
              <w:rPr>
                <w:rFonts w:ascii="Arial" w:cs="Arial" w:eastAsia="Arial" w:hAnsi="Arial"/>
                <w:sz w:val="10"/>
                <w:szCs w:val="10"/>
                <w:color w:val="0000EE"/>
              </w:rPr>
            </w:pPr>
            <w:hyperlink r:id="rId248">
              <w:r>
                <w:rPr>
                  <w:rFonts w:ascii="Arial" w:cs="Arial" w:eastAsia="Arial" w:hAnsi="Arial"/>
                  <w:sz w:val="10"/>
                  <w:szCs w:val="10"/>
                  <w:color w:val="0000EE"/>
                </w:rPr>
                <w:t>Commission on July 31, 2019 (File No. 001-12984) and incorporated herein by reference.</w:t>
              </w:r>
            </w:hyperlink>
          </w:p>
        </w:tc>
        <w:tc>
          <w:tcPr>
            <w:tcW w:w="1060" w:type="dxa"/>
            <w:vAlign w:val="bottom"/>
          </w:tcPr>
          <w:p>
            <w:pPr>
              <w:jc w:val="right"/>
              <w:ind w:right="914"/>
              <w:spacing w:after="0" w:line="79" w:lineRule="exact"/>
              <w:rPr>
                <w:rFonts w:ascii="Arial" w:cs="Arial" w:eastAsia="Arial" w:hAnsi="Arial"/>
                <w:sz w:val="9"/>
                <w:szCs w:val="9"/>
                <w:color w:val="0000EE"/>
                <w:w w:val="72"/>
              </w:rPr>
            </w:pPr>
            <w:hyperlink r:id="rId248">
              <w:r>
                <w:rPr>
                  <w:rFonts w:ascii="Arial" w:cs="Arial" w:eastAsia="Arial" w:hAnsi="Arial"/>
                  <w:sz w:val="9"/>
                  <w:szCs w:val="9"/>
                  <w:color w:val="0000EE"/>
                  <w:w w:val="72"/>
                </w:rPr>
                <w:t>(1)</w:t>
              </w:r>
            </w:hyperlink>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4"/>
          </w:tcPr>
          <w:p>
            <w:pPr>
              <w:spacing w:after="0"/>
              <w:rPr>
                <w:sz w:val="8"/>
                <w:szCs w:val="8"/>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1"/>
                <w:szCs w:val="11"/>
                <w:color w:val="auto"/>
              </w:rPr>
              <w:t>10.20(a)</w:t>
            </w:r>
          </w:p>
        </w:tc>
        <w:tc>
          <w:tcPr>
            <w:tcW w:w="9780" w:type="dxa"/>
            <w:vAlign w:val="bottom"/>
            <w:tcBorders>
              <w:bottom w:val="single" w:sz="8" w:color="0000EE"/>
            </w:tcBorders>
            <w:gridSpan w:val="12"/>
          </w:tcPr>
          <w:p>
            <w:pPr>
              <w:spacing w:after="0"/>
              <w:rPr>
                <w:rFonts w:ascii="Arial" w:cs="Arial" w:eastAsia="Arial" w:hAnsi="Arial"/>
                <w:sz w:val="11"/>
                <w:szCs w:val="11"/>
                <w:color w:val="0000EE"/>
                <w:w w:val="97"/>
              </w:rPr>
            </w:pPr>
            <w:hyperlink r:id="rId249">
              <w:r>
                <w:rPr>
                  <w:rFonts w:ascii="Arial" w:cs="Arial" w:eastAsia="Arial" w:hAnsi="Arial"/>
                  <w:sz w:val="11"/>
                  <w:szCs w:val="11"/>
                  <w:color w:val="0000EE"/>
                  <w:w w:val="97"/>
                </w:rPr>
                <w:t>Form of Time Vesting Non-Qualified Stock Option Agreement for Senior Executives, filed as Exhibit 10.9 to the Company’s Quarterly Report on Form 10-Q for the quarter ended June 30, 2019, filed with the</w:t>
              </w:r>
            </w:hyperlink>
          </w:p>
        </w:tc>
        <w:tc>
          <w:tcPr>
            <w:tcW w:w="440" w:type="dxa"/>
            <w:vAlign w:val="bottom"/>
            <w:gridSpan w:val="9"/>
          </w:tcPr>
          <w:p>
            <w:pPr>
              <w:spacing w:after="0"/>
              <w:rPr>
                <w:sz w:val="21"/>
                <w:szCs w:val="21"/>
                <w:color w:val="auto"/>
              </w:rPr>
            </w:pPr>
          </w:p>
        </w:tc>
      </w:tr>
      <w:tr>
        <w:trPr>
          <w:trHeight w:val="97"/>
        </w:trPr>
        <w:tc>
          <w:tcPr>
            <w:tcW w:w="1060" w:type="dxa"/>
            <w:vAlign w:val="bottom"/>
          </w:tcPr>
          <w:p>
            <w:pPr>
              <w:spacing w:after="0"/>
              <w:rPr>
                <w:sz w:val="8"/>
                <w:szCs w:val="8"/>
                <w:color w:val="auto"/>
              </w:rPr>
            </w:pPr>
          </w:p>
        </w:tc>
        <w:tc>
          <w:tcPr>
            <w:tcW w:w="4300" w:type="dxa"/>
            <w:vAlign w:val="bottom"/>
            <w:tcBorders>
              <w:bottom w:val="single" w:sz="8" w:color="0000EE"/>
            </w:tcBorders>
            <w:gridSpan w:val="8"/>
          </w:tcPr>
          <w:p>
            <w:pPr>
              <w:spacing w:after="0" w:line="88" w:lineRule="exact"/>
              <w:rPr>
                <w:rFonts w:ascii="Arial" w:cs="Arial" w:eastAsia="Arial" w:hAnsi="Arial"/>
                <w:sz w:val="10"/>
                <w:szCs w:val="10"/>
                <w:color w:val="0000EE"/>
              </w:rPr>
            </w:pPr>
            <w:hyperlink r:id="rId249">
              <w:r>
                <w:rPr>
                  <w:rFonts w:ascii="Arial" w:cs="Arial" w:eastAsia="Arial" w:hAnsi="Arial"/>
                  <w:sz w:val="10"/>
                  <w:szCs w:val="10"/>
                  <w:color w:val="0000EE"/>
                </w:rPr>
                <w:t>Commission on July 31, 2019 (File No. 001-12984) and incorporated herein by reference.</w:t>
              </w:r>
            </w:hyperlink>
          </w:p>
        </w:tc>
        <w:tc>
          <w:tcPr>
            <w:tcW w:w="1060" w:type="dxa"/>
            <w:vAlign w:val="bottom"/>
          </w:tcPr>
          <w:p>
            <w:pPr>
              <w:jc w:val="right"/>
              <w:ind w:right="914"/>
              <w:spacing w:after="0" w:line="79" w:lineRule="exact"/>
              <w:rPr>
                <w:rFonts w:ascii="Arial" w:cs="Arial" w:eastAsia="Arial" w:hAnsi="Arial"/>
                <w:sz w:val="9"/>
                <w:szCs w:val="9"/>
                <w:color w:val="0000EE"/>
                <w:w w:val="72"/>
              </w:rPr>
            </w:pPr>
            <w:hyperlink r:id="rId249">
              <w:r>
                <w:rPr>
                  <w:rFonts w:ascii="Arial" w:cs="Arial" w:eastAsia="Arial" w:hAnsi="Arial"/>
                  <w:sz w:val="9"/>
                  <w:szCs w:val="9"/>
                  <w:color w:val="0000EE"/>
                  <w:w w:val="72"/>
                </w:rPr>
                <w:t>(1)</w:t>
              </w:r>
            </w:hyperlink>
          </w:p>
        </w:tc>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4"/>
          </w:tcPr>
          <w:p>
            <w:pPr>
              <w:spacing w:after="0"/>
              <w:rPr>
                <w:sz w:val="8"/>
                <w:szCs w:val="8"/>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1"/>
                <w:szCs w:val="11"/>
                <w:color w:val="auto"/>
              </w:rPr>
              <w:t>10.20(b)</w:t>
            </w:r>
          </w:p>
        </w:tc>
        <w:tc>
          <w:tcPr>
            <w:tcW w:w="9700" w:type="dxa"/>
            <w:vAlign w:val="bottom"/>
            <w:tcBorders>
              <w:bottom w:val="single" w:sz="8" w:color="0000EE"/>
            </w:tcBorders>
            <w:gridSpan w:val="11"/>
          </w:tcPr>
          <w:p>
            <w:pPr>
              <w:spacing w:after="0"/>
              <w:rPr>
                <w:rFonts w:ascii="Arial" w:cs="Arial" w:eastAsia="Arial" w:hAnsi="Arial"/>
                <w:sz w:val="11"/>
                <w:szCs w:val="11"/>
                <w:color w:val="0000EE"/>
                <w:w w:val="97"/>
              </w:rPr>
            </w:pPr>
            <w:hyperlink r:id="rId250">
              <w:r>
                <w:rPr>
                  <w:rFonts w:ascii="Arial" w:cs="Arial" w:eastAsia="Arial" w:hAnsi="Arial"/>
                  <w:sz w:val="11"/>
                  <w:szCs w:val="11"/>
                  <w:color w:val="0000EE"/>
                  <w:w w:val="97"/>
                </w:rPr>
                <w:t>Form of Performance Vesting Restricted Stock Agreement for Senior Executives, filed as Exhibit 10.10 to the Company’s Quarterly Report on Form 10-Q for the quarter ended June 30, 2019, filed with the</w:t>
              </w:r>
            </w:hyperlink>
          </w:p>
        </w:tc>
        <w:tc>
          <w:tcPr>
            <w:tcW w:w="520" w:type="dxa"/>
            <w:vAlign w:val="bottom"/>
            <w:gridSpan w:val="10"/>
          </w:tcPr>
          <w:p>
            <w:pPr>
              <w:spacing w:after="0"/>
              <w:rPr>
                <w:sz w:val="21"/>
                <w:szCs w:val="21"/>
                <w:color w:val="auto"/>
              </w:rPr>
            </w:pPr>
          </w:p>
        </w:tc>
      </w:tr>
      <w:tr>
        <w:trPr>
          <w:trHeight w:val="97"/>
        </w:trPr>
        <w:tc>
          <w:tcPr>
            <w:tcW w:w="1060" w:type="dxa"/>
            <w:vAlign w:val="bottom"/>
          </w:tcPr>
          <w:p>
            <w:pPr>
              <w:spacing w:after="0"/>
              <w:rPr>
                <w:sz w:val="8"/>
                <w:szCs w:val="8"/>
                <w:color w:val="auto"/>
              </w:rPr>
            </w:pPr>
          </w:p>
        </w:tc>
        <w:tc>
          <w:tcPr>
            <w:tcW w:w="4300" w:type="dxa"/>
            <w:vAlign w:val="bottom"/>
            <w:tcBorders>
              <w:bottom w:val="single" w:sz="8" w:color="0000EE"/>
            </w:tcBorders>
            <w:gridSpan w:val="8"/>
          </w:tcPr>
          <w:p>
            <w:pPr>
              <w:spacing w:after="0" w:line="88" w:lineRule="exact"/>
              <w:rPr>
                <w:rFonts w:ascii="Arial" w:cs="Arial" w:eastAsia="Arial" w:hAnsi="Arial"/>
                <w:sz w:val="10"/>
                <w:szCs w:val="10"/>
                <w:color w:val="0000EE"/>
              </w:rPr>
            </w:pPr>
            <w:hyperlink r:id="rId250">
              <w:r>
                <w:rPr>
                  <w:rFonts w:ascii="Arial" w:cs="Arial" w:eastAsia="Arial" w:hAnsi="Arial"/>
                  <w:sz w:val="10"/>
                  <w:szCs w:val="10"/>
                  <w:color w:val="0000EE"/>
                </w:rPr>
                <w:t>Commission on July 31, 2019 (File No. 001-12984) and incorporated herein by reference.</w:t>
              </w:r>
            </w:hyperlink>
          </w:p>
        </w:tc>
        <w:tc>
          <w:tcPr>
            <w:tcW w:w="1060" w:type="dxa"/>
            <w:vAlign w:val="bottom"/>
          </w:tcPr>
          <w:p>
            <w:pPr>
              <w:jc w:val="right"/>
              <w:ind w:right="914"/>
              <w:spacing w:after="0" w:line="79" w:lineRule="exact"/>
              <w:rPr>
                <w:rFonts w:ascii="Arial" w:cs="Arial" w:eastAsia="Arial" w:hAnsi="Arial"/>
                <w:sz w:val="9"/>
                <w:szCs w:val="9"/>
                <w:color w:val="0000EE"/>
                <w:w w:val="72"/>
              </w:rPr>
            </w:pPr>
            <w:hyperlink r:id="rId250">
              <w:r>
                <w:rPr>
                  <w:rFonts w:ascii="Arial" w:cs="Arial" w:eastAsia="Arial" w:hAnsi="Arial"/>
                  <w:sz w:val="9"/>
                  <w:szCs w:val="9"/>
                  <w:color w:val="0000EE"/>
                  <w:w w:val="72"/>
                </w:rPr>
                <w:t>(1)</w:t>
              </w:r>
            </w:hyperlink>
          </w:p>
        </w:tc>
        <w:tc>
          <w:tcPr>
            <w:tcW w:w="428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4"/>
          </w:tcPr>
          <w:p>
            <w:pPr>
              <w:spacing w:after="0"/>
              <w:rPr>
                <w:sz w:val="8"/>
                <w:szCs w:val="8"/>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1"/>
                <w:szCs w:val="11"/>
                <w:color w:val="auto"/>
              </w:rPr>
              <w:t>10.20(c)</w:t>
            </w:r>
          </w:p>
        </w:tc>
        <w:tc>
          <w:tcPr>
            <w:tcW w:w="10100" w:type="dxa"/>
            <w:vAlign w:val="bottom"/>
            <w:tcBorders>
              <w:bottom w:val="single" w:sz="8" w:color="0000EE"/>
            </w:tcBorders>
            <w:gridSpan w:val="17"/>
          </w:tcPr>
          <w:p>
            <w:pPr>
              <w:spacing w:after="0"/>
              <w:rPr>
                <w:rFonts w:ascii="Arial" w:cs="Arial" w:eastAsia="Arial" w:hAnsi="Arial"/>
                <w:sz w:val="11"/>
                <w:szCs w:val="11"/>
                <w:color w:val="0000EE"/>
                <w:w w:val="97"/>
              </w:rPr>
            </w:pPr>
            <w:hyperlink r:id="rId251">
              <w:r>
                <w:rPr>
                  <w:rFonts w:ascii="Arial" w:cs="Arial" w:eastAsia="Arial" w:hAnsi="Arial"/>
                  <w:sz w:val="11"/>
                  <w:szCs w:val="11"/>
                  <w:color w:val="0000EE"/>
                  <w:w w:val="97"/>
                </w:rPr>
                <w:t>Form of Time Vesting Restricted Stock Agreement for Senior Executives, filed as Exhibit 10.11 to the Company’s Quarterly Report on Form 10-Q for the quarter ended June 30, 2019, filed with the Commission on</w:t>
              </w:r>
            </w:hyperlink>
          </w:p>
        </w:tc>
        <w:tc>
          <w:tcPr>
            <w:tcW w:w="120" w:type="dxa"/>
            <w:vAlign w:val="bottom"/>
            <w:gridSpan w:val="4"/>
          </w:tcPr>
          <w:p>
            <w:pPr>
              <w:spacing w:after="0"/>
              <w:rPr>
                <w:sz w:val="21"/>
                <w:szCs w:val="21"/>
                <w:color w:val="auto"/>
              </w:rPr>
            </w:pPr>
          </w:p>
        </w:tc>
      </w:tr>
      <w:tr>
        <w:trPr>
          <w:trHeight w:val="95"/>
        </w:trPr>
        <w:tc>
          <w:tcPr>
            <w:tcW w:w="1060" w:type="dxa"/>
            <w:vAlign w:val="bottom"/>
          </w:tcPr>
          <w:p>
            <w:pPr>
              <w:spacing w:after="0"/>
              <w:rPr>
                <w:sz w:val="8"/>
                <w:szCs w:val="8"/>
                <w:color w:val="auto"/>
              </w:rPr>
            </w:pPr>
          </w:p>
        </w:tc>
        <w:tc>
          <w:tcPr>
            <w:tcW w:w="3520" w:type="dxa"/>
            <w:vAlign w:val="bottom"/>
            <w:tcBorders>
              <w:bottom w:val="single" w:sz="8" w:color="0000EE"/>
            </w:tcBorders>
            <w:gridSpan w:val="3"/>
          </w:tcPr>
          <w:p>
            <w:pPr>
              <w:spacing w:after="0" w:line="88" w:lineRule="exact"/>
              <w:rPr>
                <w:rFonts w:ascii="Arial" w:cs="Arial" w:eastAsia="Arial" w:hAnsi="Arial"/>
                <w:sz w:val="10"/>
                <w:szCs w:val="10"/>
                <w:color w:val="0000EE"/>
              </w:rPr>
            </w:pPr>
            <w:hyperlink r:id="rId251">
              <w:r>
                <w:rPr>
                  <w:rFonts w:ascii="Arial" w:cs="Arial" w:eastAsia="Arial" w:hAnsi="Arial"/>
                  <w:sz w:val="10"/>
                  <w:szCs w:val="10"/>
                  <w:color w:val="0000EE"/>
                </w:rPr>
                <w:t>July 31, 2019 (File No. 001-12984) and incorporated herein by reference.</w:t>
              </w:r>
            </w:hyperlink>
          </w:p>
        </w:tc>
        <w:tc>
          <w:tcPr>
            <w:tcW w:w="140" w:type="dxa"/>
            <w:vAlign w:val="bottom"/>
            <w:tcBorders>
              <w:bottom w:val="single" w:sz="8" w:color="0000EE"/>
            </w:tcBorders>
            <w:gridSpan w:val="2"/>
          </w:tcPr>
          <w:p>
            <w:pPr>
              <w:jc w:val="right"/>
              <w:spacing w:after="0" w:line="79" w:lineRule="exact"/>
              <w:rPr>
                <w:rFonts w:ascii="Arial" w:cs="Arial" w:eastAsia="Arial" w:hAnsi="Arial"/>
                <w:sz w:val="9"/>
                <w:szCs w:val="9"/>
                <w:color w:val="0000EE"/>
                <w:w w:val="72"/>
              </w:rPr>
            </w:pPr>
            <w:hyperlink r:id="rId251">
              <w:r>
                <w:rPr>
                  <w:rFonts w:ascii="Arial" w:cs="Arial" w:eastAsia="Arial" w:hAnsi="Arial"/>
                  <w:sz w:val="9"/>
                  <w:szCs w:val="9"/>
                  <w:color w:val="0000EE"/>
                  <w:w w:val="72"/>
                </w:rPr>
                <w:t>(1)</w:t>
              </w:r>
            </w:hyperlink>
          </w:p>
        </w:tc>
        <w:tc>
          <w:tcPr>
            <w:tcW w:w="580" w:type="dxa"/>
            <w:vAlign w:val="bottom"/>
            <w:gridSpan w:val="2"/>
          </w:tcPr>
          <w:p>
            <w:pPr>
              <w:spacing w:after="0"/>
              <w:rPr>
                <w:sz w:val="8"/>
                <w:szCs w:val="8"/>
                <w:color w:val="auto"/>
              </w:rPr>
            </w:pPr>
          </w:p>
        </w:tc>
        <w:tc>
          <w:tcPr>
            <w:tcW w:w="1120" w:type="dxa"/>
            <w:vAlign w:val="bottom"/>
            <w:gridSpan w:val="2"/>
          </w:tcPr>
          <w:p>
            <w:pPr>
              <w:spacing w:after="0"/>
              <w:rPr>
                <w:sz w:val="8"/>
                <w:szCs w:val="8"/>
                <w:color w:val="auto"/>
              </w:rPr>
            </w:pPr>
          </w:p>
        </w:tc>
        <w:tc>
          <w:tcPr>
            <w:tcW w:w="428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gridSpan w:val="5"/>
          </w:tcPr>
          <w:p>
            <w:pPr>
              <w:spacing w:after="0"/>
              <w:rPr>
                <w:sz w:val="8"/>
                <w:szCs w:val="8"/>
                <w:color w:val="auto"/>
              </w:rPr>
            </w:pPr>
          </w:p>
        </w:tc>
      </w:tr>
      <w:tr>
        <w:trPr>
          <w:trHeight w:val="252"/>
        </w:trPr>
        <w:tc>
          <w:tcPr>
            <w:tcW w:w="1060" w:type="dxa"/>
            <w:vAlign w:val="bottom"/>
          </w:tcPr>
          <w:p>
            <w:pPr>
              <w:spacing w:after="0"/>
              <w:rPr>
                <w:sz w:val="20"/>
                <w:szCs w:val="20"/>
                <w:color w:val="auto"/>
              </w:rPr>
            </w:pPr>
            <w:r>
              <w:rPr>
                <w:rFonts w:ascii="Arial" w:cs="Arial" w:eastAsia="Arial" w:hAnsi="Arial"/>
                <w:sz w:val="11"/>
                <w:szCs w:val="11"/>
                <w:color w:val="auto"/>
              </w:rPr>
              <w:t>10.21</w:t>
            </w:r>
          </w:p>
        </w:tc>
        <w:tc>
          <w:tcPr>
            <w:tcW w:w="10160" w:type="dxa"/>
            <w:vAlign w:val="bottom"/>
            <w:tcBorders>
              <w:bottom w:val="single" w:sz="8" w:color="0000EE"/>
            </w:tcBorders>
            <w:gridSpan w:val="19"/>
          </w:tcPr>
          <w:p>
            <w:pPr>
              <w:spacing w:after="0"/>
              <w:rPr>
                <w:rFonts w:ascii="Arial" w:cs="Arial" w:eastAsia="Arial" w:hAnsi="Arial"/>
                <w:sz w:val="11"/>
                <w:szCs w:val="11"/>
                <w:color w:val="0000EE"/>
                <w:w w:val="97"/>
              </w:rPr>
            </w:pPr>
            <w:hyperlink r:id="rId252">
              <w:r>
                <w:rPr>
                  <w:rFonts w:ascii="Arial" w:cs="Arial" w:eastAsia="Arial" w:hAnsi="Arial"/>
                  <w:sz w:val="11"/>
                  <w:szCs w:val="11"/>
                  <w:color w:val="0000EE"/>
                  <w:w w:val="97"/>
                </w:rPr>
                <w:t>Form of Performance Vesting Non-Qualified Stock Option Agreement for Senior Executives, filed as Exhibit 10.3 to the Company’s Quarterly Report on Form 10-Q for the quarter ended June 30, 2020, filed with the</w:t>
              </w:r>
            </w:hyperlink>
          </w:p>
        </w:tc>
        <w:tc>
          <w:tcPr>
            <w:tcW w:w="60" w:type="dxa"/>
            <w:vAlign w:val="bottom"/>
            <w:gridSpan w:val="2"/>
          </w:tcPr>
          <w:p>
            <w:pPr>
              <w:spacing w:after="0"/>
              <w:rPr>
                <w:sz w:val="21"/>
                <w:szCs w:val="21"/>
                <w:color w:val="auto"/>
              </w:rPr>
            </w:pPr>
          </w:p>
        </w:tc>
      </w:tr>
      <w:tr>
        <w:trPr>
          <w:trHeight w:val="106"/>
        </w:trPr>
        <w:tc>
          <w:tcPr>
            <w:tcW w:w="1060" w:type="dxa"/>
            <w:vAlign w:val="bottom"/>
          </w:tcPr>
          <w:p>
            <w:pPr>
              <w:spacing w:after="0"/>
              <w:rPr>
                <w:sz w:val="9"/>
                <w:szCs w:val="9"/>
                <w:color w:val="auto"/>
              </w:rPr>
            </w:pPr>
          </w:p>
        </w:tc>
        <w:tc>
          <w:tcPr>
            <w:tcW w:w="10220" w:type="dxa"/>
            <w:vAlign w:val="bottom"/>
            <w:gridSpan w:val="21"/>
          </w:tcPr>
          <w:p>
            <w:pPr>
              <w:spacing w:after="0" w:line="106" w:lineRule="exact"/>
              <w:rPr>
                <w:rFonts w:ascii="Arial" w:cs="Arial" w:eastAsia="Arial" w:hAnsi="Arial"/>
                <w:sz w:val="8"/>
                <w:szCs w:val="8"/>
                <w:color w:val="0000EE"/>
              </w:rPr>
            </w:pPr>
            <w:hyperlink r:id="rId252">
              <w:r>
                <w:rPr>
                  <w:rFonts w:ascii="Arial" w:cs="Arial" w:eastAsia="Arial" w:hAnsi="Arial"/>
                  <w:sz w:val="8"/>
                  <w:szCs w:val="8"/>
                  <w:color w:val="0000EE"/>
                </w:rPr>
                <w:t>Commission on July 31, 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2"/>
                  <w:szCs w:val="12"/>
                  <w:color w:val="000000"/>
                  <w:vertAlign w:val="superscript"/>
                </w:rPr>
                <w:t>(1)</w:t>
              </w:r>
            </w:hyperlink>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41"/>
        </w:trPr>
        <w:tc>
          <w:tcPr>
            <w:tcW w:w="1060" w:type="dxa"/>
            <w:vAlign w:val="bottom"/>
          </w:tcPr>
          <w:p>
            <w:pPr>
              <w:spacing w:after="0"/>
              <w:rPr>
                <w:sz w:val="20"/>
                <w:szCs w:val="20"/>
                <w:color w:val="auto"/>
              </w:rPr>
            </w:pPr>
            <w:r>
              <w:rPr>
                <w:rFonts w:ascii="Arial" w:cs="Arial" w:eastAsia="Arial" w:hAnsi="Arial"/>
                <w:sz w:val="11"/>
                <w:szCs w:val="11"/>
                <w:color w:val="auto"/>
              </w:rPr>
              <w:t>10.21(a)</w:t>
            </w:r>
          </w:p>
        </w:tc>
        <w:tc>
          <w:tcPr>
            <w:tcW w:w="9780" w:type="dxa"/>
            <w:vAlign w:val="bottom"/>
            <w:tcBorders>
              <w:bottom w:val="single" w:sz="8" w:color="0000EE"/>
            </w:tcBorders>
            <w:gridSpan w:val="12"/>
          </w:tcPr>
          <w:p>
            <w:pPr>
              <w:spacing w:after="0"/>
              <w:rPr>
                <w:rFonts w:ascii="Arial" w:cs="Arial" w:eastAsia="Arial" w:hAnsi="Arial"/>
                <w:sz w:val="11"/>
                <w:szCs w:val="11"/>
                <w:color w:val="0000EE"/>
                <w:w w:val="97"/>
              </w:rPr>
            </w:pPr>
            <w:hyperlink r:id="rId253">
              <w:r>
                <w:rPr>
                  <w:rFonts w:ascii="Arial" w:cs="Arial" w:eastAsia="Arial" w:hAnsi="Arial"/>
                  <w:sz w:val="11"/>
                  <w:szCs w:val="11"/>
                  <w:color w:val="0000EE"/>
                  <w:w w:val="97"/>
                </w:rPr>
                <w:t>Form of Time Vesting Non-Qualified Stock Option Agreement for Senior Executives, filed as Exhibit 10.4 to the Company’s Quarterly Report on Form 10-Q for the quarter ended June 30, 2020, filed with the</w:t>
              </w:r>
            </w:hyperlink>
          </w:p>
        </w:tc>
        <w:tc>
          <w:tcPr>
            <w:tcW w:w="440" w:type="dxa"/>
            <w:vAlign w:val="bottom"/>
            <w:gridSpan w:val="9"/>
          </w:tcPr>
          <w:p>
            <w:pPr>
              <w:spacing w:after="0"/>
              <w:rPr>
                <w:sz w:val="20"/>
                <w:szCs w:val="20"/>
                <w:color w:val="auto"/>
              </w:rPr>
            </w:pPr>
          </w:p>
        </w:tc>
      </w:tr>
      <w:tr>
        <w:trPr>
          <w:trHeight w:val="106"/>
        </w:trPr>
        <w:tc>
          <w:tcPr>
            <w:tcW w:w="1060" w:type="dxa"/>
            <w:vAlign w:val="bottom"/>
          </w:tcPr>
          <w:p>
            <w:pPr>
              <w:spacing w:after="0"/>
              <w:rPr>
                <w:sz w:val="9"/>
                <w:szCs w:val="9"/>
                <w:color w:val="auto"/>
              </w:rPr>
            </w:pPr>
          </w:p>
        </w:tc>
        <w:tc>
          <w:tcPr>
            <w:tcW w:w="10220" w:type="dxa"/>
            <w:vAlign w:val="bottom"/>
            <w:gridSpan w:val="21"/>
          </w:tcPr>
          <w:p>
            <w:pPr>
              <w:spacing w:after="0" w:line="106" w:lineRule="exact"/>
              <w:rPr>
                <w:rFonts w:ascii="Arial" w:cs="Arial" w:eastAsia="Arial" w:hAnsi="Arial"/>
                <w:sz w:val="8"/>
                <w:szCs w:val="8"/>
                <w:color w:val="0000EE"/>
              </w:rPr>
            </w:pPr>
            <w:hyperlink r:id="rId253">
              <w:r>
                <w:rPr>
                  <w:rFonts w:ascii="Arial" w:cs="Arial" w:eastAsia="Arial" w:hAnsi="Arial"/>
                  <w:sz w:val="8"/>
                  <w:szCs w:val="8"/>
                  <w:color w:val="0000EE"/>
                </w:rPr>
                <w:t>Commission on July 31, 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2"/>
                  <w:szCs w:val="12"/>
                  <w:color w:val="000000"/>
                  <w:vertAlign w:val="superscript"/>
                </w:rPr>
                <w:t>(1)</w:t>
              </w:r>
            </w:hyperlink>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41"/>
        </w:trPr>
        <w:tc>
          <w:tcPr>
            <w:tcW w:w="1060" w:type="dxa"/>
            <w:vAlign w:val="bottom"/>
          </w:tcPr>
          <w:p>
            <w:pPr>
              <w:spacing w:after="0"/>
              <w:rPr>
                <w:sz w:val="20"/>
                <w:szCs w:val="20"/>
                <w:color w:val="auto"/>
              </w:rPr>
            </w:pPr>
            <w:r>
              <w:rPr>
                <w:rFonts w:ascii="Arial" w:cs="Arial" w:eastAsia="Arial" w:hAnsi="Arial"/>
                <w:sz w:val="11"/>
                <w:szCs w:val="11"/>
                <w:color w:val="auto"/>
              </w:rPr>
              <w:t>10.21(b)</w:t>
            </w:r>
          </w:p>
        </w:tc>
        <w:tc>
          <w:tcPr>
            <w:tcW w:w="9640" w:type="dxa"/>
            <w:vAlign w:val="bottom"/>
            <w:tcBorders>
              <w:bottom w:val="single" w:sz="8" w:color="0000EE"/>
            </w:tcBorders>
            <w:gridSpan w:val="10"/>
          </w:tcPr>
          <w:p>
            <w:pPr>
              <w:spacing w:after="0"/>
              <w:rPr>
                <w:rFonts w:ascii="Arial" w:cs="Arial" w:eastAsia="Arial" w:hAnsi="Arial"/>
                <w:sz w:val="11"/>
                <w:szCs w:val="11"/>
                <w:color w:val="0000EE"/>
                <w:w w:val="97"/>
              </w:rPr>
            </w:pPr>
            <w:hyperlink r:id="rId254">
              <w:r>
                <w:rPr>
                  <w:rFonts w:ascii="Arial" w:cs="Arial" w:eastAsia="Arial" w:hAnsi="Arial"/>
                  <w:sz w:val="11"/>
                  <w:szCs w:val="11"/>
                  <w:color w:val="0000EE"/>
                  <w:w w:val="97"/>
                </w:rPr>
                <w:t>Form of Performance Vesting Restricted Stock Agreement for Senior Executives, filed as Exhibit 10.5 to the Company’s Quarterly Report on Form 10-Q for the quarter ended June 30, 2020, filed with the</w:t>
              </w:r>
            </w:hyperlink>
          </w:p>
        </w:tc>
        <w:tc>
          <w:tcPr>
            <w:tcW w:w="580" w:type="dxa"/>
            <w:vAlign w:val="bottom"/>
            <w:gridSpan w:val="11"/>
          </w:tcPr>
          <w:p>
            <w:pPr>
              <w:spacing w:after="0"/>
              <w:rPr>
                <w:sz w:val="20"/>
                <w:szCs w:val="20"/>
                <w:color w:val="auto"/>
              </w:rPr>
            </w:pPr>
          </w:p>
        </w:tc>
      </w:tr>
      <w:tr>
        <w:trPr>
          <w:trHeight w:val="106"/>
        </w:trPr>
        <w:tc>
          <w:tcPr>
            <w:tcW w:w="1060" w:type="dxa"/>
            <w:vAlign w:val="bottom"/>
          </w:tcPr>
          <w:p>
            <w:pPr>
              <w:spacing w:after="0"/>
              <w:rPr>
                <w:sz w:val="9"/>
                <w:szCs w:val="9"/>
                <w:color w:val="auto"/>
              </w:rPr>
            </w:pPr>
          </w:p>
        </w:tc>
        <w:tc>
          <w:tcPr>
            <w:tcW w:w="10220" w:type="dxa"/>
            <w:vAlign w:val="bottom"/>
            <w:gridSpan w:val="21"/>
          </w:tcPr>
          <w:p>
            <w:pPr>
              <w:spacing w:after="0" w:line="106" w:lineRule="exact"/>
              <w:rPr>
                <w:rFonts w:ascii="Arial" w:cs="Arial" w:eastAsia="Arial" w:hAnsi="Arial"/>
                <w:sz w:val="8"/>
                <w:szCs w:val="8"/>
                <w:color w:val="0000EE"/>
              </w:rPr>
            </w:pPr>
            <w:hyperlink r:id="rId254">
              <w:r>
                <w:rPr>
                  <w:rFonts w:ascii="Arial" w:cs="Arial" w:eastAsia="Arial" w:hAnsi="Arial"/>
                  <w:sz w:val="8"/>
                  <w:szCs w:val="8"/>
                  <w:color w:val="0000EE"/>
                </w:rPr>
                <w:t>Commission on July 31, 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2"/>
                  <w:szCs w:val="12"/>
                  <w:color w:val="000000"/>
                  <w:vertAlign w:val="superscript"/>
                </w:rPr>
                <w:t>(1)</w:t>
              </w:r>
            </w:hyperlink>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41"/>
        </w:trPr>
        <w:tc>
          <w:tcPr>
            <w:tcW w:w="1060" w:type="dxa"/>
            <w:vAlign w:val="bottom"/>
          </w:tcPr>
          <w:p>
            <w:pPr>
              <w:spacing w:after="0"/>
              <w:rPr>
                <w:sz w:val="20"/>
                <w:szCs w:val="20"/>
                <w:color w:val="auto"/>
              </w:rPr>
            </w:pPr>
            <w:r>
              <w:rPr>
                <w:rFonts w:ascii="Arial" w:cs="Arial" w:eastAsia="Arial" w:hAnsi="Arial"/>
                <w:sz w:val="11"/>
                <w:szCs w:val="11"/>
                <w:color w:val="auto"/>
              </w:rPr>
              <w:t>10.21(c)</w:t>
            </w:r>
          </w:p>
        </w:tc>
        <w:tc>
          <w:tcPr>
            <w:tcW w:w="10040" w:type="dxa"/>
            <w:vAlign w:val="bottom"/>
            <w:tcBorders>
              <w:bottom w:val="single" w:sz="8" w:color="0000EE"/>
            </w:tcBorders>
            <w:gridSpan w:val="15"/>
          </w:tcPr>
          <w:p>
            <w:pPr>
              <w:spacing w:after="0"/>
              <w:rPr>
                <w:rFonts w:ascii="Arial" w:cs="Arial" w:eastAsia="Arial" w:hAnsi="Arial"/>
                <w:sz w:val="11"/>
                <w:szCs w:val="11"/>
                <w:color w:val="0000EE"/>
                <w:w w:val="97"/>
              </w:rPr>
            </w:pPr>
            <w:hyperlink r:id="rId255">
              <w:r>
                <w:rPr>
                  <w:rFonts w:ascii="Arial" w:cs="Arial" w:eastAsia="Arial" w:hAnsi="Arial"/>
                  <w:sz w:val="11"/>
                  <w:szCs w:val="11"/>
                  <w:color w:val="0000EE"/>
                  <w:w w:val="97"/>
                </w:rPr>
                <w:t>Form of Time Vesting Restricted Stock Agreement for Senior Executives, filed as Exhibit 10.6 to the Company’s Quarterly Report on Form 10-Q for the quarter ended June 30, 2020, filed with the Commission on</w:t>
              </w:r>
            </w:hyperlink>
          </w:p>
        </w:tc>
        <w:tc>
          <w:tcPr>
            <w:tcW w:w="180" w:type="dxa"/>
            <w:vAlign w:val="bottom"/>
            <w:gridSpan w:val="6"/>
          </w:tcPr>
          <w:p>
            <w:pPr>
              <w:spacing w:after="0"/>
              <w:rPr>
                <w:sz w:val="20"/>
                <w:szCs w:val="20"/>
                <w:color w:val="auto"/>
              </w:rPr>
            </w:pPr>
          </w:p>
        </w:tc>
      </w:tr>
      <w:tr>
        <w:trPr>
          <w:trHeight w:val="106"/>
        </w:trPr>
        <w:tc>
          <w:tcPr>
            <w:tcW w:w="1060" w:type="dxa"/>
            <w:vAlign w:val="bottom"/>
          </w:tcPr>
          <w:p>
            <w:pPr>
              <w:spacing w:after="0"/>
              <w:rPr>
                <w:sz w:val="9"/>
                <w:szCs w:val="9"/>
                <w:color w:val="auto"/>
              </w:rPr>
            </w:pPr>
          </w:p>
        </w:tc>
        <w:tc>
          <w:tcPr>
            <w:tcW w:w="10220" w:type="dxa"/>
            <w:vAlign w:val="bottom"/>
            <w:gridSpan w:val="21"/>
          </w:tcPr>
          <w:p>
            <w:pPr>
              <w:spacing w:after="0" w:line="106" w:lineRule="exact"/>
              <w:rPr>
                <w:rFonts w:ascii="Arial" w:cs="Arial" w:eastAsia="Arial" w:hAnsi="Arial"/>
                <w:sz w:val="8"/>
                <w:szCs w:val="8"/>
                <w:color w:val="0000EE"/>
              </w:rPr>
            </w:pPr>
            <w:hyperlink r:id="rId255">
              <w:r>
                <w:rPr>
                  <w:rFonts w:ascii="Arial" w:cs="Arial" w:eastAsia="Arial" w:hAnsi="Arial"/>
                  <w:sz w:val="8"/>
                  <w:szCs w:val="8"/>
                  <w:color w:val="0000EE"/>
                </w:rPr>
                <w:t>July 31, 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2"/>
                  <w:szCs w:val="12"/>
                  <w:color w:val="000000"/>
                  <w:vertAlign w:val="superscript"/>
                </w:rPr>
                <w:t>(1)</w:t>
              </w:r>
            </w:hyperlink>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7"/>
        </w:trPr>
        <w:tc>
          <w:tcPr>
            <w:tcW w:w="1060" w:type="dxa"/>
            <w:vAlign w:val="bottom"/>
          </w:tcPr>
          <w:p>
            <w:pPr>
              <w:spacing w:after="0"/>
              <w:rPr>
                <w:sz w:val="20"/>
                <w:szCs w:val="20"/>
                <w:color w:val="auto"/>
              </w:rPr>
            </w:pPr>
            <w:r>
              <w:rPr>
                <w:rFonts w:ascii="Arial" w:cs="Arial" w:eastAsia="Arial" w:hAnsi="Arial"/>
                <w:sz w:val="11"/>
                <w:szCs w:val="11"/>
                <w:color w:val="auto"/>
              </w:rPr>
              <w:t>10.22</w:t>
            </w:r>
          </w:p>
        </w:tc>
        <w:tc>
          <w:tcPr>
            <w:tcW w:w="10020" w:type="dxa"/>
            <w:vAlign w:val="bottom"/>
            <w:tcBorders>
              <w:bottom w:val="single" w:sz="8" w:color="0000EE"/>
            </w:tcBorders>
            <w:gridSpan w:val="14"/>
          </w:tcPr>
          <w:p>
            <w:pPr>
              <w:spacing w:after="0"/>
              <w:rPr>
                <w:rFonts w:ascii="Arial" w:cs="Arial" w:eastAsia="Arial" w:hAnsi="Arial"/>
                <w:sz w:val="11"/>
                <w:szCs w:val="11"/>
                <w:color w:val="0000EE"/>
                <w:w w:val="97"/>
              </w:rPr>
            </w:pPr>
            <w:hyperlink r:id="rId256">
              <w:r>
                <w:rPr>
                  <w:rFonts w:ascii="Arial" w:cs="Arial" w:eastAsia="Arial" w:hAnsi="Arial"/>
                  <w:sz w:val="11"/>
                  <w:szCs w:val="11"/>
                  <w:color w:val="0000EE"/>
                  <w:w w:val="97"/>
                </w:rPr>
                <w:t>Eagle Materials Inc. Director Compensation Summary filed as Exhibit 10.1 to the Company’s Quarterly Report on Form 10-Q for the quarter ended September 30, 2020, filed with the Commission on October 30,</w:t>
              </w:r>
            </w:hyperlink>
          </w:p>
        </w:tc>
        <w:tc>
          <w:tcPr>
            <w:tcW w:w="200" w:type="dxa"/>
            <w:vAlign w:val="bottom"/>
            <w:gridSpan w:val="7"/>
          </w:tcPr>
          <w:p>
            <w:pPr>
              <w:spacing w:after="0"/>
              <w:rPr>
                <w:sz w:val="16"/>
                <w:szCs w:val="16"/>
                <w:color w:val="auto"/>
              </w:rPr>
            </w:pPr>
          </w:p>
        </w:tc>
      </w:tr>
      <w:tr>
        <w:trPr>
          <w:trHeight w:val="115"/>
        </w:trPr>
        <w:tc>
          <w:tcPr>
            <w:tcW w:w="1060" w:type="dxa"/>
            <w:vAlign w:val="bottom"/>
          </w:tcPr>
          <w:p>
            <w:pPr>
              <w:spacing w:after="0"/>
              <w:rPr>
                <w:sz w:val="10"/>
                <w:szCs w:val="10"/>
                <w:color w:val="auto"/>
              </w:rPr>
            </w:pPr>
          </w:p>
        </w:tc>
        <w:tc>
          <w:tcPr>
            <w:tcW w:w="10220" w:type="dxa"/>
            <w:vAlign w:val="bottom"/>
            <w:gridSpan w:val="21"/>
          </w:tcPr>
          <w:p>
            <w:pPr>
              <w:spacing w:after="0" w:line="115" w:lineRule="exact"/>
              <w:rPr>
                <w:rFonts w:ascii="Arial" w:cs="Arial" w:eastAsia="Arial" w:hAnsi="Arial"/>
                <w:sz w:val="8"/>
                <w:szCs w:val="8"/>
                <w:color w:val="0000EE"/>
              </w:rPr>
            </w:pPr>
            <w:hyperlink r:id="rId256">
              <w:r>
                <w:rPr>
                  <w:rFonts w:ascii="Arial" w:cs="Arial" w:eastAsia="Arial" w:hAnsi="Arial"/>
                  <w:sz w:val="8"/>
                  <w:szCs w:val="8"/>
                  <w:color w:val="0000EE"/>
                </w:rPr>
                <w:t>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3"/>
                  <w:szCs w:val="13"/>
                  <w:color w:val="000000"/>
                  <w:vertAlign w:val="superscript"/>
                </w:rPr>
                <w:t>(1)</w:t>
              </w:r>
            </w:hyperlink>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10.23</w:t>
            </w:r>
          </w:p>
        </w:tc>
        <w:tc>
          <w:tcPr>
            <w:tcW w:w="10080" w:type="dxa"/>
            <w:vAlign w:val="bottom"/>
            <w:tcBorders>
              <w:bottom w:val="single" w:sz="8" w:color="0000EE"/>
            </w:tcBorders>
            <w:gridSpan w:val="16"/>
          </w:tcPr>
          <w:p>
            <w:pPr>
              <w:spacing w:after="0"/>
              <w:rPr>
                <w:rFonts w:ascii="Arial" w:cs="Arial" w:eastAsia="Arial" w:hAnsi="Arial"/>
                <w:sz w:val="11"/>
                <w:szCs w:val="11"/>
                <w:color w:val="0000EE"/>
                <w:w w:val="97"/>
              </w:rPr>
            </w:pPr>
            <w:hyperlink r:id="rId257">
              <w:r>
                <w:rPr>
                  <w:rFonts w:ascii="Arial" w:cs="Arial" w:eastAsia="Arial" w:hAnsi="Arial"/>
                  <w:sz w:val="11"/>
                  <w:szCs w:val="11"/>
                  <w:color w:val="0000EE"/>
                  <w:w w:val="97"/>
                </w:rPr>
                <w:t>Amended and Restated Eagle Materials Inc. Employee Severance Plan and Summary Plan Description, filed as Exhibit 10.2 to the Company’s Quarterly Report on Form 10-Q for the quarter ended December 31,</w:t>
              </w:r>
            </w:hyperlink>
          </w:p>
        </w:tc>
        <w:tc>
          <w:tcPr>
            <w:tcW w:w="140" w:type="dxa"/>
            <w:vAlign w:val="bottom"/>
            <w:gridSpan w:val="5"/>
          </w:tcPr>
          <w:p>
            <w:pPr>
              <w:spacing w:after="0"/>
              <w:rPr>
                <w:sz w:val="17"/>
                <w:szCs w:val="17"/>
                <w:color w:val="auto"/>
              </w:rPr>
            </w:pPr>
          </w:p>
        </w:tc>
      </w:tr>
      <w:tr>
        <w:trPr>
          <w:trHeight w:val="106"/>
        </w:trPr>
        <w:tc>
          <w:tcPr>
            <w:tcW w:w="1060" w:type="dxa"/>
            <w:vAlign w:val="bottom"/>
          </w:tcPr>
          <w:p>
            <w:pPr>
              <w:spacing w:after="0"/>
              <w:rPr>
                <w:sz w:val="9"/>
                <w:szCs w:val="9"/>
                <w:color w:val="auto"/>
              </w:rPr>
            </w:pPr>
          </w:p>
        </w:tc>
        <w:tc>
          <w:tcPr>
            <w:tcW w:w="10220" w:type="dxa"/>
            <w:vAlign w:val="bottom"/>
            <w:gridSpan w:val="21"/>
          </w:tcPr>
          <w:p>
            <w:pPr>
              <w:spacing w:after="0" w:line="106" w:lineRule="exact"/>
              <w:rPr>
                <w:rFonts w:ascii="Arial" w:cs="Arial" w:eastAsia="Arial" w:hAnsi="Arial"/>
                <w:sz w:val="11"/>
                <w:szCs w:val="11"/>
                <w:color w:val="0000EE"/>
              </w:rPr>
            </w:pPr>
            <w:hyperlink r:id="rId257">
              <w:r>
                <w:rPr>
                  <w:rFonts w:ascii="Arial" w:cs="Arial" w:eastAsia="Arial" w:hAnsi="Arial"/>
                  <w:sz w:val="11"/>
                  <w:szCs w:val="11"/>
                  <w:color w:val="0000EE"/>
                </w:rPr>
                <w:t>2020, filed with the Commission on January 28, 2021 (File No. 001-12984) and incorporated herein by reference</w:t>
              </w:r>
              <w:r>
                <w:rPr>
                  <w:rFonts w:ascii="Arial" w:cs="Arial" w:eastAsia="Arial" w:hAnsi="Arial"/>
                  <w:sz w:val="11"/>
                  <w:szCs w:val="11"/>
                  <w:color w:val="000000"/>
                </w:rPr>
                <w:t>. (1)</w:t>
              </w:r>
            </w:hyperlink>
          </w:p>
        </w:tc>
      </w:tr>
      <w:tr>
        <w:trPr>
          <w:trHeight w:val="20"/>
        </w:trPr>
        <w:tc>
          <w:tcPr>
            <w:tcW w:w="1060" w:type="dxa"/>
            <w:vAlign w:val="bottom"/>
          </w:tcPr>
          <w:p>
            <w:pPr>
              <w:spacing w:after="0" w:line="20" w:lineRule="exact"/>
              <w:rPr>
                <w:sz w:val="1"/>
                <w:szCs w:val="1"/>
                <w:color w:val="auto"/>
              </w:rPr>
            </w:pPr>
          </w:p>
        </w:tc>
        <w:tc>
          <w:tcPr>
            <w:tcW w:w="3660" w:type="dxa"/>
            <w:vAlign w:val="bottom"/>
            <w:tcBorders>
              <w:right w:val="single" w:sz="8" w:color="0000EE"/>
            </w:tcBorders>
            <w:gridSpan w:val="5"/>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87"/>
        </w:trPr>
        <w:tc>
          <w:tcPr>
            <w:tcW w:w="1060" w:type="dxa"/>
            <w:vAlign w:val="bottom"/>
          </w:tcPr>
          <w:p>
            <w:pPr>
              <w:spacing w:after="0"/>
              <w:rPr>
                <w:sz w:val="20"/>
                <w:szCs w:val="20"/>
                <w:color w:val="auto"/>
              </w:rPr>
            </w:pPr>
            <w:r>
              <w:rPr>
                <w:rFonts w:ascii="Arial" w:cs="Arial" w:eastAsia="Arial" w:hAnsi="Arial"/>
                <w:sz w:val="11"/>
                <w:szCs w:val="11"/>
                <w:color w:val="auto"/>
              </w:rPr>
              <w:t>10.24</w:t>
            </w:r>
          </w:p>
        </w:tc>
        <w:tc>
          <w:tcPr>
            <w:tcW w:w="10220" w:type="dxa"/>
            <w:vAlign w:val="bottom"/>
            <w:gridSpan w:val="21"/>
          </w:tcPr>
          <w:p>
            <w:pPr>
              <w:spacing w:after="0"/>
              <w:rPr>
                <w:rFonts w:ascii="Arial" w:cs="Arial" w:eastAsia="Arial" w:hAnsi="Arial"/>
                <w:sz w:val="11"/>
                <w:szCs w:val="11"/>
                <w:color w:val="0000EE"/>
              </w:rPr>
            </w:pPr>
            <w:hyperlink r:id="rId258">
              <w:r>
                <w:rPr>
                  <w:rFonts w:ascii="Arial" w:cs="Arial" w:eastAsia="Arial" w:hAnsi="Arial"/>
                  <w:sz w:val="11"/>
                  <w:szCs w:val="11"/>
                  <w:color w:val="0000EE"/>
                </w:rPr>
                <w:t>Form of Restricted Stock Agreement for Non-Employee Directors, filed as Exhibit 10.2 to the Company’s Quarterly Report on Form 10-Q for the quarter ended September 30, 2020, filed with the Commission on</w:t>
              </w:r>
            </w:hyperlink>
          </w:p>
        </w:tc>
      </w:tr>
      <w:tr>
        <w:trPr>
          <w:trHeight w:val="106"/>
        </w:trPr>
        <w:tc>
          <w:tcPr>
            <w:tcW w:w="1060" w:type="dxa"/>
            <w:vAlign w:val="bottom"/>
          </w:tcPr>
          <w:p>
            <w:pPr>
              <w:spacing w:after="0"/>
              <w:rPr>
                <w:sz w:val="9"/>
                <w:szCs w:val="9"/>
                <w:color w:val="auto"/>
              </w:rPr>
            </w:pPr>
          </w:p>
        </w:tc>
        <w:tc>
          <w:tcPr>
            <w:tcW w:w="9980" w:type="dxa"/>
            <w:vAlign w:val="bottom"/>
            <w:tcBorders>
              <w:top w:val="single" w:sz="8" w:color="0000EE"/>
            </w:tcBorders>
            <w:gridSpan w:val="13"/>
          </w:tcPr>
          <w:p>
            <w:pPr>
              <w:spacing w:after="0" w:line="106" w:lineRule="exact"/>
              <w:rPr>
                <w:rFonts w:ascii="Arial" w:cs="Arial" w:eastAsia="Arial" w:hAnsi="Arial"/>
                <w:sz w:val="8"/>
                <w:szCs w:val="8"/>
                <w:color w:val="0000EE"/>
              </w:rPr>
            </w:pPr>
            <w:hyperlink r:id="rId258">
              <w:r>
                <w:rPr>
                  <w:rFonts w:ascii="Arial" w:cs="Arial" w:eastAsia="Arial" w:hAnsi="Arial"/>
                  <w:sz w:val="8"/>
                  <w:szCs w:val="8"/>
                  <w:color w:val="0000EE"/>
                </w:rPr>
                <w:t>October 30, 2020 (File No. 001-12984) and incorporated herein by reference</w:t>
              </w:r>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12"/>
                  <w:szCs w:val="12"/>
                  <w:color w:val="000000"/>
                  <w:vertAlign w:val="superscript"/>
                </w:rPr>
                <w:t>(1)</w:t>
              </w:r>
            </w:hyperlink>
          </w:p>
        </w:tc>
        <w:tc>
          <w:tcPr>
            <w:tcW w:w="240" w:type="dxa"/>
            <w:vAlign w:val="bottom"/>
            <w:gridSpan w:val="8"/>
          </w:tcPr>
          <w:p>
            <w:pPr>
              <w:spacing w:after="0"/>
              <w:rPr>
                <w:sz w:val="9"/>
                <w:szCs w:val="9"/>
                <w:color w:val="auto"/>
              </w:rPr>
            </w:pPr>
          </w:p>
        </w:tc>
      </w:tr>
      <w:tr>
        <w:trPr>
          <w:trHeight w:val="20"/>
        </w:trPr>
        <w:tc>
          <w:tcPr>
            <w:tcW w:w="10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65" w:right="319" w:bottom="1440" w:gutter="0" w:footer="0" w:header="0"/>
        </w:sectPr>
      </w:pPr>
    </w:p>
    <w:bookmarkStart w:id="126" w:name="page127"/>
    <w:bookmarkEnd w:id="126"/>
    <w:tbl>
      <w:tblPr>
        <w:tblLayout w:type="fixed"/>
        <w:tblInd w:w="8" w:type="dxa"/>
        <w:tblCellMar>
          <w:top w:w="0" w:type="dxa"/>
          <w:left w:w="0" w:type="dxa"/>
          <w:bottom w:w="0" w:type="dxa"/>
          <w:right w:w="0" w:type="dxa"/>
        </w:tblCellMar>
      </w:tblPr>
      <w:tr>
        <w:trPr>
          <w:trHeight w:val="126"/>
        </w:trPr>
        <w:tc>
          <w:tcPr>
            <w:tcW w:w="1060" w:type="dxa"/>
            <w:vAlign w:val="bottom"/>
          </w:tcPr>
          <w:p>
            <w:pPr>
              <w:spacing w:after="0"/>
              <w:rPr>
                <w:sz w:val="20"/>
                <w:szCs w:val="20"/>
                <w:color w:val="auto"/>
              </w:rPr>
            </w:pPr>
            <w:r>
              <w:rPr>
                <w:rFonts w:ascii="Arial" w:cs="Arial" w:eastAsia="Arial" w:hAnsi="Arial"/>
                <w:sz w:val="11"/>
                <w:szCs w:val="11"/>
                <w:color w:val="auto"/>
              </w:rPr>
              <w:t>10.25</w:t>
            </w:r>
          </w:p>
        </w:tc>
        <w:tc>
          <w:tcPr>
            <w:tcW w:w="10220" w:type="dxa"/>
            <w:vAlign w:val="bottom"/>
            <w:tcBorders>
              <w:bottom w:val="single" w:sz="8" w:color="0000EE"/>
            </w:tcBorders>
            <w:gridSpan w:val="11"/>
          </w:tcPr>
          <w:p>
            <w:pPr>
              <w:spacing w:after="0"/>
              <w:rPr>
                <w:rFonts w:ascii="Arial" w:cs="Arial" w:eastAsia="Arial" w:hAnsi="Arial"/>
                <w:sz w:val="11"/>
                <w:szCs w:val="11"/>
                <w:color w:val="0000EE"/>
                <w:w w:val="97"/>
              </w:rPr>
            </w:pPr>
            <w:hyperlink r:id="rId260">
              <w:r>
                <w:rPr>
                  <w:rFonts w:ascii="Arial" w:cs="Arial" w:eastAsia="Arial" w:hAnsi="Arial"/>
                  <w:sz w:val="11"/>
                  <w:szCs w:val="11"/>
                  <w:color w:val="0000EE"/>
                  <w:w w:val="97"/>
                </w:rPr>
                <w:t>Asset Purchase Agreement between Eagle Materials Inc. and Kosmos Cement Company, dated as of November 25, 2019, filed as Exhibit 10.3 to the Quarterly Report on Form 10-Q for the quarter ended December</w:t>
              </w:r>
            </w:hyperlink>
          </w:p>
        </w:tc>
        <w:tc>
          <w:tcPr>
            <w:tcW w:w="0" w:type="dxa"/>
            <w:vAlign w:val="bottom"/>
          </w:tcPr>
          <w:p>
            <w:pPr>
              <w:spacing w:after="0"/>
              <w:rPr>
                <w:sz w:val="1"/>
                <w:szCs w:val="1"/>
                <w:color w:val="auto"/>
              </w:rPr>
            </w:pPr>
          </w:p>
        </w:tc>
      </w:tr>
      <w:tr>
        <w:trPr>
          <w:trHeight w:val="106"/>
        </w:trPr>
        <w:tc>
          <w:tcPr>
            <w:tcW w:w="1060" w:type="dxa"/>
            <w:vAlign w:val="bottom"/>
          </w:tcPr>
          <w:p>
            <w:pPr>
              <w:spacing w:after="0"/>
              <w:rPr>
                <w:sz w:val="9"/>
                <w:szCs w:val="9"/>
                <w:color w:val="auto"/>
              </w:rPr>
            </w:pPr>
          </w:p>
        </w:tc>
        <w:tc>
          <w:tcPr>
            <w:tcW w:w="5560" w:type="dxa"/>
            <w:vAlign w:val="bottom"/>
            <w:tcBorders>
              <w:bottom w:val="single" w:sz="8" w:color="0000EE"/>
            </w:tcBorders>
            <w:gridSpan w:val="4"/>
          </w:tcPr>
          <w:p>
            <w:pPr>
              <w:spacing w:after="0" w:line="106" w:lineRule="exact"/>
              <w:rPr>
                <w:rFonts w:ascii="Arial" w:cs="Arial" w:eastAsia="Arial" w:hAnsi="Arial"/>
                <w:sz w:val="11"/>
                <w:szCs w:val="11"/>
                <w:color w:val="0000EE"/>
                <w:w w:val="97"/>
              </w:rPr>
            </w:pPr>
            <w:hyperlink r:id="rId260">
              <w:r>
                <w:rPr>
                  <w:rFonts w:ascii="Arial" w:cs="Arial" w:eastAsia="Arial" w:hAnsi="Arial"/>
                  <w:sz w:val="11"/>
                  <w:szCs w:val="11"/>
                  <w:color w:val="0000EE"/>
                  <w:w w:val="97"/>
                </w:rPr>
                <w:t>31, 2019, filed with the Commission on February 2, 2020 (File No. 001-12984) and incorporated herein by reference.</w:t>
              </w:r>
            </w:hyperlink>
          </w:p>
        </w:tc>
        <w:tc>
          <w:tcPr>
            <w:tcW w:w="466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r>
              <w:rPr>
                <w:rFonts w:ascii="Arial" w:cs="Arial" w:eastAsia="Arial" w:hAnsi="Arial"/>
                <w:sz w:val="11"/>
                <w:szCs w:val="11"/>
                <w:color w:val="auto"/>
              </w:rPr>
              <w:t>10.26</w:t>
            </w:r>
          </w:p>
        </w:tc>
        <w:tc>
          <w:tcPr>
            <w:tcW w:w="10000" w:type="dxa"/>
            <w:vAlign w:val="bottom"/>
            <w:tcBorders>
              <w:bottom w:val="single" w:sz="8" w:color="0000EE"/>
            </w:tcBorders>
            <w:gridSpan w:val="10"/>
          </w:tcPr>
          <w:p>
            <w:pPr>
              <w:spacing w:after="0"/>
              <w:rPr>
                <w:rFonts w:ascii="Arial" w:cs="Arial" w:eastAsia="Arial" w:hAnsi="Arial"/>
                <w:sz w:val="11"/>
                <w:szCs w:val="11"/>
                <w:color w:val="0000EE"/>
                <w:w w:val="97"/>
              </w:rPr>
            </w:pPr>
            <w:hyperlink r:id="rId261">
              <w:r>
                <w:rPr>
                  <w:rFonts w:ascii="Arial" w:cs="Arial" w:eastAsia="Arial" w:hAnsi="Arial"/>
                  <w:sz w:val="11"/>
                  <w:szCs w:val="11"/>
                  <w:color w:val="0000EE"/>
                  <w:w w:val="97"/>
                </w:rPr>
                <w:t>Membership Interest Purchase Agreement by and among CCP Concrete/Aggregates LLC, Eagle Materials Inc., Hammonton Farms, LLC and Teichert, Inc. dated as of April 17, 2020, filed as Exhibit 10.32 to the</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1060" w:type="dxa"/>
            <w:vAlign w:val="bottom"/>
          </w:tcPr>
          <w:p>
            <w:pPr>
              <w:spacing w:after="0"/>
              <w:rPr>
                <w:sz w:val="9"/>
                <w:szCs w:val="9"/>
                <w:color w:val="auto"/>
              </w:rPr>
            </w:pPr>
          </w:p>
        </w:tc>
        <w:tc>
          <w:tcPr>
            <w:tcW w:w="8880" w:type="dxa"/>
            <w:vAlign w:val="bottom"/>
            <w:tcBorders>
              <w:bottom w:val="single" w:sz="8" w:color="0000EE"/>
            </w:tcBorders>
            <w:gridSpan w:val="9"/>
          </w:tcPr>
          <w:p>
            <w:pPr>
              <w:spacing w:after="0" w:line="106" w:lineRule="exact"/>
              <w:rPr>
                <w:rFonts w:ascii="Arial" w:cs="Arial" w:eastAsia="Arial" w:hAnsi="Arial"/>
                <w:sz w:val="11"/>
                <w:szCs w:val="11"/>
                <w:color w:val="0000EE"/>
                <w:w w:val="97"/>
              </w:rPr>
            </w:pPr>
            <w:hyperlink r:id="rId261">
              <w:r>
                <w:rPr>
                  <w:rFonts w:ascii="Arial" w:cs="Arial" w:eastAsia="Arial" w:hAnsi="Arial"/>
                  <w:sz w:val="11"/>
                  <w:szCs w:val="11"/>
                  <w:color w:val="0000EE"/>
                  <w:w w:val="97"/>
                </w:rPr>
                <w:t>Company’s Annual Report on Form 10-K for the fiscal year ended March 31, 2020, filed with the Commission on May 22, 2020 (File No. 001-12984) and incorporated herein by reference.</w:t>
              </w:r>
            </w:hyperlink>
          </w:p>
        </w:tc>
        <w:tc>
          <w:tcPr>
            <w:tcW w:w="13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r>
              <w:rPr>
                <w:rFonts w:ascii="Arial" w:cs="Arial" w:eastAsia="Arial" w:hAnsi="Arial"/>
                <w:sz w:val="11"/>
                <w:szCs w:val="11"/>
                <w:color w:val="auto"/>
              </w:rPr>
              <w:t>21*</w:t>
            </w:r>
          </w:p>
        </w:tc>
        <w:tc>
          <w:tcPr>
            <w:tcW w:w="1400" w:type="dxa"/>
            <w:vAlign w:val="bottom"/>
            <w:tcBorders>
              <w:bottom w:val="single" w:sz="8" w:color="0000EE"/>
            </w:tcBorders>
            <w:gridSpan w:val="2"/>
          </w:tcPr>
          <w:p>
            <w:pPr>
              <w:spacing w:after="0"/>
              <w:rPr>
                <w:rFonts w:ascii="Arial" w:cs="Arial" w:eastAsia="Arial" w:hAnsi="Arial"/>
                <w:sz w:val="11"/>
                <w:szCs w:val="11"/>
                <w:color w:val="0000EE"/>
                <w:w w:val="96"/>
              </w:rPr>
            </w:pPr>
            <w:hyperlink w:anchor="page130">
              <w:r>
                <w:rPr>
                  <w:rFonts w:ascii="Arial" w:cs="Arial" w:eastAsia="Arial" w:hAnsi="Arial"/>
                  <w:sz w:val="11"/>
                  <w:szCs w:val="11"/>
                  <w:color w:val="0000EE"/>
                  <w:w w:val="96"/>
                </w:rPr>
                <w:t>Subsidiaries of the Company.</w:t>
              </w:r>
            </w:hyperlink>
          </w:p>
        </w:tc>
        <w:tc>
          <w:tcPr>
            <w:tcW w:w="88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23.1*</w:t>
            </w:r>
          </w:p>
        </w:tc>
        <w:tc>
          <w:tcPr>
            <w:tcW w:w="3880" w:type="dxa"/>
            <w:vAlign w:val="bottom"/>
            <w:tcBorders>
              <w:bottom w:val="single" w:sz="8" w:color="0000EE"/>
            </w:tcBorders>
            <w:gridSpan w:val="3"/>
          </w:tcPr>
          <w:p>
            <w:pPr>
              <w:spacing w:after="0"/>
              <w:rPr>
                <w:rFonts w:ascii="Arial" w:cs="Arial" w:eastAsia="Arial" w:hAnsi="Arial"/>
                <w:sz w:val="11"/>
                <w:szCs w:val="11"/>
                <w:color w:val="0000EE"/>
                <w:w w:val="96"/>
              </w:rPr>
            </w:pPr>
            <w:hyperlink w:anchor="page131">
              <w:r>
                <w:rPr>
                  <w:rFonts w:ascii="Arial" w:cs="Arial" w:eastAsia="Arial" w:hAnsi="Arial"/>
                  <w:sz w:val="11"/>
                  <w:szCs w:val="11"/>
                  <w:color w:val="0000EE"/>
                  <w:w w:val="96"/>
                </w:rPr>
                <w:t>Consent of Registered Independent Public Accounting Firm – Ernst &amp; Young LLP.</w:t>
              </w:r>
            </w:hyperlink>
          </w:p>
        </w:tc>
        <w:tc>
          <w:tcPr>
            <w:tcW w:w="6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31.1*</w:t>
            </w:r>
          </w:p>
        </w:tc>
        <w:tc>
          <w:tcPr>
            <w:tcW w:w="8300" w:type="dxa"/>
            <w:vAlign w:val="bottom"/>
            <w:tcBorders>
              <w:bottom w:val="single" w:sz="8" w:color="0000EE"/>
            </w:tcBorders>
            <w:gridSpan w:val="8"/>
          </w:tcPr>
          <w:p>
            <w:pPr>
              <w:spacing w:after="0"/>
              <w:rPr>
                <w:rFonts w:ascii="Arial" w:cs="Arial" w:eastAsia="Arial" w:hAnsi="Arial"/>
                <w:sz w:val="11"/>
                <w:szCs w:val="11"/>
                <w:color w:val="0000EE"/>
                <w:w w:val="97"/>
              </w:rPr>
            </w:pPr>
            <w:hyperlink w:anchor="page132">
              <w:r>
                <w:rPr>
                  <w:rFonts w:ascii="Arial" w:cs="Arial" w:eastAsia="Arial" w:hAnsi="Arial"/>
                  <w:sz w:val="11"/>
                  <w:szCs w:val="11"/>
                  <w:color w:val="0000EE"/>
                  <w:w w:val="97"/>
                </w:rPr>
                <w:t>Certification of the Chief Executive Officer of Eagle Materials Inc. pursuant to Rules 13a-14 and 15d-14 promulgated under the Securities Exchange Act of 1934, as amended.</w:t>
              </w:r>
            </w:hyperlink>
          </w:p>
        </w:tc>
        <w:tc>
          <w:tcPr>
            <w:tcW w:w="19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31.2*</w:t>
            </w:r>
          </w:p>
        </w:tc>
        <w:tc>
          <w:tcPr>
            <w:tcW w:w="8260" w:type="dxa"/>
            <w:vAlign w:val="bottom"/>
            <w:tcBorders>
              <w:bottom w:val="single" w:sz="8" w:color="0000EE"/>
            </w:tcBorders>
            <w:gridSpan w:val="6"/>
          </w:tcPr>
          <w:p>
            <w:pPr>
              <w:spacing w:after="0"/>
              <w:rPr>
                <w:rFonts w:ascii="Arial" w:cs="Arial" w:eastAsia="Arial" w:hAnsi="Arial"/>
                <w:sz w:val="11"/>
                <w:szCs w:val="11"/>
                <w:color w:val="0000EE"/>
                <w:w w:val="97"/>
              </w:rPr>
            </w:pPr>
            <w:hyperlink w:anchor="page133">
              <w:r>
                <w:rPr>
                  <w:rFonts w:ascii="Arial" w:cs="Arial" w:eastAsia="Arial" w:hAnsi="Arial"/>
                  <w:sz w:val="11"/>
                  <w:szCs w:val="11"/>
                  <w:color w:val="0000EE"/>
                  <w:w w:val="97"/>
                </w:rPr>
                <w:t>Certification of the Chief Financial Officer of Eagle Materials Inc. pursuant to Rules 13a-14 and 15d-14 promulgated under the Securities Exchange Act of 1934, as amended.</w:t>
              </w:r>
            </w:hyperlink>
          </w:p>
        </w:tc>
        <w:tc>
          <w:tcPr>
            <w:tcW w:w="19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vMerge w:val="restart"/>
          </w:tcPr>
          <w:p>
            <w:pPr>
              <w:spacing w:after="0"/>
              <w:rPr>
                <w:sz w:val="20"/>
                <w:szCs w:val="20"/>
                <w:color w:val="auto"/>
              </w:rPr>
            </w:pPr>
            <w:r>
              <w:rPr>
                <w:rFonts w:ascii="Arial" w:cs="Arial" w:eastAsia="Arial" w:hAnsi="Arial"/>
                <w:sz w:val="11"/>
                <w:szCs w:val="11"/>
                <w:color w:val="auto"/>
              </w:rPr>
              <w:t>32.1*</w:t>
            </w:r>
          </w:p>
        </w:tc>
        <w:tc>
          <w:tcPr>
            <w:tcW w:w="10220" w:type="dxa"/>
            <w:vAlign w:val="bottom"/>
            <w:gridSpan w:val="11"/>
          </w:tcPr>
          <w:p>
            <w:pPr>
              <w:spacing w:after="0"/>
              <w:rPr>
                <w:rFonts w:ascii="Arial" w:cs="Arial" w:eastAsia="Arial" w:hAnsi="Arial"/>
                <w:sz w:val="11"/>
                <w:szCs w:val="11"/>
                <w:color w:val="0000EE"/>
              </w:rPr>
            </w:pPr>
            <w:hyperlink w:anchor="page134">
              <w:r>
                <w:rPr>
                  <w:rFonts w:ascii="Arial" w:cs="Arial" w:eastAsia="Arial" w:hAnsi="Arial"/>
                  <w:sz w:val="11"/>
                  <w:szCs w:val="11"/>
                  <w:color w:val="0000EE"/>
                </w:rPr>
                <w:t>Certification of the Chief Executive Officer of Eagle Materials Inc.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48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2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60" w:type="dxa"/>
            <w:vAlign w:val="bottom"/>
          </w:tcPr>
          <w:p>
            <w:pPr>
              <w:spacing w:after="0"/>
              <w:rPr>
                <w:sz w:val="20"/>
                <w:szCs w:val="20"/>
                <w:color w:val="auto"/>
              </w:rPr>
            </w:pPr>
            <w:r>
              <w:rPr>
                <w:rFonts w:ascii="Arial" w:cs="Arial" w:eastAsia="Arial" w:hAnsi="Arial"/>
                <w:sz w:val="11"/>
                <w:szCs w:val="11"/>
                <w:color w:val="auto"/>
              </w:rPr>
              <w:t>32.2*</w:t>
            </w:r>
          </w:p>
        </w:tc>
        <w:tc>
          <w:tcPr>
            <w:tcW w:w="10220" w:type="dxa"/>
            <w:vAlign w:val="bottom"/>
            <w:gridSpan w:val="11"/>
          </w:tcPr>
          <w:p>
            <w:pPr>
              <w:spacing w:after="0"/>
              <w:rPr>
                <w:rFonts w:ascii="Arial" w:cs="Arial" w:eastAsia="Arial" w:hAnsi="Arial"/>
                <w:sz w:val="11"/>
                <w:szCs w:val="11"/>
                <w:color w:val="0000EE"/>
              </w:rPr>
            </w:pPr>
            <w:hyperlink w:anchor="page135">
              <w:r>
                <w:rPr>
                  <w:rFonts w:ascii="Arial" w:cs="Arial" w:eastAsia="Arial" w:hAnsi="Arial"/>
                  <w:sz w:val="11"/>
                  <w:szCs w:val="11"/>
                  <w:color w:val="0000EE"/>
                </w:rPr>
                <w:t>Certification of the Chief Financial Officer of Eagle Materials Inc.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1"/>
                <w:szCs w:val="11"/>
                <w:color w:val="auto"/>
              </w:rPr>
              <w:t>95*</w:t>
            </w:r>
          </w:p>
        </w:tc>
        <w:tc>
          <w:tcPr>
            <w:tcW w:w="8240" w:type="dxa"/>
            <w:vAlign w:val="bottom"/>
            <w:tcBorders>
              <w:top w:val="single" w:sz="8" w:color="0000EE"/>
            </w:tcBorders>
            <w:gridSpan w:val="5"/>
          </w:tcPr>
          <w:p>
            <w:pPr>
              <w:spacing w:after="0"/>
              <w:rPr>
                <w:rFonts w:ascii="Arial" w:cs="Arial" w:eastAsia="Arial" w:hAnsi="Arial"/>
                <w:sz w:val="11"/>
                <w:szCs w:val="11"/>
                <w:color w:val="0000EE"/>
              </w:rPr>
            </w:pPr>
            <w:hyperlink w:anchor="page136">
              <w:r>
                <w:rPr>
                  <w:rFonts w:ascii="Arial" w:cs="Arial" w:eastAsia="Arial" w:hAnsi="Arial"/>
                  <w:sz w:val="11"/>
                  <w:szCs w:val="11"/>
                  <w:color w:val="0000EE"/>
                </w:rPr>
                <w:t>Mine Safety Disclosure.</w:t>
              </w:r>
            </w:hyperlink>
          </w:p>
        </w:tc>
        <w:tc>
          <w:tcPr>
            <w:tcW w:w="1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1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60" w:type="dxa"/>
            <w:vAlign w:val="bottom"/>
          </w:tcPr>
          <w:p>
            <w:pPr>
              <w:spacing w:after="0"/>
              <w:rPr>
                <w:sz w:val="20"/>
                <w:szCs w:val="20"/>
                <w:color w:val="auto"/>
              </w:rPr>
            </w:pPr>
            <w:r>
              <w:rPr>
                <w:rFonts w:ascii="Arial" w:cs="Arial" w:eastAsia="Arial" w:hAnsi="Arial"/>
                <w:sz w:val="11"/>
                <w:szCs w:val="11"/>
                <w:color w:val="auto"/>
              </w:rPr>
              <w:t>101.INS*</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Instance Document – This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1"/>
                <w:szCs w:val="11"/>
                <w:color w:val="auto"/>
              </w:rPr>
              <w:t>101.SCH*</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Taxonomy Extension Schema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1"/>
                <w:szCs w:val="11"/>
                <w:color w:val="auto"/>
              </w:rPr>
              <w:t>101.CAL*</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1"/>
                <w:szCs w:val="11"/>
                <w:color w:val="auto"/>
              </w:rPr>
              <w:t>101.DEF*</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1"/>
                <w:szCs w:val="11"/>
                <w:color w:val="auto"/>
              </w:rPr>
              <w:t>101.LAB*</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1"/>
                <w:szCs w:val="11"/>
                <w:color w:val="auto"/>
              </w:rPr>
              <w:t>101.PRE*</w:t>
            </w:r>
          </w:p>
        </w:tc>
        <w:tc>
          <w:tcPr>
            <w:tcW w:w="10220" w:type="dxa"/>
            <w:vAlign w:val="bottom"/>
            <w:gridSpan w:val="11"/>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1"/>
                <w:szCs w:val="11"/>
                <w:color w:val="auto"/>
              </w:rPr>
              <w:t>104</w:t>
            </w:r>
          </w:p>
        </w:tc>
        <w:tc>
          <w:tcPr>
            <w:tcW w:w="10220" w:type="dxa"/>
            <w:vAlign w:val="bottom"/>
            <w:gridSpan w:val="11"/>
          </w:tcPr>
          <w:p>
            <w:pPr>
              <w:spacing w:after="0"/>
              <w:rPr>
                <w:sz w:val="20"/>
                <w:szCs w:val="20"/>
                <w:color w:val="auto"/>
              </w:rPr>
            </w:pPr>
            <w:r>
              <w:rPr>
                <w:rFonts w:ascii="Arial" w:cs="Arial" w:eastAsia="Arial" w:hAnsi="Arial"/>
                <w:sz w:val="11"/>
                <w:szCs w:val="11"/>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143446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2">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54" w:lineRule="exact"/>
        <w:rPr>
          <w:sz w:val="20"/>
          <w:szCs w:val="20"/>
          <w:color w:val="auto"/>
        </w:rPr>
      </w:pPr>
    </w:p>
    <w:p>
      <w:pPr>
        <w:ind w:left="268" w:hanging="268"/>
        <w:spacing w:after="0"/>
        <w:tabs>
          <w:tab w:leader="none" w:pos="268" w:val="left"/>
        </w:tabs>
        <w:numPr>
          <w:ilvl w:val="0"/>
          <w:numId w:val="28"/>
        </w:numPr>
        <w:rPr>
          <w:rFonts w:ascii="Arial" w:cs="Arial" w:eastAsia="Arial" w:hAnsi="Arial"/>
          <w:sz w:val="12"/>
          <w:szCs w:val="12"/>
          <w:color w:val="auto"/>
        </w:rPr>
      </w:pPr>
      <w:r>
        <w:rPr>
          <w:rFonts w:ascii="Arial" w:cs="Arial" w:eastAsia="Arial" w:hAnsi="Arial"/>
          <w:sz w:val="10"/>
          <w:szCs w:val="10"/>
          <w:color w:val="auto"/>
        </w:rPr>
        <w:t>Filed herewith.</w:t>
      </w:r>
    </w:p>
    <w:p>
      <w:pPr>
        <w:ind w:left="268" w:hanging="268"/>
        <w:spacing w:after="0" w:line="187" w:lineRule="auto"/>
        <w:tabs>
          <w:tab w:leader="none" w:pos="268" w:val="left"/>
        </w:tabs>
        <w:numPr>
          <w:ilvl w:val="0"/>
          <w:numId w:val="29"/>
        </w:numPr>
        <w:rPr>
          <w:rFonts w:ascii="Arial" w:cs="Arial" w:eastAsia="Arial" w:hAnsi="Arial"/>
          <w:sz w:val="15"/>
          <w:szCs w:val="15"/>
          <w:color w:val="auto"/>
          <w:vertAlign w:val="superscript"/>
        </w:rPr>
      </w:pPr>
      <w:r>
        <w:rPr>
          <w:rFonts w:ascii="Arial" w:cs="Arial" w:eastAsia="Arial" w:hAnsi="Arial"/>
          <w:sz w:val="9"/>
          <w:szCs w:val="9"/>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33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65" w:right="3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color w:val="auto"/>
        </w:rPr>
        <w:t>SIGNATURES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Form 10-K to be signed on its behalf by the undersigned, thereunto duly authorized.</w:t>
      </w:r>
    </w:p>
    <w:p>
      <w:pPr>
        <w:spacing w:after="0" w:line="168"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13"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Registrant</w:t>
      </w:r>
    </w:p>
    <w:p>
      <w:pPr>
        <w:spacing w:after="0" w:line="240" w:lineRule="exact"/>
        <w:rPr>
          <w:sz w:val="20"/>
          <w:szCs w:val="20"/>
          <w:color w:val="auto"/>
        </w:rPr>
      </w:pPr>
    </w:p>
    <w:p>
      <w:pPr>
        <w:spacing w:after="0"/>
        <w:tabs>
          <w:tab w:leader="none" w:pos="8460" w:val="left"/>
        </w:tabs>
        <w:rPr>
          <w:sz w:val="20"/>
          <w:szCs w:val="20"/>
          <w:color w:val="auto"/>
        </w:rPr>
      </w:pPr>
      <w:r>
        <w:rPr>
          <w:rFonts w:ascii="Arial" w:cs="Arial" w:eastAsia="Arial" w:hAnsi="Arial"/>
          <w:sz w:val="12"/>
          <w:szCs w:val="12"/>
          <w:color w:val="auto"/>
        </w:rPr>
        <w:t>May 21, 2021</w:t>
      </w:r>
      <w:r>
        <w:rPr>
          <w:sz w:val="20"/>
          <w:szCs w:val="20"/>
          <w:color w:val="auto"/>
        </w:rPr>
        <w:tab/>
      </w:r>
      <w:r>
        <w:rPr>
          <w:rFonts w:ascii="Arial" w:cs="Arial" w:eastAsia="Arial" w:hAnsi="Arial"/>
          <w:sz w:val="11"/>
          <w:szCs w:val="11"/>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4445</wp:posOffset>
            </wp:positionV>
            <wp:extent cx="286893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4" w:lineRule="exact"/>
        <w:rPr>
          <w:sz w:val="20"/>
          <w:szCs w:val="20"/>
          <w:color w:val="auto"/>
        </w:rPr>
      </w:pPr>
    </w:p>
    <w:p>
      <w:pPr>
        <w:jc w:val="center"/>
        <w:ind w:left="6740"/>
        <w:spacing w:after="0"/>
        <w:rPr>
          <w:sz w:val="20"/>
          <w:szCs w:val="20"/>
          <w:color w:val="auto"/>
        </w:rPr>
      </w:pPr>
      <w:r>
        <w:rPr>
          <w:rFonts w:ascii="Arial" w:cs="Arial" w:eastAsia="Arial" w:hAnsi="Arial"/>
          <w:sz w:val="12"/>
          <w:szCs w:val="12"/>
          <w:color w:val="auto"/>
        </w:rPr>
        <w:t>Michael R. Haack,</w:t>
      </w:r>
    </w:p>
    <w:p>
      <w:pPr>
        <w:spacing w:after="0" w:line="15"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President and Chief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12"/>
                <w:szCs w:val="12"/>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Michael R. Haack</w:t>
            </w:r>
          </w:p>
        </w:tc>
      </w:tr>
      <w:tr>
        <w:trPr>
          <w:trHeight w:val="123"/>
        </w:trPr>
        <w:tc>
          <w:tcPr>
            <w:tcW w:w="3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520" w:type="dxa"/>
            <w:vAlign w:val="bottom"/>
          </w:tcPr>
          <w:p>
            <w:pPr>
              <w:jc w:val="center"/>
              <w:spacing w:after="0" w:line="124" w:lineRule="exact"/>
              <w:rPr>
                <w:sz w:val="20"/>
                <w:szCs w:val="20"/>
                <w:color w:val="auto"/>
              </w:rPr>
            </w:pPr>
            <w:r>
              <w:rPr>
                <w:rFonts w:ascii="Arial" w:cs="Arial" w:eastAsia="Arial" w:hAnsi="Arial"/>
                <w:sz w:val="12"/>
                <w:szCs w:val="12"/>
                <w:color w:val="auto"/>
                <w:w w:val="99"/>
              </w:rPr>
              <w:t>Michael R. Haack</w:t>
            </w:r>
          </w:p>
        </w:tc>
      </w:tr>
      <w:tr>
        <w:trPr>
          <w:trHeight w:val="135"/>
        </w:trPr>
        <w:tc>
          <w:tcPr>
            <w:tcW w:w="31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520" w:type="dxa"/>
            <w:vAlign w:val="bottom"/>
          </w:tcPr>
          <w:p>
            <w:pPr>
              <w:jc w:val="center"/>
              <w:spacing w:after="0" w:line="135" w:lineRule="exact"/>
              <w:rPr>
                <w:sz w:val="20"/>
                <w:szCs w:val="20"/>
                <w:color w:val="auto"/>
              </w:rPr>
            </w:pPr>
            <w:r>
              <w:rPr>
                <w:rFonts w:ascii="Arial" w:cs="Arial" w:eastAsia="Arial" w:hAnsi="Arial"/>
                <w:sz w:val="12"/>
                <w:szCs w:val="12"/>
                <w:color w:val="auto"/>
              </w:rPr>
              <w:t>President and Chief Executive Officer</w:t>
            </w:r>
          </w:p>
        </w:tc>
      </w:tr>
      <w:tr>
        <w:trPr>
          <w:trHeight w:val="145"/>
        </w:trPr>
        <w:tc>
          <w:tcPr>
            <w:tcW w:w="3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(principal executive officer)</w:t>
            </w:r>
          </w:p>
        </w:tc>
      </w:tr>
      <w:tr>
        <w:trPr>
          <w:trHeight w:val="315"/>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D. Craig Kesler</w:t>
            </w:r>
          </w:p>
        </w:tc>
      </w:tr>
      <w:tr>
        <w:trPr>
          <w:trHeight w:val="123"/>
        </w:trPr>
        <w:tc>
          <w:tcPr>
            <w:tcW w:w="3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520" w:type="dxa"/>
            <w:vAlign w:val="bottom"/>
          </w:tcPr>
          <w:p>
            <w:pPr>
              <w:jc w:val="center"/>
              <w:spacing w:after="0" w:line="124" w:lineRule="exact"/>
              <w:rPr>
                <w:sz w:val="20"/>
                <w:szCs w:val="20"/>
                <w:color w:val="auto"/>
              </w:rPr>
            </w:pPr>
            <w:r>
              <w:rPr>
                <w:rFonts w:ascii="Arial" w:cs="Arial" w:eastAsia="Arial" w:hAnsi="Arial"/>
                <w:sz w:val="12"/>
                <w:szCs w:val="12"/>
                <w:color w:val="auto"/>
                <w:w w:val="98"/>
              </w:rPr>
              <w:t>D. Craig Kesler</w:t>
            </w:r>
          </w:p>
        </w:tc>
      </w:tr>
      <w:tr>
        <w:trPr>
          <w:trHeight w:val="135"/>
        </w:trPr>
        <w:tc>
          <w:tcPr>
            <w:tcW w:w="31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520" w:type="dxa"/>
            <w:vAlign w:val="bottom"/>
          </w:tcPr>
          <w:p>
            <w:pPr>
              <w:jc w:val="center"/>
              <w:spacing w:after="0" w:line="135" w:lineRule="exact"/>
              <w:rPr>
                <w:sz w:val="20"/>
                <w:szCs w:val="20"/>
                <w:color w:val="auto"/>
              </w:rPr>
            </w:pPr>
            <w:r>
              <w:rPr>
                <w:rFonts w:ascii="Arial" w:cs="Arial" w:eastAsia="Arial" w:hAnsi="Arial"/>
                <w:sz w:val="12"/>
                <w:szCs w:val="12"/>
                <w:color w:val="auto"/>
                <w:w w:val="99"/>
              </w:rPr>
              <w:t>Executive Vice President – Finance and Administration and Chief Financial Officer</w:t>
            </w:r>
          </w:p>
        </w:tc>
      </w:tr>
      <w:tr>
        <w:trPr>
          <w:trHeight w:val="145"/>
        </w:trPr>
        <w:tc>
          <w:tcPr>
            <w:tcW w:w="3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(principal financial officer)</w:t>
            </w:r>
          </w:p>
        </w:tc>
      </w:tr>
      <w:tr>
        <w:trPr>
          <w:trHeight w:val="315"/>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William R. Devlin</w:t>
            </w:r>
          </w:p>
        </w:tc>
      </w:tr>
      <w:tr>
        <w:trPr>
          <w:trHeight w:val="123"/>
        </w:trPr>
        <w:tc>
          <w:tcPr>
            <w:tcW w:w="314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520" w:type="dxa"/>
            <w:vAlign w:val="bottom"/>
          </w:tcPr>
          <w:p>
            <w:pPr>
              <w:jc w:val="center"/>
              <w:spacing w:after="0" w:line="124" w:lineRule="exact"/>
              <w:rPr>
                <w:sz w:val="20"/>
                <w:szCs w:val="20"/>
                <w:color w:val="auto"/>
              </w:rPr>
            </w:pPr>
            <w:r>
              <w:rPr>
                <w:rFonts w:ascii="Arial" w:cs="Arial" w:eastAsia="Arial" w:hAnsi="Arial"/>
                <w:sz w:val="12"/>
                <w:szCs w:val="12"/>
                <w:color w:val="auto"/>
              </w:rPr>
              <w:t>William R. Devlin</w:t>
            </w:r>
          </w:p>
        </w:tc>
      </w:tr>
      <w:tr>
        <w:trPr>
          <w:trHeight w:val="135"/>
        </w:trPr>
        <w:tc>
          <w:tcPr>
            <w:tcW w:w="31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520" w:type="dxa"/>
            <w:vAlign w:val="bottom"/>
          </w:tcPr>
          <w:p>
            <w:pPr>
              <w:jc w:val="center"/>
              <w:spacing w:after="0" w:line="135" w:lineRule="exact"/>
              <w:rPr>
                <w:sz w:val="20"/>
                <w:szCs w:val="20"/>
                <w:color w:val="auto"/>
              </w:rPr>
            </w:pPr>
            <w:r>
              <w:rPr>
                <w:rFonts w:ascii="Arial" w:cs="Arial" w:eastAsia="Arial" w:hAnsi="Arial"/>
                <w:sz w:val="12"/>
                <w:szCs w:val="12"/>
                <w:color w:val="auto"/>
                <w:w w:val="99"/>
              </w:rPr>
              <w:t>Senior Vice President – Controller and</w:t>
            </w:r>
          </w:p>
        </w:tc>
      </w:tr>
      <w:tr>
        <w:trPr>
          <w:trHeight w:val="135"/>
        </w:trPr>
        <w:tc>
          <w:tcPr>
            <w:tcW w:w="31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520" w:type="dxa"/>
            <w:vAlign w:val="bottom"/>
          </w:tcPr>
          <w:p>
            <w:pPr>
              <w:jc w:val="center"/>
              <w:spacing w:after="0" w:line="135" w:lineRule="exact"/>
              <w:rPr>
                <w:sz w:val="20"/>
                <w:szCs w:val="20"/>
                <w:color w:val="auto"/>
              </w:rPr>
            </w:pPr>
            <w:r>
              <w:rPr>
                <w:rFonts w:ascii="Arial" w:cs="Arial" w:eastAsia="Arial" w:hAnsi="Arial"/>
                <w:sz w:val="12"/>
                <w:szCs w:val="12"/>
                <w:color w:val="auto"/>
                <w:w w:val="98"/>
              </w:rPr>
              <w:t>Chief Accounting Officer</w:t>
            </w:r>
          </w:p>
        </w:tc>
      </w:tr>
      <w:tr>
        <w:trPr>
          <w:trHeight w:val="145"/>
        </w:trPr>
        <w:tc>
          <w:tcPr>
            <w:tcW w:w="3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r>
        <w:trPr>
          <w:trHeight w:val="315"/>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F. William Barnett</w:t>
            </w:r>
          </w:p>
        </w:tc>
      </w:tr>
      <w:tr>
        <w:trPr>
          <w:trHeight w:val="160"/>
        </w:trPr>
        <w:tc>
          <w:tcPr>
            <w:tcW w:w="3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F. William Barnett, Director</w:t>
            </w:r>
          </w:p>
        </w:tc>
      </w:tr>
      <w:tr>
        <w:trPr>
          <w:trHeight w:val="315"/>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Richard Beckwitt</w:t>
            </w:r>
          </w:p>
        </w:tc>
      </w:tr>
      <w:tr>
        <w:trPr>
          <w:trHeight w:val="160"/>
        </w:trPr>
        <w:tc>
          <w:tcPr>
            <w:tcW w:w="3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Richard Beckwitt, Director</w:t>
            </w:r>
          </w:p>
        </w:tc>
      </w:tr>
      <w:tr>
        <w:trPr>
          <w:trHeight w:val="315"/>
        </w:trPr>
        <w:tc>
          <w:tcPr>
            <w:tcW w:w="3140" w:type="dxa"/>
            <w:vAlign w:val="bottom"/>
          </w:tcPr>
          <w:p>
            <w:pPr>
              <w:spacing w:after="0"/>
              <w:rPr>
                <w:sz w:val="20"/>
                <w:szCs w:val="20"/>
                <w:color w:val="auto"/>
              </w:rPr>
            </w:pPr>
            <w:r>
              <w:rPr>
                <w:rFonts w:ascii="Arial" w:cs="Arial" w:eastAsia="Arial" w:hAnsi="Arial"/>
                <w:sz w:val="12"/>
                <w:szCs w:val="12"/>
                <w:color w:val="auto"/>
              </w:rPr>
              <w:t>May 21, 2021</w:t>
            </w:r>
          </w:p>
        </w:tc>
        <w:tc>
          <w:tcPr>
            <w:tcW w:w="3640" w:type="dxa"/>
            <w:vAlign w:val="bottom"/>
          </w:tcPr>
          <w:p>
            <w:pPr>
              <w:spacing w:after="0"/>
              <w:rPr>
                <w:sz w:val="24"/>
                <w:szCs w:val="24"/>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Ed H. Bowman, Jr.</w:t>
            </w:r>
          </w:p>
        </w:tc>
      </w:tr>
      <w:tr>
        <w:trPr>
          <w:trHeight w:val="160"/>
        </w:trPr>
        <w:tc>
          <w:tcPr>
            <w:tcW w:w="3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Ed H. Bowman, Jr., Director</w:t>
            </w:r>
          </w:p>
        </w:tc>
      </w:tr>
      <w:tr>
        <w:trPr>
          <w:trHeight w:val="846"/>
        </w:trPr>
        <w:tc>
          <w:tcPr>
            <w:tcW w:w="3140" w:type="dxa"/>
            <w:vAlign w:val="bottom"/>
          </w:tcPr>
          <w:p>
            <w:pPr>
              <w:spacing w:after="0"/>
              <w:rPr>
                <w:sz w:val="24"/>
                <w:szCs w:val="24"/>
                <w:color w:val="auto"/>
              </w:rPr>
            </w:pPr>
          </w:p>
        </w:tc>
        <w:tc>
          <w:tcPr>
            <w:tcW w:w="3640" w:type="dxa"/>
            <w:vAlign w:val="bottom"/>
          </w:tcPr>
          <w:p>
            <w:pPr>
              <w:jc w:val="right"/>
              <w:ind w:right="980"/>
              <w:spacing w:after="0"/>
              <w:rPr>
                <w:sz w:val="20"/>
                <w:szCs w:val="20"/>
                <w:color w:val="auto"/>
              </w:rPr>
            </w:pPr>
            <w:r>
              <w:rPr>
                <w:rFonts w:ascii="Arial" w:cs="Arial" w:eastAsia="Arial" w:hAnsi="Arial"/>
                <w:sz w:val="12"/>
                <w:szCs w:val="12"/>
                <w:color w:val="auto"/>
              </w:rPr>
              <w:t>126</w:t>
            </w:r>
          </w:p>
        </w:tc>
        <w:tc>
          <w:tcPr>
            <w:tcW w:w="4520" w:type="dxa"/>
            <w:vAlign w:val="bottom"/>
          </w:tcPr>
          <w:p>
            <w:pPr>
              <w:spacing w:after="0"/>
              <w:rPr>
                <w:sz w:val="24"/>
                <w:szCs w:val="24"/>
                <w:color w:val="auto"/>
              </w:rPr>
            </w:pPr>
          </w:p>
        </w:tc>
      </w:tr>
      <w:tr>
        <w:trPr>
          <w:trHeight w:val="63"/>
        </w:trPr>
        <w:tc>
          <w:tcPr>
            <w:tcW w:w="3140" w:type="dxa"/>
            <w:vAlign w:val="bottom"/>
            <w:tcBorders>
              <w:bottom w:val="single" w:sz="8" w:color="9A9A9A"/>
            </w:tcBorders>
          </w:tcPr>
          <w:p>
            <w:pPr>
              <w:spacing w:after="0"/>
              <w:rPr>
                <w:sz w:val="5"/>
                <w:szCs w:val="5"/>
                <w:color w:val="auto"/>
              </w:rPr>
            </w:pPr>
          </w:p>
        </w:tc>
        <w:tc>
          <w:tcPr>
            <w:tcW w:w="3640" w:type="dxa"/>
            <w:vAlign w:val="bottom"/>
            <w:tcBorders>
              <w:bottom w:val="single" w:sz="8" w:color="9A9A9A"/>
            </w:tcBorders>
          </w:tcPr>
          <w:p>
            <w:pPr>
              <w:spacing w:after="0"/>
              <w:rPr>
                <w:sz w:val="5"/>
                <w:szCs w:val="5"/>
                <w:color w:val="auto"/>
              </w:rPr>
            </w:pPr>
          </w:p>
        </w:tc>
        <w:tc>
          <w:tcPr>
            <w:tcW w:w="45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38"/>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Margot L. Carter</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Margot L. Carter,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George J. Damiris</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George J. Damiris,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Martin M. Ellen</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Martin M. Ellen,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Michael R. Nicolais</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rPr>
              <w:t>Michael R. Nicolais,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David B. Powers</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8"/>
              </w:rPr>
              <w:t>David B. Powers,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Mary P. Ricciardello</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Mary P. Ricciardello, Director</w:t>
            </w:r>
          </w:p>
        </w:tc>
      </w:tr>
      <w:tr>
        <w:trPr>
          <w:trHeight w:val="315"/>
        </w:trPr>
        <w:tc>
          <w:tcPr>
            <w:tcW w:w="6780" w:type="dxa"/>
            <w:vAlign w:val="bottom"/>
          </w:tcPr>
          <w:p>
            <w:pPr>
              <w:spacing w:after="0"/>
              <w:rPr>
                <w:sz w:val="20"/>
                <w:szCs w:val="20"/>
                <w:color w:val="auto"/>
              </w:rPr>
            </w:pPr>
            <w:r>
              <w:rPr>
                <w:rFonts w:ascii="Arial" w:cs="Arial" w:eastAsia="Arial" w:hAnsi="Arial"/>
                <w:sz w:val="12"/>
                <w:szCs w:val="12"/>
                <w:color w:val="auto"/>
              </w:rPr>
              <w:t>May 21, 2021</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Richard R. Stewart</w:t>
            </w:r>
          </w:p>
        </w:tc>
      </w:tr>
      <w:tr>
        <w:trPr>
          <w:trHeight w:val="160"/>
        </w:trPr>
        <w:tc>
          <w:tcPr>
            <w:tcW w:w="6780" w:type="dxa"/>
            <w:vAlign w:val="bottom"/>
          </w:tcPr>
          <w:p>
            <w:pPr>
              <w:spacing w:after="0"/>
              <w:rPr>
                <w:sz w:val="13"/>
                <w:szCs w:val="13"/>
                <w:color w:val="auto"/>
              </w:rPr>
            </w:pPr>
          </w:p>
        </w:tc>
        <w:tc>
          <w:tcPr>
            <w:tcW w:w="4520" w:type="dxa"/>
            <w:vAlign w:val="bottom"/>
          </w:tcPr>
          <w:p>
            <w:pPr>
              <w:jc w:val="center"/>
              <w:spacing w:after="0"/>
              <w:rPr>
                <w:sz w:val="20"/>
                <w:szCs w:val="20"/>
                <w:color w:val="auto"/>
              </w:rPr>
            </w:pPr>
            <w:r>
              <w:rPr>
                <w:rFonts w:ascii="Arial" w:cs="Arial" w:eastAsia="Arial" w:hAnsi="Arial"/>
                <w:sz w:val="12"/>
                <w:szCs w:val="12"/>
                <w:color w:val="auto"/>
                <w:w w:val="99"/>
              </w:rPr>
              <w:t>Richard R. Stewart,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300"/>
          </w:cols>
          <w:pgMar w:left="300" w:top="470"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color w:val="auto"/>
        </w:rPr>
        <w:t>Exhibit 21</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1"/>
          <w:szCs w:val="11"/>
          <w:color w:val="auto"/>
        </w:rPr>
        <w:t>The following is a list of subsidiaries of Eagle Materials Inc., wholly-owned unless otherwise stated. This list of subsidiaries includes all of the significant subsidiaries of Eagle Materials Inc. as of May 21,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380" w:type="dxa"/>
            <w:vAlign w:val="bottom"/>
          </w:tcPr>
          <w:p>
            <w:pPr>
              <w:jc w:val="center"/>
              <w:spacing w:after="0"/>
              <w:rPr>
                <w:sz w:val="20"/>
                <w:szCs w:val="20"/>
                <w:color w:val="auto"/>
              </w:rPr>
            </w:pPr>
            <w:r>
              <w:rPr>
                <w:rFonts w:ascii="Arial" w:cs="Arial" w:eastAsia="Arial" w:hAnsi="Arial"/>
                <w:sz w:val="12"/>
                <w:szCs w:val="12"/>
                <w:b w:val="1"/>
                <w:bCs w:val="1"/>
                <w:color w:val="auto"/>
                <w:w w:val="89"/>
              </w:rPr>
              <w:t>Jurisdiction of</w:t>
            </w:r>
          </w:p>
        </w:tc>
      </w:tr>
      <w:tr>
        <w:trPr>
          <w:trHeight w:val="157"/>
        </w:trPr>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Entity Name</w:t>
            </w:r>
          </w:p>
        </w:tc>
        <w:tc>
          <w:tcPr>
            <w:tcW w:w="226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Organization</w:t>
            </w:r>
          </w:p>
        </w:tc>
      </w:tr>
      <w:tr>
        <w:trPr>
          <w:trHeight w:val="268"/>
        </w:trPr>
        <w:tc>
          <w:tcPr>
            <w:tcW w:w="5660" w:type="dxa"/>
            <w:vAlign w:val="bottom"/>
          </w:tcPr>
          <w:p>
            <w:pPr>
              <w:spacing w:after="0"/>
              <w:rPr>
                <w:sz w:val="20"/>
                <w:szCs w:val="20"/>
                <w:color w:val="auto"/>
              </w:rPr>
            </w:pPr>
            <w:r>
              <w:rPr>
                <w:rFonts w:ascii="Arial" w:cs="Arial" w:eastAsia="Arial" w:hAnsi="Arial"/>
                <w:sz w:val="12"/>
                <w:szCs w:val="12"/>
                <w:color w:val="auto"/>
              </w:rPr>
              <w:t>AG DALLAS LLC</w:t>
            </w:r>
          </w:p>
        </w:tc>
        <w:tc>
          <w:tcPr>
            <w:tcW w:w="2260" w:type="dxa"/>
            <w:vAlign w:val="bottom"/>
          </w:tcPr>
          <w:p>
            <w:pPr>
              <w:spacing w:after="0"/>
              <w:rPr>
                <w:sz w:val="23"/>
                <w:szCs w:val="2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AG SOUTH CAROLINA LLC</w:t>
            </w:r>
          </w:p>
        </w:tc>
        <w:tc>
          <w:tcPr>
            <w:tcW w:w="226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97"/>
        </w:trPr>
        <w:tc>
          <w:tcPr>
            <w:tcW w:w="5660" w:type="dxa"/>
            <w:vAlign w:val="bottom"/>
          </w:tcPr>
          <w:p>
            <w:pPr>
              <w:spacing w:after="0"/>
              <w:rPr>
                <w:sz w:val="20"/>
                <w:szCs w:val="20"/>
                <w:color w:val="auto"/>
              </w:rPr>
            </w:pPr>
            <w:r>
              <w:rPr>
                <w:rFonts w:ascii="Arial" w:cs="Arial" w:eastAsia="Arial" w:hAnsi="Arial"/>
                <w:sz w:val="12"/>
                <w:szCs w:val="12"/>
                <w:color w:val="auto"/>
              </w:rPr>
              <w:t>AMERICAN GYPSUM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AMERICAN GYPSUM MARKETING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AUDUBON MATERIALS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Central Plains Cement Company LLC</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AUDUBON READYMIX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Quicksilver Readymix LLC</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CCP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CCP CONCRETE/AGGREGATES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CCP GYPSUM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CENTEX MATERIALS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ILLINOIS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FAIRBORN CEMENT COMPANY LLC</w:t>
            </w:r>
          </w:p>
        </w:tc>
        <w:tc>
          <w:tcPr>
            <w:tcW w:w="226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HOLLIS &amp; EASTERN RAILROAD COMPANY LLC</w:t>
            </w:r>
          </w:p>
        </w:tc>
        <w:tc>
          <w:tcPr>
            <w:tcW w:w="226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KANSAS CITY AGGREGATE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Talon Concrete and Aggregates LLC</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KANSAS CITY FLY ASH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KANSAS CITY READYMIX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Talon Concrete and Aggregates LLC</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KOSMOS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441"/>
        </w:trPr>
        <w:tc>
          <w:tcPr>
            <w:tcW w:w="5660" w:type="dxa"/>
            <w:vAlign w:val="bottom"/>
          </w:tcPr>
          <w:p>
            <w:pPr>
              <w:spacing w:after="0"/>
              <w:rPr>
                <w:sz w:val="20"/>
                <w:szCs w:val="20"/>
                <w:color w:val="auto"/>
              </w:rPr>
            </w:pPr>
            <w:r>
              <w:rPr>
                <w:rFonts w:ascii="Arial" w:cs="Arial" w:eastAsia="Arial" w:hAnsi="Arial"/>
                <w:sz w:val="12"/>
                <w:szCs w:val="12"/>
                <w:color w:val="auto"/>
              </w:rPr>
              <w:t>MOUNTAIN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MOUNTAIN LAND &amp; CATTLE COMPANY LLC</w:t>
            </w:r>
          </w:p>
        </w:tc>
        <w:tc>
          <w:tcPr>
            <w:tcW w:w="226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297"/>
        </w:trPr>
        <w:tc>
          <w:tcPr>
            <w:tcW w:w="5660" w:type="dxa"/>
            <w:vAlign w:val="bottom"/>
          </w:tcPr>
          <w:p>
            <w:pPr>
              <w:spacing w:after="0"/>
              <w:rPr>
                <w:sz w:val="20"/>
                <w:szCs w:val="20"/>
                <w:color w:val="auto"/>
              </w:rPr>
            </w:pPr>
            <w:r>
              <w:rPr>
                <w:rFonts w:ascii="Arial" w:cs="Arial" w:eastAsia="Arial" w:hAnsi="Arial"/>
                <w:sz w:val="12"/>
                <w:szCs w:val="12"/>
                <w:color w:val="auto"/>
              </w:rPr>
              <w:t>NEVADA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432"/>
        </w:trPr>
        <w:tc>
          <w:tcPr>
            <w:tcW w:w="5660" w:type="dxa"/>
            <w:vAlign w:val="bottom"/>
          </w:tcPr>
          <w:p>
            <w:pPr>
              <w:spacing w:after="0"/>
              <w:rPr>
                <w:sz w:val="20"/>
                <w:szCs w:val="20"/>
                <w:color w:val="auto"/>
              </w:rPr>
            </w:pPr>
            <w:r>
              <w:rPr>
                <w:rFonts w:ascii="Arial" w:cs="Arial" w:eastAsia="Arial" w:hAnsi="Arial"/>
                <w:sz w:val="12"/>
                <w:szCs w:val="12"/>
                <w:color w:val="auto"/>
              </w:rPr>
              <w:t>REPUBLIC PAPERBOARD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SKYWAY CEMENT COMPANY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TEXAS CEMENT COMPANY</w:t>
            </w:r>
          </w:p>
        </w:tc>
        <w:tc>
          <w:tcPr>
            <w:tcW w:w="226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86"/>
              </w:rPr>
              <w:t>Nevada</w:t>
            </w: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TEXAS LEHIGH CEMENT COMPANY LP</w:t>
            </w:r>
          </w:p>
        </w:tc>
        <w:tc>
          <w:tcPr>
            <w:tcW w:w="2260" w:type="dxa"/>
            <w:vAlign w:val="bottom"/>
          </w:tcPr>
          <w:p>
            <w:pPr>
              <w:jc w:val="right"/>
              <w:ind w:right="960"/>
              <w:spacing w:after="0"/>
              <w:rPr>
                <w:sz w:val="20"/>
                <w:szCs w:val="20"/>
                <w:color w:val="auto"/>
              </w:rPr>
            </w:pPr>
            <w:r>
              <w:rPr>
                <w:rFonts w:ascii="Arial" w:cs="Arial" w:eastAsia="Arial" w:hAnsi="Arial"/>
                <w:sz w:val="12"/>
                <w:szCs w:val="12"/>
                <w:color w:val="auto"/>
              </w:rPr>
              <w:t>50%</w:t>
            </w:r>
          </w:p>
        </w:tc>
        <w:tc>
          <w:tcPr>
            <w:tcW w:w="3380" w:type="dxa"/>
            <w:vAlign w:val="bottom"/>
          </w:tcPr>
          <w:p>
            <w:pPr>
              <w:jc w:val="center"/>
              <w:spacing w:after="0"/>
              <w:rPr>
                <w:sz w:val="20"/>
                <w:szCs w:val="20"/>
                <w:color w:val="auto"/>
              </w:rPr>
            </w:pPr>
            <w:r>
              <w:rPr>
                <w:rFonts w:ascii="Arial" w:cs="Arial" w:eastAsia="Arial" w:hAnsi="Arial"/>
                <w:sz w:val="12"/>
                <w:szCs w:val="12"/>
                <w:color w:val="auto"/>
                <w:w w:val="85"/>
              </w:rPr>
              <w:t>Texas</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Texas Lehigh Cement</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TLCC GP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88"/>
        </w:trPr>
        <w:tc>
          <w:tcPr>
            <w:tcW w:w="5660" w:type="dxa"/>
            <w:vAlign w:val="bottom"/>
          </w:tcPr>
          <w:p>
            <w:pPr>
              <w:spacing w:after="0"/>
              <w:rPr>
                <w:sz w:val="20"/>
                <w:szCs w:val="20"/>
                <w:color w:val="auto"/>
              </w:rPr>
            </w:pPr>
            <w:r>
              <w:rPr>
                <w:rFonts w:ascii="Arial" w:cs="Arial" w:eastAsia="Arial" w:hAnsi="Arial"/>
                <w:sz w:val="12"/>
                <w:szCs w:val="12"/>
                <w:color w:val="auto"/>
              </w:rPr>
              <w:t>TLCC LP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279"/>
        </w:trPr>
        <w:tc>
          <w:tcPr>
            <w:tcW w:w="5660" w:type="dxa"/>
            <w:vAlign w:val="bottom"/>
          </w:tcPr>
          <w:p>
            <w:pPr>
              <w:spacing w:after="0"/>
              <w:rPr>
                <w:sz w:val="20"/>
                <w:szCs w:val="20"/>
                <w:color w:val="auto"/>
              </w:rPr>
            </w:pPr>
            <w:r>
              <w:rPr>
                <w:rFonts w:ascii="Arial" w:cs="Arial" w:eastAsia="Arial" w:hAnsi="Arial"/>
                <w:sz w:val="12"/>
                <w:szCs w:val="12"/>
                <w:color w:val="auto"/>
              </w:rPr>
              <w:t>TULSA CEMEMT LLC</w:t>
            </w:r>
          </w:p>
        </w:tc>
        <w:tc>
          <w:tcPr>
            <w:tcW w:w="22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5660" w:type="dxa"/>
            <w:vAlign w:val="bottom"/>
          </w:tcPr>
          <w:p>
            <w:pPr>
              <w:spacing w:after="0"/>
              <w:rPr>
                <w:sz w:val="20"/>
                <w:szCs w:val="20"/>
                <w:color w:val="auto"/>
              </w:rPr>
            </w:pPr>
            <w:r>
              <w:rPr>
                <w:rFonts w:ascii="Arial" w:cs="Arial" w:eastAsia="Arial" w:hAnsi="Arial"/>
                <w:sz w:val="12"/>
                <w:szCs w:val="12"/>
                <w:color w:val="auto"/>
              </w:rPr>
              <w:t>d/b/a Central Plains Cement Company LLC</w:t>
            </w:r>
          </w:p>
        </w:tc>
        <w:tc>
          <w:tcPr>
            <w:tcW w:w="2260" w:type="dxa"/>
            <w:vAlign w:val="bottom"/>
          </w:tcPr>
          <w:p>
            <w:pPr>
              <w:spacing w:after="0"/>
              <w:rPr>
                <w:sz w:val="13"/>
                <w:szCs w:val="13"/>
                <w:color w:val="auto"/>
              </w:rPr>
            </w:pPr>
          </w:p>
        </w:tc>
        <w:tc>
          <w:tcPr>
            <w:tcW w:w="3380" w:type="dxa"/>
            <w:vAlign w:val="bottom"/>
          </w:tcPr>
          <w:p>
            <w:pPr>
              <w:spacing w:after="0"/>
              <w:rPr>
                <w:sz w:val="13"/>
                <w:szCs w:val="13"/>
                <w:color w:val="auto"/>
              </w:rPr>
            </w:pPr>
          </w:p>
        </w:tc>
      </w:tr>
    </w:tbl>
    <w:p>
      <w:pPr>
        <w:sectPr>
          <w:pgSz w:w="11900" w:h="16838" w:orient="portrait"/>
          <w:cols w:equalWidth="0" w:num="1">
            <w:col w:w="11300"/>
          </w:cols>
          <w:pgMar w:left="300" w:top="131"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2"/>
          <w:szCs w:val="12"/>
          <w:b w:val="1"/>
          <w:bCs w:val="1"/>
          <w:color w:val="auto"/>
        </w:rPr>
        <w:t>Exhibit 23.1</w:t>
      </w:r>
    </w:p>
    <w:p>
      <w:pPr>
        <w:spacing w:after="0" w:line="154" w:lineRule="exact"/>
        <w:rPr>
          <w:sz w:val="20"/>
          <w:szCs w:val="20"/>
          <w:color w:val="auto"/>
        </w:rPr>
      </w:pPr>
    </w:p>
    <w:p>
      <w:pPr>
        <w:ind w:left="3668"/>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50" w:lineRule="exact"/>
        <w:rPr>
          <w:sz w:val="20"/>
          <w:szCs w:val="20"/>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33-82820) of Eagle Materials Inc.,</w:t>
      </w:r>
    </w:p>
    <w:p>
      <w:pPr>
        <w:spacing w:after="0" w:line="14"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33-82928)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33-84394)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333-54102)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333-163061)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S-8 No. 333-190487) of Eagle Materials Inc., and</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Registration Statement (Form S-3 No. 333-228205) of Eagle Materials Inc.;</w:t>
      </w:r>
    </w:p>
    <w:p>
      <w:pPr>
        <w:spacing w:after="0" w:line="141" w:lineRule="exact"/>
        <w:rPr>
          <w:sz w:val="20"/>
          <w:szCs w:val="20"/>
          <w:color w:val="auto"/>
        </w:rPr>
      </w:pPr>
    </w:p>
    <w:p>
      <w:pPr>
        <w:ind w:left="8" w:right="180"/>
        <w:spacing w:after="0" w:line="276" w:lineRule="auto"/>
        <w:rPr>
          <w:sz w:val="20"/>
          <w:szCs w:val="20"/>
          <w:color w:val="auto"/>
        </w:rPr>
      </w:pPr>
      <w:r>
        <w:rPr>
          <w:rFonts w:ascii="Arial" w:cs="Arial" w:eastAsia="Arial" w:hAnsi="Arial"/>
          <w:sz w:val="12"/>
          <w:szCs w:val="12"/>
          <w:color w:val="auto"/>
        </w:rPr>
        <w:t>of our reports dated May 21, 2021, with respect to the consolidated financial statements of Eagle Materials Inc., and the effectiveness of internal control over financial reporting of Eagle Materials Inc., included in this Annual Report (Form 10-K) of Eagle Materials Inc. for the year ended March 31, 2021.</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also consent to the incorporation by reference in the following Registration Statements:</w:t>
      </w:r>
    </w:p>
    <w:p>
      <w:pPr>
        <w:spacing w:after="0" w:line="150" w:lineRule="exact"/>
        <w:rPr>
          <w:sz w:val="20"/>
          <w:szCs w:val="20"/>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33-82820) of Eagle Materials Inc.,</w:t>
      </w:r>
    </w:p>
    <w:p>
      <w:pPr>
        <w:spacing w:after="0" w:line="14"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33-82928)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33-84394)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333-54102)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333-163061) of Eagle Materials Inc.,</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S-8 No. 333-190487) of Eagle Materials Inc., and</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Registration Statement (Form S-3 No. 333-228205) of Eagle Materials Inc.;</w:t>
      </w:r>
    </w:p>
    <w:p>
      <w:pPr>
        <w:spacing w:after="0" w:line="141" w:lineRule="exact"/>
        <w:rPr>
          <w:sz w:val="20"/>
          <w:szCs w:val="20"/>
          <w:color w:val="auto"/>
        </w:rPr>
      </w:pPr>
    </w:p>
    <w:p>
      <w:pPr>
        <w:ind w:left="8" w:right="120"/>
        <w:spacing w:after="0" w:line="276" w:lineRule="auto"/>
        <w:rPr>
          <w:sz w:val="20"/>
          <w:szCs w:val="20"/>
          <w:color w:val="auto"/>
        </w:rPr>
      </w:pPr>
      <w:r>
        <w:rPr>
          <w:rFonts w:ascii="Arial" w:cs="Arial" w:eastAsia="Arial" w:hAnsi="Arial"/>
          <w:sz w:val="12"/>
          <w:szCs w:val="12"/>
          <w:color w:val="auto"/>
        </w:rPr>
        <w:t>of our report dated May 21, 2021, with respect to the financial statements of Texas Lehigh Cement Company LP as of and for the year ended December 31, 2020 included in this Annual Report (Form 10-K) of Eagle Materials Inc. for the year ended March 31, 2021.</w:t>
      </w:r>
    </w:p>
    <w:p>
      <w:pPr>
        <w:spacing w:after="0" w:line="259" w:lineRule="exact"/>
        <w:rPr>
          <w:sz w:val="20"/>
          <w:szCs w:val="20"/>
          <w:color w:val="auto"/>
        </w:rPr>
      </w:pPr>
    </w:p>
    <w:p>
      <w:pPr>
        <w:ind w:left="8"/>
        <w:spacing w:after="0"/>
        <w:rPr>
          <w:sz w:val="20"/>
          <w:szCs w:val="20"/>
          <w:color w:val="auto"/>
        </w:rPr>
      </w:pPr>
      <w:r>
        <w:rPr>
          <w:rFonts w:ascii="Arial" w:cs="Arial" w:eastAsia="Arial" w:hAnsi="Arial"/>
          <w:sz w:val="12"/>
          <w:szCs w:val="12"/>
          <w:color w:val="auto"/>
        </w:rPr>
        <w:t>/s/ Ernst &amp; Young</w:t>
      </w: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Dallas, Texas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May 21, 2021</w:t>
      </w:r>
    </w:p>
    <w:p>
      <w:pPr>
        <w:sectPr>
          <w:pgSz w:w="11900" w:h="16838" w:orient="portrait"/>
          <w:cols w:equalWidth="0" w:num="1">
            <w:col w:w="11308"/>
          </w:cols>
          <w:pgMar w:left="292" w:top="127" w:right="2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2"/>
          <w:szCs w:val="12"/>
          <w:b w:val="1"/>
          <w:bCs w:val="1"/>
          <w:color w:val="auto"/>
        </w:rPr>
        <w:t>Exhibit 31.1</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Certification of Periodic Report Pursuant to Section 302 of the Sarbanes-Oxley Act of 2002</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3"/>
          <w:szCs w:val="13"/>
          <w:color w:val="auto"/>
        </w:rPr>
        <w:t>I, Michael R. Haack, certify that:</w:t>
      </w:r>
    </w:p>
    <w:p>
      <w:pPr>
        <w:spacing w:after="0" w:line="157" w:lineRule="exact"/>
        <w:rPr>
          <w:sz w:val="20"/>
          <w:szCs w:val="20"/>
          <w:color w:val="auto"/>
        </w:rPr>
      </w:pPr>
    </w:p>
    <w:p>
      <w:pPr>
        <w:ind w:left="528" w:hanging="528"/>
        <w:spacing w:after="0"/>
        <w:tabs>
          <w:tab w:leader="none" w:pos="528" w:val="left"/>
        </w:tabs>
        <w:numPr>
          <w:ilvl w:val="0"/>
          <w:numId w:val="32"/>
        </w:numPr>
        <w:rPr>
          <w:rFonts w:ascii="Arial" w:cs="Arial" w:eastAsia="Arial" w:hAnsi="Arial"/>
          <w:sz w:val="13"/>
          <w:szCs w:val="13"/>
          <w:color w:val="auto"/>
        </w:rPr>
      </w:pPr>
      <w:r>
        <w:rPr>
          <w:rFonts w:ascii="Arial" w:cs="Arial" w:eastAsia="Arial" w:hAnsi="Arial"/>
          <w:sz w:val="13"/>
          <w:szCs w:val="13"/>
          <w:color w:val="auto"/>
        </w:rPr>
        <w:t>I have reviewed this report on Form 10-K of Eagle Materials Inc.;</w:t>
      </w:r>
    </w:p>
    <w:p>
      <w:pPr>
        <w:spacing w:after="0" w:line="156" w:lineRule="exact"/>
        <w:rPr>
          <w:rFonts w:ascii="Arial" w:cs="Arial" w:eastAsia="Arial" w:hAnsi="Arial"/>
          <w:sz w:val="13"/>
          <w:szCs w:val="13"/>
          <w:color w:val="auto"/>
        </w:rPr>
      </w:pPr>
    </w:p>
    <w:p>
      <w:pPr>
        <w:ind w:left="8" w:hanging="8"/>
        <w:spacing w:after="0" w:line="271" w:lineRule="auto"/>
        <w:tabs>
          <w:tab w:leader="none" w:pos="539"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3"/>
          <w:szCs w:val="13"/>
          <w:color w:val="auto"/>
        </w:rPr>
      </w:pPr>
    </w:p>
    <w:p>
      <w:pPr>
        <w:ind w:left="8" w:hanging="8"/>
        <w:spacing w:after="0" w:line="271" w:lineRule="auto"/>
        <w:tabs>
          <w:tab w:leader="none" w:pos="539"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3"/>
          <w:szCs w:val="13"/>
          <w:color w:val="auto"/>
        </w:rPr>
      </w:pPr>
    </w:p>
    <w:p>
      <w:pPr>
        <w:ind w:left="8" w:right="20" w:hanging="8"/>
        <w:spacing w:after="0" w:line="271" w:lineRule="auto"/>
        <w:tabs>
          <w:tab w:leader="none" w:pos="539"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8" w:hanging="8"/>
        <w:spacing w:after="0" w:line="271" w:lineRule="auto"/>
        <w:tabs>
          <w:tab w:leader="none" w:pos="542"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3"/>
          <w:szCs w:val="13"/>
          <w:color w:val="auto"/>
        </w:rPr>
      </w:pPr>
    </w:p>
    <w:p>
      <w:pPr>
        <w:ind w:left="8" w:right="20" w:hanging="8"/>
        <w:spacing w:after="0" w:line="271" w:lineRule="auto"/>
        <w:tabs>
          <w:tab w:leader="none" w:pos="55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3"/>
          <w:szCs w:val="13"/>
          <w:color w:val="auto"/>
        </w:rPr>
      </w:pPr>
    </w:p>
    <w:p>
      <w:pPr>
        <w:ind w:left="8" w:hanging="8"/>
        <w:spacing w:after="0" w:line="271" w:lineRule="auto"/>
        <w:tabs>
          <w:tab w:leader="none" w:pos="542" w:val="left"/>
        </w:tabs>
        <w:numPr>
          <w:ilvl w:val="0"/>
          <w:numId w:val="3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3"/>
          <w:szCs w:val="13"/>
          <w:color w:val="auto"/>
        </w:rPr>
      </w:pPr>
    </w:p>
    <w:p>
      <w:pPr>
        <w:ind w:left="8" w:hanging="8"/>
        <w:spacing w:after="0" w:line="271" w:lineRule="auto"/>
        <w:tabs>
          <w:tab w:leader="none" w:pos="55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8" w:hanging="8"/>
        <w:spacing w:after="0" w:line="271" w:lineRule="auto"/>
        <w:tabs>
          <w:tab w:leader="none" w:pos="53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sz w:val="20"/>
          <w:szCs w:val="20"/>
          <w:color w:val="auto"/>
        </w:rPr>
      </w:pPr>
    </w:p>
    <w:p>
      <w:pPr>
        <w:ind w:left="8" w:hanging="8"/>
        <w:spacing w:after="0" w:line="271" w:lineRule="auto"/>
        <w:tabs>
          <w:tab w:leader="none" w:pos="5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3"/>
          <w:szCs w:val="13"/>
          <w:color w:val="auto"/>
        </w:rPr>
      </w:pPr>
    </w:p>
    <w:p>
      <w:pPr>
        <w:ind w:left="548" w:hanging="548"/>
        <w:spacing w:after="0"/>
        <w:tabs>
          <w:tab w:leader="none" w:pos="548"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760" w:type="dxa"/>
            <w:vAlign w:val="bottom"/>
          </w:tcPr>
          <w:p>
            <w:pPr>
              <w:spacing w:after="0"/>
              <w:rPr>
                <w:sz w:val="20"/>
                <w:szCs w:val="20"/>
                <w:color w:val="auto"/>
              </w:rPr>
            </w:pPr>
            <w:r>
              <w:rPr>
                <w:rFonts w:ascii="Arial" w:cs="Arial" w:eastAsia="Arial" w:hAnsi="Arial"/>
                <w:sz w:val="13"/>
                <w:szCs w:val="13"/>
                <w:color w:val="auto"/>
              </w:rPr>
              <w:t>Dated:</w:t>
            </w:r>
          </w:p>
        </w:tc>
        <w:tc>
          <w:tcPr>
            <w:tcW w:w="5080" w:type="dxa"/>
            <w:vAlign w:val="bottom"/>
          </w:tcPr>
          <w:p>
            <w:pPr>
              <w:spacing w:after="0"/>
              <w:rPr>
                <w:sz w:val="20"/>
                <w:szCs w:val="20"/>
                <w:color w:val="auto"/>
              </w:rPr>
            </w:pPr>
            <w:r>
              <w:rPr>
                <w:rFonts w:ascii="Arial" w:cs="Arial" w:eastAsia="Arial" w:hAnsi="Arial"/>
                <w:sz w:val="13"/>
                <w:szCs w:val="13"/>
                <w:color w:val="auto"/>
              </w:rPr>
              <w:t>May 21, 2021</w:t>
            </w:r>
          </w:p>
        </w:tc>
      </w:tr>
      <w:tr>
        <w:trPr>
          <w:trHeight w:val="304"/>
        </w:trPr>
        <w:tc>
          <w:tcPr>
            <w:tcW w:w="760" w:type="dxa"/>
            <w:vAlign w:val="bottom"/>
          </w:tcPr>
          <w:p>
            <w:pPr>
              <w:spacing w:after="0"/>
              <w:rPr>
                <w:sz w:val="20"/>
                <w:szCs w:val="20"/>
                <w:color w:val="auto"/>
              </w:rPr>
            </w:pPr>
            <w:r>
              <w:rPr>
                <w:rFonts w:ascii="Arial" w:cs="Arial" w:eastAsia="Arial" w:hAnsi="Arial"/>
                <w:sz w:val="13"/>
                <w:szCs w:val="13"/>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R. Haack</w:t>
            </w:r>
          </w:p>
        </w:tc>
      </w:tr>
      <w:tr>
        <w:trPr>
          <w:trHeight w:val="131"/>
        </w:trPr>
        <w:tc>
          <w:tcPr>
            <w:tcW w:w="760" w:type="dxa"/>
            <w:vAlign w:val="bottom"/>
          </w:tcPr>
          <w:p>
            <w:pPr>
              <w:spacing w:after="0"/>
              <w:rPr>
                <w:sz w:val="11"/>
                <w:szCs w:val="11"/>
                <w:color w:val="auto"/>
              </w:rPr>
            </w:pPr>
          </w:p>
        </w:tc>
        <w:tc>
          <w:tcPr>
            <w:tcW w:w="5080" w:type="dxa"/>
            <w:vAlign w:val="bottom"/>
          </w:tcPr>
          <w:p>
            <w:pPr>
              <w:spacing w:after="0" w:line="132" w:lineRule="exact"/>
              <w:rPr>
                <w:sz w:val="20"/>
                <w:szCs w:val="20"/>
                <w:color w:val="auto"/>
              </w:rPr>
            </w:pPr>
            <w:r>
              <w:rPr>
                <w:rFonts w:ascii="Arial" w:cs="Arial" w:eastAsia="Arial" w:hAnsi="Arial"/>
                <w:sz w:val="13"/>
                <w:szCs w:val="13"/>
                <w:color w:val="auto"/>
              </w:rPr>
              <w:t>Michael R. Haack</w:t>
            </w:r>
          </w:p>
        </w:tc>
      </w:tr>
      <w:tr>
        <w:trPr>
          <w:trHeight w:val="166"/>
        </w:trPr>
        <w:tc>
          <w:tcPr>
            <w:tcW w:w="76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308"/>
          </w:cols>
          <w:pgMar w:left="292" w:top="127" w:right="2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31.2</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Certification of Periodic Report Pursuant to Section 302 of the Sarbanes-Oxley Act of 2002</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3"/>
          <w:szCs w:val="13"/>
          <w:color w:val="auto"/>
        </w:rPr>
        <w:t>I, D. Craig Kesler, certify that:</w:t>
      </w:r>
    </w:p>
    <w:p>
      <w:pPr>
        <w:spacing w:after="0" w:line="157" w:lineRule="exact"/>
        <w:rPr>
          <w:sz w:val="20"/>
          <w:szCs w:val="20"/>
          <w:color w:val="auto"/>
        </w:rPr>
      </w:pPr>
    </w:p>
    <w:p>
      <w:pPr>
        <w:ind w:left="528" w:hanging="528"/>
        <w:spacing w:after="0"/>
        <w:tabs>
          <w:tab w:leader="none" w:pos="528"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report on Form 10-K of Eagle Materials Inc.;</w:t>
      </w:r>
    </w:p>
    <w:p>
      <w:pPr>
        <w:spacing w:after="0" w:line="156" w:lineRule="exact"/>
        <w:rPr>
          <w:rFonts w:ascii="Arial" w:cs="Arial" w:eastAsia="Arial" w:hAnsi="Arial"/>
          <w:sz w:val="13"/>
          <w:szCs w:val="13"/>
          <w:color w:val="auto"/>
        </w:rPr>
      </w:pPr>
    </w:p>
    <w:p>
      <w:pPr>
        <w:ind w:left="8" w:hanging="8"/>
        <w:spacing w:after="0" w:line="271" w:lineRule="auto"/>
        <w:tabs>
          <w:tab w:leader="none" w:pos="539"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3"/>
          <w:szCs w:val="13"/>
          <w:color w:val="auto"/>
        </w:rPr>
      </w:pPr>
    </w:p>
    <w:p>
      <w:pPr>
        <w:ind w:left="8" w:hanging="8"/>
        <w:spacing w:after="0" w:line="271" w:lineRule="auto"/>
        <w:tabs>
          <w:tab w:leader="none" w:pos="539"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3"/>
          <w:szCs w:val="13"/>
          <w:color w:val="auto"/>
        </w:rPr>
      </w:pPr>
    </w:p>
    <w:p>
      <w:pPr>
        <w:ind w:left="8" w:right="20" w:hanging="8"/>
        <w:spacing w:after="0" w:line="271" w:lineRule="auto"/>
        <w:tabs>
          <w:tab w:leader="none" w:pos="539"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8" w:hanging="8"/>
        <w:spacing w:after="0" w:line="271" w:lineRule="auto"/>
        <w:tabs>
          <w:tab w:leader="none" w:pos="542"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3"/>
          <w:szCs w:val="13"/>
          <w:color w:val="auto"/>
        </w:rPr>
      </w:pPr>
    </w:p>
    <w:p>
      <w:pPr>
        <w:ind w:left="8" w:right="20" w:hanging="8"/>
        <w:spacing w:after="0" w:line="271" w:lineRule="auto"/>
        <w:tabs>
          <w:tab w:leader="none" w:pos="55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3"/>
          <w:szCs w:val="13"/>
          <w:color w:val="auto"/>
        </w:rPr>
      </w:pPr>
    </w:p>
    <w:p>
      <w:pPr>
        <w:ind w:left="8" w:hanging="8"/>
        <w:spacing w:after="0" w:line="271" w:lineRule="auto"/>
        <w:tabs>
          <w:tab w:leader="none" w:pos="542" w:val="left"/>
        </w:tabs>
        <w:numPr>
          <w:ilvl w:val="0"/>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3"/>
          <w:szCs w:val="13"/>
          <w:color w:val="auto"/>
        </w:rPr>
      </w:pPr>
    </w:p>
    <w:p>
      <w:pPr>
        <w:ind w:left="8" w:hanging="8"/>
        <w:spacing w:after="0" w:line="271" w:lineRule="auto"/>
        <w:tabs>
          <w:tab w:leader="none" w:pos="55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8" w:hanging="8"/>
        <w:spacing w:after="0" w:line="271" w:lineRule="auto"/>
        <w:tabs>
          <w:tab w:leader="none" w:pos="539"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sz w:val="20"/>
          <w:szCs w:val="20"/>
          <w:color w:val="auto"/>
        </w:rPr>
      </w:pPr>
    </w:p>
    <w:p>
      <w:pPr>
        <w:ind w:left="8" w:hanging="8"/>
        <w:spacing w:after="0" w:line="271" w:lineRule="auto"/>
        <w:tabs>
          <w:tab w:leader="none" w:pos="542"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3"/>
          <w:szCs w:val="13"/>
          <w:color w:val="auto"/>
        </w:rPr>
      </w:pPr>
    </w:p>
    <w:p>
      <w:pPr>
        <w:ind w:left="548" w:hanging="548"/>
        <w:spacing w:after="0"/>
        <w:tabs>
          <w:tab w:leader="none" w:pos="548"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760" w:type="dxa"/>
            <w:vAlign w:val="bottom"/>
          </w:tcPr>
          <w:p>
            <w:pPr>
              <w:spacing w:after="0"/>
              <w:rPr>
                <w:sz w:val="20"/>
                <w:szCs w:val="20"/>
                <w:color w:val="auto"/>
              </w:rPr>
            </w:pPr>
            <w:r>
              <w:rPr>
                <w:rFonts w:ascii="Arial" w:cs="Arial" w:eastAsia="Arial" w:hAnsi="Arial"/>
                <w:sz w:val="13"/>
                <w:szCs w:val="13"/>
                <w:color w:val="auto"/>
              </w:rPr>
              <w:t>Dated:</w:t>
            </w:r>
          </w:p>
        </w:tc>
        <w:tc>
          <w:tcPr>
            <w:tcW w:w="5080" w:type="dxa"/>
            <w:vAlign w:val="bottom"/>
          </w:tcPr>
          <w:p>
            <w:pPr>
              <w:spacing w:after="0"/>
              <w:rPr>
                <w:sz w:val="20"/>
                <w:szCs w:val="20"/>
                <w:color w:val="auto"/>
              </w:rPr>
            </w:pPr>
            <w:r>
              <w:rPr>
                <w:rFonts w:ascii="Arial" w:cs="Arial" w:eastAsia="Arial" w:hAnsi="Arial"/>
                <w:sz w:val="13"/>
                <w:szCs w:val="13"/>
                <w:color w:val="auto"/>
              </w:rPr>
              <w:t>May 21, 2021</w:t>
            </w:r>
          </w:p>
        </w:tc>
      </w:tr>
      <w:tr>
        <w:trPr>
          <w:trHeight w:val="304"/>
        </w:trPr>
        <w:tc>
          <w:tcPr>
            <w:tcW w:w="760" w:type="dxa"/>
            <w:vAlign w:val="bottom"/>
          </w:tcPr>
          <w:p>
            <w:pPr>
              <w:spacing w:after="0"/>
              <w:rPr>
                <w:sz w:val="20"/>
                <w:szCs w:val="20"/>
                <w:color w:val="auto"/>
              </w:rPr>
            </w:pPr>
            <w:r>
              <w:rPr>
                <w:rFonts w:ascii="Arial" w:cs="Arial" w:eastAsia="Arial" w:hAnsi="Arial"/>
                <w:sz w:val="13"/>
                <w:szCs w:val="13"/>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Craig Kesler</w:t>
            </w:r>
          </w:p>
        </w:tc>
      </w:tr>
      <w:tr>
        <w:trPr>
          <w:trHeight w:val="131"/>
        </w:trPr>
        <w:tc>
          <w:tcPr>
            <w:tcW w:w="760" w:type="dxa"/>
            <w:vAlign w:val="bottom"/>
          </w:tcPr>
          <w:p>
            <w:pPr>
              <w:spacing w:after="0"/>
              <w:rPr>
                <w:sz w:val="11"/>
                <w:szCs w:val="11"/>
                <w:color w:val="auto"/>
              </w:rPr>
            </w:pPr>
          </w:p>
        </w:tc>
        <w:tc>
          <w:tcPr>
            <w:tcW w:w="5080" w:type="dxa"/>
            <w:vAlign w:val="bottom"/>
          </w:tcPr>
          <w:p>
            <w:pPr>
              <w:spacing w:after="0" w:line="132" w:lineRule="exact"/>
              <w:rPr>
                <w:sz w:val="20"/>
                <w:szCs w:val="20"/>
                <w:color w:val="auto"/>
              </w:rPr>
            </w:pPr>
            <w:r>
              <w:rPr>
                <w:rFonts w:ascii="Arial" w:cs="Arial" w:eastAsia="Arial" w:hAnsi="Arial"/>
                <w:sz w:val="13"/>
                <w:szCs w:val="13"/>
                <w:color w:val="auto"/>
              </w:rPr>
              <w:t>D. Craig Kesler</w:t>
            </w:r>
          </w:p>
        </w:tc>
      </w:tr>
      <w:tr>
        <w:trPr>
          <w:trHeight w:val="153"/>
        </w:trPr>
        <w:tc>
          <w:tcPr>
            <w:tcW w:w="76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166"/>
        </w:trPr>
        <w:tc>
          <w:tcPr>
            <w:tcW w:w="76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308"/>
          </w:cols>
          <w:pgMar w:left="292" w:top="127"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2"/>
          <w:szCs w:val="12"/>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 Pursuant to Section 906 of the Sarbanes-Oxley Act of 2002</w:t>
      </w:r>
    </w:p>
    <w:p>
      <w:pPr>
        <w:spacing w:after="0" w:line="161" w:lineRule="exact"/>
        <w:rPr>
          <w:sz w:val="20"/>
          <w:szCs w:val="20"/>
          <w:color w:val="auto"/>
        </w:rPr>
      </w:pPr>
    </w:p>
    <w:p>
      <w:pPr>
        <w:jc w:val="both"/>
        <w:ind w:firstLine="831"/>
        <w:spacing w:after="0" w:line="258" w:lineRule="auto"/>
        <w:rPr>
          <w:sz w:val="20"/>
          <w:szCs w:val="20"/>
          <w:color w:val="auto"/>
        </w:rPr>
      </w:pPr>
      <w:r>
        <w:rPr>
          <w:rFonts w:ascii="Arial" w:cs="Arial" w:eastAsia="Arial" w:hAnsi="Arial"/>
          <w:sz w:val="13"/>
          <w:szCs w:val="13"/>
          <w:color w:val="auto"/>
        </w:rPr>
        <w:t>In connection with the Annual Report of Eagle Materials Inc. and subsidiaries (the "Company") on Form 10-K for the period ended March 31, 2021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(i)</w:t>
            </w:r>
          </w:p>
        </w:tc>
        <w:tc>
          <w:tcPr>
            <w:tcW w:w="7660" w:type="dxa"/>
            <w:vAlign w:val="bottom"/>
            <w:gridSpan w:val="2"/>
          </w:tcPr>
          <w:p>
            <w:pPr>
              <w:ind w:left="40"/>
              <w:spacing w:after="0"/>
              <w:rPr>
                <w:sz w:val="20"/>
                <w:szCs w:val="20"/>
                <w:color w:val="auto"/>
              </w:rPr>
            </w:pPr>
            <w:r>
              <w:rPr>
                <w:rFonts w:ascii="Arial" w:cs="Arial" w:eastAsia="Arial" w:hAnsi="Arial"/>
                <w:sz w:val="13"/>
                <w:szCs w:val="13"/>
                <w:color w:val="auto"/>
              </w:rPr>
              <w:t>the Report fully complies with the requirements of section 13(a) or 15(d) of the Securities Exchange Act of 1934; and</w:t>
            </w:r>
          </w:p>
        </w:tc>
      </w:tr>
      <w:tr>
        <w:trPr>
          <w:trHeight w:val="306"/>
        </w:trPr>
        <w:tc>
          <w:tcPr>
            <w:tcW w:w="580" w:type="dxa"/>
            <w:vAlign w:val="bottom"/>
          </w:tcPr>
          <w:p>
            <w:pPr>
              <w:spacing w:after="0"/>
              <w:rPr>
                <w:sz w:val="24"/>
                <w:szCs w:val="2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(ii)</w:t>
            </w:r>
          </w:p>
        </w:tc>
        <w:tc>
          <w:tcPr>
            <w:tcW w:w="7660" w:type="dxa"/>
            <w:vAlign w:val="bottom"/>
            <w:gridSpan w:val="2"/>
          </w:tcPr>
          <w:p>
            <w:pPr>
              <w:ind w:left="40"/>
              <w:spacing w:after="0"/>
              <w:rPr>
                <w:sz w:val="20"/>
                <w:szCs w:val="20"/>
                <w:color w:val="auto"/>
              </w:rPr>
            </w:pPr>
            <w:r>
              <w:rPr>
                <w:rFonts w:ascii="Arial" w:cs="Arial" w:eastAsia="Arial" w:hAnsi="Arial"/>
                <w:sz w:val="13"/>
                <w:szCs w:val="13"/>
                <w:color w:val="auto"/>
                <w:w w:val="92"/>
              </w:rPr>
              <w:t>the information contained in the Report fairly presents, in all material respects, the financial condition and results of operations of the Company.</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Dated:</w:t>
            </w:r>
          </w:p>
        </w:tc>
        <w:tc>
          <w:tcPr>
            <w:tcW w:w="2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w w:val="96"/>
              </w:rPr>
              <w:t>May 21, 2021</w:t>
            </w:r>
          </w:p>
        </w:tc>
        <w:tc>
          <w:tcPr>
            <w:tcW w:w="40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240" w:type="dxa"/>
            <w:vAlign w:val="bottom"/>
          </w:tcPr>
          <w:p>
            <w:pPr>
              <w:spacing w:after="0"/>
              <w:rPr>
                <w:sz w:val="24"/>
                <w:szCs w:val="24"/>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/s/ Michael R. Haack</w:t>
            </w:r>
          </w:p>
        </w:tc>
      </w:tr>
      <w:tr>
        <w:trPr>
          <w:trHeight w:val="131"/>
        </w:trPr>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2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color w:val="auto"/>
              </w:rPr>
              <w:t>Michael R. Haack</w:t>
            </w:r>
          </w:p>
        </w:tc>
        <w:tc>
          <w:tcPr>
            <w:tcW w:w="3620" w:type="dxa"/>
            <w:vAlign w:val="bottom"/>
          </w:tcPr>
          <w:p>
            <w:pPr>
              <w:spacing w:after="0"/>
              <w:rPr>
                <w:sz w:val="11"/>
                <w:szCs w:val="11"/>
                <w:color w:val="auto"/>
              </w:rPr>
            </w:pPr>
          </w:p>
        </w:tc>
      </w:tr>
      <w:tr>
        <w:trPr>
          <w:trHeight w:val="166"/>
        </w:trPr>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300"/>
          </w:cols>
          <w:pgMar w:left="300" w:top="127" w:right="2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2"/>
          <w:szCs w:val="12"/>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Periodic Report Pursuant to Section 906 of the Sarbanes-Oxley Act of 2002</w:t>
      </w:r>
    </w:p>
    <w:p>
      <w:pPr>
        <w:spacing w:after="0" w:line="161" w:lineRule="exact"/>
        <w:rPr>
          <w:sz w:val="20"/>
          <w:szCs w:val="20"/>
          <w:color w:val="auto"/>
        </w:rPr>
      </w:pPr>
    </w:p>
    <w:p>
      <w:pPr>
        <w:jc w:val="both"/>
        <w:ind w:firstLine="831"/>
        <w:spacing w:after="0" w:line="258" w:lineRule="auto"/>
        <w:rPr>
          <w:sz w:val="20"/>
          <w:szCs w:val="20"/>
          <w:color w:val="auto"/>
        </w:rPr>
      </w:pPr>
      <w:r>
        <w:rPr>
          <w:rFonts w:ascii="Arial" w:cs="Arial" w:eastAsia="Arial" w:hAnsi="Arial"/>
          <w:sz w:val="13"/>
          <w:szCs w:val="13"/>
          <w:color w:val="auto"/>
        </w:rPr>
        <w:t>In connection with the Annual Report of Eagle Materials Inc. and subsidiaries (the "Company") on Form 10-K for the period ended March 31, 2021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(i)</w:t>
            </w:r>
          </w:p>
        </w:tc>
        <w:tc>
          <w:tcPr>
            <w:tcW w:w="7660" w:type="dxa"/>
            <w:vAlign w:val="bottom"/>
            <w:gridSpan w:val="2"/>
          </w:tcPr>
          <w:p>
            <w:pPr>
              <w:ind w:left="40"/>
              <w:spacing w:after="0"/>
              <w:rPr>
                <w:sz w:val="20"/>
                <w:szCs w:val="20"/>
                <w:color w:val="auto"/>
              </w:rPr>
            </w:pPr>
            <w:r>
              <w:rPr>
                <w:rFonts w:ascii="Arial" w:cs="Arial" w:eastAsia="Arial" w:hAnsi="Arial"/>
                <w:sz w:val="13"/>
                <w:szCs w:val="13"/>
                <w:color w:val="auto"/>
              </w:rPr>
              <w:t>the Report fully complies with the requirements of section 13(a) or 15(d) of the Securities Exchange Act of 1934; and</w:t>
            </w:r>
          </w:p>
        </w:tc>
      </w:tr>
      <w:tr>
        <w:trPr>
          <w:trHeight w:val="306"/>
        </w:trPr>
        <w:tc>
          <w:tcPr>
            <w:tcW w:w="580" w:type="dxa"/>
            <w:vAlign w:val="bottom"/>
          </w:tcPr>
          <w:p>
            <w:pPr>
              <w:spacing w:after="0"/>
              <w:rPr>
                <w:sz w:val="24"/>
                <w:szCs w:val="2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(ii)</w:t>
            </w:r>
          </w:p>
        </w:tc>
        <w:tc>
          <w:tcPr>
            <w:tcW w:w="7660" w:type="dxa"/>
            <w:vAlign w:val="bottom"/>
            <w:gridSpan w:val="2"/>
          </w:tcPr>
          <w:p>
            <w:pPr>
              <w:ind w:left="40"/>
              <w:spacing w:after="0"/>
              <w:rPr>
                <w:sz w:val="20"/>
                <w:szCs w:val="20"/>
                <w:color w:val="auto"/>
              </w:rPr>
            </w:pPr>
            <w:r>
              <w:rPr>
                <w:rFonts w:ascii="Arial" w:cs="Arial" w:eastAsia="Arial" w:hAnsi="Arial"/>
                <w:sz w:val="13"/>
                <w:szCs w:val="13"/>
                <w:color w:val="auto"/>
                <w:w w:val="92"/>
              </w:rPr>
              <w:t>the information contained in the Report fairly presents, in all material respects, the financial condition and results of operations of the Company.</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Dated:</w:t>
            </w:r>
          </w:p>
        </w:tc>
        <w:tc>
          <w:tcPr>
            <w:tcW w:w="2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w w:val="96"/>
              </w:rPr>
              <w:t>May 21, 2021</w:t>
            </w:r>
          </w:p>
        </w:tc>
        <w:tc>
          <w:tcPr>
            <w:tcW w:w="40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240" w:type="dxa"/>
            <w:vAlign w:val="bottom"/>
          </w:tcPr>
          <w:p>
            <w:pPr>
              <w:spacing w:after="0"/>
              <w:rPr>
                <w:sz w:val="24"/>
                <w:szCs w:val="24"/>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/s/ D. Craig Kesler</w:t>
            </w:r>
          </w:p>
        </w:tc>
      </w:tr>
      <w:tr>
        <w:trPr>
          <w:trHeight w:val="141"/>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color w:val="auto"/>
              </w:rPr>
              <w:t>D. Craig Kesler</w:t>
            </w:r>
          </w:p>
        </w:tc>
        <w:tc>
          <w:tcPr>
            <w:tcW w:w="3620" w:type="dxa"/>
            <w:vAlign w:val="bottom"/>
          </w:tcPr>
          <w:p>
            <w:pPr>
              <w:spacing w:after="0"/>
              <w:rPr>
                <w:sz w:val="12"/>
                <w:szCs w:val="12"/>
                <w:color w:val="auto"/>
              </w:rPr>
            </w:pPr>
          </w:p>
        </w:tc>
      </w:tr>
    </w:tbl>
    <w:p>
      <w:pPr>
        <w:ind w:left="820"/>
        <w:spacing w:after="0"/>
        <w:rPr>
          <w:sz w:val="20"/>
          <w:szCs w:val="20"/>
          <w:color w:val="auto"/>
        </w:rPr>
      </w:pPr>
      <w:r>
        <w:rPr>
          <w:rFonts w:ascii="Arial" w:cs="Arial" w:eastAsia="Arial" w:hAnsi="Arial"/>
          <w:sz w:val="13"/>
          <w:szCs w:val="13"/>
          <w:color w:val="auto"/>
        </w:rPr>
        <w:t>Chief Financial Officer</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3"/>
          <w:szCs w:val="13"/>
          <w:color w:val="auto"/>
        </w:rPr>
        <w:t>(Principal Financial Officer)</w:t>
      </w:r>
    </w:p>
    <w:p>
      <w:pPr>
        <w:sectPr>
          <w:pgSz w:w="11900" w:h="16838" w:orient="portrait"/>
          <w:cols w:equalWidth="0" w:num="1">
            <w:col w:w="11300"/>
          </w:cols>
          <w:pgMar w:left="300" w:top="127" w:right="299" w:bottom="1440" w:gutter="0" w:footer="0" w:header="0"/>
        </w:sectPr>
      </w:pPr>
    </w:p>
    <w:bookmarkStart w:id="135" w:name="page136"/>
    <w:bookmarkEnd w:id="135"/>
    <w:p>
      <w:pPr>
        <w:ind w:left="6200"/>
        <w:spacing w:after="0"/>
        <w:rPr>
          <w:sz w:val="20"/>
          <w:szCs w:val="20"/>
          <w:color w:val="auto"/>
        </w:rPr>
      </w:pPr>
      <w:r>
        <w:rPr>
          <w:rFonts w:ascii="Arial" w:cs="Arial" w:eastAsia="Arial" w:hAnsi="Arial"/>
          <w:sz w:val="12"/>
          <w:szCs w:val="12"/>
          <w:b w:val="1"/>
          <w:bCs w:val="1"/>
          <w:i w:val="1"/>
          <w:iCs w:val="1"/>
          <w:color w:val="auto"/>
        </w:rPr>
        <w:t>MINE SAFETY DISCLOSURE</w:t>
      </w:r>
    </w:p>
    <w:p>
      <w:pPr>
        <w:spacing w:after="0" w:line="109" w:lineRule="exact"/>
        <w:rPr>
          <w:sz w:val="20"/>
          <w:szCs w:val="20"/>
          <w:color w:val="auto"/>
        </w:rPr>
      </w:pPr>
    </w:p>
    <w:p>
      <w:pPr>
        <w:jc w:val="both"/>
        <w:spacing w:after="0" w:line="351" w:lineRule="auto"/>
        <w:rPr>
          <w:sz w:val="20"/>
          <w:szCs w:val="20"/>
          <w:color w:val="auto"/>
        </w:rPr>
      </w:pPr>
      <w:r>
        <w:rPr>
          <w:rFonts w:ascii="Arial" w:cs="Arial" w:eastAsia="Arial" w:hAnsi="Arial"/>
          <w:sz w:val="9"/>
          <w:szCs w:val="9"/>
          <w:color w:val="auto"/>
        </w:rPr>
        <w:t>Section 1503 of the Dodd-Frank Wall Street Reform and Consumer Protection Act contains reporting requirements regarding mine safety. The operation of our quarries is subject to regulation by the federal Mine Safety and Health Administration, or MSHA, unde Mine Act. Set forth below is the required information regarding certain mining safety and health matters for the twelve month period ended March 31, 2021 for our facilities. In evaluating this information, consideration should be given to factors such as: (i) the size of the quarry, (ii) the number of citations issued will vary from inspector-to-inspector and mine-to-mine, and (iii) citations and orders can be contested and appealed, and in that process, may be reduced in severity and amount, and are sometimes dismissed.</w:t>
      </w:r>
    </w:p>
    <w:p>
      <w:pPr>
        <w:sectPr>
          <w:pgSz w:w="11900" w:h="16838" w:orient="portrait"/>
          <w:cols w:equalWidth="0" w:num="1">
            <w:col w:w="11360"/>
          </w:cols>
          <w:pgMar w:left="300" w:top="3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8"/>
          <w:szCs w:val="8"/>
          <w:color w:val="auto"/>
        </w:rPr>
        <w:t>Mine or Operating Name/MSHA</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Identification Number</w:t>
      </w:r>
    </w:p>
    <w:p>
      <w:pPr>
        <w:spacing w:after="0" w:line="232" w:lineRule="auto"/>
        <w:rPr>
          <w:sz w:val="20"/>
          <w:szCs w:val="20"/>
          <w:color w:val="auto"/>
        </w:rPr>
      </w:pPr>
      <w:r>
        <w:rPr>
          <w:rFonts w:ascii="Arial" w:cs="Arial" w:eastAsia="Arial" w:hAnsi="Arial"/>
          <w:sz w:val="10"/>
          <w:szCs w:val="10"/>
          <w:color w:val="auto"/>
        </w:rPr>
        <w:t>3D Concrete LLC</w:t>
      </w:r>
    </w:p>
    <w:p>
      <w:pPr>
        <w:spacing w:after="0" w:line="237" w:lineRule="auto"/>
        <w:rPr>
          <w:sz w:val="20"/>
          <w:szCs w:val="20"/>
          <w:color w:val="auto"/>
        </w:rPr>
      </w:pPr>
      <w:r>
        <w:rPr>
          <w:rFonts w:ascii="Arial" w:cs="Arial" w:eastAsia="Arial" w:hAnsi="Arial"/>
          <w:sz w:val="10"/>
          <w:szCs w:val="10"/>
          <w:color w:val="auto"/>
        </w:rPr>
        <w:t>Lander, NV (2602434)</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3D Concrete LLC</w:t>
      </w:r>
    </w:p>
    <w:p>
      <w:pPr>
        <w:spacing w:after="0" w:line="236" w:lineRule="auto"/>
        <w:rPr>
          <w:sz w:val="20"/>
          <w:szCs w:val="20"/>
          <w:color w:val="auto"/>
        </w:rPr>
      </w:pPr>
      <w:r>
        <w:rPr>
          <w:rFonts w:ascii="Arial" w:cs="Arial" w:eastAsia="Arial" w:hAnsi="Arial"/>
          <w:sz w:val="10"/>
          <w:szCs w:val="10"/>
          <w:color w:val="auto"/>
        </w:rPr>
        <w:t>Lyon, Nevada (2602412)</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Albuquerque, NM (2900181)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Duke, OK (3400256)</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Eagle, CO (0503997)</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Centex Materials LLC</w:t>
      </w:r>
    </w:p>
    <w:p>
      <w:pPr>
        <w:spacing w:after="0" w:line="236" w:lineRule="auto"/>
        <w:rPr>
          <w:sz w:val="20"/>
          <w:szCs w:val="20"/>
          <w:color w:val="auto"/>
        </w:rPr>
      </w:pPr>
      <w:r>
        <w:rPr>
          <w:rFonts w:ascii="Arial" w:cs="Arial" w:eastAsia="Arial" w:hAnsi="Arial"/>
          <w:sz w:val="10"/>
          <w:szCs w:val="10"/>
          <w:color w:val="auto"/>
        </w:rPr>
        <w:t>Buda, TX (4102241)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Central Plains Cement Company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Sugar Creek, MO (2302171)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Central Plains Cement Company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Tulsa, OK (3400026)</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Fairborn Cement Company LLC</w:t>
      </w:r>
    </w:p>
    <w:p>
      <w:pPr>
        <w:spacing w:after="0" w:line="15" w:lineRule="exact"/>
        <w:rPr>
          <w:sz w:val="20"/>
          <w:szCs w:val="20"/>
          <w:color w:val="auto"/>
        </w:rPr>
      </w:pPr>
    </w:p>
    <w:p>
      <w:pPr>
        <w:spacing w:after="0"/>
        <w:rPr>
          <w:sz w:val="20"/>
          <w:szCs w:val="20"/>
          <w:color w:val="auto"/>
        </w:rPr>
      </w:pPr>
      <w:r>
        <w:rPr>
          <w:rFonts w:ascii="Arial" w:cs="Arial" w:eastAsia="Arial" w:hAnsi="Arial"/>
          <w:sz w:val="8"/>
          <w:szCs w:val="8"/>
          <w:color w:val="auto"/>
        </w:rPr>
        <w:t>Greene County, OH (3300161)</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color w:val="auto"/>
        </w:rPr>
        <w:t>Illinois Cement Company</w:t>
      </w:r>
    </w:p>
    <w:p>
      <w:pPr>
        <w:spacing w:after="0" w:line="236" w:lineRule="auto"/>
        <w:rPr>
          <w:sz w:val="20"/>
          <w:szCs w:val="20"/>
          <w:color w:val="auto"/>
        </w:rPr>
      </w:pPr>
      <w:r>
        <w:rPr>
          <w:rFonts w:ascii="Arial" w:cs="Arial" w:eastAsia="Arial" w:hAnsi="Arial"/>
          <w:sz w:val="10"/>
          <w:szCs w:val="10"/>
          <w:color w:val="auto"/>
        </w:rPr>
        <w:t>LaSalle, IL (1100003)</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Kosmos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Jefferson, KY (1504469)</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Mountain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Laramie, WY (4800007)</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Nevada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Fernley, NV (2600015)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1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color w:val="auto"/>
                <w:w w:val="87"/>
              </w:rPr>
              <w:t>Received Notice of Pattern of</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7"/>
              </w:rPr>
              <w:t>Received Notice of Potential to Have</w:t>
            </w:r>
          </w:p>
        </w:tc>
        <w:tc>
          <w:tcPr>
            <w:tcW w:w="340" w:type="dxa"/>
            <w:vAlign w:val="bottom"/>
          </w:tcPr>
          <w:p>
            <w:pPr>
              <w:spacing w:after="0"/>
              <w:rPr>
                <w:sz w:val="10"/>
                <w:szCs w:val="10"/>
                <w:color w:val="auto"/>
              </w:rPr>
            </w:pPr>
          </w:p>
        </w:tc>
      </w:tr>
      <w:tr>
        <w:trPr>
          <w:trHeight w:val="99"/>
        </w:trPr>
        <w:tc>
          <w:tcPr>
            <w:tcW w:w="64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7"/>
              </w:rPr>
              <w:t>Section 104</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104(b)</w:t>
            </w:r>
          </w:p>
        </w:tc>
        <w:tc>
          <w:tcPr>
            <w:tcW w:w="900" w:type="dxa"/>
            <w:vAlign w:val="bottom"/>
          </w:tcPr>
          <w:p>
            <w:pPr>
              <w:jc w:val="center"/>
              <w:spacing w:after="0" w:line="99" w:lineRule="exact"/>
              <w:rPr>
                <w:sz w:val="20"/>
                <w:szCs w:val="20"/>
                <w:color w:val="auto"/>
              </w:rPr>
            </w:pPr>
            <w:r>
              <w:rPr>
                <w:rFonts w:ascii="Arial" w:cs="Arial" w:eastAsia="Arial" w:hAnsi="Arial"/>
                <w:sz w:val="10"/>
                <w:szCs w:val="10"/>
                <w:color w:val="auto"/>
                <w:w w:val="86"/>
              </w:rPr>
              <w:t>Section 104(d)</w:t>
            </w:r>
          </w:p>
        </w:tc>
        <w:tc>
          <w:tcPr>
            <w:tcW w:w="66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6"/>
              </w:rPr>
              <w:t>Section 110(b)</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107(a)</w:t>
            </w:r>
          </w:p>
        </w:tc>
        <w:tc>
          <w:tcPr>
            <w:tcW w:w="1260" w:type="dxa"/>
            <w:vAlign w:val="bottom"/>
          </w:tcPr>
          <w:p>
            <w:pPr>
              <w:ind w:left="120"/>
              <w:spacing w:after="0" w:line="99" w:lineRule="exact"/>
              <w:rPr>
                <w:sz w:val="20"/>
                <w:szCs w:val="20"/>
                <w:color w:val="auto"/>
              </w:rPr>
            </w:pPr>
            <w:r>
              <w:rPr>
                <w:rFonts w:ascii="Arial" w:cs="Arial" w:eastAsia="Arial" w:hAnsi="Arial"/>
                <w:sz w:val="10"/>
                <w:szCs w:val="10"/>
                <w:color w:val="auto"/>
                <w:w w:val="91"/>
              </w:rPr>
              <w:t>Total Dollar Value of MSHA</w:t>
            </w:r>
          </w:p>
        </w:tc>
        <w:tc>
          <w:tcPr>
            <w:tcW w:w="1060" w:type="dxa"/>
            <w:vAlign w:val="bottom"/>
          </w:tcPr>
          <w:p>
            <w:pPr>
              <w:jc w:val="center"/>
              <w:spacing w:after="0" w:line="99" w:lineRule="exact"/>
              <w:rPr>
                <w:sz w:val="20"/>
                <w:szCs w:val="20"/>
                <w:color w:val="auto"/>
              </w:rPr>
            </w:pPr>
            <w:r>
              <w:rPr>
                <w:rFonts w:ascii="Arial" w:cs="Arial" w:eastAsia="Arial" w:hAnsi="Arial"/>
                <w:sz w:val="10"/>
                <w:szCs w:val="10"/>
                <w:color w:val="auto"/>
                <w:w w:val="90"/>
              </w:rPr>
              <w:t>Total Number of Mining</w:t>
            </w:r>
          </w:p>
        </w:tc>
        <w:tc>
          <w:tcPr>
            <w:tcW w:w="1400" w:type="dxa"/>
            <w:vAlign w:val="bottom"/>
          </w:tcPr>
          <w:p>
            <w:pPr>
              <w:jc w:val="center"/>
              <w:spacing w:after="0" w:line="99" w:lineRule="exact"/>
              <w:rPr>
                <w:sz w:val="20"/>
                <w:szCs w:val="20"/>
                <w:color w:val="auto"/>
              </w:rPr>
            </w:pPr>
            <w:r>
              <w:rPr>
                <w:rFonts w:ascii="Arial" w:cs="Arial" w:eastAsia="Arial" w:hAnsi="Arial"/>
                <w:sz w:val="10"/>
                <w:szCs w:val="10"/>
                <w:color w:val="auto"/>
                <w:w w:val="89"/>
              </w:rPr>
              <w:t>Violations Under Section 104(e)</w:t>
            </w:r>
          </w:p>
        </w:tc>
        <w:tc>
          <w:tcPr>
            <w:tcW w:w="1560" w:type="dxa"/>
            <w:vAlign w:val="bottom"/>
          </w:tcPr>
          <w:p>
            <w:pPr>
              <w:jc w:val="center"/>
              <w:ind w:left="12"/>
              <w:spacing w:after="0" w:line="99" w:lineRule="exact"/>
              <w:rPr>
                <w:sz w:val="20"/>
                <w:szCs w:val="20"/>
                <w:color w:val="auto"/>
              </w:rPr>
            </w:pPr>
            <w:r>
              <w:rPr>
                <w:rFonts w:ascii="Arial" w:cs="Arial" w:eastAsia="Arial" w:hAnsi="Arial"/>
                <w:sz w:val="10"/>
                <w:szCs w:val="10"/>
                <w:color w:val="auto"/>
                <w:w w:val="87"/>
              </w:rPr>
              <w:t>Pattern Under Section 104(e)</w:t>
            </w:r>
          </w:p>
        </w:tc>
        <w:tc>
          <w:tcPr>
            <w:tcW w:w="340" w:type="dxa"/>
            <w:vAlign w:val="bottom"/>
          </w:tcPr>
          <w:p>
            <w:pPr>
              <w:ind w:left="40"/>
              <w:spacing w:after="0" w:line="99" w:lineRule="exact"/>
              <w:rPr>
                <w:sz w:val="20"/>
                <w:szCs w:val="20"/>
                <w:color w:val="auto"/>
              </w:rPr>
            </w:pPr>
            <w:r>
              <w:rPr>
                <w:rFonts w:ascii="Arial" w:cs="Arial" w:eastAsia="Arial" w:hAnsi="Arial"/>
                <w:sz w:val="10"/>
                <w:szCs w:val="10"/>
                <w:color w:val="auto"/>
                <w:w w:val="82"/>
              </w:rPr>
              <w:t>Legal A</w:t>
            </w:r>
          </w:p>
        </w:tc>
      </w:tr>
      <w:tr>
        <w:trPr>
          <w:trHeight w:val="12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90"/>
              </w:rPr>
              <w:t>S&amp;S Citations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900" w:type="dxa"/>
            <w:vAlign w:val="bottom"/>
          </w:tcPr>
          <w:p>
            <w:pPr>
              <w:jc w:val="center"/>
              <w:spacing w:after="0"/>
              <w:rPr>
                <w:sz w:val="20"/>
                <w:szCs w:val="20"/>
                <w:color w:val="auto"/>
              </w:rPr>
            </w:pPr>
            <w:r>
              <w:rPr>
                <w:rFonts w:ascii="Arial" w:cs="Arial" w:eastAsia="Arial" w:hAnsi="Arial"/>
                <w:sz w:val="10"/>
                <w:szCs w:val="10"/>
                <w:color w:val="auto"/>
                <w:w w:val="87"/>
              </w:rPr>
              <w:t>Citations and Orders</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89"/>
              </w:rPr>
              <w:t>(2) Violations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1260" w:type="dxa"/>
            <w:vAlign w:val="bottom"/>
          </w:tcPr>
          <w:p>
            <w:pPr>
              <w:ind w:left="240"/>
              <w:spacing w:after="0"/>
              <w:rPr>
                <w:sz w:val="20"/>
                <w:szCs w:val="20"/>
                <w:color w:val="auto"/>
              </w:rPr>
            </w:pPr>
            <w:r>
              <w:rPr>
                <w:rFonts w:ascii="Arial" w:cs="Arial" w:eastAsia="Arial" w:hAnsi="Arial"/>
                <w:sz w:val="10"/>
                <w:szCs w:val="10"/>
                <w:color w:val="auto"/>
                <w:w w:val="95"/>
              </w:rPr>
              <w:t>Assessments Proposed</w:t>
            </w:r>
          </w:p>
        </w:tc>
        <w:tc>
          <w:tcPr>
            <w:tcW w:w="1060" w:type="dxa"/>
            <w:vAlign w:val="bottom"/>
          </w:tcPr>
          <w:p>
            <w:pPr>
              <w:jc w:val="center"/>
              <w:spacing w:after="0"/>
              <w:rPr>
                <w:sz w:val="20"/>
                <w:szCs w:val="20"/>
                <w:color w:val="auto"/>
              </w:rPr>
            </w:pPr>
            <w:r>
              <w:rPr>
                <w:rFonts w:ascii="Arial" w:cs="Arial" w:eastAsia="Arial" w:hAnsi="Arial"/>
                <w:sz w:val="10"/>
                <w:szCs w:val="10"/>
                <w:color w:val="auto"/>
                <w:w w:val="87"/>
              </w:rPr>
              <w:t>Related Fatalities</w:t>
            </w:r>
          </w:p>
        </w:tc>
        <w:tc>
          <w:tcPr>
            <w:tcW w:w="1400" w:type="dxa"/>
            <w:vAlign w:val="bottom"/>
          </w:tcPr>
          <w:p>
            <w:pPr>
              <w:jc w:val="center"/>
              <w:spacing w:after="0"/>
              <w:rPr>
                <w:sz w:val="20"/>
                <w:szCs w:val="20"/>
                <w:color w:val="auto"/>
              </w:rPr>
            </w:pPr>
            <w:r>
              <w:rPr>
                <w:rFonts w:ascii="Arial" w:cs="Arial" w:eastAsia="Arial" w:hAnsi="Arial"/>
                <w:sz w:val="10"/>
                <w:szCs w:val="10"/>
                <w:color w:val="auto"/>
                <w:w w:val="82"/>
              </w:rPr>
              <w:t>(yes/no)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2"/>
              </w:rPr>
              <w:t>(yes/no)</w:t>
            </w:r>
          </w:p>
        </w:tc>
        <w:tc>
          <w:tcPr>
            <w:tcW w:w="340" w:type="dxa"/>
            <w:vAlign w:val="bottom"/>
          </w:tcPr>
          <w:p>
            <w:pPr>
              <w:ind w:left="220"/>
              <w:spacing w:after="0"/>
              <w:rPr>
                <w:sz w:val="20"/>
                <w:szCs w:val="20"/>
                <w:color w:val="auto"/>
              </w:rPr>
            </w:pPr>
            <w:r>
              <w:rPr>
                <w:rFonts w:ascii="Arial" w:cs="Arial" w:eastAsia="Arial" w:hAnsi="Arial"/>
                <w:sz w:val="10"/>
                <w:szCs w:val="10"/>
                <w:color w:val="auto"/>
                <w:w w:val="89"/>
              </w:rPr>
              <w:t>La</w:t>
            </w:r>
          </w:p>
        </w:tc>
      </w:tr>
      <w:tr>
        <w:trPr>
          <w:trHeight w:val="180"/>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5"/>
                <w:szCs w:val="15"/>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1</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$694</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$246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$248</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$246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$740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12"/>
              <w:spacing w:after="0"/>
              <w:rPr>
                <w:sz w:val="20"/>
                <w:szCs w:val="20"/>
                <w:color w:val="auto"/>
              </w:rPr>
            </w:pPr>
            <w:r>
              <w:rPr>
                <w:rFonts w:ascii="Arial" w:cs="Arial" w:eastAsia="Arial" w:hAnsi="Arial"/>
                <w:sz w:val="10"/>
                <w:szCs w:val="10"/>
                <w:color w:val="auto"/>
                <w:w w:val="89"/>
              </w:rPr>
              <w:t>11</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1</w:t>
            </w:r>
          </w:p>
        </w:tc>
        <w:tc>
          <w:tcPr>
            <w:tcW w:w="1260" w:type="dxa"/>
            <w:vAlign w:val="bottom"/>
          </w:tcPr>
          <w:p>
            <w:pPr>
              <w:ind w:left="60"/>
              <w:spacing w:after="0"/>
              <w:rPr>
                <w:sz w:val="20"/>
                <w:szCs w:val="20"/>
                <w:color w:val="auto"/>
              </w:rPr>
            </w:pPr>
            <w:r>
              <w:rPr>
                <w:rFonts w:ascii="Arial" w:cs="Arial" w:eastAsia="Arial" w:hAnsi="Arial"/>
                <w:sz w:val="10"/>
                <w:szCs w:val="10"/>
                <w:color w:val="auto"/>
              </w:rPr>
              <w:t>$35,456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7</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$18,893</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4</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$11,296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6</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$7,381</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12"/>
              <w:spacing w:after="0"/>
              <w:rPr>
                <w:sz w:val="20"/>
                <w:szCs w:val="20"/>
                <w:color w:val="auto"/>
              </w:rPr>
            </w:pPr>
            <w:r>
              <w:rPr>
                <w:rFonts w:ascii="Arial" w:cs="Arial" w:eastAsia="Arial" w:hAnsi="Arial"/>
                <w:sz w:val="10"/>
                <w:szCs w:val="10"/>
                <w:color w:val="auto"/>
                <w:w w:val="89"/>
              </w:rPr>
              <w:t>25</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$19,238</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8</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2</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$7,213</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-2108835</wp:posOffset>
            </wp:positionV>
            <wp:extent cx="7218680" cy="165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-1777365</wp:posOffset>
            </wp:positionV>
            <wp:extent cx="7218680" cy="165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-1445895</wp:posOffset>
            </wp:positionV>
            <wp:extent cx="7218680" cy="165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-1114425</wp:posOffset>
            </wp:positionV>
            <wp:extent cx="7218680" cy="165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-782955</wp:posOffset>
            </wp:positionV>
            <wp:extent cx="7218680" cy="165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-451485</wp:posOffset>
            </wp:positionV>
            <wp:extent cx="7218680" cy="165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-120015</wp:posOffset>
            </wp:positionV>
            <wp:extent cx="7218680" cy="165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7218680" cy="16573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1980" w:space="720"/>
            <w:col w:w="8660"/>
          </w:cols>
          <w:pgMar w:left="300" w:top="302" w:right="239" w:bottom="1440" w:gutter="0" w:footer="0" w:header="0"/>
          <w:type w:val="continuous"/>
        </w:sectPr>
      </w:pPr>
    </w:p>
    <w:p>
      <w:pPr>
        <w:ind w:left="160"/>
        <w:spacing w:after="0"/>
        <w:rPr>
          <w:sz w:val="20"/>
          <w:szCs w:val="20"/>
          <w:color w:val="auto"/>
        </w:rPr>
      </w:pPr>
      <w:r>
        <w:rPr>
          <w:rFonts w:ascii="Arial" w:cs="Arial" w:eastAsia="Arial" w:hAnsi="Arial"/>
          <w:sz w:val="8"/>
          <w:szCs w:val="8"/>
          <w:color w:val="auto"/>
        </w:rPr>
        <w:t>(1) All legal actions were penalty contests.</w:t>
      </w:r>
    </w:p>
    <w:sectPr>
      <w:pgSz w:w="11900" w:h="16838" w:orient="portrait"/>
      <w:cols w:equalWidth="0" w:num="1">
        <w:col w:w="11360"/>
      </w:cols>
      <w:pgMar w:left="300" w:top="30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21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upperLetter"/>
      <w:start w:val="1"/>
    </w:lvl>
  </w:abstractNum>
  <w:abstractNum w:abstractNumId="19">
    <w:nsid w:val="3A95F874"/>
    <w:multiLevelType w:val="hybridMultilevel"/>
    <w:lvl w:ilvl="0">
      <w:lvlJc w:val="left"/>
      <w:lvlText w:val="(%1)"/>
      <w:numFmt w:val="upperLetter"/>
      <w:start w:val="2"/>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upperLetter"/>
      <w:start w:val="4"/>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decimal"/>
      <w:start w:val="10"/>
    </w:lvl>
  </w:abstractNum>
  <w:abstractNum w:abstractNumId="24">
    <w:nsid w:val="6CEAF087"/>
    <w:multiLevelType w:val="hybridMultilevel"/>
    <w:lvl w:ilvl="0">
      <w:lvlJc w:val="left"/>
      <w:lvlText w:val="%1"/>
      <w:numFmt w:val="decimal"/>
      <w:start w:val="11"/>
    </w:lvl>
  </w:abstractNum>
  <w:abstractNum w:abstractNumId="25">
    <w:nsid w:val="22221A70"/>
    <w:multiLevelType w:val="hybridMultilevel"/>
    <w:lvl w:ilvl="0">
      <w:lvlJc w:val="left"/>
      <w:lvlText w:val="%1"/>
      <w:numFmt w:val="decimal"/>
      <w:start w:val="13"/>
    </w:lvl>
  </w:abstractNum>
  <w:abstractNum w:abstractNumId="26">
    <w:nsid w:val="4516DDE9"/>
    <w:multiLevelType w:val="hybridMultilevel"/>
    <w:lvl w:ilvl="0">
      <w:lvlJc w:val="left"/>
      <w:lvlText w:val="%1."/>
      <w:numFmt w:val="upperLetter"/>
      <w:start w:val="1"/>
    </w:lvl>
    <w:lvl w:ilvl="1">
      <w:lvlJc w:val="left"/>
      <w:lvlText w:val="%2."/>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5"/>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8" Type="http://schemas.openxmlformats.org/officeDocument/2006/relationships/image" Target="media/image179.png"/><Relationship Id="rId210" Type="http://schemas.openxmlformats.org/officeDocument/2006/relationships/image" Target="media/image180.png"/><Relationship Id="rId226" Type="http://schemas.openxmlformats.org/officeDocument/2006/relationships/image" Target="media/image181.png"/><Relationship Id="rId243" Type="http://schemas.openxmlformats.org/officeDocument/2006/relationships/image" Target="media/image182.png"/><Relationship Id="rId259" Type="http://schemas.openxmlformats.org/officeDocument/2006/relationships/image" Target="media/image183.png"/><Relationship Id="rId262" Type="http://schemas.openxmlformats.org/officeDocument/2006/relationships/image" Target="media/image184.png"/><Relationship Id="rId263"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186" Type="http://schemas.openxmlformats.org/officeDocument/2006/relationships/hyperlink" Target="http://www.sec.gov/Archives/edgar/data/0000918646/000095013403015046/d10221aexv2w1.htm" TargetMode="External"/><Relationship Id="rId187" Type="http://schemas.openxmlformats.org/officeDocument/2006/relationships/hyperlink" Target="http://www.sec.gov/Archives/edgar/data/0000918646/000095013403015046/d10221aexv2w2.htm" TargetMode="External"/><Relationship Id="rId188" Type="http://schemas.openxmlformats.org/officeDocument/2006/relationships/hyperlink" Target="http://www.sec.gov/Archives/edgar/data/0000918646/000095013406007120/d34975exv3w1.htm" TargetMode="External"/><Relationship Id="rId189" Type="http://schemas.openxmlformats.org/officeDocument/2006/relationships/hyperlink" Target="http://www.sec.gov/Archives/edgar/data/0000918646/000095013406007120/d34975exv3w2.htm" TargetMode="External"/><Relationship Id="rId190" Type="http://schemas.openxmlformats.org/officeDocument/2006/relationships/hyperlink" Target="http://www.sec.gov/Archives/edgar/data/0000918646/000095013407012499/d47008exv3w3.htm" TargetMode="External"/><Relationship Id="rId191" Type="http://schemas.openxmlformats.org/officeDocument/2006/relationships/hyperlink" Target="http://www.sec.gov/Archives/edgar/data/0000918646/000119312508242277/dex31.htm" TargetMode="External"/><Relationship Id="rId192" Type="http://schemas.openxmlformats.org/officeDocument/2006/relationships/hyperlink" Target="http://www.sec.gov/Archives/edgar/data/0000918646/000119312512039077/d293132dex31.htm" TargetMode="External"/><Relationship Id="rId193" Type="http://schemas.openxmlformats.org/officeDocument/2006/relationships/hyperlink" Target="http://www.sec.gov/Archives/edgar/data/0000918646/000119312515283216/d14911dex31.htm" TargetMode="External"/><Relationship Id="rId194" Type="http://schemas.openxmlformats.org/officeDocument/2006/relationships/hyperlink" Target="http://www.sec.gov/Archives/edgar/data/0000918646/000156459014005047/exp-ex107_20140930433.htm" TargetMode="External"/><Relationship Id="rId195" Type="http://schemas.openxmlformats.org/officeDocument/2006/relationships/hyperlink" Target="http://www.sec.gov/Archives/edgar/data/0000918646/000156459015008677/exp-ex104_274.htm" TargetMode="External"/><Relationship Id="rId196" Type="http://schemas.openxmlformats.org/officeDocument/2006/relationships/hyperlink" Target="http://www.sec.gov/Archives/edgar/data/0000918646/000119312516668534/d408288dex101.htm" TargetMode="External"/><Relationship Id="rId197" Type="http://schemas.openxmlformats.org/officeDocument/2006/relationships/hyperlink" Target="http://www.sec.gov/Archives/edgar/data/918646/000119312519321106/d854475dex101.htm" TargetMode="External"/><Relationship Id="rId199" Type="http://schemas.openxmlformats.org/officeDocument/2006/relationships/hyperlink" Target="http://www.sec.gov/Archives/edgar/data/918646/000119312520104762/d914128dex101.htm" TargetMode="External"/><Relationship Id="rId200" Type="http://schemas.openxmlformats.org/officeDocument/2006/relationships/hyperlink" Target="http://www.sec.gov/Archives/edgar/data/918646/000119312521008199/d105063dex101.htm" TargetMode="External"/><Relationship Id="rId201" Type="http://schemas.openxmlformats.org/officeDocument/2006/relationships/hyperlink" Target="http://www.sec.gov/Archives/edgar/data/918646/000119312521071488/d29046dex101.htm" TargetMode="External"/><Relationship Id="rId202" Type="http://schemas.openxmlformats.org/officeDocument/2006/relationships/hyperlink" Target="http://www.sec.gov/Archives/edgar/data/918646/000119312519321106/d854475dex102.htm" TargetMode="External"/><Relationship Id="rId203" Type="http://schemas.openxmlformats.org/officeDocument/2006/relationships/hyperlink" Target="http://www.sec.gov/Archives/edgar/data/918646/000119312520104762/d914128dex102.htm" TargetMode="External"/><Relationship Id="rId204" Type="http://schemas.openxmlformats.org/officeDocument/2006/relationships/hyperlink" Target="http://www.sec.gov/Archives/edgar/data/918646/000119312521071488/d29046dex102.htm" TargetMode="External"/><Relationship Id="rId205" Type="http://schemas.openxmlformats.org/officeDocument/2006/relationships/hyperlink" Target="http://www.sec.gov/Archives/edgar/data/918646/000119312516668534/d408288dex42.htm" TargetMode="External"/><Relationship Id="rId206" Type="http://schemas.openxmlformats.org/officeDocument/2006/relationships/hyperlink" Target="http://www.sec.gov/Archives/edgar/data/918646/000095013401503553/d88409ex10-2.txt" TargetMode="External"/><Relationship Id="rId207" Type="http://schemas.openxmlformats.org/officeDocument/2006/relationships/hyperlink" Target="http://www.sec.gov/Archives/edgar/data/918646/000095013401503553/d88409ex10-2a.txt" TargetMode="External"/><Relationship Id="rId208" Type="http://schemas.openxmlformats.org/officeDocument/2006/relationships/hyperlink" Target="http://www.sec.gov/Archives/edgar/data/918646/000119312513267613/d555548ddef14a.htm" TargetMode="External"/><Relationship Id="rId209" Type="http://schemas.openxmlformats.org/officeDocument/2006/relationships/hyperlink" Target="http://www.sec.gov/Archives/edgar/data/0000918646/000156459017014404/exp-ex104_60.htm" TargetMode="External"/><Relationship Id="rId211" Type="http://schemas.openxmlformats.org/officeDocument/2006/relationships/hyperlink" Target="http://www.sec.gov/Archives/edgar/data/0000918646/000095013406014442/d38289exv10w1.htm" TargetMode="External"/><Relationship Id="rId212" Type="http://schemas.openxmlformats.org/officeDocument/2006/relationships/hyperlink" Target="http://www.sec.gov/Archives/edgar/data/918646/000119312510181321/dex108.htm" TargetMode="External"/><Relationship Id="rId213" Type="http://schemas.openxmlformats.org/officeDocument/2006/relationships/hyperlink" Target="http://www.sec.gov/Archives/edgar/data/918646/000119312512460533/d412938dex105.htm" TargetMode="External"/><Relationship Id="rId214" Type="http://schemas.openxmlformats.org/officeDocument/2006/relationships/hyperlink" Target="http://www.sec.gov/Archives/edgar/data/918646/000119312512460533/d412938dex107.htm" TargetMode="External"/><Relationship Id="rId215" Type="http://schemas.openxmlformats.org/officeDocument/2006/relationships/hyperlink" Target="http://www.sec.gov/Archives/edgar/data/918646/000119312513432851/d599914dex102.htm" TargetMode="External"/><Relationship Id="rId216" Type="http://schemas.openxmlformats.org/officeDocument/2006/relationships/hyperlink" Target="http://www.sec.gov/Archives/edgar/data/918646/000119312513432851/d599914dex105.htm" TargetMode="External"/><Relationship Id="rId217" Type="http://schemas.openxmlformats.org/officeDocument/2006/relationships/hyperlink" Target="http://www.sec.gov/Archives/edgar/data/918646/000156459014005047/exp-ex102_20140930429.htm" TargetMode="External"/><Relationship Id="rId218" Type="http://schemas.openxmlformats.org/officeDocument/2006/relationships/hyperlink" Target="http://www.sec.gov/Archives/edgar/data/918646/000156459014005047/exp-ex104_20140930431.htm" TargetMode="External"/><Relationship Id="rId219" Type="http://schemas.openxmlformats.org/officeDocument/2006/relationships/hyperlink" Target="http://www.sec.gov/Archives/edgar/data/918646/000156459014005047/exp-ex105_20140930432.htm" TargetMode="External"/><Relationship Id="rId220" Type="http://schemas.openxmlformats.org/officeDocument/2006/relationships/hyperlink" Target="http://www.sec.gov/Archives/edgar/data/918646/000156459015006063/exp-ex106_252.htm" TargetMode="External"/><Relationship Id="rId221" Type="http://schemas.openxmlformats.org/officeDocument/2006/relationships/hyperlink" Target="http://www.sec.gov/Archives/edgar/data/918646/000156459015008677/exp-ex102_272.htm" TargetMode="External"/><Relationship Id="rId222" Type="http://schemas.openxmlformats.org/officeDocument/2006/relationships/hyperlink" Target="http://www.sec.gov/Archives/edgar/data/918646/000156459015008677/exp-ex103_273.htm" TargetMode="External"/><Relationship Id="rId223" Type="http://schemas.openxmlformats.org/officeDocument/2006/relationships/hyperlink" Target="http://www.sec.gov/Archives/edgar/data/918646/000156459016026026/exp-ex102_129.htm" TargetMode="External"/><Relationship Id="rId224" Type="http://schemas.openxmlformats.org/officeDocument/2006/relationships/hyperlink" Target="http://www.sec.gov/Archives/edgar/data/918646/000156459016026026/exp-ex103_128.htm" TargetMode="External"/><Relationship Id="rId225" Type="http://schemas.openxmlformats.org/officeDocument/2006/relationships/hyperlink" Target="http://www.sec.gov/Archives/edgar/data/918646/000156459016026026/exp-ex104_127.htm" TargetMode="External"/><Relationship Id="rId227" Type="http://schemas.openxmlformats.org/officeDocument/2006/relationships/hyperlink" Target="http://www.sec.gov/Archives/edgar/data/918646/000156459016026026/exp-ex105_126.htm" TargetMode="External"/><Relationship Id="rId228" Type="http://schemas.openxmlformats.org/officeDocument/2006/relationships/hyperlink" Target="http://www.sec.gov/Archives/edgar/data/918646/000156459017020034/exp-ex102_52.htm" TargetMode="External"/><Relationship Id="rId229" Type="http://schemas.openxmlformats.org/officeDocument/2006/relationships/hyperlink" Target="http://www.sec.gov/Archives/edgar/data/918646/000156459017014404/exp-ex105_64.htm" TargetMode="External"/><Relationship Id="rId230" Type="http://schemas.openxmlformats.org/officeDocument/2006/relationships/hyperlink" Target="http://www.sec.gov/Archives/edgar/data/918646/000156459017014404/exp-ex106_63.htm" TargetMode="External"/><Relationship Id="rId231" Type="http://schemas.openxmlformats.org/officeDocument/2006/relationships/hyperlink" Target="http://www.sec.gov/Archives/edgar/data/918646/000156459018017911/exp-ex103_169.htm" TargetMode="External"/><Relationship Id="rId232" Type="http://schemas.openxmlformats.org/officeDocument/2006/relationships/hyperlink" Target="http://www.sec.gov/Archives/edgar/data/918646/000156459018017911/exp-ex104_168.htm" TargetMode="External"/><Relationship Id="rId233" Type="http://schemas.openxmlformats.org/officeDocument/2006/relationships/hyperlink" Target="http://www.sec.gov/Archives/edgar/data/918646/000156459018017911/exp-ex105_167.htm" TargetMode="External"/><Relationship Id="rId234" Type="http://schemas.openxmlformats.org/officeDocument/2006/relationships/hyperlink" Target="http://www.sec.gov/Archives/edgar/data/918646/000156459018017911/exp-ex106_166.htm" TargetMode="External"/><Relationship Id="rId235" Type="http://schemas.openxmlformats.org/officeDocument/2006/relationships/hyperlink" Target="http://www.sec.gov/Archives/edgar/data/918646/000156459018025641/exp-ex102_261.htm" TargetMode="External"/><Relationship Id="rId236" Type="http://schemas.openxmlformats.org/officeDocument/2006/relationships/hyperlink" Target="http://www.sec.gov/Archives/edgar/data/918646/000119312519024134/d629735dex46.htm" TargetMode="External"/><Relationship Id="rId237" Type="http://schemas.openxmlformats.org/officeDocument/2006/relationships/hyperlink" Target="http://www.sec.gov/Archives/edgar/data/918646/000095013400005170/0000950134-00-005170-0002.txt" TargetMode="External"/><Relationship Id="rId238" Type="http://schemas.openxmlformats.org/officeDocument/2006/relationships/hyperlink" Target="http://www.sec.gov/Archives/edgar/data/918646/000095013406010995/d36609exv10w4xay.htm" TargetMode="External"/><Relationship Id="rId239" Type="http://schemas.openxmlformats.org/officeDocument/2006/relationships/hyperlink" Target="http://www.sec.gov/Archives/edgar/data/918646/000095013404008774/d15917exv10w5.txt" TargetMode="External"/><Relationship Id="rId240" Type="http://schemas.openxmlformats.org/officeDocument/2006/relationships/hyperlink" Target="http://www.sec.gov/Archives/edgar/data/918646/000095013404008774/d15917exv10w9.txt" TargetMode="External"/><Relationship Id="rId241" Type="http://schemas.openxmlformats.org/officeDocument/2006/relationships/hyperlink" Target="http://www.sec.gov/Archives/edgar/data/918646/000119312520147444/d934029dex101.htm" TargetMode="External"/><Relationship Id="rId242" Type="http://schemas.openxmlformats.org/officeDocument/2006/relationships/hyperlink" Target="http://www.sec.gov/Archives/edgar/data/918646/000119312520147444/d934029dex102.htm" TargetMode="External"/><Relationship Id="rId244" Type="http://schemas.openxmlformats.org/officeDocument/2006/relationships/hyperlink" Target="http://www.sec.gov/Archives/edgar/data/918646/000119312519181237/d767495dex101.htm" TargetMode="External"/><Relationship Id="rId245" Type="http://schemas.openxmlformats.org/officeDocument/2006/relationships/hyperlink" Target="http://www.sec.gov/Archives/edgar/data/918646/000119312519181237/d767495dex102.htm" TargetMode="External"/><Relationship Id="rId246" Type="http://schemas.openxmlformats.org/officeDocument/2006/relationships/hyperlink" Target="http://www.sec.gov/Archives/edgar/data/918646/000119312519181237/d767495dex103.htm" TargetMode="External"/><Relationship Id="rId247" Type="http://schemas.openxmlformats.org/officeDocument/2006/relationships/hyperlink" Target="http://www.sec.gov/Archives/edgar/data/918646/000119312519181237/d767495dex104.htm" TargetMode="External"/><Relationship Id="rId248" Type="http://schemas.openxmlformats.org/officeDocument/2006/relationships/hyperlink" Target="http://www.sec.gov/Archives/edgar/data/918646/000156459019027178/exp-ex108_10.htm" TargetMode="External"/><Relationship Id="rId249" Type="http://schemas.openxmlformats.org/officeDocument/2006/relationships/hyperlink" Target="http://www.sec.gov/Archives/edgar/data/918646/000156459019027178/exp-ex109_6.htm" TargetMode="External"/><Relationship Id="rId250" Type="http://schemas.openxmlformats.org/officeDocument/2006/relationships/hyperlink" Target="http://www.sec.gov/Archives/edgar/data/918646/000156459019027178/exp-ex1010_13.htm" TargetMode="External"/><Relationship Id="rId251" Type="http://schemas.openxmlformats.org/officeDocument/2006/relationships/hyperlink" Target="http://www.sec.gov/Archives/edgar/data/918646/000156459019027178/exp-ex1011_7.htm" TargetMode="External"/><Relationship Id="rId252" Type="http://schemas.openxmlformats.org/officeDocument/2006/relationships/hyperlink" Target="http://www.sec.gov/Archives/edgar/data/918646/000156459020034976/exp-ex103_394.htm" TargetMode="External"/><Relationship Id="rId253" Type="http://schemas.openxmlformats.org/officeDocument/2006/relationships/hyperlink" Target="http://www.sec.gov/Archives/edgar/data/918646/000156459020034976/exp-ex104_395.htm" TargetMode="External"/><Relationship Id="rId254" Type="http://schemas.openxmlformats.org/officeDocument/2006/relationships/hyperlink" Target="http://www.sec.gov/Archives/edgar/data/918646/000156459020034976/exp-ex105_393.htm" TargetMode="External"/><Relationship Id="rId255" Type="http://schemas.openxmlformats.org/officeDocument/2006/relationships/hyperlink" Target="http://www.sec.gov/Archives/edgar/data/918646/000156459020034976/exp-ex106_392.htm" TargetMode="External"/><Relationship Id="rId256" Type="http://schemas.openxmlformats.org/officeDocument/2006/relationships/hyperlink" Target="http://www.sec.gov/Archives/edgar/data/918646/000156459020048977/exp-ex101_244.htm" TargetMode="External"/><Relationship Id="rId257" Type="http://schemas.openxmlformats.org/officeDocument/2006/relationships/hyperlink" Target="http://www.sec.gov/Archives/edgar/data/918646/000156459021003065/exp-ex102_244.htm" TargetMode="External"/><Relationship Id="rId258" Type="http://schemas.openxmlformats.org/officeDocument/2006/relationships/hyperlink" Target="http://www.sec.gov/Archives/edgar/data/918646/000156459020048977/exp-ex102_242.htm" TargetMode="External"/><Relationship Id="rId260" Type="http://schemas.openxmlformats.org/officeDocument/2006/relationships/hyperlink" Target="http://www.sec.gov/Archives/edgar/data/918646/000156459020003268/exp-ex103_38.htm" TargetMode="External"/><Relationship Id="rId261" Type="http://schemas.openxmlformats.org/officeDocument/2006/relationships/hyperlink" Target="http://www.sec.gov/Archives/edgar/data/918646/000156459020026773/exp-ex10_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2021-05-21T16:43:59Z</dcterms:created>
  <dcterms:modified xsi:type="dcterms:W3CDTF">2021-05-21T16:43:59Z</dcterms:modified>
</cp:coreProperties>
</file>