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4" w:space="1" w:color="000000"/>
        </w:pBdr>
        <w:bidi w:val="0"/>
        <w:jc w:val="left"/>
        <w:rPr/>
      </w:pPr>
      <w:bookmarkStart w:id="0" w:name="exp-20250930.htm"/>
      <w:bookmarkStart w:id="1" w:name="ksexp20250930"/>
      <w:bookmarkEnd w:id="0"/>
      <w:bookmarkEnd w:id="1"/>
      <w:r>
        <w:rPr/>
        <w:t> </w:t>
      </w:r>
    </w:p>
    <w:p>
      <w:pPr>
        <w:pStyle w:val="TextBody"/>
        <w:bidi w:val="0"/>
        <w:spacing w:before="60" w:after="283"/>
        <w:jc w:val="center"/>
        <w:rPr>
          <w:rFonts w:ascii="Times New Roman" w:hAnsi="Times New Roman"/>
          <w:sz w:val="20"/>
        </w:rPr>
      </w:pPr>
      <w:r>
        <w:rPr>
          <w:rFonts w:ascii="Arial" w:hAnsi="Arial"/>
          <w:b/>
          <w:color w:val="000000"/>
          <w:sz w:val="28"/>
        </w:rPr>
        <w:t>UNITED STATES 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60" w:after="283"/>
        <w:jc w:val="center"/>
        <w:rPr>
          <w:rFonts w:ascii="Arial" w:hAnsi="Arial"/>
          <w:b/>
          <w:color w:val="000000"/>
          <w:sz w:val="28"/>
        </w:rPr>
      </w:pPr>
      <w:r>
        <w:rPr>
          <w:rFonts w:ascii="Arial" w:hAnsi="Arial"/>
          <w:b/>
          <w:color w:val="000000"/>
          <w:sz w:val="28"/>
        </w:rPr>
        <w:t>FORM 10-Q</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sz w:val="20"/>
        </w:rPr>
      </w:pPr>
      <w:r>
        <w:rPr>
          <w:rFonts w:ascii="Arial" w:hAnsi="Arial"/>
          <w:b/>
          <w:color w:val="000000"/>
          <w:sz w:val="20"/>
        </w:rPr>
        <w:t>QUARTERLY REPORT</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Arial" w:hAnsi="Arial"/>
          <w:b/>
          <w:color w:val="000000"/>
          <w:sz w:val="20"/>
        </w:rPr>
        <w:t>Pursuant to Section 13 or 15(d) of the Securities Exchange Act of 1934</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Arial" w:hAnsi="Arial"/>
          <w:b/>
          <w:color w:val="000000"/>
          <w:sz w:val="20"/>
        </w:rPr>
        <w:t>For the Quarterly Period Ended</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Arial" w:hAnsi="Arial"/>
          <w:b/>
          <w:color w:val="000000"/>
          <w:sz w:val="20"/>
        </w:rPr>
        <w:t>September 30, 2025</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Arial" w:hAnsi="Arial"/>
          <w:b/>
          <w:color w:val="000000"/>
          <w:sz w:val="20"/>
        </w:rPr>
        <w:t>Commission File Number 1-12984</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60" w:after="283"/>
        <w:jc w:val="center"/>
        <w:rPr/>
      </w:pPr>
      <w:r>
        <w:rPr/>
        <w:drawing>
          <wp:inline distT="0" distB="0" distL="0" distR="0">
            <wp:extent cx="120967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09675" cy="552450"/>
                    </a:xfrm>
                    <a:prstGeom prst="rect">
                      <a:avLst/>
                    </a:prstGeom>
                  </pic:spPr>
                </pic:pic>
              </a:graphicData>
            </a:graphic>
          </wp:inline>
        </w:drawing>
      </w:r>
    </w:p>
    <w:p>
      <w:pPr>
        <w:pStyle w:val="TextBody"/>
        <w:bidi w:val="0"/>
        <w:spacing w:before="60" w:after="283"/>
        <w:jc w:val="center"/>
        <w:rPr>
          <w:rFonts w:ascii="Times New Roman" w:hAnsi="Times New Roman"/>
          <w:sz w:val="20"/>
        </w:rPr>
      </w:pPr>
      <w:r>
        <w:rPr>
          <w:rFonts w:ascii="Arial" w:hAnsi="Arial"/>
          <w:b/>
          <w:color w:val="000000"/>
          <w:sz w:val="40"/>
        </w:rPr>
        <w:t>EAGLE MATERIALS INC.</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(Exact name of registrant as specified in its charter)</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sz w:val="20"/>
        </w:rPr>
      </w:pPr>
      <w:r>
        <w:rPr>
          <w:rFonts w:ascii="Arial" w:hAnsi="Arial"/>
          <w:b/>
          <w:color w:val="000000"/>
          <w:sz w:val="20"/>
        </w:rPr>
        <w:t>Delaware</w:t>
      </w:r>
      <w:r>
        <w:rPr>
          <w:rFonts w:ascii="Times New Roman" w:hAnsi="Times New Roman"/>
          <w:color w:val="000000"/>
          <w:sz w:val="20"/>
        </w:rPr>
        <w:t xml:space="preserve"> </w:t>
      </w:r>
      <w:r>
        <w:rPr>
          <w:rFonts w:ascii="Arial" w:hAnsi="Arial"/>
          <w:color w:val="000000"/>
          <w:sz w:val="18"/>
        </w:rPr>
        <w:t>(State of Incorporation)</w:t>
      </w:r>
    </w:p>
    <w:p>
      <w:pPr>
        <w:pStyle w:val="TextBody"/>
        <w:bidi w:val="0"/>
        <w:spacing w:before="60" w:after="283"/>
        <w:jc w:val="center"/>
        <w:rPr>
          <w:rFonts w:ascii="Times New Roman" w:hAnsi="Times New Roman"/>
          <w:sz w:val="20"/>
        </w:rPr>
      </w:pPr>
      <w:r>
        <w:rPr>
          <w:rFonts w:ascii="Arial" w:hAnsi="Arial"/>
          <w:b/>
          <w:color w:val="000000"/>
          <w:sz w:val="20"/>
        </w:rPr>
        <w:t>75-2520779</w:t>
      </w:r>
      <w:r>
        <w:rPr>
          <w:rFonts w:ascii="Times New Roman" w:hAnsi="Times New Roman"/>
          <w:color w:val="000000"/>
          <w:sz w:val="20"/>
        </w:rPr>
        <w:t xml:space="preserve"> </w:t>
      </w:r>
      <w:r>
        <w:rPr>
          <w:rFonts w:ascii="Arial" w:hAnsi="Arial"/>
          <w:color w:val="000000"/>
          <w:sz w:val="18"/>
        </w:rPr>
        <w:t>(I.R.S. Employer Identification No.)</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Arial" w:hAnsi="Arial"/>
          <w:b/>
          <w:color w:val="000000"/>
          <w:sz w:val="20"/>
        </w:rPr>
        <w:t>5960 Berkshire Lane, Suite 900, Dallas, Texas</w:t>
      </w:r>
      <w:r>
        <w:rPr>
          <w:rFonts w:ascii="Times New Roman" w:hAnsi="Times New Roman"/>
          <w:color w:val="000000"/>
          <w:sz w:val="20"/>
        </w:rPr>
        <w:t xml:space="preserve"> </w:t>
      </w:r>
      <w:r>
        <w:rPr>
          <w:rFonts w:ascii="Arial" w:hAnsi="Arial"/>
          <w:b/>
          <w:color w:val="000000"/>
          <w:sz w:val="20"/>
        </w:rPr>
        <w:t>75225</w:t>
      </w:r>
      <w:r>
        <w:rPr>
          <w:rFonts w:ascii="Times New Roman" w:hAnsi="Times New Roman"/>
          <w:color w:val="000000"/>
          <w:sz w:val="20"/>
        </w:rPr>
        <w:t xml:space="preserve"> </w:t>
      </w:r>
      <w:r>
        <w:rPr>
          <w:rFonts w:ascii="Arial" w:hAnsi="Arial"/>
          <w:color w:val="000000"/>
          <w:sz w:val="18"/>
        </w:rPr>
        <w:t>(Address of principal executive offices)</w:t>
      </w:r>
      <w:r>
        <w:rPr>
          <w:rFonts w:ascii="Times New Roman" w:hAnsi="Times New Roman"/>
          <w:color w:val="000000"/>
          <w:sz w:val="20"/>
        </w:rPr>
        <w:t xml:space="preserve"> </w:t>
      </w:r>
    </w:p>
    <w:p>
      <w:pPr>
        <w:pStyle w:val="TextBody"/>
        <w:bidi w:val="0"/>
        <w:spacing w:before="60" w:after="60"/>
        <w:jc w:val="center"/>
        <w:rPr>
          <w:rFonts w:ascii="Times New Roman" w:hAnsi="Times New Roman"/>
          <w:sz w:val="20"/>
        </w:rPr>
      </w:pPr>
      <w:r>
        <w:rPr>
          <w:rFonts w:ascii="Arial" w:hAnsi="Arial"/>
          <w:b/>
          <w:color w:val="000000"/>
          <w:sz w:val="20"/>
        </w:rPr>
        <w:t>(214) 432-2000</w:t>
      </w:r>
      <w:r>
        <w:rPr>
          <w:rFonts w:ascii="Times New Roman" w:hAnsi="Times New Roman"/>
          <w:color w:val="000000"/>
          <w:sz w:val="20"/>
        </w:rPr>
        <w:t xml:space="preserve"> </w:t>
      </w:r>
      <w:r>
        <w:rPr>
          <w:rFonts w:ascii="Arial" w:hAnsi="Arial"/>
          <w:color w:val="000000"/>
          <w:sz w:val="18"/>
        </w:rPr>
        <w:t>(Registrant’s telephone number, including area code)</w:t>
      </w:r>
      <w:r>
        <w:rPr>
          <w:rFonts w:ascii="Times New Roman" w:hAnsi="Times New Roman"/>
          <w:color w:val="000000"/>
          <w:sz w:val="20"/>
        </w:rPr>
        <w:t xml:space="preserve"> </w:t>
      </w:r>
    </w:p>
    <w:p>
      <w:pPr>
        <w:pStyle w:val="TextBody"/>
        <w:pBdr>
          <w:bottom w:val="single" w:sz="8" w:space="1" w:color="000000"/>
        </w:pBdr>
        <w:bidi w:val="0"/>
        <w:jc w:val="left"/>
        <w:rPr/>
      </w:pPr>
      <w:r>
        <w:rPr/>
        <w:t> </w:t>
      </w:r>
    </w:p>
    <w:p>
      <w:pPr>
        <w:pStyle w:val="TextBody"/>
        <w:bidi w:val="0"/>
        <w:spacing w:before="60" w:after="283"/>
        <w:jc w:val="both"/>
        <w:rPr>
          <w:rFonts w:ascii="Arial" w:hAnsi="Arial"/>
          <w:color w:val="000000"/>
          <w:sz w:val="20"/>
        </w:rPr>
      </w:pPr>
      <w:r>
        <w:rPr>
          <w:rFonts w:ascii="Arial" w:hAnsi="Arial"/>
          <w:color w:val="000000"/>
          <w:sz w:val="20"/>
        </w:rPr>
        <w:t>Securities registered pursuant to Section 12(b) of the Act:</w:t>
      </w:r>
    </w:p>
    <w:p>
      <w:pPr>
        <w:pStyle w:val="TextBody"/>
        <w:bidi w:val="0"/>
        <w:jc w:val="both"/>
        <w:rPr/>
      </w:pPr>
      <w:r>
        <w:rPr/>
        <w:t> </w:t>
      </w:r>
    </w:p>
    <w:tbl>
      <w:tblPr>
        <w:tblW w:w="8395" w:type="dxa"/>
        <w:jc w:val="left"/>
        <w:tblInd w:w="0" w:type="dxa"/>
        <w:tblLayout w:type="fixed"/>
        <w:tblCellMar>
          <w:top w:w="28" w:type="dxa"/>
          <w:left w:w="28" w:type="dxa"/>
          <w:bottom w:w="28" w:type="dxa"/>
          <w:right w:w="28" w:type="dxa"/>
        </w:tblCellMar>
      </w:tblPr>
      <w:tblGrid>
        <w:gridCol w:w="3526"/>
        <w:gridCol w:w="146"/>
        <w:gridCol w:w="916"/>
        <w:gridCol w:w="146"/>
        <w:gridCol w:w="366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5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Trading</w:t>
            </w:r>
          </w:p>
          <w:p>
            <w:pPr>
              <w:pStyle w:val="TableContents"/>
              <w:bidi w:val="0"/>
              <w:spacing w:before="0" w:after="283"/>
              <w:jc w:val="center"/>
              <w:rPr>
                <w:rFonts w:ascii="Arial" w:hAnsi="Arial"/>
                <w:b/>
                <w:color w:val="000000"/>
                <w:sz w:val="16"/>
              </w:rPr>
            </w:pPr>
            <w:r>
              <w:rPr>
                <w:rFonts w:ascii="Arial" w:hAnsi="Arial"/>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35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Common Stock (par value $.01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EXP</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New York Stock Exchange</w:t>
            </w:r>
          </w:p>
        </w:tc>
      </w:tr>
      <w:tr>
        <w:trPr/>
        <w:tc>
          <w:tcPr>
            <w:tcW w:w="35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Common Stock (par value $.01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EXP</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NYSE Texas, Inc.</w:t>
            </w:r>
          </w:p>
        </w:tc>
      </w:tr>
    </w:tbl>
    <w:p>
      <w:pPr>
        <w:pStyle w:val="TextBody"/>
        <w:bidi w:val="0"/>
        <w:jc w:val="both"/>
        <w:rPr/>
      </w:pPr>
      <w:r>
        <w:rPr/>
        <w:t> </w:t>
      </w:r>
    </w:p>
    <w:p>
      <w:pPr>
        <w:pStyle w:val="TextBody"/>
        <w:bidi w:val="0"/>
        <w:spacing w:before="60" w:after="283"/>
        <w:jc w:val="left"/>
        <w:rPr>
          <w:rFonts w:ascii="Times New Roman" w:hAnsi="Times New Roman"/>
          <w:sz w:val="20"/>
        </w:rPr>
      </w:pPr>
      <w:r>
        <w:rPr>
          <w:rFonts w:ascii="Arial" w:hAnsi="Arial"/>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20"/>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Arial" w:hAnsi="Arial"/>
          <w:color w:val="000000"/>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w:hAnsi="Arial"/>
          <w:caps/>
          <w:color w:val="000000"/>
          <w:sz w:val="20"/>
        </w:rPr>
        <w:t>Y</w:t>
      </w:r>
      <w:r>
        <w:rPr>
          <w:rFonts w:ascii="Arial" w:hAnsi="Arial"/>
          <w:color w:val="000000"/>
          <w:sz w:val="20"/>
        </w:rPr>
        <w:t>es</w:t>
      </w:r>
      <w:r>
        <w:rPr>
          <w:rFonts w:ascii="Times New Roman" w:hAnsi="Times New Roman"/>
          <w:color w:val="000000"/>
          <w:sz w:val="20"/>
        </w:rPr>
        <w:t xml:space="preserve"> ☒ </w:t>
      </w:r>
      <w:r>
        <w:rPr>
          <w:rFonts w:ascii="Arial" w:hAnsi="Arial"/>
          <w:color w:val="000000"/>
          <w:sz w:val="20"/>
        </w:rPr>
        <w:t xml:space="preserve">No </w:t>
      </w:r>
      <w:r>
        <w:rPr>
          <w:rFonts w:ascii="Times New Roman" w:hAnsi="Times New Roman"/>
          <w:color w:val="000000"/>
          <w:sz w:val="20"/>
        </w:rPr>
        <w:t>☐</w:t>
      </w:r>
    </w:p>
    <w:p>
      <w:pPr>
        <w:pStyle w:val="TextBody"/>
        <w:bidi w:val="0"/>
        <w:spacing w:before="60" w:after="283"/>
        <w:jc w:val="left"/>
        <w:rPr>
          <w:rFonts w:ascii="Arial" w:hAnsi="Arial"/>
          <w:color w:val="000000"/>
          <w:sz w:val="20"/>
        </w:rPr>
      </w:pPr>
      <w:r>
        <w:rPr>
          <w:rFonts w:ascii="Arial" w:hAnsi="Arial"/>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977" w:type="dxa"/>
        <w:jc w:val="left"/>
        <w:tblInd w:w="0" w:type="dxa"/>
        <w:tblLayout w:type="fixed"/>
        <w:tblCellMar>
          <w:top w:w="28" w:type="dxa"/>
          <w:left w:w="28" w:type="dxa"/>
          <w:bottom w:w="28" w:type="dxa"/>
          <w:right w:w="28" w:type="dxa"/>
        </w:tblCellMar>
      </w:tblPr>
      <w:tblGrid>
        <w:gridCol w:w="2431"/>
        <w:gridCol w:w="146"/>
        <w:gridCol w:w="316"/>
        <w:gridCol w:w="146"/>
        <w:gridCol w:w="2431"/>
        <w:gridCol w:w="146"/>
        <w:gridCol w:w="36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Arial" w:hAnsi="Arial"/>
          <w:color w:val="000000"/>
          <w:sz w:val="20"/>
        </w:rPr>
        <w:t>Indicate by check mark whether the registrant is a shell company (as defined in Rule 12b-2 of the Exchange 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 xml:space="preserve">Yes </w:t>
      </w:r>
      <w:r>
        <w:rPr>
          <w:rFonts w:ascii="Times New Roman" w:hAnsi="Times New Roman"/>
          <w:color w:val="000000"/>
          <w:sz w:val="20"/>
        </w:rPr>
        <w:t xml:space="preserve">☐ </w:t>
      </w:r>
      <w:r>
        <w:rPr>
          <w:rFonts w:ascii="Arial" w:hAnsi="Arial"/>
          <w:color w:val="000000"/>
          <w:sz w:val="20"/>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Arial" w:hAnsi="Arial"/>
          <w:color w:val="000000"/>
          <w:sz w:val="20"/>
        </w:rPr>
        <w:t>As of October 27, 2025, the number of outstanding shares of common stock was:</w:t>
      </w:r>
      <w:r>
        <w:rPr>
          <w:rFonts w:ascii="Times New Roman" w:hAnsi="Times New Roman"/>
          <w:color w:val="000000"/>
          <w:sz w:val="20"/>
        </w:rPr>
        <w:t xml:space="preserve"> </w:t>
      </w:r>
    </w:p>
    <w:p>
      <w:pPr>
        <w:pStyle w:val="TextBody"/>
        <w:bidi w:val="0"/>
        <w:jc w:val="left"/>
        <w:rPr/>
      </w:pPr>
      <w:r>
        <w:rPr/>
        <w:t> </w:t>
      </w:r>
    </w:p>
    <w:tbl>
      <w:tblPr>
        <w:tblW w:w="4986" w:type="dxa"/>
        <w:jc w:val="left"/>
        <w:tblInd w:w="0" w:type="dxa"/>
        <w:tblLayout w:type="fixed"/>
        <w:tblCellMar>
          <w:top w:w="28" w:type="dxa"/>
          <w:left w:w="28" w:type="dxa"/>
          <w:bottom w:w="28" w:type="dxa"/>
          <w:right w:w="28" w:type="dxa"/>
        </w:tblCellMar>
      </w:tblPr>
      <w:tblGrid>
        <w:gridCol w:w="2881"/>
        <w:gridCol w:w="109"/>
        <w:gridCol w:w="1996"/>
      </w:tblGrid>
      <w:tr>
        <w:trPr/>
        <w:tc>
          <w:tcPr>
            <w:tcW w:w="2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28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Outstanding Shares</w:t>
            </w:r>
          </w:p>
        </w:tc>
      </w:tr>
      <w:tr>
        <w:trPr/>
        <w:tc>
          <w:tcPr>
            <w:tcW w:w="288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Common Stock, $.01 Par Value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32,063,877</w:t>
            </w:r>
          </w:p>
        </w:tc>
      </w:tr>
    </w:tbl>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b/>
          <w:color w:val="000000"/>
          <w:sz w:val="22"/>
          <w:u w:val="single"/>
        </w:rPr>
      </w:pPr>
      <w:r>
        <w:rPr>
          <w:rFonts w:ascii="Arial" w:hAnsi="Arial"/>
          <w:b/>
          <w:color w:val="000000"/>
          <w:sz w:val="22"/>
          <w:u w:val="single"/>
        </w:rPr>
        <w:t>TABLE OF CONTENTS</w:t>
      </w:r>
    </w:p>
    <w:p>
      <w:pPr>
        <w:pStyle w:val="TextBody"/>
        <w:bidi w:val="0"/>
        <w:spacing w:before="120" w:after="283"/>
        <w:jc w:val="left"/>
        <w:rPr/>
      </w:pPr>
      <w:r>
        <w:rPr/>
        <w:t> </w:t>
      </w:r>
    </w:p>
    <w:p>
      <w:pPr>
        <w:pStyle w:val="TextBody"/>
        <w:bidi w:val="0"/>
        <w:spacing w:before="120" w:after="283"/>
        <w:jc w:val="left"/>
        <w:rPr>
          <w:rFonts w:ascii="Arial" w:hAnsi="Arial"/>
          <w:b/>
          <w:color w:val="000000"/>
          <w:sz w:val="22"/>
          <w:u w:val="single"/>
        </w:rPr>
      </w:pPr>
      <w:r>
        <w:rPr>
          <w:rFonts w:ascii="Arial" w:hAnsi="Arial"/>
          <w:b/>
          <w:color w:val="000000"/>
          <w:sz w:val="22"/>
          <w:u w:val="single"/>
        </w:rPr>
        <w:t>PART I. FINANCIAL INFORMATION (UNAUDITED)</w:t>
      </w:r>
    </w:p>
    <w:tbl>
      <w:tblPr>
        <w:tblW w:w="10205" w:type="dxa"/>
        <w:jc w:val="left"/>
        <w:tblInd w:w="0" w:type="dxa"/>
        <w:tblLayout w:type="fixed"/>
        <w:tblCellMar>
          <w:top w:w="28" w:type="dxa"/>
          <w:left w:w="28" w:type="dxa"/>
          <w:bottom w:w="28" w:type="dxa"/>
          <w:right w:w="28" w:type="dxa"/>
        </w:tblCellMar>
      </w:tblPr>
      <w:tblGrid>
        <w:gridCol w:w="763"/>
        <w:gridCol w:w="391"/>
        <w:gridCol w:w="8303"/>
        <w:gridCol w:w="146"/>
        <w:gridCol w:w="602"/>
      </w:tblGrid>
      <w:tr>
        <w:trPr/>
        <w:tc>
          <w:tcPr>
            <w:tcW w:w="76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3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Page</w:t>
            </w:r>
          </w:p>
        </w:tc>
      </w:tr>
      <w:tr>
        <w:trPr/>
        <w:tc>
          <w:tcPr>
            <w:tcW w:w="76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1.</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Consolidated Financial Statements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solidated_statement_of_earnings">
              <w:r>
                <w:rPr>
                  <w:rStyle w:val="InternetLink"/>
                  <w:rFonts w:ascii="Arial" w:hAnsi="Arial"/>
                  <w:color w:val="000000"/>
                  <w:sz w:val="20"/>
                </w:rPr>
                <w:t>Consolidated Statements of Earnings for the Three and Six Months Ended September 30, 2025</w:t>
              </w:r>
            </w:hyperlink>
            <w:r>
              <w:rPr>
                <w:rFonts w:ascii="Times New Roman" w:hAnsi="Times New Roman"/>
                <w:color w:val="000000"/>
                <w:sz w:val="20"/>
              </w:rPr>
              <w:t> </w:t>
            </w:r>
            <w:r>
              <w:rPr>
                <w:rFonts w:ascii="Arial" w:hAnsi="Arial"/>
                <w:color w:val="000000"/>
                <w:sz w:val="20"/>
              </w:rPr>
              <w:t>and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s_stmt_comprehensive_income">
              <w:r>
                <w:rPr>
                  <w:rStyle w:val="InternetLink"/>
                  <w:rFonts w:ascii="Arial" w:hAnsi="Arial"/>
                  <w:color w:val="000000"/>
                  <w:sz w:val="20"/>
                </w:rPr>
                <w:t>Consolidated Statements of Comprehensive Earnings for the</w:t>
              </w:r>
            </w:hyperlink>
            <w:hyperlink w:anchor="cons_stmt_comprehensive_income">
              <w:r>
                <w:rPr>
                  <w:rStyle w:val="InternetLink"/>
                  <w:rFonts w:ascii="Times New Roman" w:hAnsi="Times New Roman"/>
                  <w:color w:val="000000"/>
                  <w:sz w:val="24"/>
                </w:rPr>
                <w:t xml:space="preserve"> </w:t>
              </w:r>
            </w:hyperlink>
            <w:hyperlink w:anchor="consolidated_statement_of_earnings">
              <w:r>
                <w:rPr>
                  <w:rStyle w:val="InternetLink"/>
                  <w:rFonts w:ascii="Arial" w:hAnsi="Arial"/>
                  <w:color w:val="000000"/>
                  <w:sz w:val="20"/>
                </w:rPr>
                <w:t>Three and Six Months Ended September 30, 2025</w:t>
              </w:r>
            </w:hyperlink>
            <w:r>
              <w:rPr>
                <w:rFonts w:ascii="Times New Roman" w:hAnsi="Times New Roman"/>
                <w:color w:val="000000"/>
                <w:sz w:val="24"/>
              </w:rPr>
              <w:t xml:space="preserve"> </w:t>
            </w:r>
            <w:r>
              <w:rPr>
                <w:rFonts w:ascii="Arial" w:hAnsi="Arial"/>
                <w:color w:val="000000"/>
                <w:sz w:val="20"/>
              </w:rPr>
              <w:t>and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jc w:val="left"/>
              <w:rPr/>
            </w:pPr>
            <w:hyperlink w:anchor="cons_balance_sheet">
              <w:r>
                <w:rPr>
                  <w:rStyle w:val="InternetLink"/>
                  <w:rFonts w:ascii="Arial" w:hAnsi="Arial"/>
                  <w:color w:val="000000"/>
                  <w:sz w:val="20"/>
                </w:rPr>
                <w:t>Consolidated Balance Sheets as of September 30, 2025, and March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s_stmt_cash_flows">
              <w:r>
                <w:rPr>
                  <w:rStyle w:val="InternetLink"/>
                  <w:rFonts w:ascii="Arial" w:hAnsi="Arial"/>
                  <w:color w:val="000000"/>
                  <w:sz w:val="20"/>
                </w:rPr>
                <w:t>Consolidated Statements of Cash Flows for the</w:t>
              </w:r>
            </w:hyperlink>
            <w:hyperlink w:anchor="cons_stmt_cash_flows">
              <w:r>
                <w:rPr>
                  <w:rStyle w:val="InternetLink"/>
                  <w:rFonts w:ascii="Times New Roman" w:hAnsi="Times New Roman"/>
                  <w:color w:val="000000"/>
                  <w:sz w:val="20"/>
                </w:rPr>
                <w:t xml:space="preserve"> </w:t>
              </w:r>
            </w:hyperlink>
            <w:hyperlink w:anchor="consolidated_statement_of_earnings">
              <w:r>
                <w:rPr>
                  <w:rStyle w:val="InternetLink"/>
                  <w:rFonts w:ascii="Arial" w:hAnsi="Arial"/>
                  <w:color w:val="000000"/>
                  <w:sz w:val="20"/>
                </w:rPr>
                <w:t>Six Months Ended September 30, 2025</w:t>
              </w:r>
            </w:hyperlink>
            <w:r>
              <w:rPr>
                <w:rFonts w:ascii="Times New Roman" w:hAnsi="Times New Roman"/>
                <w:color w:val="000000"/>
                <w:sz w:val="20"/>
              </w:rPr>
              <w:t> </w:t>
            </w:r>
            <w:r>
              <w:rPr>
                <w:rFonts w:ascii="Arial" w:hAnsi="Arial"/>
                <w:color w:val="000000"/>
                <w:sz w:val="20"/>
              </w:rPr>
              <w:t>and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s_stmt_stockholders_equity">
              <w:r>
                <w:rPr>
                  <w:rStyle w:val="InternetLink"/>
                  <w:rFonts w:ascii="Arial" w:hAnsi="Arial"/>
                  <w:color w:val="000080"/>
                  <w:sz w:val="20"/>
                </w:rPr>
                <w:t>Consolidated Statements of Stockholders' Equity for the Three and Six Months Ended September 30, 2025 and 20</w:t>
              </w:r>
            </w:hyperlink>
            <w:r>
              <w:rPr>
                <w:rFonts w:ascii="Arial" w:hAnsi="Arial"/>
                <w:color w:val="000000"/>
                <w:sz w:val="20"/>
              </w:rPr>
              <w:t>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Arial" w:hAnsi="Arial"/>
                  <w:color w:val="000000"/>
                  <w:sz w:val="20"/>
                </w:rPr>
                <w:t>Notes to Unaudited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2.</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jc w:val="left"/>
              <w:rPr/>
            </w:pPr>
            <w:hyperlink w:anchor="item_7_managements_discussion_and">
              <w:r>
                <w:rPr>
                  <w:rStyle w:val="InternetLink"/>
                  <w:rFonts w:ascii="Arial" w:hAnsi="Arial"/>
                  <w:color w:val="000000"/>
                  <w:sz w:val="20"/>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3.</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jc w:val="left"/>
              <w:rPr/>
            </w:pPr>
            <w:hyperlink w:anchor="item_3">
              <w:r>
                <w:rPr>
                  <w:rStyle w:val="InternetLink"/>
                  <w:rFonts w:ascii="Arial" w:hAnsi="Arial"/>
                  <w:color w:val="000000"/>
                  <w:sz w:val="20"/>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4.</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Arial" w:hAnsi="Arial"/>
                  <w:color w:val="000000"/>
                  <w:sz w:val="20"/>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120" w:after="120"/>
              <w:jc w:val="left"/>
              <w:rPr/>
            </w:pPr>
            <w:hyperlink w:anchor="part_ii">
              <w:r>
                <w:rPr>
                  <w:rStyle w:val="InternetLink"/>
                  <w:rFonts w:ascii="Arial" w:hAnsi="Arial"/>
                  <w:b/>
                  <w:color w:val="000000"/>
                  <w:sz w:val="22"/>
                  <w:u w:val="single"/>
                </w:rPr>
                <w:t>PART II. OTHER INFORMATION</w:t>
              </w:r>
            </w:hyperlink>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1.</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00"/>
                  <w:sz w:val="20"/>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1a.</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jc w:val="left"/>
              <w:rPr/>
            </w:pPr>
            <w:hyperlink w:anchor="item_1a">
              <w:r>
                <w:rPr>
                  <w:rStyle w:val="InternetLink"/>
                  <w:rFonts w:ascii="Arial" w:hAnsi="Arial"/>
                  <w:color w:val="000000"/>
                  <w:sz w:val="20"/>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2.</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jc w:val="left"/>
              <w:rPr/>
            </w:pPr>
            <w:hyperlink w:anchor="item_2_unregistered_sales">
              <w:r>
                <w:rPr>
                  <w:rStyle w:val="InternetLink"/>
                  <w:rFonts w:ascii="Arial" w:hAnsi="Arial"/>
                  <w:color w:val="000000"/>
                  <w:sz w:val="20"/>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4.</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jc w:val="left"/>
              <w:rPr/>
            </w:pPr>
            <w:hyperlink w:anchor="item_4_mine_safety">
              <w:r>
                <w:rPr>
                  <w:rStyle w:val="InternetLink"/>
                  <w:rFonts w:ascii="Arial" w:hAnsi="Arial"/>
                  <w:color w:val="000000"/>
                  <w:sz w:val="20"/>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5.</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Arial" w:hAnsi="Arial"/>
                  <w:color w:val="000000"/>
                  <w:sz w:val="20"/>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6.</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00"/>
                  <w:sz w:val="20"/>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57"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b/>
                  <w:color w:val="000000"/>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6"/>
        </w:rPr>
      </w:pPr>
      <w:r>
        <w:rPr>
          <w:rFonts w:ascii="Arial" w:hAnsi="Arial"/>
          <w:b/>
          <w:color w:val="000000"/>
          <w:sz w:val="26"/>
        </w:rPr>
        <w:t>PART I. FINANCIAL INFORMATION (UNAUDITED)</w:t>
      </w:r>
    </w:p>
    <w:p>
      <w:pPr>
        <w:pStyle w:val="TextBody"/>
        <w:bidi w:val="0"/>
        <w:jc w:val="left"/>
        <w:rPr/>
      </w:pPr>
      <w:r>
        <w:rPr/>
        <w:t> </w:t>
      </w:r>
    </w:p>
    <w:p>
      <w:pPr>
        <w:pStyle w:val="TextBody"/>
        <w:bidi w:val="0"/>
        <w:jc w:val="left"/>
        <w:rPr>
          <w:rFonts w:ascii="Arial" w:hAnsi="Arial"/>
          <w:b/>
          <w:color w:val="000000"/>
          <w:sz w:val="26"/>
        </w:rPr>
      </w:pPr>
      <w:r>
        <w:rPr>
          <w:rFonts w:ascii="Arial" w:hAnsi="Arial"/>
          <w:b/>
          <w:color w:val="000000"/>
          <w:sz w:val="26"/>
        </w:rPr>
        <w:t>Item 1. Consolidated Financial Statements</w:t>
      </w:r>
    </w:p>
    <w:p>
      <w:pPr>
        <w:pStyle w:val="TextBody"/>
        <w:bidi w:val="0"/>
        <w:jc w:val="left"/>
        <w:rPr/>
      </w:pPr>
      <w:r>
        <w:rPr/>
        <w:t> </w:t>
      </w:r>
    </w:p>
    <w:p>
      <w:pPr>
        <w:pStyle w:val="TextBody"/>
        <w:bidi w:val="0"/>
        <w:jc w:val="left"/>
        <w:rPr>
          <w:rFonts w:ascii="Arial" w:hAnsi="Arial"/>
          <w:b/>
          <w:color w:val="000000"/>
          <w:sz w:val="20"/>
        </w:rPr>
      </w:pPr>
      <w:bookmarkStart w:id="2" w:name="consolidated_statement_of_earnings"/>
      <w:bookmarkEnd w:id="2"/>
      <w:r>
        <w:rPr>
          <w:rFonts w:ascii="Arial" w:hAnsi="Arial"/>
          <w:b/>
          <w:color w:val="000000"/>
          <w:sz w:val="20"/>
        </w:rPr>
        <w:t>EAGLE MATERIALS INC. AND SUBSIDIARIES CONSOLIDATED STATEMENTS OF EARNINGS (unaudited)</w:t>
      </w:r>
    </w:p>
    <w:p>
      <w:pPr>
        <w:pStyle w:val="TextBody"/>
        <w:bidi w:val="0"/>
        <w:jc w:val="left"/>
        <w:rPr/>
      </w:pPr>
      <w:r>
        <w:rPr/>
        <w:t> </w:t>
      </w:r>
    </w:p>
    <w:tbl>
      <w:tblPr>
        <w:tblW w:w="9111" w:type="dxa"/>
        <w:jc w:val="left"/>
        <w:tblInd w:w="0" w:type="dxa"/>
        <w:tblLayout w:type="fixed"/>
        <w:tblCellMar>
          <w:top w:w="28" w:type="dxa"/>
          <w:left w:w="28" w:type="dxa"/>
          <w:bottom w:w="28" w:type="dxa"/>
          <w:right w:w="28" w:type="dxa"/>
        </w:tblCellMar>
      </w:tblPr>
      <w:tblGrid>
        <w:gridCol w:w="2171"/>
        <w:gridCol w:w="146"/>
        <w:gridCol w:w="181"/>
        <w:gridCol w:w="171"/>
        <w:gridCol w:w="935"/>
        <w:gridCol w:w="177"/>
        <w:gridCol w:w="171"/>
        <w:gridCol w:w="212"/>
        <w:gridCol w:w="171"/>
        <w:gridCol w:w="935"/>
        <w:gridCol w:w="151"/>
        <w:gridCol w:w="146"/>
        <w:gridCol w:w="181"/>
        <w:gridCol w:w="171"/>
        <w:gridCol w:w="935"/>
        <w:gridCol w:w="177"/>
        <w:gridCol w:w="171"/>
        <w:gridCol w:w="212"/>
        <w:gridCol w:w="171"/>
        <w:gridCol w:w="935"/>
        <w:gridCol w:w="591"/>
      </w:tblGrid>
      <w:tr>
        <w:trPr/>
        <w:tc>
          <w:tcPr>
            <w:tcW w:w="2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6"/>
              </w:rPr>
            </w:pPr>
            <w:r>
              <w:rPr>
                <w:rFonts w:ascii="Arial Narrow;sans-serif" w:hAnsi="Arial Narrow;sans-serif"/>
                <w:b/>
                <w:color w:val="000000"/>
                <w:sz w:val="16"/>
              </w:rPr>
              <w:t>For the Three Months Ended</w:t>
              <w:br/>
              <w:t>September 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6"/>
              </w:rPr>
            </w:pPr>
            <w:r>
              <w:rPr>
                <w:rFonts w:ascii="Arial Narrow;sans-serif" w:hAnsi="Arial Narrow;sans-serif"/>
                <w:b/>
                <w:color w:val="000000"/>
                <w:sz w:val="16"/>
              </w:rPr>
              <w:t>For the Six Months Ended</w:t>
              <w:br/>
              <w:t>September 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6"/>
              </w:rPr>
            </w:pPr>
            <w:r>
              <w:rPr>
                <w:rFonts w:ascii="Arial Narrow;sans-serif" w:hAnsi="Arial Narrow;sans-serif"/>
                <w:b/>
                <w:color w:val="000000"/>
                <w:sz w:val="16"/>
              </w:rPr>
              <w:t>2025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6"/>
              </w:rPr>
            </w:pPr>
            <w:r>
              <w:rPr>
                <w:rFonts w:ascii="Arial Narrow;sans-serif" w:hAnsi="Arial Narrow;sans-serif"/>
                <w:b/>
                <w:color w:val="000000"/>
                <w:sz w:val="16"/>
              </w:rPr>
              <w:t>2024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6"/>
              </w:rPr>
            </w:pPr>
            <w:r>
              <w:rPr>
                <w:rFonts w:ascii="Arial Narrow;sans-serif" w:hAnsi="Arial Narrow;sans-serif"/>
                <w:b/>
                <w:color w:val="000000"/>
                <w:sz w:val="16"/>
              </w:rPr>
              <w:t>2025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6"/>
              </w:rPr>
            </w:pPr>
            <w:r>
              <w:rPr>
                <w:rFonts w:ascii="Arial Narrow;sans-serif" w:hAnsi="Arial Narrow;sans-serif"/>
                <w:b/>
                <w:color w:val="000000"/>
                <w:sz w:val="16"/>
              </w:rPr>
              <w:t>2024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 except share and per share data)</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 except share and per share data)</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17"/>
              </w:rPr>
            </w:pPr>
            <w:r>
              <w:rPr>
                <w:rFonts w:ascii="Arial Narrow;sans-serif" w:hAnsi="Arial Narrow;sans-serif"/>
                <w:b/>
                <w:color w:val="004483"/>
                <w:sz w:val="17"/>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638,906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623,619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1,273,596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1,232,308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17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17"/>
              </w:rPr>
            </w:pPr>
            <w:r>
              <w:rPr>
                <w:rFonts w:ascii="Arial Narrow;sans-serif" w:hAnsi="Arial Narrow;sans-serif"/>
                <w:b/>
                <w:color w:val="004483"/>
                <w:sz w:val="17"/>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439,194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419,775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888,285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841,596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17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b/>
                <w:color w:val="004483"/>
                <w:sz w:val="17"/>
              </w:rPr>
            </w:pPr>
            <w:r>
              <w:rPr>
                <w:rFonts w:ascii="Arial Narrow;sans-serif" w:hAnsi="Arial Narrow;sans-serif"/>
                <w:b/>
                <w:color w:val="004483"/>
                <w:sz w:val="17"/>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199,712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203,844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385,311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390,712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17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17"/>
              </w:rPr>
            </w:pPr>
            <w:r>
              <w:rPr>
                <w:rFonts w:ascii="Arial Narrow;sans-serif" w:hAnsi="Arial Narrow;sans-serif"/>
                <w:b/>
                <w:color w:val="004483"/>
                <w:sz w:val="17"/>
              </w:rPr>
              <w:t>Equity in Earnings of</w:t>
              <w:br/>
              <w:t>   Unconsolidated Joint</w:t>
              <w:br/>
              <w: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6,309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9,276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10,113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16,992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17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17"/>
              </w:rPr>
            </w:pPr>
            <w:r>
              <w:rPr>
                <w:rFonts w:ascii="Arial Narrow;sans-serif" w:hAnsi="Arial Narrow;sans-serif"/>
                <w:b/>
                <w:color w:val="004483"/>
                <w:sz w:val="17"/>
              </w:rPr>
              <w:t>Corporate General and</w:t>
              <w:br/>
              <w:t>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(21,316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(17,879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(42,099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(33,528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Arial Narrow;sans-serif" w:hAnsi="Arial Narrow;sans-serif"/>
                <w:color w:val="000000"/>
                <w:sz w:val="17"/>
              </w:rPr>
            </w:pPr>
            <w:r>
              <w:rPr>
                <w:rFonts w:ascii="Arial Narrow;sans-serif" w:hAnsi="Arial Narrow;sans-serif"/>
                <w:color w:val="000000"/>
                <w:sz w:val="17"/>
              </w:rPr>
              <w:t>)</w:t>
            </w:r>
          </w:p>
        </w:tc>
      </w:tr>
      <w:tr>
        <w:trPr/>
        <w:tc>
          <w:tcPr>
            <w:tcW w:w="217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17"/>
              </w:rPr>
            </w:pPr>
            <w:r>
              <w:rPr>
                <w:rFonts w:ascii="Arial Narrow;sans-serif" w:hAnsi="Arial Narrow;sans-serif"/>
                <w:b/>
                <w:color w:val="004483"/>
                <w:sz w:val="17"/>
              </w:rPr>
              <w:t>Other Non-Operating</w:t>
              <w:br/>
              <w: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1,131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724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2,085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3,407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17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17"/>
              </w:rPr>
            </w:pPr>
            <w:r>
              <w:rPr>
                <w:rFonts w:ascii="Arial Narrow;sans-serif" w:hAnsi="Arial Narrow;sans-serif"/>
                <w:b/>
                <w:color w:val="004483"/>
                <w:sz w:val="17"/>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(9,362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(10,714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(21,078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(21,398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Arial Narrow;sans-serif" w:hAnsi="Arial Narrow;sans-serif"/>
                <w:color w:val="000000"/>
                <w:sz w:val="17"/>
              </w:rPr>
            </w:pPr>
            <w:r>
              <w:rPr>
                <w:rFonts w:ascii="Arial Narrow;sans-serif" w:hAnsi="Arial Narrow;sans-serif"/>
                <w:color w:val="000000"/>
                <w:sz w:val="17"/>
              </w:rPr>
              <w:t>)</w:t>
            </w:r>
          </w:p>
        </w:tc>
      </w:tr>
      <w:tr>
        <w:trPr/>
        <w:tc>
          <w:tcPr>
            <w:tcW w:w="217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b/>
                <w:color w:val="004483"/>
                <w:sz w:val="17"/>
              </w:rPr>
            </w:pPr>
            <w:r>
              <w:rPr>
                <w:rFonts w:ascii="Arial Narrow;sans-serif" w:hAnsi="Arial Narrow;sans-serif"/>
                <w:b/>
                <w:color w:val="004483"/>
                <w:sz w:val="17"/>
              </w:rPr>
              <w:t>Earnings Before Income</w:t>
              <w:br/>
              <w:t>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176,474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185,251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334,332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356,185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17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17"/>
              </w:rPr>
            </w:pPr>
            <w:r>
              <w:rPr>
                <w:rFonts w:ascii="Arial Narrow;sans-serif" w:hAnsi="Arial Narrow;sans-serif"/>
                <w:b/>
                <w:color w:val="004483"/>
                <w:sz w:val="17"/>
              </w:rPr>
              <w:t>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(39,091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(41,731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(73,587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(78,823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Arial Narrow;sans-serif" w:hAnsi="Arial Narrow;sans-serif"/>
                <w:color w:val="000000"/>
                <w:sz w:val="17"/>
              </w:rPr>
            </w:pPr>
            <w:r>
              <w:rPr>
                <w:rFonts w:ascii="Arial Narrow;sans-serif" w:hAnsi="Arial Narrow;sans-serif"/>
                <w:color w:val="000000"/>
                <w:sz w:val="17"/>
              </w:rPr>
              <w:t>)</w:t>
            </w:r>
          </w:p>
        </w:tc>
      </w:tr>
      <w:tr>
        <w:trPr/>
        <w:tc>
          <w:tcPr>
            <w:tcW w:w="217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b/>
                <w:color w:val="000000"/>
                <w:sz w:val="17"/>
              </w:rPr>
            </w:pPr>
            <w:r>
              <w:rPr>
                <w:rFonts w:ascii="Arial Narrow;sans-serif" w:hAnsi="Arial Narrow;sans-serif"/>
                <w:b/>
                <w:color w:val="000000"/>
                <w:sz w:val="17"/>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137,383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143,520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260,745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277,362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171" w:type="dxa"/>
            <w:tcBorders>
              <w:bottom w:val="single" w:sz="4" w:space="0" w:color="A3A3A3"/>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17"/>
              </w:rPr>
            </w:pPr>
            <w:r>
              <w:rPr>
                <w:rFonts w:ascii="Arial Narrow;sans-serif" w:hAnsi="Arial Narrow;sans-serif"/>
                <w:b/>
                <w:color w:val="004483"/>
                <w:sz w:val="17"/>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4.25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8.03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8.26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17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17"/>
              </w:rPr>
            </w:pPr>
            <w:r>
              <w:rPr>
                <w:rFonts w:ascii="Arial Narrow;sans-serif" w:hAnsi="Arial Narrow;sans-serif"/>
                <w:b/>
                <w:color w:val="004483"/>
                <w:sz w:val="17"/>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4.23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7.99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8.19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17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WEIGHTED-AVERAGE</w:t>
              <w:br/>
              <w:t>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17"/>
              </w:rPr>
            </w:pPr>
            <w:r>
              <w:rPr>
                <w:rFonts w:ascii="Arial Narrow;sans-serif" w:hAnsi="Arial Narrow;sans-serif"/>
                <w:b/>
                <w:color w:val="004483"/>
                <w:sz w:val="17"/>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32,297,313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33,431,315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32,459,801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33,581,970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17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17"/>
              </w:rPr>
            </w:pPr>
            <w:r>
              <w:rPr>
                <w:rFonts w:ascii="Arial Narrow;sans-serif" w:hAnsi="Arial Narrow;sans-serif"/>
                <w:b/>
                <w:color w:val="004483"/>
                <w:sz w:val="17"/>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32,469,833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33,716,036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32,638,307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33,853,703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17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CASH DIVIDENDS PER</w:t>
              <w:br/>
              <w:t>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0.25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0.25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0.50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0.50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sz w:val="20"/>
        </w:rPr>
      </w:pPr>
      <w:r>
        <w:rPr>
          <w:rFonts w:ascii="Arial" w:hAnsi="Arial"/>
          <w:i/>
          <w:color w:val="000000"/>
          <w:sz w:val="20"/>
        </w:rPr>
        <w:t>See Notes to Unaudited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3" w:name="cons_stmt_comprehensive_income"/>
      <w:bookmarkEnd w:id="3"/>
      <w:r>
        <w:rPr>
          <w:rFonts w:ascii="Arial" w:hAnsi="Arial"/>
          <w:b/>
          <w:color w:val="000000"/>
          <w:sz w:val="20"/>
        </w:rPr>
        <w:t>EAGLE MATERIALS INC. AND SUBSIDIARIES CONSOLIDATED STATEMENTS OF COMPREHENSIVE EARNINGS (unaudited)</w:t>
      </w:r>
    </w:p>
    <w:p>
      <w:pPr>
        <w:pStyle w:val="TextBody"/>
        <w:bidi w:val="0"/>
        <w:jc w:val="left"/>
        <w:rPr/>
      </w:pPr>
      <w:r>
        <w:rPr/>
        <w:t> </w:t>
      </w:r>
    </w:p>
    <w:p>
      <w:pPr>
        <w:pStyle w:val="TextBody"/>
        <w:bidi w:val="0"/>
        <w:jc w:val="left"/>
        <w:rPr/>
      </w:pPr>
      <w:r>
        <w:rPr/>
        <w:t> </w:t>
      </w:r>
    </w:p>
    <w:tbl>
      <w:tblPr>
        <w:tblW w:w="7466" w:type="dxa"/>
        <w:jc w:val="left"/>
        <w:tblInd w:w="0" w:type="dxa"/>
        <w:tblLayout w:type="fixed"/>
        <w:tblCellMar>
          <w:top w:w="28" w:type="dxa"/>
          <w:left w:w="28" w:type="dxa"/>
          <w:bottom w:w="28" w:type="dxa"/>
          <w:right w:w="28" w:type="dxa"/>
        </w:tblCellMar>
      </w:tblPr>
      <w:tblGrid>
        <w:gridCol w:w="2326"/>
        <w:gridCol w:w="146"/>
        <w:gridCol w:w="181"/>
        <w:gridCol w:w="146"/>
        <w:gridCol w:w="601"/>
        <w:gridCol w:w="151"/>
        <w:gridCol w:w="146"/>
        <w:gridCol w:w="181"/>
        <w:gridCol w:w="146"/>
        <w:gridCol w:w="601"/>
        <w:gridCol w:w="151"/>
        <w:gridCol w:w="146"/>
        <w:gridCol w:w="181"/>
        <w:gridCol w:w="146"/>
        <w:gridCol w:w="601"/>
        <w:gridCol w:w="151"/>
        <w:gridCol w:w="146"/>
        <w:gridCol w:w="181"/>
        <w:gridCol w:w="146"/>
        <w:gridCol w:w="601"/>
        <w:gridCol w:w="3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6"/>
              </w:rPr>
            </w:pPr>
            <w:r>
              <w:rPr>
                <w:rFonts w:ascii="Arial Narrow;sans-serif" w:hAnsi="Arial Narrow;sans-serif"/>
                <w:b/>
                <w:color w:val="000000"/>
                <w:sz w:val="16"/>
              </w:rPr>
              <w:t>For the Three Months Ended</w:t>
              <w:br/>
              <w:t>September 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6"/>
              </w:rPr>
            </w:pPr>
            <w:r>
              <w:rPr>
                <w:rFonts w:ascii="Arial Narrow;sans-serif" w:hAnsi="Arial Narrow;sans-serif"/>
                <w:b/>
                <w:color w:val="000000"/>
                <w:sz w:val="16"/>
              </w:rPr>
              <w:t>For the Six Months Ended</w:t>
              <w:br/>
              <w:t>September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6"/>
              </w:rPr>
            </w:pPr>
            <w:r>
              <w:rPr>
                <w:rFonts w:ascii="Arial Narrow;sans-serif" w:hAnsi="Arial Narrow;sans-serif"/>
                <w:b/>
                <w:color w:val="000000"/>
                <w:sz w:val="16"/>
              </w:rPr>
              <w:t>2025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6"/>
              </w:rPr>
            </w:pPr>
            <w:r>
              <w:rPr>
                <w:rFonts w:ascii="Arial Narrow;sans-serif" w:hAnsi="Arial Narrow;sans-serif"/>
                <w:b/>
                <w:color w:val="000000"/>
                <w:sz w:val="16"/>
              </w:rPr>
              <w:t>2024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6"/>
              </w:rPr>
            </w:pPr>
            <w:r>
              <w:rPr>
                <w:rFonts w:ascii="Arial Narrow;sans-serif" w:hAnsi="Arial Narrow;sans-serif"/>
                <w:b/>
                <w:color w:val="000000"/>
                <w:sz w:val="16"/>
              </w:rPr>
              <w:t>2025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6"/>
              </w:rPr>
            </w:pPr>
            <w:r>
              <w:rPr>
                <w:rFonts w:ascii="Arial Narrow;sans-serif" w:hAnsi="Arial Narrow;sans-serif"/>
                <w:b/>
                <w:color w:val="000000"/>
                <w:sz w:val="16"/>
              </w:rPr>
              <w:t>2024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9"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137,383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143,520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260,745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277,362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Net Actuarial Change in Defined</w:t>
              <w:br/>
              <w:t>   Benefit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17"/>
              </w:rPr>
            </w:pPr>
            <w:r>
              <w:rPr>
                <w:rFonts w:ascii="Arial Narrow;sans-serif" w:hAnsi="Arial Narrow;sans-serif"/>
                <w:b/>
                <w:color w:val="004483"/>
                <w:sz w:val="17"/>
              </w:rPr>
              <w:t>Amortization of Net Actuarial</w:t>
              <w:br/>
              <w: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120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32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17"/>
              </w:rPr>
            </w:pPr>
            <w:r>
              <w:rPr>
                <w:rFonts w:ascii="Arial Narrow;sans-serif" w:hAnsi="Arial Narrow;sans-serif"/>
                <w:b/>
                <w:color w:val="004483"/>
                <w:sz w:val="17"/>
              </w:rPr>
              <w:t>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Arial Narrow;sans-serif" w:hAnsi="Arial Narrow;sans-serif"/>
                <w:color w:val="000000"/>
                <w:sz w:val="17"/>
              </w:rPr>
            </w:pPr>
            <w:r>
              <w:rPr>
                <w:rFonts w:ascii="Arial Narrow;sans-serif" w:hAnsi="Arial Narrow;sans-serif"/>
                <w:color w:val="000000"/>
                <w:sz w:val="17"/>
              </w:rPr>
              <w:t>)</w:t>
            </w:r>
          </w:p>
        </w:tc>
      </w:tr>
      <w:tr>
        <w:trPr/>
        <w:tc>
          <w:tcPr>
            <w:tcW w:w="232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Comprehensive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137,424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143,565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260,827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277,452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i/>
          <w:color w:val="000000"/>
          <w:sz w:val="20"/>
        </w:rPr>
      </w:pPr>
      <w:r>
        <w:rPr>
          <w:rFonts w:ascii="Arial" w:hAnsi="Arial"/>
          <w:i/>
          <w:color w:val="000000"/>
          <w:sz w:val="20"/>
        </w:rPr>
        <w:t>See Notes to Unaudited Consolidated Financial Statements.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4" w:name="cons_balance_sheet"/>
      <w:bookmarkEnd w:id="4"/>
      <w:r>
        <w:rPr>
          <w:rFonts w:ascii="Arial" w:hAnsi="Arial"/>
          <w:b/>
          <w:color w:val="000000"/>
          <w:sz w:val="20"/>
        </w:rPr>
        <w:t>EAGLE MATERIALS INC. AND SUBSIDIARIES CONSOLIDATED BALANCE SHEETS (unaudited)</w:t>
      </w:r>
    </w:p>
    <w:p>
      <w:pPr>
        <w:pStyle w:val="TextBody"/>
        <w:bidi w:val="0"/>
        <w:jc w:val="left"/>
        <w:rPr/>
      </w:pPr>
      <w:r>
        <w:rPr/>
        <w:t> </w:t>
      </w:r>
    </w:p>
    <w:tbl>
      <w:tblPr>
        <w:tblW w:w="9309" w:type="dxa"/>
        <w:jc w:val="left"/>
        <w:tblInd w:w="0" w:type="dxa"/>
        <w:tblLayout w:type="fixed"/>
        <w:tblCellMar>
          <w:top w:w="28" w:type="dxa"/>
          <w:left w:w="28" w:type="dxa"/>
          <w:bottom w:w="28" w:type="dxa"/>
          <w:right w:w="28" w:type="dxa"/>
        </w:tblCellMar>
      </w:tblPr>
      <w:tblGrid>
        <w:gridCol w:w="6281"/>
        <w:gridCol w:w="146"/>
        <w:gridCol w:w="181"/>
        <w:gridCol w:w="179"/>
        <w:gridCol w:w="886"/>
        <w:gridCol w:w="151"/>
        <w:gridCol w:w="146"/>
        <w:gridCol w:w="181"/>
        <w:gridCol w:w="146"/>
        <w:gridCol w:w="721"/>
        <w:gridCol w:w="291"/>
      </w:tblGrid>
      <w:tr>
        <w:trPr/>
        <w:tc>
          <w:tcPr>
            <w:tcW w:w="6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6"/>
              </w:rPr>
            </w:pPr>
            <w:r>
              <w:rPr>
                <w:rFonts w:ascii="Arial Narrow;sans-serif" w:hAnsi="Arial Narrow;sans-serif"/>
                <w:b/>
                <w:color w:val="000000"/>
                <w:sz w:val="16"/>
              </w:rPr>
              <w:t>September 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6"/>
              </w:rPr>
            </w:pPr>
            <w:r>
              <w:rPr>
                <w:rFonts w:ascii="Arial Narrow;sans-serif" w:hAnsi="Arial Narrow;sans-serif"/>
                <w:b/>
                <w:color w:val="000000"/>
                <w:sz w:val="16"/>
              </w:rPr>
              <w:t>March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6"/>
              </w:rPr>
            </w:pPr>
            <w:r>
              <w:rPr>
                <w:rFonts w:ascii="Arial Narrow;sans-serif" w:hAnsi="Arial Narrow;sans-serif"/>
                <w:b/>
                <w:color w:val="000000"/>
                <w:sz w:val="16"/>
              </w:rPr>
              <w:t>2025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6"/>
              </w:rPr>
            </w:pPr>
            <w:r>
              <w:rPr>
                <w:rFonts w:ascii="Arial Narrow;sans-serif" w:hAnsi="Arial Narrow;sans-serif"/>
                <w:b/>
                <w:color w:val="000000"/>
                <w:sz w:val="16"/>
              </w:rPr>
              <w:t>2025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0"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17"/>
              </w:rPr>
            </w:pPr>
            <w:r>
              <w:rPr>
                <w:rFonts w:ascii="Arial Narrow;sans-serif" w:hAnsi="Arial Narrow;sans-serif"/>
                <w:b/>
                <w:color w:val="004483"/>
                <w:sz w:val="17"/>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35,033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20,401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17"/>
              </w:rPr>
            </w:pPr>
            <w:r>
              <w:rPr>
                <w:rFonts w:ascii="Arial Narrow;sans-serif" w:hAnsi="Arial Narrow;sans-serif"/>
                <w:b/>
                <w:color w:val="004483"/>
                <w:sz w:val="17"/>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250,773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212,332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17"/>
              </w:rPr>
            </w:pPr>
            <w:r>
              <w:rPr>
                <w:rFonts w:ascii="Arial Narrow;sans-serif" w:hAnsi="Arial Narrow;sans-serif"/>
                <w:b/>
                <w:color w:val="004483"/>
                <w:sz w:val="17"/>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370,207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415,175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17"/>
              </w:rPr>
            </w:pPr>
            <w:r>
              <w:rPr>
                <w:rFonts w:ascii="Arial Narrow;sans-serif" w:hAnsi="Arial Narrow;sans-serif"/>
                <w:b/>
                <w:color w:val="004483"/>
                <w:sz w:val="17"/>
              </w:rPr>
              <w:t>Income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1,725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10,020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17"/>
              </w:rPr>
            </w:pPr>
            <w:r>
              <w:rPr>
                <w:rFonts w:ascii="Arial Narrow;sans-serif" w:hAnsi="Arial Narrow;sans-serif"/>
                <w:b/>
                <w:color w:val="004483"/>
                <w:sz w:val="17"/>
              </w:rPr>
              <w:t>Prepaid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13,562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10,729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671,300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668,657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1,909,715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1,792,982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Investment in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150,202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140,089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30,991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29,313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Goodwill and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590,560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595,752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56,510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37,795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3,409,278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3,264,588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1"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17"/>
              </w:rPr>
            </w:pPr>
            <w:r>
              <w:rPr>
                <w:rFonts w:ascii="Arial Narrow;sans-serif" w:hAnsi="Arial Narrow;sans-serif"/>
                <w:b/>
                <w:color w:val="004483"/>
                <w:sz w:val="17"/>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132,917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129,895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17"/>
              </w:rPr>
            </w:pPr>
            <w:r>
              <w:rPr>
                <w:rFonts w:ascii="Arial Narrow;sans-serif" w:hAnsi="Arial Narrow;sans-serif"/>
                <w:b/>
                <w:color w:val="004483"/>
                <w:sz w:val="17"/>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92,823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96,077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17"/>
              </w:rPr>
            </w:pPr>
            <w:r>
              <w:rPr>
                <w:rFonts w:ascii="Arial Narrow;sans-serif" w:hAnsi="Arial Narrow;sans-serif"/>
                <w:b/>
                <w:color w:val="004483"/>
                <w:sz w:val="17"/>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4,522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4,032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17"/>
              </w:rPr>
            </w:pPr>
            <w:r>
              <w:rPr>
                <w:rFonts w:ascii="Arial Narrow;sans-serif" w:hAnsi="Arial Narrow;sans-serif"/>
                <w:b/>
                <w:color w:val="004483"/>
                <w:sz w:val="17"/>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1,949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1"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17"/>
              </w:rPr>
            </w:pPr>
            <w:r>
              <w:rPr>
                <w:rFonts w:ascii="Arial Narrow;sans-serif" w:hAnsi="Arial Narrow;sans-serif"/>
                <w:b/>
                <w:color w:val="004483"/>
                <w:sz w:val="17"/>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15,000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15,000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247,211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245,004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1,271,450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1,223,316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34,248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33,597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66,240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66,029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253,071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239,942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1,872,220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1,807,888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Arial Narrow;sans-serif" w:hAnsi="Arial Narrow;sans-serif"/>
                <w:b/>
                <w:color w:val="004483"/>
                <w:sz w:val="17"/>
              </w:rPr>
              <w:t>Preferred Stock, Par Value $0.01; Authorized 5,000,000</w:t>
            </w:r>
            <w:r>
              <w:rPr>
                <w:rFonts w:ascii="Times New Roman" w:hAnsi="Times New Roman"/>
                <w:color w:val="004483"/>
                <w:sz w:val="20"/>
              </w:rPr>
              <w:t> </w:t>
            </w:r>
            <w:r>
              <w:rPr>
                <w:rFonts w:ascii="Arial Narrow;sans-serif" w:hAnsi="Arial Narrow;sans-serif"/>
                <w:b/>
                <w:color w:val="004483"/>
                <w:sz w:val="17"/>
              </w:rPr>
              <w:t>Shares; None</w:t>
            </w:r>
            <w:r>
              <w:rPr>
                <w:rFonts w:ascii="Times New Roman" w:hAnsi="Times New Roman"/>
                <w:color w:val="004483"/>
                <w:sz w:val="20"/>
              </w:rPr>
              <w:t> </w:t>
            </w:r>
            <w:r>
              <w:rPr>
                <w:rFonts w:ascii="Arial Narrow;sans-serif" w:hAnsi="Arial Narrow;sans-serif"/>
                <w:b/>
                <w:color w:val="004483"/>
                <w:sz w:val="17"/>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Arial Narrow;sans-serif" w:hAnsi="Arial Narrow;sans-serif"/>
                <w:b/>
                <w:color w:val="004483"/>
                <w:sz w:val="17"/>
              </w:rPr>
              <w:t>Common Stock, Par Value $0.01; Authorized 100,000,000</w:t>
            </w:r>
            <w:r>
              <w:rPr>
                <w:rFonts w:ascii="Times New Roman" w:hAnsi="Times New Roman"/>
                <w:color w:val="004483"/>
                <w:sz w:val="20"/>
              </w:rPr>
              <w:t> </w:t>
            </w:r>
            <w:r>
              <w:rPr>
                <w:rFonts w:ascii="Arial Narrow;sans-serif" w:hAnsi="Arial Narrow;sans-serif"/>
                <w:b/>
                <w:color w:val="004483"/>
                <w:sz w:val="17"/>
              </w:rPr>
              <w:t>Shares; Issued and Outstanding</w:t>
              <w:br/>
              <w:t>   32,202,392</w:t>
            </w:r>
            <w:r>
              <w:rPr>
                <w:rFonts w:ascii="Times New Roman" w:hAnsi="Times New Roman"/>
                <w:color w:val="004483"/>
                <w:sz w:val="20"/>
              </w:rPr>
              <w:t> </w:t>
            </w:r>
            <w:r>
              <w:rPr>
                <w:rFonts w:ascii="Arial Narrow;sans-serif" w:hAnsi="Arial Narrow;sans-serif"/>
                <w:b/>
                <w:color w:val="004483"/>
                <w:sz w:val="17"/>
              </w:rPr>
              <w:t>and 32,973,121</w:t>
            </w:r>
            <w:r>
              <w:rPr>
                <w:rFonts w:ascii="Times New Roman" w:hAnsi="Times New Roman"/>
                <w:color w:val="004483"/>
                <w:sz w:val="20"/>
              </w:rPr>
              <w:t> </w:t>
            </w:r>
            <w:r>
              <w:rPr>
                <w:rFonts w:ascii="Arial Narrow;sans-serif" w:hAnsi="Arial Narrow;sans-serif"/>
                <w:b/>
                <w:color w:val="004483"/>
                <w:sz w:val="17"/>
              </w:rPr>
              <w:t>Shares,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17"/>
              </w:rPr>
            </w:pPr>
            <w:r>
              <w:rPr>
                <w:rFonts w:ascii="Arial Narrow;sans-serif" w:hAnsi="Arial Narrow;sans-serif"/>
                <w:b/>
                <w:color w:val="004483"/>
                <w:sz w:val="17"/>
              </w:rPr>
              <w:t>Capital in Excess of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17"/>
              </w:rPr>
            </w:pPr>
            <w:r>
              <w:rPr>
                <w:rFonts w:ascii="Arial Narrow;sans-serif" w:hAnsi="Arial Narrow;sans-serif"/>
                <w:b/>
                <w:color w:val="004483"/>
                <w:sz w:val="17"/>
              </w:rPr>
              <w:t>Accumulated Other Comprehensive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(3,043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(3,125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17"/>
              </w:rPr>
            </w:pPr>
            <w:r>
              <w:rPr>
                <w:rFonts w:ascii="Arial Narrow;sans-serif" w:hAnsi="Arial Narrow;sans-serif"/>
                <w:b/>
                <w:color w:val="004483"/>
                <w:sz w:val="17"/>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1,539,779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1,459,495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1,537,058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1,456,700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3,409,278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3,264,588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i/>
          <w:color w:val="000000"/>
          <w:sz w:val="20"/>
        </w:rPr>
      </w:pPr>
      <w:r>
        <w:rPr>
          <w:rFonts w:ascii="Arial" w:hAnsi="Arial"/>
          <w:i/>
          <w:color w:val="000000"/>
          <w:sz w:val="20"/>
        </w:rPr>
        <w:t>See Notes to Unaudited Consolidated Financial Statements.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5" w:name="cons_stmt_cash_flows"/>
      <w:bookmarkEnd w:id="5"/>
      <w:r>
        <w:rPr>
          <w:rFonts w:ascii="Arial" w:hAnsi="Arial"/>
          <w:b/>
          <w:color w:val="000000"/>
          <w:sz w:val="20"/>
        </w:rPr>
        <w:t>EAGLE MATERIALS INC. AND SUBSIDIARIES CONSOLIDATED STATEMENTS OF CASH FLOWS (unaudited)</w:t>
      </w:r>
    </w:p>
    <w:p>
      <w:pPr>
        <w:pStyle w:val="TextBody"/>
        <w:bidi w:val="0"/>
        <w:jc w:val="left"/>
        <w:rPr/>
      </w:pPr>
      <w:r>
        <w:rPr/>
        <w:t> </w:t>
      </w:r>
    </w:p>
    <w:tbl>
      <w:tblPr>
        <w:tblW w:w="8469" w:type="dxa"/>
        <w:jc w:val="left"/>
        <w:tblInd w:w="0" w:type="dxa"/>
        <w:tblLayout w:type="fixed"/>
        <w:tblCellMar>
          <w:top w:w="28" w:type="dxa"/>
          <w:left w:w="28" w:type="dxa"/>
          <w:bottom w:w="28" w:type="dxa"/>
          <w:right w:w="28" w:type="dxa"/>
        </w:tblCellMar>
      </w:tblPr>
      <w:tblGrid>
        <w:gridCol w:w="5236"/>
        <w:gridCol w:w="146"/>
        <w:gridCol w:w="219"/>
        <w:gridCol w:w="176"/>
        <w:gridCol w:w="783"/>
        <w:gridCol w:w="183"/>
        <w:gridCol w:w="176"/>
        <w:gridCol w:w="176"/>
        <w:gridCol w:w="219"/>
        <w:gridCol w:w="176"/>
        <w:gridCol w:w="783"/>
        <w:gridCol w:w="196"/>
      </w:tblGrid>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1"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6"/>
              </w:rPr>
            </w:pPr>
            <w:r>
              <w:rPr>
                <w:rFonts w:ascii="Arial Narrow;sans-serif" w:hAnsi="Arial Narrow;sans-serif"/>
                <w:b/>
                <w:color w:val="000000"/>
                <w:sz w:val="16"/>
              </w:rPr>
              <w:t>For the Six Months Ended September 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6"/>
              </w:rPr>
            </w:pPr>
            <w:r>
              <w:rPr>
                <w:rFonts w:ascii="Arial Narrow;sans-serif" w:hAnsi="Arial Narrow;sans-serif"/>
                <w:b/>
                <w:color w:val="000000"/>
                <w:sz w:val="16"/>
              </w:rPr>
              <w:t>2025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6"/>
              </w:rPr>
            </w:pPr>
            <w:r>
              <w:rPr>
                <w:rFonts w:ascii="Arial Narrow;sans-serif" w:hAnsi="Arial Narrow;sans-serif"/>
                <w:b/>
                <w:color w:val="000000"/>
                <w:sz w:val="16"/>
              </w:rPr>
              <w:t>2024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4"/>
              </w:rPr>
            </w:pPr>
            <w:r>
              <w:rPr>
                <w:rFonts w:ascii="Arial Narrow;sans-serif" w:hAnsi="Arial Narrow;sans-serif"/>
                <w:color w:val="000000"/>
                <w:sz w:val="14"/>
              </w:rPr>
              <w:t>(dollars in thousands)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CASH FLOWS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260,745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277,362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Adjustments to Reconcile Net Earnings to Net Cash Provided by Operating</w:t>
              <w:br/>
              <w:t>   Activities, Net of Effect of Non-Cash Activity: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Depreciation, Depletion,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82,633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77,427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Deferred 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13,129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936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Stock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10,290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9,403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Equity in Earnings of Unconsolidated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(10,113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(16,992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(38,440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(43,364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44,967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(4,347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3,763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(25,534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(16,279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Income Taxes Payable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7,901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74,000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341,231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365,898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Additions to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(184,635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(99,605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Acquisition Spending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(24,881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(184,635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(124,486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Borrowings Under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130,000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80,000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Repayment of Borrowings Under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(75,000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(95,000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Repayment of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(7,500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(5,000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Dividends Paid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(16,631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(17,001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Purchase and Retirement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(167,700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(146,176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Proceeds from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479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2,205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Shares Redeemed to Settle Employee Taxes on Stock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(5,612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(1,456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7"/>
              </w:rPr>
            </w:pPr>
            <w:r>
              <w:rPr>
                <w:rFonts w:ascii="Arial Narrow;sans-serif" w:hAnsi="Arial Narrow;sans-serif"/>
                <w:b/>
                <w:color w:val="004483"/>
                <w:sz w:val="17"/>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(141,964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(182,428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7"/>
              </w:rPr>
            </w:pPr>
            <w:r>
              <w:rPr>
                <w:rFonts w:ascii="Arial Narrow;sans-serif" w:hAnsi="Arial Narrow;sans-serif"/>
                <w:color w:val="000000"/>
                <w:sz w:val="17"/>
              </w:rPr>
              <w:t>)</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14,632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58,984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20,401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7"/>
              </w:rPr>
            </w:pPr>
            <w:r>
              <w:rPr>
                <w:rFonts w:ascii="Arial Narrow;sans-serif" w:hAnsi="Arial Narrow;sans-serif"/>
                <w:color w:val="000000"/>
                <w:sz w:val="17"/>
              </w:rPr>
              <w:t>34,925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35,033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7"/>
              </w:rPr>
            </w:pPr>
            <w:r>
              <w:rPr>
                <w:rFonts w:ascii="Arial Narrow;sans-serif" w:hAnsi="Arial Narrow;sans-serif"/>
                <w:b/>
                <w:color w:val="000000"/>
                <w:sz w:val="17"/>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7"/>
              </w:rPr>
            </w:pPr>
            <w:r>
              <w:rPr>
                <w:rFonts w:ascii="Arial Narrow;sans-serif" w:hAnsi="Arial Narrow;sans-serif"/>
                <w:b/>
                <w:color w:val="000000"/>
                <w:sz w:val="17"/>
              </w:rPr>
              <w:t>93,909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i/>
          <w:color w:val="000000"/>
          <w:sz w:val="20"/>
        </w:rPr>
      </w:pPr>
      <w:r>
        <w:rPr>
          <w:rFonts w:ascii="Arial" w:hAnsi="Arial"/>
          <w:i/>
          <w:color w:val="000000"/>
          <w:sz w:val="20"/>
        </w:rPr>
        <w:t>See Notes to Unaudited Consolidated Financial Statements.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18"/>
        </w:rPr>
      </w:pPr>
      <w:bookmarkStart w:id="6" w:name="cons_stmt_stockholders_equity"/>
      <w:bookmarkEnd w:id="6"/>
      <w:r>
        <w:rPr>
          <w:rFonts w:ascii="Arial" w:hAnsi="Arial"/>
          <w:b/>
          <w:color w:val="000000"/>
          <w:sz w:val="18"/>
        </w:rPr>
        <w:t>EAGLE MATERIALS INC. AND SUBSIDIARIES CONSOLIDATED STATEMENTS OF STOCKHOLDERS’ EQUITY (unaudited)</w:t>
      </w:r>
    </w:p>
    <w:p>
      <w:pPr>
        <w:pStyle w:val="TextBody"/>
        <w:bidi w:val="0"/>
        <w:jc w:val="left"/>
        <w:rPr/>
      </w:pPr>
      <w:r>
        <w:rPr/>
        <w:t> </w:t>
      </w:r>
    </w:p>
    <w:tbl>
      <w:tblPr>
        <w:tblW w:w="8728" w:type="dxa"/>
        <w:jc w:val="left"/>
        <w:tblInd w:w="0" w:type="dxa"/>
        <w:tblLayout w:type="fixed"/>
        <w:tblCellMar>
          <w:top w:w="28" w:type="dxa"/>
          <w:left w:w="28" w:type="dxa"/>
          <w:bottom w:w="28" w:type="dxa"/>
          <w:right w:w="28" w:type="dxa"/>
        </w:tblCellMar>
      </w:tblPr>
      <w:tblGrid>
        <w:gridCol w:w="2506"/>
        <w:gridCol w:w="146"/>
        <w:gridCol w:w="166"/>
        <w:gridCol w:w="146"/>
        <w:gridCol w:w="346"/>
        <w:gridCol w:w="146"/>
        <w:gridCol w:w="146"/>
        <w:gridCol w:w="146"/>
        <w:gridCol w:w="166"/>
        <w:gridCol w:w="146"/>
        <w:gridCol w:w="406"/>
        <w:gridCol w:w="146"/>
        <w:gridCol w:w="146"/>
        <w:gridCol w:w="146"/>
        <w:gridCol w:w="166"/>
        <w:gridCol w:w="146"/>
        <w:gridCol w:w="586"/>
        <w:gridCol w:w="146"/>
        <w:gridCol w:w="146"/>
        <w:gridCol w:w="146"/>
        <w:gridCol w:w="222"/>
        <w:gridCol w:w="195"/>
        <w:gridCol w:w="544"/>
        <w:gridCol w:w="146"/>
        <w:gridCol w:w="146"/>
        <w:gridCol w:w="146"/>
        <w:gridCol w:w="166"/>
        <w:gridCol w:w="146"/>
        <w:gridCol w:w="586"/>
        <w:gridCol w:w="1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Capital in</w:t>
              <w:br/>
              <w:t>Excess of</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Retained</w:t>
              <w:b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Accumulated</w:t>
              <w:br/>
              <w:t>Other</w:t>
              <w:br/>
              <w:t>Comprehensive</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9"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3"/>
              </w:rPr>
            </w:pPr>
            <w:r>
              <w:rPr>
                <w:rFonts w:ascii="Arial Narrow;sans-serif" w:hAnsi="Arial Narrow;sans-serif"/>
                <w:color w:val="000000"/>
                <w:sz w:val="13"/>
              </w:rPr>
              <w:t>(dollars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Balance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1,311,567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(3,373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1,308,535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3"/>
              </w:rPr>
            </w:pPr>
            <w:r>
              <w:rPr>
                <w:rFonts w:ascii="Arial Narrow;sans-serif" w:hAnsi="Arial Narrow;sans-serif"/>
                <w:b/>
                <w:color w:val="004483"/>
                <w:sz w:val="13"/>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133,842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133,842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3"/>
              </w:rPr>
            </w:pPr>
            <w:r>
              <w:rPr>
                <w:rFonts w:ascii="Arial Narrow;sans-serif" w:hAnsi="Arial Narrow;sans-serif"/>
                <w:b/>
                <w:color w:val="004483"/>
                <w:sz w:val="13"/>
              </w:rPr>
              <w:t>Stock Option Exercises and Restricted Share</w:t>
              <w:br/>
              <w:t>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3"/>
              </w:rPr>
            </w:pPr>
            <w:r>
              <w:rPr>
                <w:rFonts w:ascii="Arial Narrow;sans-serif" w:hAnsi="Arial Narrow;sans-serif"/>
                <w:b/>
                <w:color w:val="004483"/>
                <w:sz w:val="13"/>
              </w:rPr>
              <w:t>Stock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4,539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4,539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3"/>
              </w:rPr>
            </w:pPr>
            <w:r>
              <w:rPr>
                <w:rFonts w:ascii="Arial Narrow;sans-serif" w:hAnsi="Arial Narrow;sans-serif"/>
                <w:b/>
                <w:color w:val="004483"/>
                <w:sz w:val="13"/>
              </w:rPr>
              <w:t>Shares Redeemed to Settle Employee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(1,421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(1,421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r>
      <w:tr>
        <w:trPr/>
        <w:tc>
          <w:tcPr>
            <w:tcW w:w="2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3"/>
              </w:rPr>
            </w:pPr>
            <w:r>
              <w:rPr>
                <w:rFonts w:ascii="Arial Narrow;sans-serif" w:hAnsi="Arial Narrow;sans-serif"/>
                <w:b/>
                <w:color w:val="004483"/>
                <w:sz w:val="13"/>
              </w:rPr>
              <w:t>Purchase and Retirement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(3,174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(83,168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(86,345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r>
      <w:tr>
        <w:trPr/>
        <w:tc>
          <w:tcPr>
            <w:tcW w:w="2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3"/>
              </w:rPr>
            </w:pPr>
            <w:r>
              <w:rPr>
                <w:rFonts w:ascii="Arial Narrow;sans-serif" w:hAnsi="Arial Narrow;sans-serif"/>
                <w:b/>
                <w:color w:val="004483"/>
                <w:sz w:val="13"/>
              </w:rPr>
              <w:t>Dividends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(8,453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(8,453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r>
      <w:tr>
        <w:trPr/>
        <w:tc>
          <w:tcPr>
            <w:tcW w:w="2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3"/>
              </w:rPr>
            </w:pPr>
            <w:r>
              <w:rPr>
                <w:rFonts w:ascii="Arial Narrow;sans-serif" w:hAnsi="Arial Narrow;sans-serif"/>
                <w:b/>
                <w:color w:val="004483"/>
                <w:sz w:val="13"/>
              </w:rPr>
              <w:t>Unfunded Pension Liability,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Balance at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1,353,788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(3,328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1,350,798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3"/>
              </w:rPr>
            </w:pPr>
            <w:r>
              <w:rPr>
                <w:rFonts w:ascii="Arial Narrow;sans-serif" w:hAnsi="Arial Narrow;sans-serif"/>
                <w:b/>
                <w:color w:val="004483"/>
                <w:sz w:val="13"/>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143,520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143,520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3"/>
              </w:rPr>
            </w:pPr>
            <w:r>
              <w:rPr>
                <w:rFonts w:ascii="Arial Narrow;sans-serif" w:hAnsi="Arial Narrow;sans-serif"/>
                <w:b/>
                <w:color w:val="004483"/>
                <w:sz w:val="13"/>
              </w:rPr>
              <w:t>Stock Option Exercises and Restricted Share</w:t>
              <w:br/>
              <w:t>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2,149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2,149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3"/>
              </w:rPr>
            </w:pPr>
            <w:r>
              <w:rPr>
                <w:rFonts w:ascii="Arial Narrow;sans-serif" w:hAnsi="Arial Narrow;sans-serif"/>
                <w:b/>
                <w:color w:val="004483"/>
                <w:sz w:val="13"/>
              </w:rPr>
              <w:t>Stock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4,864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4,864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3"/>
              </w:rPr>
            </w:pPr>
            <w:r>
              <w:rPr>
                <w:rFonts w:ascii="Arial Narrow;sans-serif" w:hAnsi="Arial Narrow;sans-serif"/>
                <w:b/>
                <w:color w:val="004483"/>
                <w:sz w:val="13"/>
              </w:rPr>
              <w:t>Shares Redeemed to Settle Employee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r>
      <w:tr>
        <w:trPr/>
        <w:tc>
          <w:tcPr>
            <w:tcW w:w="2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3"/>
              </w:rPr>
            </w:pPr>
            <w:r>
              <w:rPr>
                <w:rFonts w:ascii="Arial Narrow;sans-serif" w:hAnsi="Arial Narrow;sans-serif"/>
                <w:b/>
                <w:color w:val="004483"/>
                <w:sz w:val="13"/>
              </w:rPr>
              <w:t>Purchase and Retirement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(6,978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(54,312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(61,293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r>
      <w:tr>
        <w:trPr/>
        <w:tc>
          <w:tcPr>
            <w:tcW w:w="2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3"/>
              </w:rPr>
            </w:pPr>
            <w:r>
              <w:rPr>
                <w:rFonts w:ascii="Arial Narrow;sans-serif" w:hAnsi="Arial Narrow;sans-serif"/>
                <w:b/>
                <w:color w:val="004483"/>
                <w:sz w:val="13"/>
              </w:rPr>
              <w:t>Dividends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(8,399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(8,399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r>
      <w:tr>
        <w:trPr/>
        <w:tc>
          <w:tcPr>
            <w:tcW w:w="2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3"/>
              </w:rPr>
            </w:pPr>
            <w:r>
              <w:rPr>
                <w:rFonts w:ascii="Arial Narrow;sans-serif" w:hAnsi="Arial Narrow;sans-serif"/>
                <w:b/>
                <w:color w:val="004483"/>
                <w:sz w:val="13"/>
              </w:rPr>
              <w:t>Unfunded Pension Liability,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Balance at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335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1,434,597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(3,283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1,431,649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Capital in</w:t>
              <w:br/>
              <w:t>Excess of</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Retained</w:t>
              <w:b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Accumulated</w:t>
              <w:br/>
              <w:t>Other</w:t>
              <w:br/>
              <w:t>Comprehensive</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9"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3"/>
              </w:rPr>
            </w:pPr>
            <w:r>
              <w:rPr>
                <w:rFonts w:ascii="Arial Narrow;sans-serif" w:hAnsi="Arial Narrow;sans-serif"/>
                <w:color w:val="000000"/>
                <w:sz w:val="13"/>
              </w:rPr>
              <w:t>(dollars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1,459,495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(3,125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1,456,700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3"/>
              </w:rPr>
            </w:pPr>
            <w:r>
              <w:rPr>
                <w:rFonts w:ascii="Arial Narrow;sans-serif" w:hAnsi="Arial Narrow;sans-serif"/>
                <w:b/>
                <w:color w:val="004483"/>
                <w:sz w:val="13"/>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123,362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123,362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3"/>
              </w:rPr>
            </w:pPr>
            <w:r>
              <w:rPr>
                <w:rFonts w:ascii="Arial Narrow;sans-serif" w:hAnsi="Arial Narrow;sans-serif"/>
                <w:b/>
                <w:color w:val="004483"/>
                <w:sz w:val="13"/>
              </w:rPr>
              <w:t>Stock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4,822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4,822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3"/>
              </w:rPr>
            </w:pPr>
            <w:r>
              <w:rPr>
                <w:rFonts w:ascii="Arial Narrow;sans-serif" w:hAnsi="Arial Narrow;sans-serif"/>
                <w:b/>
                <w:color w:val="004483"/>
                <w:sz w:val="13"/>
              </w:rPr>
              <w:t>Shares Redeemed to Settle Employee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(4,822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(5,579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r>
      <w:tr>
        <w:trPr/>
        <w:tc>
          <w:tcPr>
            <w:tcW w:w="2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3"/>
              </w:rPr>
            </w:pPr>
            <w:r>
              <w:rPr>
                <w:rFonts w:ascii="Arial Narrow;sans-serif" w:hAnsi="Arial Narrow;sans-serif"/>
                <w:b/>
                <w:color w:val="004483"/>
                <w:sz w:val="13"/>
              </w:rPr>
              <w:t>Purchase and Retirement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(79,400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(79,403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r>
      <w:tr>
        <w:trPr/>
        <w:tc>
          <w:tcPr>
            <w:tcW w:w="2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3"/>
              </w:rPr>
            </w:pPr>
            <w:r>
              <w:rPr>
                <w:rFonts w:ascii="Arial Narrow;sans-serif" w:hAnsi="Arial Narrow;sans-serif"/>
                <w:b/>
                <w:color w:val="004483"/>
                <w:sz w:val="13"/>
              </w:rPr>
              <w:t>Dividends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(8,169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(8,169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r>
      <w:tr>
        <w:trPr/>
        <w:tc>
          <w:tcPr>
            <w:tcW w:w="2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3"/>
              </w:rPr>
            </w:pPr>
            <w:r>
              <w:rPr>
                <w:rFonts w:ascii="Arial Narrow;sans-serif" w:hAnsi="Arial Narrow;sans-serif"/>
                <w:b/>
                <w:color w:val="004483"/>
                <w:sz w:val="13"/>
              </w:rPr>
              <w:t>Unfunded Pension Liability,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1,494,532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(3,084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1,491,774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3"/>
              </w:rPr>
            </w:pPr>
            <w:r>
              <w:rPr>
                <w:rFonts w:ascii="Arial Narrow;sans-serif" w:hAnsi="Arial Narrow;sans-serif"/>
                <w:b/>
                <w:color w:val="004483"/>
                <w:sz w:val="13"/>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137,383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137,383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3"/>
              </w:rPr>
            </w:pPr>
            <w:r>
              <w:rPr>
                <w:rFonts w:ascii="Arial Narrow;sans-serif" w:hAnsi="Arial Narrow;sans-serif"/>
                <w:b/>
                <w:color w:val="004483"/>
                <w:sz w:val="13"/>
              </w:rPr>
              <w:t>Stock Option Exercises and Restricted Share</w:t>
              <w:br/>
              <w:t>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479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3"/>
              </w:rPr>
            </w:pPr>
            <w:r>
              <w:rPr>
                <w:rFonts w:ascii="Arial Narrow;sans-serif" w:hAnsi="Arial Narrow;sans-serif"/>
                <w:b/>
                <w:color w:val="004483"/>
                <w:sz w:val="13"/>
              </w:rPr>
              <w:t>Stock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5,468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5,468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3"/>
              </w:rPr>
            </w:pPr>
            <w:r>
              <w:rPr>
                <w:rFonts w:ascii="Arial Narrow;sans-serif" w:hAnsi="Arial Narrow;sans-serif"/>
                <w:b/>
                <w:color w:val="004483"/>
                <w:sz w:val="13"/>
              </w:rPr>
              <w:t>Shares Redeemed to Settle Employee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(5,947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5,914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r>
      <w:tr>
        <w:trPr/>
        <w:tc>
          <w:tcPr>
            <w:tcW w:w="2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3"/>
              </w:rPr>
            </w:pPr>
            <w:r>
              <w:rPr>
                <w:rFonts w:ascii="Arial Narrow;sans-serif" w:hAnsi="Arial Narrow;sans-serif"/>
                <w:b/>
                <w:color w:val="004483"/>
                <w:sz w:val="13"/>
              </w:rPr>
              <w:t>Purchase and Retirement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(89,971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(89,975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r>
      <w:tr>
        <w:trPr/>
        <w:tc>
          <w:tcPr>
            <w:tcW w:w="2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3"/>
              </w:rPr>
            </w:pPr>
            <w:r>
              <w:rPr>
                <w:rFonts w:ascii="Arial Narrow;sans-serif" w:hAnsi="Arial Narrow;sans-serif"/>
                <w:b/>
                <w:color w:val="004483"/>
                <w:sz w:val="13"/>
              </w:rPr>
              <w:t>Dividends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(8,079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(8,079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3"/>
              </w:rPr>
            </w:pPr>
            <w:r>
              <w:rPr>
                <w:rFonts w:ascii="Arial Narrow;sans-serif" w:hAnsi="Arial Narrow;sans-serif"/>
                <w:color w:val="000000"/>
                <w:sz w:val="13"/>
              </w:rPr>
              <w:t>)</w:t>
            </w:r>
          </w:p>
        </w:tc>
      </w:tr>
      <w:tr>
        <w:trPr/>
        <w:tc>
          <w:tcPr>
            <w:tcW w:w="2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13"/>
              </w:rPr>
            </w:pPr>
            <w:r>
              <w:rPr>
                <w:rFonts w:ascii="Arial Narrow;sans-serif" w:hAnsi="Arial Narrow;sans-serif"/>
                <w:b/>
                <w:color w:val="004483"/>
                <w:sz w:val="13"/>
              </w:rPr>
              <w:t>Unfunded Pension Liability,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3"/>
              </w:rPr>
            </w:pPr>
            <w:r>
              <w:rPr>
                <w:rFonts w:ascii="Arial Narrow;sans-serif" w:hAnsi="Arial Narrow;sans-serif"/>
                <w:color w:val="000000"/>
                <w:sz w:val="13"/>
              </w:rPr>
              <w:t>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Balance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322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1,539,779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(3,043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b/>
                <w:color w:val="000000"/>
                <w:sz w:val="13"/>
              </w:rPr>
            </w:pPr>
            <w:r>
              <w:rPr>
                <w:rFonts w:ascii="Arial Narrow;sans-serif" w:hAnsi="Arial Narrow;sans-serif"/>
                <w:b/>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13"/>
              </w:rPr>
            </w:pPr>
            <w:r>
              <w:rPr>
                <w:rFonts w:ascii="Arial Narrow;sans-serif" w:hAnsi="Arial Narrow;sans-serif"/>
                <w:b/>
                <w:color w:val="000000"/>
                <w:sz w:val="13"/>
              </w:rPr>
              <w:t>1,537,058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Arial" w:hAnsi="Arial"/>
          <w:i/>
          <w:color w:val="000000"/>
          <w:sz w:val="18"/>
        </w:rPr>
        <w:t>See Notes to Unaudited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pBdr>
          <w:bottom w:val="single" w:sz="8" w:space="1" w:color="000000"/>
        </w:pBdr>
        <w:bidi w:val="0"/>
        <w:spacing w:before="560" w:after="283"/>
        <w:jc w:val="left"/>
        <w:rPr>
          <w:rFonts w:ascii="Arial" w:hAnsi="Arial"/>
          <w:b/>
          <w:color w:val="000000"/>
          <w:sz w:val="26"/>
        </w:rPr>
      </w:pPr>
      <w:bookmarkStart w:id="7" w:name="notes_to_consolidated_financial_statemen"/>
      <w:bookmarkEnd w:id="7"/>
      <w:r>
        <w:rPr>
          <w:rFonts w:ascii="Arial" w:hAnsi="Arial"/>
          <w:b/>
          <w:color w:val="000000"/>
          <w:sz w:val="26"/>
        </w:rPr>
        <w:t>Eagle Materials Inc. and Subsidiaries</w:t>
        <w:br/>
        <w:t>Notes to Unaudited Consolidated Financial Statements</w:t>
      </w:r>
    </w:p>
    <w:p>
      <w:pPr>
        <w:pStyle w:val="TextBody"/>
        <w:bidi w:val="0"/>
        <w:spacing w:before="40" w:after="283"/>
        <w:jc w:val="left"/>
        <w:rPr/>
      </w:pPr>
      <w:r>
        <w:rPr/>
        <w:t> </w:t>
      </w:r>
    </w:p>
    <w:p>
      <w:pPr>
        <w:pStyle w:val="TextBody"/>
        <w:bidi w:val="0"/>
        <w:spacing w:before="30" w:after="283"/>
        <w:jc w:val="both"/>
        <w:rPr>
          <w:rFonts w:ascii="Times New Roman" w:hAnsi="Times New Roman"/>
          <w:sz w:val="20"/>
        </w:rPr>
      </w:pPr>
      <w:r>
        <w:rPr>
          <w:rFonts w:ascii="Arial" w:hAnsi="Arial"/>
          <w:b/>
          <w:color w:val="000000"/>
          <w:sz w:val="22"/>
        </w:rPr>
        <w:t>(A) 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accompanying Unaudited Consolidated Financial Statements as of and for the three and six months ended September 30, 2025, include the accounts of Eagle Materials Inc. and its majority-owned subsidiaries (collectively, the Company, us, or we) and have been prepared by the Company, without audit, pursuant to the rules and regulations of the Securities and Exchange Commission. These Unaudited Consolidated Financial Statements should be read in conjunction with the Audited Consolidated Financial Statements and the notes thereto included in our Annual Report on Form 10-K for the fiscal year ended March 31, 2025, filed with the Securities and Exchange Commission on May 20, 2025.</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Certain information and footnote disclosures normally included in financial statements prepared in accordance with generally accepted accounting principles have been condensed or omitted pursuant to such rules and regulations, although we believe that the disclosures are adequate to make the information presented not misleading. In our opinion, all adjustments (consisting solely of normal recurring adjustments) necessary to present fairly the information in the following Unaudited Consolidated Financial Statements of the Company have been included. The results of operations for interim periods are not necessarily indicative of the results for the full year.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preparation of financial statements in conformity with accounting principles generally accepted in the United States requires management to make estimates and assumptions that affect the reported amounts of assets and liabilities, disclosures of contingent assets and liabilities at the date of the financial statements, and the reported amounts of revenue and expenses during the reporting period. Actual results could differ from those estimates.</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2"/>
          <w:u w:val="single"/>
        </w:rPr>
        <w:t>Recent Accounting Pronouncements</w:t>
      </w:r>
      <w:r>
        <w:rPr>
          <w:rFonts w:ascii="Times New Roman" w:hAnsi="Times New Roman"/>
          <w:color w:val="000000"/>
          <w:sz w:val="20"/>
        </w:rPr>
        <w:t xml:space="preserve"> </w:t>
      </w:r>
    </w:p>
    <w:p>
      <w:pPr>
        <w:pStyle w:val="TextBody"/>
        <w:bidi w:val="0"/>
        <w:spacing w:before="120" w:after="283"/>
        <w:jc w:val="left"/>
        <w:rPr>
          <w:rFonts w:ascii="Arial" w:hAnsi="Arial"/>
          <w:b/>
          <w:color w:val="000000"/>
          <w:sz w:val="20"/>
        </w:rPr>
      </w:pPr>
      <w:r>
        <w:rPr>
          <w:rFonts w:ascii="Arial" w:hAnsi="Arial"/>
          <w:b/>
          <w:color w:val="000000"/>
          <w:sz w:val="20"/>
        </w:rPr>
        <w:t>PENDING ADOPTION</w:t>
      </w:r>
    </w:p>
    <w:p>
      <w:pPr>
        <w:pStyle w:val="TextBody"/>
        <w:bidi w:val="0"/>
        <w:spacing w:before="120" w:after="283"/>
        <w:jc w:val="left"/>
        <w:rPr>
          <w:rFonts w:ascii="Arial" w:hAnsi="Arial"/>
          <w:color w:val="000000"/>
          <w:sz w:val="20"/>
        </w:rPr>
      </w:pPr>
      <w:r>
        <w:rPr>
          <w:rFonts w:ascii="Arial" w:hAnsi="Arial"/>
          <w:color w:val="000000"/>
          <w:sz w:val="20"/>
        </w:rPr>
        <w:t>In December 2023, the Financial Accounting Standards Board (FASB) issued Accounting Standards Update No. 2023-09, Income Taxes (Topic 740): Improvements to Income Tax Disclosures (ASU 2023-09), which focuses on the rate reconciliation and income taxes paid. ASU 2023-09 requires public entities to disclose, on an annual basis, a tabular rate reconciliation using both percentages and currency amounts organized by specified categories with certain reconciling items broken out by nature and jurisdiction to the extent those items exceed a specified threshold. Additionally, all entities are required to disclose income taxes paid, net of refunds received, disaggregated by federal, state, local, and individual jurisdiction if the amount is at least 5% of the total income tax payments, net of refunds received. ASU 2023-09 is effective prospectively for annual periods beginning after December 15, 2024. Early adoption and retrospective application are permitted. ASU 2023-09 will not have any impact on the Company's results of operations, cash flows, and financial condition.</w:t>
      </w:r>
    </w:p>
    <w:p>
      <w:pPr>
        <w:pStyle w:val="TextBody"/>
        <w:bidi w:val="0"/>
        <w:spacing w:before="120" w:after="283"/>
        <w:jc w:val="left"/>
        <w:rPr>
          <w:rFonts w:ascii="Arial" w:hAnsi="Arial"/>
          <w:color w:val="000000"/>
          <w:sz w:val="20"/>
        </w:rPr>
      </w:pPr>
      <w:r>
        <w:rPr>
          <w:rFonts w:ascii="Arial" w:hAnsi="Arial"/>
          <w:color w:val="000000"/>
          <w:sz w:val="20"/>
        </w:rPr>
        <w:t>In November 2024, the FASB issued Accounting Standards Update No. 2024-03, Income Statement-Reporting Comprehensive Income-Expense Disaggregation Disclosures (Subtopic 220-40): Disaggregation of Income and Expenses (ASU 2024-03). ASU 2024-03 requires public business entities to disclose additional information about certain key expense categories within major income statement captions in the Notes to the Consolidated Financial Statements. The new standard is effective for fiscal years beginning after December 15, 2026, and is to be applied prospectively. Early adoption is permitted. The Company is currently evaluating the impact of adopting this guidance on its Consolidated Financial Statements.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2"/>
        </w:rPr>
        <w:t>(B) SUPPLEMENTAL CASH FLOW INFORMATION</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Supplemental cash flow information is as follows:</w:t>
      </w:r>
    </w:p>
    <w:tbl>
      <w:tblPr>
        <w:tblW w:w="8592" w:type="dxa"/>
        <w:jc w:val="left"/>
        <w:tblInd w:w="0" w:type="dxa"/>
        <w:tblLayout w:type="fixed"/>
        <w:tblCellMar>
          <w:top w:w="28" w:type="dxa"/>
          <w:left w:w="28" w:type="dxa"/>
          <w:bottom w:w="28" w:type="dxa"/>
          <w:right w:w="28" w:type="dxa"/>
        </w:tblCellMar>
      </w:tblPr>
      <w:tblGrid>
        <w:gridCol w:w="5201"/>
        <w:gridCol w:w="146"/>
        <w:gridCol w:w="266"/>
        <w:gridCol w:w="198"/>
        <w:gridCol w:w="815"/>
        <w:gridCol w:w="198"/>
        <w:gridCol w:w="198"/>
        <w:gridCol w:w="266"/>
        <w:gridCol w:w="198"/>
        <w:gridCol w:w="815"/>
        <w:gridCol w:w="291"/>
      </w:tblGrid>
      <w:tr>
        <w:trPr/>
        <w:tc>
          <w:tcPr>
            <w:tcW w:w="5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Six Months Ended September 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8"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3"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3"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Cash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20"/>
              </w:rPr>
            </w:pPr>
            <w:r>
              <w:rPr>
                <w:rFonts w:ascii="Arial Narrow;sans-serif" w:hAnsi="Arial Narrow;sans-serif"/>
                <w:b/>
                <w:color w:val="004483"/>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24,504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19,058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520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20"/>
              </w:rPr>
            </w:pPr>
            <w:r>
              <w:rPr>
                <w:rFonts w:ascii="Arial Narrow;sans-serif" w:hAnsi="Arial Narrow;sans-serif"/>
                <w:b/>
                <w:color w:val="004483"/>
                <w:sz w:val="20"/>
              </w:rPr>
              <w:t>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53,265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10,778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520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20"/>
              </w:rPr>
            </w:pPr>
            <w:r>
              <w:rPr>
                <w:rFonts w:ascii="Arial Narrow;sans-serif" w:hAnsi="Arial Narrow;sans-serif"/>
                <w:b/>
                <w:color w:val="004483"/>
                <w:sz w:val="20"/>
              </w:rPr>
              <w:t>Operating Cash Flows Used for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2,968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4,550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520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520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Noncash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20"/>
              </w:rPr>
            </w:pPr>
            <w:r>
              <w:rPr>
                <w:rFonts w:ascii="Arial Narrow;sans-serif" w:hAnsi="Arial Narrow;sans-serif"/>
                <w:b/>
                <w:color w:val="004483"/>
                <w:sz w:val="20"/>
              </w:rPr>
              <w:t>Right-of-Use Assets Obtained for Capitalized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3,325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719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520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20"/>
              </w:rPr>
            </w:pPr>
            <w:r>
              <w:rPr>
                <w:rFonts w:ascii="Arial Narrow;sans-serif" w:hAnsi="Arial Narrow;sans-serif"/>
                <w:b/>
                <w:color w:val="004483"/>
                <w:sz w:val="20"/>
              </w:rPr>
              <w:t>Excise Tax on Share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1,678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1,462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70" w:after="283"/>
        <w:jc w:val="both"/>
        <w:rPr>
          <w:rFonts w:ascii="Times New Roman" w:hAnsi="Times New Roman"/>
          <w:sz w:val="20"/>
        </w:rPr>
      </w:pPr>
      <w:r>
        <w:rPr>
          <w:rFonts w:ascii="Arial" w:hAnsi="Arial"/>
          <w:b/>
          <w:color w:val="000000"/>
          <w:sz w:val="22"/>
        </w:rPr>
        <w:t>(C) ACQUISITION</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Arial" w:hAnsi="Arial"/>
          <w:color w:val="000000"/>
          <w:sz w:val="20"/>
        </w:rPr>
        <w:t>On January 7, 2025, we purchased Bullskin Stone &amp; Lime LLC, an aggregates business located in Western Pennsylvania (the Acquisition) for approximately $149.9</w:t>
      </w:r>
      <w:r>
        <w:rPr>
          <w:rFonts w:ascii="Times New Roman" w:hAnsi="Times New Roman"/>
          <w:color w:val="000000"/>
          <w:sz w:val="20"/>
        </w:rPr>
        <w:t xml:space="preserve"> </w:t>
      </w:r>
      <w:r>
        <w:rPr>
          <w:rFonts w:ascii="Arial" w:hAnsi="Arial"/>
          <w:color w:val="000000"/>
          <w:sz w:val="20"/>
        </w:rPr>
        <w:t>million, which was accounted for under the acquisition method. The purchase price was funded through borrowings under our Revolving Credit Facility. Operations related to the Acquisition are included in the Concrete and Aggregates segment of our segment reporting.</w:t>
      </w:r>
    </w:p>
    <w:p>
      <w:pPr>
        <w:pStyle w:val="TextBody"/>
        <w:bidi w:val="0"/>
        <w:spacing w:before="0" w:after="120"/>
        <w:jc w:val="left"/>
        <w:rPr>
          <w:rFonts w:ascii="Times New Roman" w:hAnsi="Times New Roman"/>
          <w:sz w:val="20"/>
        </w:rPr>
      </w:pPr>
      <w:r>
        <w:rPr>
          <w:rFonts w:ascii="Arial" w:hAnsi="Arial"/>
          <w:color w:val="000000"/>
          <w:sz w:val="20"/>
        </w:rPr>
        <w:t>The following table summarizes the allocation of the purchase price to the fair value of assets acquired and liabilities assumed (based on Level 3 inputs of the fair value hierarchy) as of September 30, 2025.</w:t>
      </w:r>
      <w:r>
        <w:rPr>
          <w:rFonts w:ascii="Times New Roman" w:hAnsi="Times New Roman"/>
          <w:color w:val="000000"/>
          <w:sz w:val="20"/>
        </w:rPr>
        <w:t xml:space="preserve"> </w:t>
      </w:r>
    </w:p>
    <w:tbl>
      <w:tblPr>
        <w:tblW w:w="5382" w:type="dxa"/>
        <w:jc w:val="left"/>
        <w:tblInd w:w="0" w:type="dxa"/>
        <w:tblLayout w:type="fixed"/>
        <w:tblCellMar>
          <w:top w:w="28" w:type="dxa"/>
          <w:left w:w="28" w:type="dxa"/>
          <w:bottom w:w="28" w:type="dxa"/>
          <w:right w:w="28" w:type="dxa"/>
        </w:tblCellMar>
      </w:tblPr>
      <w:tblGrid>
        <w:gridCol w:w="3406"/>
        <w:gridCol w:w="146"/>
        <w:gridCol w:w="273"/>
        <w:gridCol w:w="203"/>
        <w:gridCol w:w="963"/>
        <w:gridCol w:w="3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Fair Value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Prepaid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35,097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38,600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(327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4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4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0000"/>
                <w:sz w:val="20"/>
              </w:rPr>
            </w:pPr>
            <w:r>
              <w:rPr>
                <w:rFonts w:ascii="Arial Narrow;sans-serif" w:hAnsi="Arial Narrow;sans-serif"/>
                <w:b/>
                <w:color w:val="000000"/>
                <w:sz w:val="20"/>
              </w:rPr>
              <w:t>Total Net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77,604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72,343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0000"/>
                <w:sz w:val="20"/>
              </w:rPr>
            </w:pPr>
            <w:r>
              <w:rPr>
                <w:rFonts w:ascii="Arial Narrow;sans-serif" w:hAnsi="Arial Narrow;sans-serif"/>
                <w:b/>
                <w:color w:val="000000"/>
                <w:sz w:val="20"/>
              </w:rPr>
              <w:t>Total Purchase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149,947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Arial" w:hAnsi="Arial"/>
          <w:color w:val="000000"/>
          <w:sz w:val="20"/>
        </w:rPr>
        <w:t>The estimated useful lives assigned to Property, Plant, and Equipment range from 5</w:t>
      </w:r>
      <w:r>
        <w:rPr>
          <w:rFonts w:ascii="Times New Roman" w:hAnsi="Times New Roman"/>
          <w:color w:val="000000"/>
          <w:sz w:val="20"/>
        </w:rPr>
        <w:t xml:space="preserve"> </w:t>
      </w:r>
      <w:r>
        <w:rPr>
          <w:rFonts w:ascii="Arial" w:hAnsi="Arial"/>
          <w:color w:val="000000"/>
          <w:sz w:val="20"/>
        </w:rPr>
        <w:t>to 30</w:t>
      </w:r>
      <w:r>
        <w:rPr>
          <w:rFonts w:ascii="Times New Roman" w:hAnsi="Times New Roman"/>
          <w:color w:val="000000"/>
          <w:sz w:val="20"/>
        </w:rPr>
        <w:t xml:space="preserve"> </w:t>
      </w:r>
      <w:r>
        <w:rPr>
          <w:rFonts w:ascii="Arial" w:hAnsi="Arial"/>
          <w:color w:val="000000"/>
          <w:sz w:val="20"/>
        </w:rPr>
        <w:t>years. Goodwill represents the excess purchase price over the fair value of the assets acquired and the liabilities assumed. The</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Arial" w:hAnsi="Arial"/>
          <w:color w:val="000000"/>
          <w:sz w:val="20"/>
        </w:rPr>
      </w:pPr>
      <w:r>
        <w:rPr>
          <w:rFonts w:ascii="Arial" w:hAnsi="Arial"/>
          <w:color w:val="000000"/>
          <w:sz w:val="20"/>
        </w:rPr>
        <w:t>Goodwill was generated by the availability of co-product sales and the opportunity associated with the expansion of our Aggregates business to the Western Pennsylvania region of the United States. All Goodwill generated from the Acquisition is deductible for income tax purposes.</w:t>
      </w:r>
    </w:p>
    <w:p>
      <w:pPr>
        <w:pStyle w:val="TextBody"/>
        <w:bidi w:val="0"/>
        <w:spacing w:before="0" w:after="120"/>
        <w:jc w:val="left"/>
        <w:rPr>
          <w:rFonts w:ascii="Arial" w:hAnsi="Arial"/>
          <w:color w:val="000000"/>
          <w:sz w:val="20"/>
        </w:rPr>
      </w:pPr>
      <w:r>
        <w:rPr>
          <w:rFonts w:ascii="Arial" w:hAnsi="Arial"/>
          <w:color w:val="000000"/>
          <w:sz w:val="20"/>
        </w:rPr>
        <w:t>The following table is a summary of the fair value estimates of the identifiable intangible assets and their weighted-average useful lives:</w:t>
      </w:r>
    </w:p>
    <w:tbl>
      <w:tblPr>
        <w:tblW w:w="6305" w:type="dxa"/>
        <w:jc w:val="left"/>
        <w:tblInd w:w="0" w:type="dxa"/>
        <w:tblLayout w:type="fixed"/>
        <w:tblCellMar>
          <w:top w:w="28" w:type="dxa"/>
          <w:left w:w="28" w:type="dxa"/>
          <w:bottom w:w="28" w:type="dxa"/>
          <w:right w:w="28" w:type="dxa"/>
        </w:tblCellMar>
      </w:tblPr>
      <w:tblGrid>
        <w:gridCol w:w="2386"/>
        <w:gridCol w:w="146"/>
        <w:gridCol w:w="557"/>
        <w:gridCol w:w="1093"/>
        <w:gridCol w:w="146"/>
        <w:gridCol w:w="146"/>
        <w:gridCol w:w="299"/>
        <w:gridCol w:w="223"/>
        <w:gridCol w:w="918"/>
        <w:gridCol w:w="3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8"/>
              </w:rPr>
            </w:pPr>
            <w:r>
              <w:rPr>
                <w:rFonts w:ascii="Arial Narrow;sans-serif" w:hAnsi="Arial Narrow;sans-serif"/>
                <w:b/>
                <w:color w:val="000000"/>
                <w:sz w:val="18"/>
              </w:rPr>
              <w:t>Weighted-Average Life</w:t>
              <w:br/>
            </w:r>
            <w:r>
              <w:rPr>
                <w:rFonts w:ascii="Arial Narrow;sans-serif" w:hAnsi="Arial Narrow;sans-serif"/>
                <w:color w:val="000000"/>
                <w:sz w:val="16"/>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8"/>
              </w:rPr>
            </w:pPr>
            <w:r>
              <w:rPr>
                <w:rFonts w:ascii="Arial Narrow;sans-serif" w:hAnsi="Arial Narrow;sans-serif"/>
                <w:b/>
                <w:color w:val="000000"/>
                <w:sz w:val="18"/>
              </w:rPr>
              <w:t>Fair Value</w:t>
              <w:br/>
            </w:r>
            <w:r>
              <w:rPr>
                <w:rFonts w:ascii="Arial Narrow;sans-serif" w:hAnsi="Arial Narrow;sans-serif"/>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38,100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Trade Name and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5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0000"/>
                <w:sz w:val="20"/>
              </w:rPr>
            </w:pPr>
            <w:r>
              <w:rPr>
                <w:rFonts w:ascii="Arial Narrow;sans-serif" w:hAnsi="Arial Narrow;sans-serif"/>
                <w:b/>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38,600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Arial" w:hAnsi="Arial"/>
          <w:color w:val="000000"/>
          <w:sz w:val="20"/>
        </w:rPr>
      </w:pPr>
      <w:r>
        <w:rPr>
          <w:rFonts w:ascii="Arial" w:hAnsi="Arial"/>
          <w:color w:val="000000"/>
          <w:sz w:val="20"/>
        </w:rPr>
        <w:t>The following table presents the Revenue and Operating Earnings related to the Acquisition that have been included in our Consolidated Statement of Earnings for the three and six months ended September 30, 2025.</w:t>
      </w:r>
    </w:p>
    <w:tbl>
      <w:tblPr>
        <w:tblW w:w="5310" w:type="dxa"/>
        <w:jc w:val="left"/>
        <w:tblInd w:w="0" w:type="dxa"/>
        <w:tblLayout w:type="fixed"/>
        <w:tblCellMar>
          <w:top w:w="28" w:type="dxa"/>
          <w:left w:w="28" w:type="dxa"/>
          <w:bottom w:w="28" w:type="dxa"/>
          <w:right w:w="28" w:type="dxa"/>
        </w:tblCellMar>
      </w:tblPr>
      <w:tblGrid>
        <w:gridCol w:w="1651"/>
        <w:gridCol w:w="146"/>
        <w:gridCol w:w="364"/>
        <w:gridCol w:w="271"/>
        <w:gridCol w:w="955"/>
        <w:gridCol w:w="146"/>
        <w:gridCol w:w="146"/>
        <w:gridCol w:w="299"/>
        <w:gridCol w:w="223"/>
        <w:gridCol w:w="918"/>
        <w:gridCol w:w="19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For the Three Months</w:t>
              <w:br/>
              <w:t>Ended</w:t>
              <w:br/>
              <w:t>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For the Six Months</w:t>
              <w:br/>
              <w:t>Ended</w:t>
              <w:br/>
              <w:t>September 30, 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(dollars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16,804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22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Operating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4,373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22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sz w:val="20"/>
        </w:rPr>
      </w:pPr>
      <w:r>
        <w:rPr>
          <w:rFonts w:ascii="Arial" w:hAnsi="Arial"/>
          <w:color w:val="000000"/>
          <w:sz w:val="20"/>
        </w:rPr>
        <w:t>Included in Operating Earnings shown above is approximately $1.7</w:t>
      </w:r>
      <w:r>
        <w:rPr>
          <w:rFonts w:ascii="Times New Roman" w:hAnsi="Times New Roman"/>
          <w:color w:val="000000"/>
          <w:sz w:val="20"/>
        </w:rPr>
        <w:t xml:space="preserve"> </w:t>
      </w:r>
      <w:r>
        <w:rPr>
          <w:rFonts w:ascii="Arial" w:hAnsi="Arial"/>
          <w:color w:val="000000"/>
          <w:sz w:val="20"/>
        </w:rPr>
        <w:t>million and $3.4</w:t>
      </w:r>
      <w:r>
        <w:rPr>
          <w:rFonts w:ascii="Times New Roman" w:hAnsi="Times New Roman"/>
          <w:color w:val="000000"/>
          <w:sz w:val="20"/>
        </w:rPr>
        <w:t xml:space="preserve"> </w:t>
      </w:r>
      <w:r>
        <w:rPr>
          <w:rFonts w:ascii="Arial" w:hAnsi="Arial"/>
          <w:color w:val="000000"/>
          <w:sz w:val="20"/>
        </w:rPr>
        <w:t>million related to depreciation and amortization for the three and six months ended September 30, 2025, respectively.</w:t>
      </w:r>
    </w:p>
    <w:p>
      <w:pPr>
        <w:pStyle w:val="TextBody"/>
        <w:bidi w:val="0"/>
        <w:spacing w:before="150" w:after="283"/>
        <w:jc w:val="both"/>
        <w:rPr>
          <w:rFonts w:ascii="Times New Roman" w:hAnsi="Times New Roman"/>
          <w:sz w:val="20"/>
        </w:rPr>
      </w:pPr>
      <w:r>
        <w:rPr>
          <w:rFonts w:ascii="Arial" w:hAnsi="Arial"/>
          <w:b/>
          <w:color w:val="000000"/>
          <w:sz w:val="22"/>
        </w:rPr>
        <w:t>(D)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We earn Revenue primarily from the sale of products, which include cement, concrete, aggregates, gypsum wallboard, and recycled paperboard. The vast majority of Revenue from the sale of concrete, aggregates, and gypsum wallboard is originated by purchase orders from our customers, who are mostly third-party contractors and suppliers. Revenue from the sale of cement is recognized at the point-of-sale to customers under sales orders. Revenue from our Recycled Paperboard segment is generated mainly through long-term supply agreements. These agreements do not have a stated maturity date, but may be terminated by either party with a two</w:t>
      </w:r>
      <w:r>
        <w:rPr>
          <w:rFonts w:ascii="Times New Roman" w:hAnsi="Times New Roman"/>
          <w:color w:val="000000"/>
          <w:sz w:val="20"/>
        </w:rPr>
        <w:t xml:space="preserve"> </w:t>
      </w:r>
      <w:r>
        <w:rPr>
          <w:rFonts w:ascii="Arial" w:hAnsi="Arial"/>
          <w:color w:val="000000"/>
          <w:sz w:val="20"/>
        </w:rPr>
        <w:t>to three-year</w:t>
      </w:r>
      <w:r>
        <w:rPr>
          <w:rFonts w:ascii="Times New Roman" w:hAnsi="Times New Roman"/>
          <w:color w:val="000000"/>
          <w:sz w:val="20"/>
        </w:rPr>
        <w:t xml:space="preserve"> </w:t>
      </w:r>
      <w:r>
        <w:rPr>
          <w:rFonts w:ascii="Arial" w:hAnsi="Arial"/>
          <w:color w:val="000000"/>
          <w:sz w:val="20"/>
        </w:rPr>
        <w:t>notice period. We invoice customers upon shipment, and our collection terms range from 30</w:t>
      </w:r>
      <w:r>
        <w:rPr>
          <w:rFonts w:ascii="Times New Roman" w:hAnsi="Times New Roman"/>
          <w:color w:val="000000"/>
          <w:sz w:val="20"/>
        </w:rPr>
        <w:t xml:space="preserve"> </w:t>
      </w:r>
      <w:r>
        <w:rPr>
          <w:rFonts w:ascii="Arial" w:hAnsi="Arial"/>
          <w:color w:val="000000"/>
          <w:sz w:val="20"/>
        </w:rPr>
        <w:t>to 75</w:t>
      </w:r>
      <w:r>
        <w:rPr>
          <w:rFonts w:ascii="Times New Roman" w:hAnsi="Times New Roman"/>
          <w:color w:val="000000"/>
          <w:sz w:val="20"/>
        </w:rPr>
        <w:t xml:space="preserve"> </w:t>
      </w:r>
      <w:r>
        <w:rPr>
          <w:rFonts w:ascii="Arial" w:hAnsi="Arial"/>
          <w:color w:val="000000"/>
          <w:sz w:val="20"/>
        </w:rPr>
        <w:t>days. Revenue from the sale of cement, concrete, aggregates, and gypsum wallboard not related to long-term supply agreements is recognized upon shipment of the related products to customers, which is when title and ownership are transferred, and the customer is obligated to pay.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Revenue from sales under our long-term supply agreements is also recognized upon transfer of control to the customer, which generally occurs at the time the product is shipped from the production facility or terminal location. Our long-term supply agreements with customers define, among other commitments, the volume of product we must provide and the volume that the customer must purchase by the end of the defined periods. Pricing structures under our agreements are generally market-based, but are subject to certain contractual adjustments. Shortfall amounts, if applicable under these arrangements, are constrained and not recognized as Revenue until an agreement is reached with the customer and, therefore, are not subject to the risk of reversal.</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The Company offers certain of its customers, including those with long-term supply agreements, rebates and incentives, which we treat as variable consideration. We adjust the amount of Revenue recognized for the variable consideration using the most likely amount method based on past history and projected volumes in the rebate and incentive period. Any amounts billed to customers for taxes are excluded from Revenue.</w:t>
      </w:r>
    </w:p>
    <w:p>
      <w:pPr>
        <w:pStyle w:val="TextBody"/>
        <w:bidi w:val="0"/>
        <w:spacing w:before="120" w:after="283"/>
        <w:jc w:val="left"/>
        <w:rPr>
          <w:rFonts w:ascii="Times New Roman" w:hAnsi="Times New Roman"/>
          <w:sz w:val="20"/>
        </w:rPr>
      </w:pPr>
      <w:r>
        <w:rPr>
          <w:rFonts w:ascii="Arial" w:hAnsi="Arial"/>
          <w:color w:val="000000"/>
          <w:sz w:val="20"/>
        </w:rPr>
        <w:t>The Company has elected to treat freight and delivery charges we pay for the delivery of goods to our customers as a fulfillment activity rather than a separate performance obligation. When we arrange for a third party to deliver products to customers, fees for shipping and handling billed to the customer are recorded as Revenue, while costs we incur for shipping and handling are recorded as expenses and included in Cost of Goods Sold.</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Other Non-Operating Income includes lease and rental income, asset sale income, non-inventoried aggregates sales income, distribution center income, and trucking income, as well as other miscellaneous revenue items and costs that have not been allocated to a business segment.</w:t>
      </w:r>
    </w:p>
    <w:p>
      <w:pPr>
        <w:pStyle w:val="TextBody"/>
        <w:bidi w:val="0"/>
        <w:spacing w:before="120" w:after="283"/>
        <w:jc w:val="left"/>
        <w:rPr>
          <w:rFonts w:ascii="Times New Roman" w:hAnsi="Times New Roman"/>
          <w:sz w:val="20"/>
        </w:rPr>
      </w:pPr>
      <w:r>
        <w:rPr>
          <w:rFonts w:ascii="Arial" w:hAnsi="Arial"/>
          <w:color w:val="000000"/>
          <w:sz w:val="20"/>
        </w:rPr>
        <w:t>See Note (N) to the Unaudited Consolidated Financial Statements for disaggregation of revenue by segment.</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2"/>
        </w:rPr>
        <w:t>(E) ACCOUNTS RECEIVABLE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Accounts Receivable are shown net of the allowance for credit losses totaling $6.7</w:t>
      </w:r>
      <w:r>
        <w:rPr>
          <w:rFonts w:ascii="Times New Roman" w:hAnsi="Times New Roman"/>
          <w:color w:val="000000"/>
          <w:sz w:val="20"/>
        </w:rPr>
        <w:t xml:space="preserve"> </w:t>
      </w:r>
      <w:r>
        <w:rPr>
          <w:rFonts w:ascii="Arial" w:hAnsi="Arial"/>
          <w:color w:val="000000"/>
          <w:sz w:val="20"/>
        </w:rPr>
        <w:t>million at both September 30, 2025, and March 31, 2025. We perform ongoing credit evaluations of our customers’ financial condition and generally require no collateral from our customers. The allowance for non-collection of receivables is based on analysis of economic trends in the construction industry, detailed analysis of the expected collectability of past due accounts receivable, and the expected collectability of overall receivables. We have no significant credit risk concentration among our diversified customer base.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2"/>
        </w:rPr>
        <w:t>(F) INVENTORIES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Inventories are stated at the lower of average cost (including applicable material, labor, depreciation, and plant overhead) or net realizable value. Raw Materials and Materials-in-Progress include clinker, which is an intermediary product before it is ground into cement powder. Quantities of Raw Materials and Materials-in-Progress, Aggregates, and Coal inventories, are based on measured volumes, subject to estimation based on the size and location of the inventory piles, and are converted to tonnage using standard inventory density factors. Inventories consist of the following: </w:t>
      </w:r>
    </w:p>
    <w:p>
      <w:pPr>
        <w:pStyle w:val="TextBody"/>
        <w:bidi w:val="0"/>
        <w:jc w:val="left"/>
        <w:rPr/>
      </w:pPr>
      <w:r>
        <w:rPr/>
        <w:t> </w:t>
      </w:r>
    </w:p>
    <w:tbl>
      <w:tblPr>
        <w:tblW w:w="5882" w:type="dxa"/>
        <w:jc w:val="left"/>
        <w:tblInd w:w="0" w:type="dxa"/>
        <w:tblLayout w:type="fixed"/>
        <w:tblCellMar>
          <w:top w:w="28" w:type="dxa"/>
          <w:left w:w="28" w:type="dxa"/>
          <w:bottom w:w="28" w:type="dxa"/>
          <w:right w:w="28" w:type="dxa"/>
        </w:tblCellMar>
      </w:tblPr>
      <w:tblGrid>
        <w:gridCol w:w="3271"/>
        <w:gridCol w:w="146"/>
        <w:gridCol w:w="242"/>
        <w:gridCol w:w="853"/>
        <w:gridCol w:w="146"/>
        <w:gridCol w:w="146"/>
        <w:gridCol w:w="196"/>
        <w:gridCol w:w="691"/>
        <w:gridCol w:w="19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March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Raw Materials and Materials-in-Progress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141,042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164,683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277EBF"/>
                <w:sz w:val="20"/>
              </w:rPr>
            </w:pPr>
            <w:r>
              <w:rPr>
                <w:rFonts w:ascii="Arial Narrow;sans-serif" w:hAnsi="Arial Narrow;sans-serif"/>
                <w:b/>
                <w:color w:val="277EBF"/>
                <w:sz w:val="20"/>
              </w:rPr>
              <w:t>Finished 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48,292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67,711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AAC6"/>
                <w:sz w:val="20"/>
              </w:rPr>
            </w:pPr>
            <w:r>
              <w:rPr>
                <w:rFonts w:ascii="Arial Narrow;sans-serif" w:hAnsi="Arial Narrow;sans-serif"/>
                <w:b/>
                <w:color w:val="00AAC6"/>
                <w:sz w:val="20"/>
              </w:rPr>
              <w:t>Aggregates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17,681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77943C"/>
                <w:sz w:val="20"/>
              </w:rPr>
            </w:pPr>
            <w:r>
              <w:rPr>
                <w:rFonts w:ascii="Arial Narrow;sans-serif" w:hAnsi="Arial Narrow;sans-serif"/>
                <w:b/>
                <w:color w:val="77943C"/>
                <w:sz w:val="20"/>
              </w:rPr>
              <w:t>Gypsum Wallboard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5,708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85B271"/>
                <w:sz w:val="20"/>
              </w:rPr>
            </w:pPr>
            <w:r>
              <w:rPr>
                <w:rFonts w:ascii="Arial Narrow;sans-serif" w:hAnsi="Arial Narrow;sans-serif"/>
                <w:b/>
                <w:color w:val="85B271"/>
                <w:sz w:val="20"/>
              </w:rPr>
              <w:t>Recycled Paperboard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7,814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Repair Parts and 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128,706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126,983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Fuel and Coal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24,595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370,207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415,175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0" w:after="283"/>
        <w:jc w:val="both"/>
        <w:rPr>
          <w:rFonts w:ascii="Times New Roman" w:hAnsi="Times New Roman"/>
          <w:sz w:val="20"/>
        </w:rPr>
      </w:pPr>
      <w:r>
        <w:rPr>
          <w:rFonts w:ascii="Arial" w:hAnsi="Arial"/>
          <w:b/>
          <w:color w:val="000000"/>
          <w:sz w:val="22"/>
        </w:rPr>
        <w:t>(G) ACCRUED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Accrued Expenses consist of the following:</w:t>
      </w:r>
      <w:r>
        <w:rPr>
          <w:rFonts w:ascii="Times New Roman" w:hAnsi="Times New Roman"/>
          <w:color w:val="000000"/>
          <w:sz w:val="20"/>
        </w:rPr>
        <w:t xml:space="preserve"> </w:t>
      </w:r>
    </w:p>
    <w:tbl>
      <w:tblPr>
        <w:tblW w:w="5637" w:type="dxa"/>
        <w:jc w:val="left"/>
        <w:tblInd w:w="0" w:type="dxa"/>
        <w:tblLayout w:type="fixed"/>
        <w:tblCellMar>
          <w:top w:w="28" w:type="dxa"/>
          <w:left w:w="28" w:type="dxa"/>
          <w:bottom w:w="28" w:type="dxa"/>
          <w:right w:w="28" w:type="dxa"/>
        </w:tblCellMar>
      </w:tblPr>
      <w:tblGrid>
        <w:gridCol w:w="2971"/>
        <w:gridCol w:w="146"/>
        <w:gridCol w:w="227"/>
        <w:gridCol w:w="169"/>
        <w:gridCol w:w="698"/>
        <w:gridCol w:w="146"/>
        <w:gridCol w:w="146"/>
        <w:gridCol w:w="196"/>
        <w:gridCol w:w="146"/>
        <w:gridCol w:w="601"/>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March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Payroll and Incentive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31,918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16,950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7,689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8,463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Property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5,836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Power and Fuel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4,045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Freight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3,664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Excise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Legal and Professional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3,953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Sales and Use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8,237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92,823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96,077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Arial" w:hAnsi="Arial"/>
          <w:b/>
          <w:color w:val="000000"/>
          <w:sz w:val="22"/>
        </w:rPr>
      </w:pPr>
      <w:r>
        <w:rPr>
          <w:rFonts w:ascii="Arial" w:hAnsi="Arial"/>
          <w:b/>
          <w:color w:val="000000"/>
          <w:sz w:val="22"/>
        </w:rPr>
        <w:t>(H) LEASES</w:t>
      </w:r>
    </w:p>
    <w:p>
      <w:pPr>
        <w:pStyle w:val="TextBody"/>
        <w:bidi w:val="0"/>
        <w:spacing w:before="120" w:after="283"/>
        <w:jc w:val="left"/>
        <w:rPr>
          <w:rFonts w:ascii="Times New Roman" w:hAnsi="Times New Roman"/>
          <w:sz w:val="20"/>
        </w:rPr>
      </w:pPr>
      <w:r>
        <w:rPr>
          <w:rFonts w:ascii="Arial" w:hAnsi="Arial"/>
          <w:color w:val="000000"/>
          <w:sz w:val="20"/>
        </w:rPr>
        <w:t>We lease certain real estate, buildings, and equipment, including railcars and barges. Certain of these leases contain escalations of rent over the term of the lease, as well as options for us to extend the term of the lease at the end of the original term. These extensions range from periods of one year</w:t>
      </w:r>
      <w:r>
        <w:rPr>
          <w:rFonts w:ascii="Times New Roman" w:hAnsi="Times New Roman"/>
          <w:color w:val="000000"/>
          <w:sz w:val="20"/>
        </w:rPr>
        <w:t xml:space="preserve"> </w:t>
      </w:r>
      <w:r>
        <w:rPr>
          <w:rFonts w:ascii="Arial" w:hAnsi="Arial"/>
          <w:color w:val="000000"/>
          <w:sz w:val="20"/>
        </w:rPr>
        <w:t>to 20 years. Our lease agreements do not contain material residual value guarantees or material restrictive covenants. In calculating the present value of future minimum lease payments, we use the rate implicit in the lease if it can be determined. Otherwise, we use our incremental borrowing rate in effect at the commencement of the lease to determine the present value of the future minimum lease payments. Additionally, we lease certain equipment under short-term leases with initial terms of less than 12 months, which are not recorded on the balance sheet.</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Lease expense for our operating and short-term leases is as follows:</w:t>
      </w:r>
    </w:p>
    <w:p>
      <w:pPr>
        <w:pStyle w:val="TextBody"/>
        <w:bidi w:val="0"/>
        <w:jc w:val="left"/>
        <w:rPr/>
      </w:pPr>
      <w:r>
        <w:rPr/>
        <w:t> </w:t>
      </w:r>
    </w:p>
    <w:tbl>
      <w:tblPr>
        <w:tblW w:w="6645" w:type="dxa"/>
        <w:jc w:val="left"/>
        <w:tblInd w:w="0" w:type="dxa"/>
        <w:tblLayout w:type="fixed"/>
        <w:tblCellMar>
          <w:top w:w="28" w:type="dxa"/>
          <w:left w:w="28" w:type="dxa"/>
          <w:bottom w:w="28" w:type="dxa"/>
          <w:right w:w="28" w:type="dxa"/>
        </w:tblCellMar>
      </w:tblPr>
      <w:tblGrid>
        <w:gridCol w:w="1936"/>
        <w:gridCol w:w="146"/>
        <w:gridCol w:w="204"/>
        <w:gridCol w:w="152"/>
        <w:gridCol w:w="533"/>
        <w:gridCol w:w="152"/>
        <w:gridCol w:w="152"/>
        <w:gridCol w:w="204"/>
        <w:gridCol w:w="152"/>
        <w:gridCol w:w="533"/>
        <w:gridCol w:w="146"/>
        <w:gridCol w:w="146"/>
        <w:gridCol w:w="196"/>
        <w:gridCol w:w="146"/>
        <w:gridCol w:w="511"/>
        <w:gridCol w:w="146"/>
        <w:gridCol w:w="146"/>
        <w:gridCol w:w="196"/>
        <w:gridCol w:w="146"/>
        <w:gridCol w:w="511"/>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Three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Six Months Ended</w:t>
              <w:br/>
              <w:t>September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2,260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3,951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68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65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Short-Term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518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8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5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2,778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2,208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5,600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4,596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The Right-of-Use Assets and Lease Liabilities are reflected on our Balance Sheet as follows:</w:t>
      </w:r>
    </w:p>
    <w:p>
      <w:pPr>
        <w:pStyle w:val="TextBody"/>
        <w:bidi w:val="0"/>
        <w:jc w:val="left"/>
        <w:rPr/>
      </w:pPr>
      <w:r>
        <w:rPr/>
        <w:t> </w:t>
      </w:r>
    </w:p>
    <w:tbl>
      <w:tblPr>
        <w:tblW w:w="5932" w:type="dxa"/>
        <w:jc w:val="left"/>
        <w:tblInd w:w="0" w:type="dxa"/>
        <w:tblLayout w:type="fixed"/>
        <w:tblCellMar>
          <w:top w:w="28" w:type="dxa"/>
          <w:left w:w="28" w:type="dxa"/>
          <w:bottom w:w="28" w:type="dxa"/>
          <w:right w:w="28" w:type="dxa"/>
        </w:tblCellMar>
      </w:tblPr>
      <w:tblGrid>
        <w:gridCol w:w="3166"/>
        <w:gridCol w:w="146"/>
        <w:gridCol w:w="227"/>
        <w:gridCol w:w="169"/>
        <w:gridCol w:w="698"/>
        <w:gridCol w:w="146"/>
        <w:gridCol w:w="146"/>
        <w:gridCol w:w="196"/>
        <w:gridCol w:w="146"/>
        <w:gridCol w:w="601"/>
        <w:gridCol w:w="2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March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30,991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29,313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316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316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4,032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316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34,248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33,597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316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38,770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37,629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Future payments for operating leases are as follows:</w:t>
      </w:r>
    </w:p>
    <w:tbl>
      <w:tblPr>
        <w:tblW w:w="6057" w:type="dxa"/>
        <w:jc w:val="left"/>
        <w:tblInd w:w="0" w:type="dxa"/>
        <w:tblLayout w:type="fixed"/>
        <w:tblCellMar>
          <w:top w:w="28" w:type="dxa"/>
          <w:left w:w="28" w:type="dxa"/>
          <w:bottom w:w="28" w:type="dxa"/>
          <w:right w:w="28" w:type="dxa"/>
        </w:tblCellMar>
      </w:tblPr>
      <w:tblGrid>
        <w:gridCol w:w="4186"/>
        <w:gridCol w:w="146"/>
        <w:gridCol w:w="281"/>
        <w:gridCol w:w="209"/>
        <w:gridCol w:w="949"/>
        <w:gridCol w:w="286"/>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Amount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(dollars in thousands)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2026 (remaining six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2,890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1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5,227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1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4,467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1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4,044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4,130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30,037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50,795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(12,025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Present Value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38,770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Weighted-Average Remaining Lease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11.8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4.43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r>
      <w:tr>
        <w:trPr/>
        <w:tc>
          <w:tcPr>
            <w:tcW w:w="4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70" w:after="283"/>
        <w:jc w:val="both"/>
        <w:rPr>
          <w:rFonts w:ascii="Times New Roman" w:hAnsi="Times New Roman"/>
          <w:sz w:val="20"/>
        </w:rPr>
      </w:pPr>
      <w:r>
        <w:rPr>
          <w:rFonts w:ascii="Arial" w:hAnsi="Arial"/>
          <w:b/>
          <w:color w:val="000000"/>
          <w:sz w:val="22"/>
        </w:rPr>
        <w:t>(I) EQUITY AWARDS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On August 3, 2023, our stockholders approved the Eagle Materials Inc. 2023 Equity Incentive Plan (the 2023 Plan), which reserves 1,425,000</w:t>
      </w:r>
      <w:r>
        <w:rPr>
          <w:rFonts w:ascii="Times New Roman" w:hAnsi="Times New Roman"/>
          <w:color w:val="000000"/>
          <w:sz w:val="20"/>
        </w:rPr>
        <w:t xml:space="preserve"> </w:t>
      </w:r>
      <w:r>
        <w:rPr>
          <w:rFonts w:ascii="Arial" w:hAnsi="Arial"/>
          <w:color w:val="000000"/>
          <w:sz w:val="20"/>
        </w:rPr>
        <w:t>shares for future grants of stock awards. Under the terms of the 2023 Plan, we can issue equity awards, including stock options, restricted stock units, restricted stock, and stock appreciation rights to employees of the Company, members of the Board of Directors, and consultants, independent contractors, and agents of the Company. The Compensation Committee of our Board of Directors (Compensation Committee) specifies grant terms for awards under the Plan.</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both"/>
        <w:rPr>
          <w:rFonts w:ascii="Arial" w:hAnsi="Arial"/>
          <w:b/>
          <w:color w:val="000000"/>
          <w:sz w:val="20"/>
          <w:u w:val="single"/>
        </w:rPr>
      </w:pPr>
      <w:r>
        <w:rPr>
          <w:rFonts w:ascii="Arial" w:hAnsi="Arial"/>
          <w:b/>
          <w:color w:val="000000"/>
          <w:sz w:val="20"/>
          <w:u w:val="single"/>
        </w:rPr>
        <w:t>Fiscal 2026 Equity Awards</w:t>
      </w:r>
    </w:p>
    <w:p>
      <w:pPr>
        <w:pStyle w:val="TextBody"/>
        <w:bidi w:val="0"/>
        <w:spacing w:before="120" w:after="283"/>
        <w:jc w:val="left"/>
        <w:rPr>
          <w:rFonts w:ascii="Times New Roman" w:hAnsi="Times New Roman"/>
          <w:sz w:val="20"/>
        </w:rPr>
      </w:pPr>
      <w:r>
        <w:rPr>
          <w:rFonts w:ascii="Arial" w:hAnsi="Arial"/>
          <w:color w:val="000000"/>
          <w:sz w:val="20"/>
        </w:rPr>
        <w:t>In May 2025, the Compensation Committee awarded to certain officers and key employees an aggregate of 29,273</w:t>
      </w:r>
      <w:r>
        <w:rPr>
          <w:rFonts w:ascii="Times New Roman" w:hAnsi="Times New Roman"/>
          <w:color w:val="000000"/>
          <w:sz w:val="20"/>
        </w:rPr>
        <w:t xml:space="preserve"> </w:t>
      </w:r>
      <w:r>
        <w:rPr>
          <w:rFonts w:ascii="Arial" w:hAnsi="Arial"/>
          <w:color w:val="000000"/>
          <w:sz w:val="20"/>
        </w:rPr>
        <w:t>performance stock units and 14,712</w:t>
      </w:r>
      <w:r>
        <w:rPr>
          <w:rFonts w:ascii="Times New Roman" w:hAnsi="Times New Roman"/>
          <w:color w:val="000000"/>
          <w:sz w:val="20"/>
        </w:rPr>
        <w:t xml:space="preserve"> </w:t>
      </w:r>
      <w:r>
        <w:rPr>
          <w:rFonts w:ascii="Arial" w:hAnsi="Arial"/>
          <w:color w:val="000000"/>
          <w:sz w:val="20"/>
        </w:rPr>
        <w:t>performance stock options, which represents achievement of the target level of performance (collectively, the Performance Stock Awards or PSAs). For the Performance Stock Awards to be earned, the Company must achieve performance vesting criteria as modified based on the Company’s average absolute total stockholder return during the performance period. The performance vesting criteria are based upon certain levels of average annual return on equity (as defined in the Performance Stock Award Agreements) ranging from 10.0% to 20.0% measured at the end of fiscal 2028 (three-year performance period) as modified by total stockholder return. Performance outcomes (taking into account both criteria) will result in a threshold vesting percentage of 50% of target and maximum performance will result in a vesting percentage of 200% of target. If the threshold vesting percentage is not achieved none of the Performance Stock Awards will be earned.</w:t>
      </w:r>
    </w:p>
    <w:p>
      <w:pPr>
        <w:pStyle w:val="TextBody"/>
        <w:bidi w:val="0"/>
        <w:spacing w:before="120" w:after="283"/>
        <w:jc w:val="left"/>
        <w:rPr>
          <w:rFonts w:ascii="Times New Roman" w:hAnsi="Times New Roman"/>
          <w:sz w:val="20"/>
        </w:rPr>
      </w:pPr>
      <w:r>
        <w:rPr>
          <w:rFonts w:ascii="Arial" w:hAnsi="Arial"/>
          <w:color w:val="000000"/>
          <w:sz w:val="20"/>
        </w:rPr>
        <w:t>Our Performance Stock Awards are evaluated on a quarterly basis with adjustments to compensation expense based on the likelihood of the performance targets being achieved or exceeded. The maximum expense for our outstanding Performance Stock Awards is approximately $17.4</w:t>
      </w:r>
      <w:r>
        <w:rPr>
          <w:rFonts w:ascii="Times New Roman" w:hAnsi="Times New Roman"/>
          <w:color w:val="000000"/>
          <w:sz w:val="20"/>
        </w:rPr>
        <w:t xml:space="preserve"> </w:t>
      </w:r>
      <w:r>
        <w:rPr>
          <w:rFonts w:ascii="Arial" w:hAnsi="Arial"/>
          <w:color w:val="000000"/>
          <w:sz w:val="20"/>
        </w:rPr>
        <w:t>million. Any forfeitures are recognized as a reduction to expense in the period in which they occur.</w:t>
      </w:r>
    </w:p>
    <w:p>
      <w:pPr>
        <w:pStyle w:val="TextBody"/>
        <w:bidi w:val="0"/>
        <w:spacing w:before="120" w:after="120"/>
        <w:jc w:val="left"/>
        <w:rPr>
          <w:rFonts w:ascii="Arial" w:hAnsi="Arial"/>
          <w:color w:val="000000"/>
          <w:sz w:val="20"/>
        </w:rPr>
      </w:pPr>
      <w:r>
        <w:rPr>
          <w:rFonts w:ascii="Arial" w:hAnsi="Arial"/>
          <w:color w:val="000000"/>
          <w:sz w:val="20"/>
        </w:rPr>
        <w:t>The fair value of the above Performance Stock Awards was determined using a Monte Carlo simulation. The following are key inputs in the Monte Carlo analysis for the Fiscal 2026 Employee Performance Stock Awards.</w:t>
      </w:r>
    </w:p>
    <w:tbl>
      <w:tblPr>
        <w:tblW w:w="5893" w:type="dxa"/>
        <w:jc w:val="left"/>
        <w:tblInd w:w="0" w:type="dxa"/>
        <w:tblLayout w:type="fixed"/>
        <w:tblCellMar>
          <w:top w:w="28" w:type="dxa"/>
          <w:left w:w="28" w:type="dxa"/>
          <w:bottom w:w="28" w:type="dxa"/>
          <w:right w:w="28" w:type="dxa"/>
        </w:tblCellMar>
      </w:tblPr>
      <w:tblGrid>
        <w:gridCol w:w="4606"/>
        <w:gridCol w:w="146"/>
        <w:gridCol w:w="210"/>
        <w:gridCol w:w="645"/>
        <w:gridCol w:w="286"/>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Fiscal 2026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Measurement Period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2.86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5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6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5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0.5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6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5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6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5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Estimated Fair Value of Market-Based PSAs at Grant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213.66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sz w:val="20"/>
        </w:rPr>
      </w:pPr>
      <w:r>
        <w:rPr>
          <w:rFonts w:ascii="Arial" w:hAnsi="Arial"/>
          <w:color w:val="000000"/>
          <w:sz w:val="20"/>
        </w:rPr>
        <w:t>In addition to the Performance Stock Awards discussed above, the Compensation Committee approved the granting to certain officers and key employees an aggregate of 14,712</w:t>
      </w:r>
      <w:r>
        <w:rPr>
          <w:rFonts w:ascii="Times New Roman" w:hAnsi="Times New Roman"/>
          <w:color w:val="000000"/>
          <w:sz w:val="20"/>
        </w:rPr>
        <w:t xml:space="preserve"> </w:t>
      </w:r>
      <w:r>
        <w:rPr>
          <w:rFonts w:ascii="Arial" w:hAnsi="Arial"/>
          <w:color w:val="000000"/>
          <w:sz w:val="20"/>
        </w:rPr>
        <w:t>time-vesting stock options which vest ratably over three years</w:t>
      </w:r>
      <w:r>
        <w:rPr>
          <w:rFonts w:ascii="Times New Roman" w:hAnsi="Times New Roman"/>
          <w:color w:val="000000"/>
          <w:sz w:val="20"/>
        </w:rPr>
        <w:t xml:space="preserve"> </w:t>
      </w:r>
      <w:r>
        <w:rPr>
          <w:rFonts w:ascii="Arial" w:hAnsi="Arial"/>
          <w:color w:val="000000"/>
          <w:sz w:val="20"/>
        </w:rPr>
        <w:t>(the Fiscal 2026 Employee Time-Vesting Stock Option Grant) and 29,273</w:t>
      </w:r>
      <w:r>
        <w:rPr>
          <w:rFonts w:ascii="Times New Roman" w:hAnsi="Times New Roman"/>
          <w:color w:val="000000"/>
          <w:sz w:val="20"/>
        </w:rPr>
        <w:t xml:space="preserve"> </w:t>
      </w:r>
      <w:r>
        <w:rPr>
          <w:rFonts w:ascii="Arial" w:hAnsi="Arial"/>
          <w:color w:val="000000"/>
          <w:sz w:val="20"/>
        </w:rPr>
        <w:t>shares of time-vesting restricted stock units, which vest ratably over three years</w:t>
      </w:r>
      <w:r>
        <w:rPr>
          <w:rFonts w:ascii="Times New Roman" w:hAnsi="Times New Roman"/>
          <w:color w:val="000000"/>
          <w:sz w:val="20"/>
        </w:rPr>
        <w:t xml:space="preserve"> </w:t>
      </w:r>
      <w:r>
        <w:rPr>
          <w:rFonts w:ascii="Arial" w:hAnsi="Arial"/>
          <w:color w:val="000000"/>
          <w:sz w:val="20"/>
        </w:rPr>
        <w:t>(the Fiscal 2026 Employee Restricted Stock Unit Time-Vesting Award). The Fiscal 2026 Employee Restricted Stock Unit Time-Vesting Award was valued at the closing price of the stock on the grant date and is being expensed over a three-year period. The Fiscal 2026 Employee Time-Vesting Stock Option Grant was valued at the grant date using the Black-Scholes option pricing model, which used similar inputs as the Monte Carlo analysis shown above.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In addition to the stock awards described above, we may issue additional equity awards, including stock options, restricted stock, and restricted stock units, to certain employees from time to time. Any options issued are valued using the Black-Scholes options pricing model on the grant date and expensed over the vesting period, while restricted stock and restricted stock units are valued using the closing price on the grant date and expensed over the vesting period.</w:t>
      </w:r>
      <w:r>
        <w:rPr>
          <w:rFonts w:ascii="Times New Roman" w:hAnsi="Times New Roman"/>
          <w:color w:val="000000"/>
          <w:sz w:val="20"/>
        </w:rPr>
        <w:t xml:space="preserve"> </w:t>
      </w:r>
    </w:p>
    <w:p>
      <w:pPr>
        <w:pStyle w:val="TextBody"/>
        <w:bidi w:val="0"/>
        <w:spacing w:before="120" w:after="283"/>
        <w:jc w:val="left"/>
        <w:rPr>
          <w:rFonts w:ascii="Arial" w:hAnsi="Arial"/>
          <w:b/>
          <w:color w:val="000000"/>
          <w:sz w:val="20"/>
        </w:rPr>
      </w:pPr>
      <w:r>
        <w:rPr>
          <w:rFonts w:ascii="Arial" w:hAnsi="Arial"/>
          <w:b/>
          <w:color w:val="000000"/>
          <w:sz w:val="20"/>
        </w:rPr>
        <w:t>STOCK OPTIONS</w:t>
      </w:r>
    </w:p>
    <w:p>
      <w:pPr>
        <w:pStyle w:val="TextBody"/>
        <w:bidi w:val="0"/>
        <w:spacing w:before="120" w:after="283"/>
        <w:jc w:val="left"/>
        <w:rPr>
          <w:rFonts w:ascii="Times New Roman" w:hAnsi="Times New Roman"/>
          <w:sz w:val="20"/>
        </w:rPr>
      </w:pPr>
      <w:r>
        <w:rPr>
          <w:rFonts w:ascii="Arial" w:hAnsi="Arial"/>
          <w:color w:val="000000"/>
          <w:sz w:val="20"/>
        </w:rPr>
        <w:t>Stock option expense for all outstanding stock option awards totaled approximately $0.5</w:t>
      </w:r>
      <w:r>
        <w:rPr>
          <w:rFonts w:ascii="Times New Roman" w:hAnsi="Times New Roman"/>
          <w:color w:val="000000"/>
          <w:sz w:val="20"/>
        </w:rPr>
        <w:t xml:space="preserve"> </w:t>
      </w:r>
      <w:r>
        <w:rPr>
          <w:rFonts w:ascii="Arial" w:hAnsi="Arial"/>
          <w:color w:val="000000"/>
          <w:sz w:val="20"/>
        </w:rPr>
        <w:t>million and $0.9</w:t>
      </w:r>
      <w:r>
        <w:rPr>
          <w:rFonts w:ascii="Times New Roman" w:hAnsi="Times New Roman"/>
          <w:color w:val="000000"/>
          <w:sz w:val="20"/>
        </w:rPr>
        <w:t xml:space="preserve"> </w:t>
      </w:r>
      <w:r>
        <w:rPr>
          <w:rFonts w:ascii="Arial" w:hAnsi="Arial"/>
          <w:color w:val="000000"/>
          <w:sz w:val="20"/>
        </w:rPr>
        <w:t>million for the three and six months ended September 30, 2025, respectively and $0.3</w:t>
      </w:r>
      <w:r>
        <w:rPr>
          <w:rFonts w:ascii="Times New Roman" w:hAnsi="Times New Roman"/>
          <w:color w:val="000000"/>
          <w:sz w:val="20"/>
        </w:rPr>
        <w:t xml:space="preserve"> </w:t>
      </w:r>
      <w:r>
        <w:rPr>
          <w:rFonts w:ascii="Arial" w:hAnsi="Arial"/>
          <w:color w:val="000000"/>
          <w:sz w:val="20"/>
        </w:rPr>
        <w:t>million and $0.6</w:t>
      </w:r>
      <w:r>
        <w:rPr>
          <w:rFonts w:ascii="Times New Roman" w:hAnsi="Times New Roman"/>
          <w:color w:val="000000"/>
          <w:sz w:val="20"/>
        </w:rPr>
        <w:t xml:space="preserve"> </w:t>
      </w:r>
      <w:r>
        <w:rPr>
          <w:rFonts w:ascii="Arial" w:hAnsi="Arial"/>
          <w:color w:val="000000"/>
          <w:sz w:val="20"/>
        </w:rPr>
        <w:t>million for the three and six months ended September 30, 2024, respectively. At September 30, 2025, there was approximately $3.2</w:t>
      </w:r>
      <w:r>
        <w:rPr>
          <w:rFonts w:ascii="Times New Roman" w:hAnsi="Times New Roman"/>
          <w:color w:val="000000"/>
          <w:sz w:val="20"/>
        </w:rPr>
        <w:t xml:space="preserve"> </w:t>
      </w:r>
      <w:r>
        <w:rPr>
          <w:rFonts w:ascii="Arial" w:hAnsi="Arial"/>
          <w:color w:val="000000"/>
          <w:sz w:val="20"/>
        </w:rPr>
        <w:t>million of unrecognized compensation cost related to outstanding stock options, which is expected to be recognized over a weighted-average period of 2.2</w:t>
      </w:r>
      <w:r>
        <w:rPr>
          <w:rFonts w:ascii="Times New Roman" w:hAnsi="Times New Roman"/>
          <w:color w:val="000000"/>
          <w:sz w:val="20"/>
        </w:rPr>
        <w:t xml:space="preserve"> </w:t>
      </w:r>
      <w:r>
        <w:rPr>
          <w:rFonts w:ascii="Arial" w:hAnsi="Arial"/>
          <w:color w:val="000000"/>
          <w:sz w:val="20"/>
        </w:rPr>
        <w:t>years.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The following table represents stock option activity for the six months ended September 30, 2025:</w:t>
      </w:r>
      <w:r>
        <w:rPr>
          <w:rFonts w:ascii="Times New Roman" w:hAnsi="Times New Roman"/>
          <w:color w:val="000000"/>
          <w:sz w:val="20"/>
        </w:rPr>
        <w:t xml:space="preserve"> </w:t>
      </w:r>
    </w:p>
    <w:p>
      <w:pPr>
        <w:pStyle w:val="TextBody"/>
        <w:bidi w:val="0"/>
        <w:jc w:val="left"/>
        <w:rPr/>
      </w:pPr>
      <w:r>
        <w:rPr/>
        <w:t> </w:t>
      </w:r>
    </w:p>
    <w:tbl>
      <w:tblPr>
        <w:tblW w:w="7814" w:type="dxa"/>
        <w:jc w:val="left"/>
        <w:tblInd w:w="0" w:type="dxa"/>
        <w:tblLayout w:type="fixed"/>
        <w:tblCellMar>
          <w:top w:w="28" w:type="dxa"/>
          <w:left w:w="28" w:type="dxa"/>
          <w:bottom w:w="28" w:type="dxa"/>
          <w:right w:w="28" w:type="dxa"/>
        </w:tblCellMar>
      </w:tblPr>
      <w:tblGrid>
        <w:gridCol w:w="5236"/>
        <w:gridCol w:w="146"/>
        <w:gridCol w:w="146"/>
        <w:gridCol w:w="691"/>
        <w:gridCol w:w="166"/>
        <w:gridCol w:w="146"/>
        <w:gridCol w:w="196"/>
        <w:gridCol w:w="155"/>
        <w:gridCol w:w="641"/>
        <w:gridCol w:w="291"/>
      </w:tblGrid>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Number</w:t>
              <w:br/>
              <w:t>of Shares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Weighted-</w:t>
              <w:br/>
              <w:t>Average</w:t>
              <w:br/>
              <w:t>Exercise</w:t>
              <w:br/>
              <w:t>Price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Outstanding Options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184,233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95.75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20"/>
              </w:rPr>
            </w:pPr>
            <w:r>
              <w:rPr>
                <w:rFonts w:ascii="Arial Narrow;sans-serif" w:hAnsi="Arial Narrow;sans-serif"/>
                <w:b/>
                <w:color w:val="004483"/>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213.66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20"/>
              </w:rPr>
            </w:pPr>
            <w:r>
              <w:rPr>
                <w:rFonts w:ascii="Arial Narrow;sans-serif" w:hAnsi="Arial Narrow;sans-serif"/>
                <w:b/>
                <w:color w:val="004483"/>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79.73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4483"/>
                <w:sz w:val="20"/>
              </w:rPr>
            </w:pPr>
            <w:r>
              <w:rPr>
                <w:rFonts w:ascii="Arial Narrow;sans-serif" w:hAnsi="Arial Narrow;sans-serif"/>
                <w:b/>
                <w:color w:val="004483"/>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Outstanding Options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207,654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112.92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Options Exercisable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160,325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Weighted-Average Fair Value of Options Granted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90.94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Arial" w:hAnsi="Arial"/>
          <w:color w:val="000000"/>
          <w:sz w:val="20"/>
        </w:rPr>
        <w:t>The following table summarizes information about stock options outstanding at September 30, 2025:</w:t>
      </w:r>
      <w:r>
        <w:rPr>
          <w:rFonts w:ascii="Times New Roman" w:hAnsi="Times New Roman"/>
          <w:color w:val="000000"/>
          <w:sz w:val="20"/>
        </w:rPr>
        <w:t xml:space="preserve"> </w:t>
      </w:r>
    </w:p>
    <w:p>
      <w:pPr>
        <w:pStyle w:val="TextBody"/>
        <w:bidi w:val="0"/>
        <w:jc w:val="left"/>
        <w:rPr/>
      </w:pPr>
      <w:r>
        <w:rPr/>
        <w:t> </w:t>
      </w:r>
    </w:p>
    <w:tbl>
      <w:tblPr>
        <w:tblW w:w="7902" w:type="dxa"/>
        <w:jc w:val="left"/>
        <w:tblInd w:w="0" w:type="dxa"/>
        <w:tblLayout w:type="fixed"/>
        <w:tblCellMar>
          <w:top w:w="28" w:type="dxa"/>
          <w:left w:w="28" w:type="dxa"/>
          <w:bottom w:w="28" w:type="dxa"/>
          <w:right w:w="28" w:type="dxa"/>
        </w:tblCellMar>
      </w:tblPr>
      <w:tblGrid>
        <w:gridCol w:w="1846"/>
        <w:gridCol w:w="146"/>
        <w:gridCol w:w="167"/>
        <w:gridCol w:w="794"/>
        <w:gridCol w:w="146"/>
        <w:gridCol w:w="146"/>
        <w:gridCol w:w="266"/>
        <w:gridCol w:w="769"/>
        <w:gridCol w:w="146"/>
        <w:gridCol w:w="146"/>
        <w:gridCol w:w="196"/>
        <w:gridCol w:w="601"/>
        <w:gridCol w:w="146"/>
        <w:gridCol w:w="146"/>
        <w:gridCol w:w="167"/>
        <w:gridCol w:w="794"/>
        <w:gridCol w:w="146"/>
        <w:gridCol w:w="146"/>
        <w:gridCol w:w="196"/>
        <w:gridCol w:w="601"/>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7"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Options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Options Exercisable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Range of Exercise Prices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Number of</w:t>
              <w:br/>
              <w:t>Shares</w:t>
              <w:b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Weighted-</w:t>
              <w:br/>
              <w:t>Average</w:t>
              <w:br/>
              <w:t>Remaining</w:t>
              <w:br/>
              <w:t>Contractual</w:t>
              <w:br/>
              <w:t>Life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Weighted-</w:t>
              <w:br/>
              <w:t>Average</w:t>
              <w:br/>
              <w:t>Exercise</w:t>
              <w:br/>
              <w:t>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Number of</w:t>
              <w:br/>
              <w:t>Shares</w:t>
              <w:b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Weighted-</w:t>
              <w:br/>
              <w:t>Average</w:t>
              <w:br/>
              <w:t>Exercise</w:t>
              <w:br/>
              <w:t>Price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b/>
                <w:color w:val="004483"/>
                <w:sz w:val="20"/>
              </w:rPr>
              <w:t>$59.32</w:t>
            </w:r>
            <w:r>
              <w:rPr>
                <w:rFonts w:ascii="Times New Roman" w:hAnsi="Times New Roman"/>
                <w:color w:val="004483"/>
                <w:sz w:val="20"/>
              </w:rPr>
              <w:t> </w:t>
            </w:r>
            <w:r>
              <w:rPr>
                <w:rFonts w:ascii="Arial Narrow;sans-serif" w:hAnsi="Arial Narrow;sans-serif"/>
                <w:b/>
                <w:color w:val="004483"/>
                <w:sz w:val="20"/>
              </w:rPr>
              <w:t>- $81.28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82,057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82,057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61.78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b/>
                <w:color w:val="004483"/>
                <w:sz w:val="20"/>
              </w:rPr>
              <w:t>$91.21</w:t>
            </w:r>
            <w:r>
              <w:rPr>
                <w:rFonts w:ascii="Times New Roman" w:hAnsi="Times New Roman"/>
                <w:color w:val="004483"/>
                <w:sz w:val="20"/>
              </w:rPr>
              <w:t> </w:t>
            </w:r>
            <w:r>
              <w:rPr>
                <w:rFonts w:ascii="Arial Narrow;sans-serif" w:hAnsi="Arial Narrow;sans-serif"/>
                <w:b/>
                <w:color w:val="004483"/>
                <w:sz w:val="20"/>
              </w:rPr>
              <w:t>- $100.88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32,852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32,852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94.95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b/>
                <w:color w:val="004483"/>
                <w:sz w:val="20"/>
              </w:rPr>
              <w:t>$118.27</w:t>
            </w:r>
            <w:r>
              <w:rPr>
                <w:rFonts w:ascii="Times New Roman" w:hAnsi="Times New Roman"/>
                <w:color w:val="004483"/>
                <w:sz w:val="20"/>
              </w:rPr>
              <w:t> </w:t>
            </w:r>
            <w:r>
              <w:rPr>
                <w:rFonts w:ascii="Arial Narrow;sans-serif" w:hAnsi="Arial Narrow;sans-serif"/>
                <w:b/>
                <w:color w:val="004483"/>
                <w:sz w:val="20"/>
              </w:rPr>
              <w:t>- $139.25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48,931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36,079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126.93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b/>
                <w:color w:val="004483"/>
                <w:sz w:val="20"/>
              </w:rPr>
              <w:t>$143.09</w:t>
            </w:r>
            <w:r>
              <w:rPr>
                <w:rFonts w:ascii="Times New Roman" w:hAnsi="Times New Roman"/>
                <w:color w:val="004483"/>
                <w:sz w:val="20"/>
              </w:rPr>
              <w:t> </w:t>
            </w:r>
            <w:r>
              <w:rPr>
                <w:rFonts w:ascii="Arial Narrow;sans-serif" w:hAnsi="Arial Narrow;sans-serif"/>
                <w:b/>
                <w:color w:val="004483"/>
                <w:sz w:val="20"/>
              </w:rPr>
              <w:t>- $261.76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43,814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182.32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207,654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112.92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160,325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90.26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Arial" w:hAnsi="Arial"/>
          <w:color w:val="000000"/>
          <w:sz w:val="20"/>
        </w:rPr>
        <w:t>At September 30, 2025, the aggregate intrinsic value of the outstanding and exercisable options was approximately $25.0</w:t>
      </w:r>
      <w:r>
        <w:rPr>
          <w:rFonts w:ascii="Times New Roman" w:hAnsi="Times New Roman"/>
          <w:color w:val="000000"/>
          <w:sz w:val="20"/>
        </w:rPr>
        <w:t xml:space="preserve"> </w:t>
      </w:r>
      <w:r>
        <w:rPr>
          <w:rFonts w:ascii="Arial" w:hAnsi="Arial"/>
          <w:color w:val="000000"/>
          <w:sz w:val="20"/>
        </w:rPr>
        <w:t>million and $22.9</w:t>
      </w:r>
      <w:r>
        <w:rPr>
          <w:rFonts w:ascii="Times New Roman" w:hAnsi="Times New Roman"/>
          <w:color w:val="000000"/>
          <w:sz w:val="20"/>
        </w:rPr>
        <w:t xml:space="preserve"> </w:t>
      </w:r>
      <w:r>
        <w:rPr>
          <w:rFonts w:ascii="Arial" w:hAnsi="Arial"/>
          <w:color w:val="000000"/>
          <w:sz w:val="20"/>
        </w:rPr>
        <w:t>million, respectively. The total intrinsic value of options exercised during the six months ended September 30, 2025, was approximately $0.8</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Arial" w:hAnsi="Arial"/>
          <w:b/>
          <w:color w:val="000000"/>
          <w:sz w:val="20"/>
        </w:rPr>
      </w:pPr>
      <w:r>
        <w:rPr>
          <w:rFonts w:ascii="Arial" w:hAnsi="Arial"/>
          <w:b/>
          <w:color w:val="000000"/>
          <w:sz w:val="20"/>
        </w:rPr>
        <w:t>RESTRICTED STOCK UNITS AND RESTRICTED STOCK</w:t>
      </w:r>
    </w:p>
    <w:p>
      <w:pPr>
        <w:pStyle w:val="TextBody"/>
        <w:bidi w:val="0"/>
        <w:spacing w:before="120" w:after="120"/>
        <w:jc w:val="left"/>
        <w:rPr>
          <w:rFonts w:ascii="Arial" w:hAnsi="Arial"/>
          <w:color w:val="000000"/>
          <w:sz w:val="20"/>
        </w:rPr>
      </w:pPr>
      <w:r>
        <w:rPr>
          <w:rFonts w:ascii="Arial" w:hAnsi="Arial"/>
          <w:color w:val="000000"/>
          <w:sz w:val="20"/>
        </w:rPr>
        <w:t>The following table summarizes the activity for restricted stock units and nonvested restricted stock during the six months ended September 30, 2025:</w:t>
      </w:r>
    </w:p>
    <w:tbl>
      <w:tblPr>
        <w:tblW w:w="8763" w:type="dxa"/>
        <w:jc w:val="left"/>
        <w:tblInd w:w="0" w:type="dxa"/>
        <w:tblLayout w:type="fixed"/>
        <w:tblCellMar>
          <w:top w:w="28" w:type="dxa"/>
          <w:left w:w="28" w:type="dxa"/>
          <w:bottom w:w="28" w:type="dxa"/>
          <w:right w:w="28" w:type="dxa"/>
        </w:tblCellMar>
      </w:tblPr>
      <w:tblGrid>
        <w:gridCol w:w="6241"/>
        <w:gridCol w:w="146"/>
        <w:gridCol w:w="146"/>
        <w:gridCol w:w="691"/>
        <w:gridCol w:w="166"/>
        <w:gridCol w:w="146"/>
        <w:gridCol w:w="196"/>
        <w:gridCol w:w="163"/>
        <w:gridCol w:w="677"/>
        <w:gridCol w:w="191"/>
      </w:tblGrid>
      <w:tr>
        <w:trPr/>
        <w:tc>
          <w:tcPr>
            <w:tcW w:w="6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Number</w:t>
              <w:br/>
              <w:t>of Shares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Weighted-</w:t>
              <w:br/>
              <w:t>Average</w:t>
              <w:br/>
              <w:t>Grant Date</w:t>
              <w:br/>
              <w:t>Fair Value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Restricted Stock Units and Nonvested Restricted Stock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194,099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150.56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70,167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215.28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(73,347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107.09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Restricted Stock Units and Nonvested Restricted Stock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190,919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123.94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Arial" w:hAnsi="Arial"/>
          <w:color w:val="000000"/>
          <w:sz w:val="20"/>
        </w:rPr>
        <w:t>Expense related to</w:t>
      </w:r>
      <w:r>
        <w:rPr>
          <w:rFonts w:ascii="Times New Roman" w:hAnsi="Times New Roman"/>
          <w:color w:val="FFFFFF"/>
          <w:sz w:val="20"/>
        </w:rPr>
        <w:t xml:space="preserve"> </w:t>
      </w:r>
      <w:r>
        <w:rPr>
          <w:rFonts w:ascii="Arial" w:hAnsi="Arial"/>
          <w:color w:val="000000"/>
          <w:sz w:val="20"/>
        </w:rPr>
        <w:t>restricted stock units and restricted stock was approximately $5.0</w:t>
      </w:r>
      <w:r>
        <w:rPr>
          <w:rFonts w:ascii="Times New Roman" w:hAnsi="Times New Roman"/>
          <w:color w:val="000000"/>
          <w:sz w:val="20"/>
        </w:rPr>
        <w:t xml:space="preserve"> </w:t>
      </w:r>
      <w:r>
        <w:rPr>
          <w:rFonts w:ascii="Arial" w:hAnsi="Arial"/>
          <w:color w:val="000000"/>
          <w:sz w:val="20"/>
        </w:rPr>
        <w:t>million and</w:t>
      </w:r>
      <w:r>
        <w:rPr>
          <w:rFonts w:ascii="Times New Roman" w:hAnsi="Times New Roman"/>
          <w:color w:val="000000"/>
          <w:sz w:val="20"/>
        </w:rPr>
        <w:t xml:space="preserve"> </w:t>
      </w:r>
      <w:r>
        <w:rPr>
          <w:rFonts w:ascii="Arial" w:hAnsi="Arial"/>
          <w:color w:val="000000"/>
          <w:sz w:val="20"/>
        </w:rPr>
        <w:t>$9.4</w:t>
      </w:r>
      <w:r>
        <w:rPr>
          <w:rFonts w:ascii="Times New Roman" w:hAnsi="Times New Roman"/>
          <w:color w:val="000000"/>
          <w:sz w:val="20"/>
        </w:rPr>
        <w:t xml:space="preserve"> </w:t>
      </w:r>
      <w:r>
        <w:rPr>
          <w:rFonts w:ascii="Arial" w:hAnsi="Arial"/>
          <w:color w:val="000000"/>
          <w:sz w:val="20"/>
        </w:rPr>
        <w:t>million for the three and six months ended September 30, 2025, respectively, and $4.6</w:t>
      </w:r>
      <w:r>
        <w:rPr>
          <w:rFonts w:ascii="Times New Roman" w:hAnsi="Times New Roman"/>
          <w:color w:val="000000"/>
          <w:sz w:val="20"/>
        </w:rPr>
        <w:t xml:space="preserve"> </w:t>
      </w:r>
      <w:r>
        <w:rPr>
          <w:rFonts w:ascii="Arial" w:hAnsi="Arial"/>
          <w:color w:val="000000"/>
          <w:sz w:val="20"/>
        </w:rPr>
        <w:t>million and $8.8</w:t>
      </w:r>
      <w:r>
        <w:rPr>
          <w:rFonts w:ascii="Times New Roman" w:hAnsi="Times New Roman"/>
          <w:color w:val="000000"/>
          <w:sz w:val="20"/>
        </w:rPr>
        <w:t xml:space="preserve"> </w:t>
      </w:r>
      <w:r>
        <w:rPr>
          <w:rFonts w:ascii="Arial" w:hAnsi="Arial"/>
          <w:color w:val="000000"/>
          <w:sz w:val="20"/>
        </w:rPr>
        <w:t>million for the three and six months ended September 30, 2024, respectively. At September 30, 2025, there was approximately $27.8</w:t>
      </w:r>
      <w:r>
        <w:rPr>
          <w:rFonts w:ascii="Times New Roman" w:hAnsi="Times New Roman"/>
          <w:color w:val="000000"/>
          <w:sz w:val="20"/>
        </w:rPr>
        <w:t xml:space="preserve"> </w:t>
      </w:r>
      <w:r>
        <w:rPr>
          <w:rFonts w:ascii="Arial" w:hAnsi="Arial"/>
          <w:color w:val="000000"/>
          <w:sz w:val="20"/>
        </w:rPr>
        <w:t>million of unearned compensation from restricted stock units and nonvested restricted shares, which will be recognized over a weighted-average period of 1.6</w:t>
      </w:r>
      <w:r>
        <w:rPr>
          <w:rFonts w:ascii="Times New Roman" w:hAnsi="Times New Roman"/>
          <w:color w:val="000000"/>
          <w:sz w:val="20"/>
        </w:rPr>
        <w:t xml:space="preserve"> </w:t>
      </w:r>
      <w:r>
        <w:rPr>
          <w:rFonts w:ascii="Arial" w:hAnsi="Arial"/>
          <w:color w:val="000000"/>
          <w:sz w:val="20"/>
        </w:rPr>
        <w:t>years.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number of shares available for future grants of stock options, restricted stock units, stock appreciation rights, and restricted stock under the Plan was 1,244,080</w:t>
      </w:r>
      <w:r>
        <w:rPr>
          <w:rFonts w:ascii="Times New Roman" w:hAnsi="Times New Roman"/>
          <w:color w:val="000000"/>
          <w:sz w:val="20"/>
        </w:rPr>
        <w:t xml:space="preserve"> </w:t>
      </w:r>
      <w:r>
        <w:rPr>
          <w:rFonts w:ascii="Arial" w:hAnsi="Arial"/>
          <w:color w:val="000000"/>
          <w:sz w:val="20"/>
        </w:rPr>
        <w:t>at September 30, 2025.</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2"/>
        </w:rPr>
        <w:t>(J)</w:t>
      </w:r>
      <w:r>
        <w:rPr>
          <w:rFonts w:ascii="Times New Roman" w:hAnsi="Times New Roman"/>
          <w:color w:val="000000"/>
          <w:sz w:val="20"/>
        </w:rPr>
        <w:t xml:space="preserve"> </w:t>
      </w:r>
      <w:r>
        <w:rPr>
          <w:rFonts w:ascii="Arial" w:hAnsi="Arial"/>
          <w:b/>
          <w:color w:val="000000"/>
          <w:sz w:val="22"/>
        </w:rPr>
        <w:t>COMPUTATION OF EARNINGS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calculation of basic and diluted common shares outstanding is as follows:</w:t>
      </w:r>
      <w:r>
        <w:rPr>
          <w:rFonts w:ascii="Times New Roman" w:hAnsi="Times New Roman"/>
          <w:color w:val="000000"/>
          <w:sz w:val="20"/>
        </w:rPr>
        <w:t xml:space="preserve"> </w:t>
      </w:r>
    </w:p>
    <w:tbl>
      <w:tblPr>
        <w:tblW w:w="8767" w:type="dxa"/>
        <w:jc w:val="left"/>
        <w:tblInd w:w="0" w:type="dxa"/>
        <w:tblLayout w:type="fixed"/>
        <w:tblCellMar>
          <w:top w:w="28" w:type="dxa"/>
          <w:left w:w="28" w:type="dxa"/>
          <w:bottom w:w="28" w:type="dxa"/>
          <w:right w:w="28" w:type="dxa"/>
        </w:tblCellMar>
      </w:tblPr>
      <w:tblGrid>
        <w:gridCol w:w="3226"/>
        <w:gridCol w:w="146"/>
        <w:gridCol w:w="146"/>
        <w:gridCol w:w="916"/>
        <w:gridCol w:w="166"/>
        <w:gridCol w:w="146"/>
        <w:gridCol w:w="146"/>
        <w:gridCol w:w="916"/>
        <w:gridCol w:w="166"/>
        <w:gridCol w:w="146"/>
        <w:gridCol w:w="146"/>
        <w:gridCol w:w="916"/>
        <w:gridCol w:w="166"/>
        <w:gridCol w:w="146"/>
        <w:gridCol w:w="146"/>
        <w:gridCol w:w="916"/>
        <w:gridCol w:w="21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Three Months Ended</w:t>
              <w:b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Six Months Ended</w:t>
              <w:br/>
              <w:t>September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Weighted-Average Shares of Common</w:t>
              <w:br/>
              <w:t>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32,297,313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33,431,315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32,459,801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33,581,970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Effect of Dilutive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Assumed Exercise of Outstanding</w:t>
              <w:br/>
              <w:t>   Dilutive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175,755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239,969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177,256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245,200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Less Shares Repurchased from</w:t>
              <w:br/>
              <w:t>   Proceeds of Assumed Exercised</w:t>
              <w:br/>
              <w:t>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(72,822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(92,198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(75,674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(95,378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2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Restricted Stock and Restricted Stock</w:t>
              <w:br/>
              <w:t>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69,587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136,950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76,924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121,911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Weighted-Average Common Stock and</w:t>
              <w:br/>
              <w:t>   Dilutive Securities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32,469,833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33,716,036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32,638,307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33,853,703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Shares Excluded Due to Anti-Dilution</w:t>
              <w:br/>
              <w:t>   Effects, Including Contingent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41,982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4,701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34,392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3,332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b/>
          <w:color w:val="000000"/>
          <w:sz w:val="22"/>
        </w:rPr>
        <w:t>(K) PENSION AND EMPLOYEE BENEFIT PLANS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We sponsor several single-employer defined benefit plans and defined contribution plans, which together cover substantially all our employees. Benefits paid under the single-employer defined benefit plans covering certain hourly employees were historically based on years of service and the employee’s qualifying compensation over the last few years of employment. These plans have been frozen to new participants and new benefits over the last several years, with the last plan frozen during fiscal 2020. Our defined benefit plans are all fully funded, with plan assets exceeding the benefit obligation at March 31, 2025. Due to the frozen status and current funding of the single-employer pension plans, our expected pension expense for fiscal 2026 is less than $0.1</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color w:val="000000"/>
          <w:sz w:val="22"/>
        </w:rPr>
        <w:t>(L) INCOME TAXES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Income Taxes for the interim periods presented have been included in the accompanying financial statements on the basis of an estimated annual effective tax rate. In addition to the amount of tax resulting from applying the estimated annual effective tax rate to pre-tax income, we will include, when appropriate, certain items treated as discrete events to arrive at an estimated overall tax amount. The effective tax rate for the six months ended September 30, 2025, was approximately 22%, which is consistent with the tax rate for the six months ended September 30, 2024. The effective tax rate was higher than the U.S. statutory rate of 21% mainly due to state income taxes, partially offset by a benefit recognized related to percentage depletion.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July 4, 2025, H.R.1 - One Big Beautiful Bill Act (OBBBA) was signed into law. The OBBBA, among other provisions, makes permanent 100% bonus depreciation and restores expensing of domestic research expenditures. Changes in tax laws are recognized in the period of enactment. OBBBA did not have a material impact on the Company’s annual income tax rate or income tax expense, but the bonus depreciation provisions of the act will affect the timing of income tax payments in current and future periods.</w:t>
      </w:r>
    </w:p>
    <w:p>
      <w:pPr>
        <w:pStyle w:val="TextBody"/>
        <w:bidi w:val="0"/>
        <w:spacing w:before="270" w:after="283"/>
        <w:jc w:val="both"/>
        <w:rPr>
          <w:rFonts w:ascii="Times New Roman" w:hAnsi="Times New Roman"/>
          <w:sz w:val="20"/>
        </w:rPr>
      </w:pPr>
      <w:r>
        <w:rPr>
          <w:rFonts w:ascii="Arial" w:hAnsi="Arial"/>
          <w:b/>
          <w:color w:val="000000"/>
          <w:sz w:val="22"/>
        </w:rPr>
        <w:t>(M) LONG-TERM DEBT</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Arial" w:hAnsi="Arial"/>
          <w:color w:val="000000"/>
          <w:sz w:val="20"/>
        </w:rPr>
        <w:t>Long-Term Debt at September 30, 2025 was as follows:</w:t>
      </w:r>
      <w:r>
        <w:rPr>
          <w:rFonts w:ascii="Times New Roman" w:hAnsi="Times New Roman"/>
          <w:color w:val="000000"/>
          <w:sz w:val="20"/>
        </w:rPr>
        <w:t xml:space="preserve"> </w:t>
      </w:r>
    </w:p>
    <w:tbl>
      <w:tblPr>
        <w:tblW w:w="7689" w:type="dxa"/>
        <w:jc w:val="left"/>
        <w:tblInd w:w="0" w:type="dxa"/>
        <w:tblLayout w:type="fixed"/>
        <w:tblCellMar>
          <w:top w:w="28" w:type="dxa"/>
          <w:left w:w="28" w:type="dxa"/>
          <w:bottom w:w="28" w:type="dxa"/>
          <w:right w:w="28" w:type="dxa"/>
        </w:tblCellMar>
      </w:tblPr>
      <w:tblGrid>
        <w:gridCol w:w="4381"/>
        <w:gridCol w:w="146"/>
        <w:gridCol w:w="196"/>
        <w:gridCol w:w="164"/>
        <w:gridCol w:w="931"/>
        <w:gridCol w:w="166"/>
        <w:gridCol w:w="146"/>
        <w:gridCol w:w="196"/>
        <w:gridCol w:w="146"/>
        <w:gridCol w:w="826"/>
        <w:gridCol w:w="3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March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200,000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2.500% Senior Unsecured Notes Due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750,000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288,750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296,250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1,293,750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1,246,250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38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3A3A3"/>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3A3A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3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Less: Unamortized Discount and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(7,934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3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0000"/>
                <w:sz w:val="20"/>
              </w:rPr>
            </w:pPr>
            <w:r>
              <w:rPr>
                <w:rFonts w:ascii="Arial Narrow;sans-serif" w:hAnsi="Arial Narrow;sans-serif"/>
                <w:b/>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1,271,450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1,223,316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b/>
          <w:color w:val="000000"/>
          <w:sz w:val="20"/>
          <w:u w:val="single"/>
        </w:rPr>
      </w:pPr>
      <w:r>
        <w:rPr>
          <w:rFonts w:ascii="Arial" w:hAnsi="Arial"/>
          <w:b/>
          <w:color w:val="000000"/>
          <w:sz w:val="20"/>
          <w:u w:val="single"/>
        </w:rPr>
        <w:t>Revolving Credit Facility</w:t>
      </w:r>
    </w:p>
    <w:p>
      <w:pPr>
        <w:pStyle w:val="TextBody"/>
        <w:bidi w:val="0"/>
        <w:spacing w:before="120" w:after="283"/>
        <w:jc w:val="left"/>
        <w:rPr>
          <w:rFonts w:ascii="Times New Roman" w:hAnsi="Times New Roman"/>
          <w:sz w:val="20"/>
        </w:rPr>
      </w:pPr>
      <w:r>
        <w:rPr>
          <w:rFonts w:ascii="Arial" w:hAnsi="Arial"/>
          <w:color w:val="000000"/>
          <w:sz w:val="20"/>
        </w:rPr>
        <w:t>We have an unsecured $750.0</w:t>
      </w:r>
      <w:r>
        <w:rPr>
          <w:rFonts w:ascii="Times New Roman" w:hAnsi="Times New Roman"/>
          <w:color w:val="000000"/>
          <w:sz w:val="20"/>
        </w:rPr>
        <w:t xml:space="preserve"> </w:t>
      </w:r>
      <w:r>
        <w:rPr>
          <w:rFonts w:ascii="Arial" w:hAnsi="Arial"/>
          <w:color w:val="000000"/>
          <w:sz w:val="20"/>
        </w:rPr>
        <w:t>million revolving credit facility (the Revolving Credit Facility), which includes a separate $300.0</w:t>
      </w:r>
      <w:r>
        <w:rPr>
          <w:rFonts w:ascii="Times New Roman" w:hAnsi="Times New Roman"/>
          <w:color w:val="000000"/>
          <w:sz w:val="20"/>
        </w:rPr>
        <w:t xml:space="preserve"> </w:t>
      </w:r>
      <w:r>
        <w:rPr>
          <w:rFonts w:ascii="Arial" w:hAnsi="Arial"/>
          <w:color w:val="000000"/>
          <w:sz w:val="20"/>
        </w:rPr>
        <w:t>million term loan facility (the Term Loan). The Revolving Credit Facility also provides the Company the option to increase the borrowing capacity by up to $375.0</w:t>
      </w:r>
      <w:r>
        <w:rPr>
          <w:rFonts w:ascii="Times New Roman" w:hAnsi="Times New Roman"/>
          <w:color w:val="000000"/>
          <w:sz w:val="20"/>
        </w:rPr>
        <w:t xml:space="preserve"> </w:t>
      </w:r>
      <w:r>
        <w:rPr>
          <w:rFonts w:ascii="Arial" w:hAnsi="Arial"/>
          <w:color w:val="000000"/>
          <w:sz w:val="20"/>
        </w:rPr>
        <w:t>million (for a total borrowing capacity of $1,125.0</w:t>
      </w:r>
      <w:r>
        <w:rPr>
          <w:rFonts w:ascii="Times New Roman" w:hAnsi="Times New Roman"/>
          <w:color w:val="000000"/>
          <w:sz w:val="20"/>
        </w:rPr>
        <w:t xml:space="preserve"> </w:t>
      </w:r>
      <w:r>
        <w:rPr>
          <w:rFonts w:ascii="Arial" w:hAnsi="Arial"/>
          <w:color w:val="000000"/>
          <w:sz w:val="20"/>
        </w:rPr>
        <w:t>million), provided the existing lenders, or new lenders, agree to such increase. The Revolving Credit</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Facility includes a $40.0</w:t>
      </w:r>
      <w:r>
        <w:rPr>
          <w:rFonts w:ascii="Times New Roman" w:hAnsi="Times New Roman"/>
          <w:color w:val="000000"/>
          <w:sz w:val="20"/>
        </w:rPr>
        <w:t xml:space="preserve"> </w:t>
      </w:r>
      <w:r>
        <w:rPr>
          <w:rFonts w:ascii="Arial" w:hAnsi="Arial"/>
          <w:color w:val="000000"/>
          <w:sz w:val="20"/>
        </w:rPr>
        <w:t>million letter of credit facility and a swingline loan sub-facility of $25.0</w:t>
      </w:r>
      <w:r>
        <w:rPr>
          <w:rFonts w:ascii="Times New Roman" w:hAnsi="Times New Roman"/>
          <w:color w:val="000000"/>
          <w:sz w:val="20"/>
        </w:rPr>
        <w:t xml:space="preserve"> </w:t>
      </w:r>
      <w:r>
        <w:rPr>
          <w:rFonts w:ascii="Arial" w:hAnsi="Arial"/>
          <w:color w:val="000000"/>
          <w:sz w:val="20"/>
        </w:rPr>
        <w:t>million, and expires on February 4, 2030.</w:t>
      </w:r>
    </w:p>
    <w:p>
      <w:pPr>
        <w:pStyle w:val="TextBody"/>
        <w:bidi w:val="0"/>
        <w:spacing w:before="120" w:after="283"/>
        <w:jc w:val="left"/>
        <w:rPr>
          <w:rFonts w:ascii="Times New Roman" w:hAnsi="Times New Roman"/>
          <w:sz w:val="20"/>
        </w:rPr>
      </w:pPr>
      <w:r>
        <w:rPr>
          <w:rFonts w:ascii="Arial" w:hAnsi="Arial"/>
          <w:color w:val="000000"/>
          <w:sz w:val="20"/>
        </w:rPr>
        <w:t>The Revolving Credit Facility contains customary covenants for an unsecured investment-grade facility, including covenants that restrict the Company’s and/or its subsidiaries’ ability to incur additional debt; encumber assets; merge with or transfer or sell assets to other persons; and enter into certain affiliate transactions. The Revolving Credit Facility also requires the Company to maintain at the end of each fiscal quarter a Leverage Ratio of 3.50:1.00 or less and an Interest Coverage Ratio (both ratios, as defined in the Revolving Credit Facility) equal to or greater than 2.50</w:t>
      </w:r>
      <w:r>
        <w:rPr>
          <w:rFonts w:ascii="Times New Roman" w:hAnsi="Times New Roman"/>
          <w:color w:val="000000"/>
          <w:sz w:val="20"/>
        </w:rPr>
        <w:t xml:space="preserve"> </w:t>
      </w:r>
      <w:r>
        <w:rPr>
          <w:rFonts w:ascii="Arial" w:hAnsi="Arial"/>
          <w:color w:val="000000"/>
          <w:sz w:val="20"/>
        </w:rPr>
        <w:t>to 1.00 (collectively, the Financial Covenants).</w:t>
      </w:r>
    </w:p>
    <w:p>
      <w:pPr>
        <w:pStyle w:val="TextBody"/>
        <w:bidi w:val="0"/>
        <w:spacing w:before="120" w:after="283"/>
        <w:jc w:val="left"/>
        <w:rPr>
          <w:rFonts w:ascii="Times New Roman" w:hAnsi="Times New Roman"/>
          <w:sz w:val="20"/>
        </w:rPr>
      </w:pPr>
      <w:r>
        <w:rPr>
          <w:rFonts w:ascii="Arial" w:hAnsi="Arial"/>
          <w:color w:val="000000"/>
          <w:sz w:val="20"/>
        </w:rPr>
        <w:t>At the Company’s option, outstanding loans under the Revolving Credit Facility bear interest, at a variable rate equal to either (i) the adjusted term SOFR rate (secured overnight financing rate), plus 10 basis points, plus an agreed spread (ranging from 100</w:t>
      </w:r>
      <w:r>
        <w:rPr>
          <w:rFonts w:ascii="Times New Roman" w:hAnsi="Times New Roman"/>
          <w:color w:val="000000"/>
          <w:sz w:val="20"/>
        </w:rPr>
        <w:t xml:space="preserve"> </w:t>
      </w:r>
      <w:r>
        <w:rPr>
          <w:rFonts w:ascii="Arial" w:hAnsi="Arial"/>
          <w:color w:val="000000"/>
          <w:sz w:val="20"/>
        </w:rPr>
        <w:t>to 162.5</w:t>
      </w:r>
      <w:r>
        <w:rPr>
          <w:rFonts w:ascii="Times New Roman" w:hAnsi="Times New Roman"/>
          <w:color w:val="000000"/>
          <w:sz w:val="20"/>
        </w:rPr>
        <w:t xml:space="preserve"> </w:t>
      </w:r>
      <w:r>
        <w:rPr>
          <w:rFonts w:ascii="Arial" w:hAnsi="Arial"/>
          <w:color w:val="000000"/>
          <w:sz w:val="20"/>
        </w:rPr>
        <w:t>basis points, which is established based on the Company's credit rating); (ii) in respect of any Revolving Loans (until such time as the then-existing Benchmark (as defined in the Revolving Credit Facility) is replaced in accordance with the Revolving Credit Facility), the adjusted daily simple SOFR rate, plus 10 basis points, plus an agreed spread (ranging from 100 to 162.5 basis points, which is established based on the Company's credit rating) or (iii) an Alternate Base Rate (as defined in the Revolving Credit Facility), which is the highest of (a) the Prime Rate (as defined in the Revolving Credit Facility) in effect on any applicable day, (b) the NYFRB Rate (as defined in the Revolving Credit Facility) in effect on any applicable day, plus ½ of 1%, and (c) the Adjusted Term SOFR (as defined in the Revolving Credit Facility) for a one-month interest period on any applicable day, or if such day is not a business day, the immediately preceding business day, plus 1.0%, in each case plus an agreed upon spread (ranging from 0</w:t>
      </w:r>
      <w:r>
        <w:rPr>
          <w:rFonts w:ascii="Times New Roman" w:hAnsi="Times New Roman"/>
          <w:color w:val="000000"/>
          <w:sz w:val="20"/>
        </w:rPr>
        <w:t xml:space="preserve"> </w:t>
      </w:r>
      <w:r>
        <w:rPr>
          <w:rFonts w:ascii="Arial" w:hAnsi="Arial"/>
          <w:color w:val="000000"/>
          <w:sz w:val="20"/>
        </w:rPr>
        <w:t>to 62.5</w:t>
      </w:r>
      <w:r>
        <w:rPr>
          <w:rFonts w:ascii="Times New Roman" w:hAnsi="Times New Roman"/>
          <w:color w:val="000000"/>
          <w:sz w:val="20"/>
        </w:rPr>
        <w:t xml:space="preserve"> </w:t>
      </w:r>
      <w:r>
        <w:rPr>
          <w:rFonts w:ascii="Arial" w:hAnsi="Arial"/>
          <w:color w:val="000000"/>
          <w:sz w:val="20"/>
        </w:rPr>
        <w:t>basis points), which is established quarterly based on the Company's credit rating. The Company is also required to pay a facility fee on unused available borrowings under the Revolving Credit Facility ranging from 9</w:t>
      </w:r>
      <w:r>
        <w:rPr>
          <w:rFonts w:ascii="Times New Roman" w:hAnsi="Times New Roman"/>
          <w:color w:val="000000"/>
          <w:sz w:val="20"/>
        </w:rPr>
        <w:t xml:space="preserve"> </w:t>
      </w:r>
      <w:r>
        <w:rPr>
          <w:rFonts w:ascii="Arial" w:hAnsi="Arial"/>
          <w:color w:val="000000"/>
          <w:sz w:val="20"/>
        </w:rPr>
        <w:t>to 22.5</w:t>
      </w:r>
      <w:r>
        <w:rPr>
          <w:rFonts w:ascii="Times New Roman" w:hAnsi="Times New Roman"/>
          <w:color w:val="000000"/>
          <w:sz w:val="20"/>
        </w:rPr>
        <w:t xml:space="preserve"> </w:t>
      </w:r>
      <w:r>
        <w:rPr>
          <w:rFonts w:ascii="Arial" w:hAnsi="Arial"/>
          <w:color w:val="000000"/>
          <w:sz w:val="20"/>
        </w:rPr>
        <w:t>basis points, which is established based on the Company's then credit rating.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Company pays each lender a participation fee with respect to such lender’s participations in letters of credit, which fee accrues at the same Applicable Rate (as defined in the Revolving Credit Facility) used to determine the interest rate applicable to Eurodollar Revolving Loans (as defined in the Revolving Credit Facility), plus a fronting fee for each letter of credit issued by the issuing bank in an amount equal to 12.5</w:t>
      </w:r>
      <w:r>
        <w:rPr>
          <w:rFonts w:ascii="Times New Roman" w:hAnsi="Times New Roman"/>
          <w:color w:val="000000"/>
          <w:sz w:val="20"/>
        </w:rPr>
        <w:t xml:space="preserve"> </w:t>
      </w:r>
      <w:r>
        <w:rPr>
          <w:rFonts w:ascii="Arial" w:hAnsi="Arial"/>
          <w:color w:val="000000"/>
          <w:sz w:val="20"/>
        </w:rPr>
        <w:t>basis points per annum on the daily maximum amount then available to be drawn under such letter of credit. The Company also pays each issuing bank such bank’s standard fees with respect to issuance, amendment or extensions of letters of credit and other processing fees, and other standard costs and charges relating to such issuing bank’s letters of credit from time to time.</w:t>
      </w:r>
    </w:p>
    <w:p>
      <w:pPr>
        <w:pStyle w:val="TextBody"/>
        <w:bidi w:val="0"/>
        <w:spacing w:before="120" w:after="283"/>
        <w:jc w:val="left"/>
        <w:rPr>
          <w:rFonts w:ascii="Times New Roman" w:hAnsi="Times New Roman"/>
          <w:sz w:val="20"/>
        </w:rPr>
      </w:pPr>
      <w:r>
        <w:rPr>
          <w:rFonts w:ascii="Arial" w:hAnsi="Arial"/>
          <w:color w:val="000000"/>
          <w:sz w:val="20"/>
        </w:rPr>
        <w:t>There was $255.0</w:t>
      </w:r>
      <w:r>
        <w:rPr>
          <w:rFonts w:ascii="Times New Roman" w:hAnsi="Times New Roman"/>
          <w:color w:val="000000"/>
          <w:sz w:val="20"/>
        </w:rPr>
        <w:t xml:space="preserve"> </w:t>
      </w:r>
      <w:r>
        <w:rPr>
          <w:rFonts w:ascii="Arial" w:hAnsi="Arial"/>
          <w:color w:val="000000"/>
          <w:sz w:val="20"/>
        </w:rPr>
        <w:t>million of outstanding borrowings under the Revolving Credit Facility, plus $9.9</w:t>
      </w:r>
      <w:r>
        <w:rPr>
          <w:rFonts w:ascii="Times New Roman" w:hAnsi="Times New Roman"/>
          <w:color w:val="000000"/>
          <w:sz w:val="20"/>
        </w:rPr>
        <w:t xml:space="preserve"> </w:t>
      </w:r>
      <w:r>
        <w:rPr>
          <w:rFonts w:ascii="Arial" w:hAnsi="Arial"/>
          <w:color w:val="000000"/>
          <w:sz w:val="20"/>
        </w:rPr>
        <w:t>million outstanding letters of credit as of September 30, 2025, leaving us with $485.1</w:t>
      </w:r>
      <w:r>
        <w:rPr>
          <w:rFonts w:ascii="Times New Roman" w:hAnsi="Times New Roman"/>
          <w:color w:val="000000"/>
          <w:sz w:val="20"/>
        </w:rPr>
        <w:t xml:space="preserve"> </w:t>
      </w:r>
      <w:r>
        <w:rPr>
          <w:rFonts w:ascii="Arial" w:hAnsi="Arial"/>
          <w:color w:val="000000"/>
          <w:sz w:val="20"/>
        </w:rPr>
        <w:t>million of available borrowings under the Revolving Credit Facility, net of the outstanding letters of credit. We were in compliance with all Financial Covenants on September 30, 2025; therefore, the entire $485.1</w:t>
      </w:r>
      <w:r>
        <w:rPr>
          <w:rFonts w:ascii="Times New Roman" w:hAnsi="Times New Roman"/>
          <w:color w:val="000000"/>
          <w:sz w:val="20"/>
        </w:rPr>
        <w:t xml:space="preserve"> </w:t>
      </w:r>
      <w:r>
        <w:rPr>
          <w:rFonts w:ascii="Arial" w:hAnsi="Arial"/>
          <w:color w:val="000000"/>
          <w:sz w:val="20"/>
        </w:rPr>
        <w:t>million is available for future borrowings.</w:t>
      </w:r>
    </w:p>
    <w:p>
      <w:pPr>
        <w:pStyle w:val="TextBody"/>
        <w:bidi w:val="0"/>
        <w:spacing w:before="120" w:after="283"/>
        <w:jc w:val="left"/>
        <w:rPr>
          <w:rFonts w:ascii="Arial" w:hAnsi="Arial"/>
          <w:b/>
          <w:color w:val="000000"/>
          <w:sz w:val="20"/>
          <w:u w:val="single"/>
        </w:rPr>
      </w:pPr>
      <w:r>
        <w:rPr>
          <w:rFonts w:ascii="Arial" w:hAnsi="Arial"/>
          <w:b/>
          <w:color w:val="000000"/>
          <w:sz w:val="20"/>
          <w:u w:val="single"/>
        </w:rPr>
        <w:t>Term Loan</w:t>
      </w:r>
    </w:p>
    <w:p>
      <w:pPr>
        <w:pStyle w:val="TextBody"/>
        <w:bidi w:val="0"/>
        <w:spacing w:before="120" w:after="283"/>
        <w:jc w:val="left"/>
        <w:rPr>
          <w:rFonts w:ascii="Times New Roman" w:hAnsi="Times New Roman"/>
          <w:sz w:val="20"/>
        </w:rPr>
      </w:pPr>
      <w:r>
        <w:rPr>
          <w:rFonts w:ascii="Arial" w:hAnsi="Arial"/>
          <w:color w:val="000000"/>
          <w:sz w:val="20"/>
        </w:rPr>
        <w:t>On February 4, 2025, we increased our Term Loan borrowings under the Revolving Credit Facility to $300.0</w:t>
      </w:r>
      <w:r>
        <w:rPr>
          <w:rFonts w:ascii="Times New Roman" w:hAnsi="Times New Roman"/>
          <w:color w:val="000000"/>
          <w:sz w:val="20"/>
        </w:rPr>
        <w:t xml:space="preserve"> </w:t>
      </w:r>
      <w:r>
        <w:rPr>
          <w:rFonts w:ascii="Arial" w:hAnsi="Arial"/>
          <w:color w:val="000000"/>
          <w:sz w:val="20"/>
        </w:rPr>
        <w:t>million, and used these proceeds to, among other things, pay down a portion of the Revolving Credit Facility. The Term Loan requires quarterly principal payments of approximately $3.8</w:t>
      </w:r>
      <w:r>
        <w:rPr>
          <w:rFonts w:ascii="Times New Roman" w:hAnsi="Times New Roman"/>
          <w:color w:val="000000"/>
          <w:sz w:val="20"/>
        </w:rPr>
        <w:t xml:space="preserve"> </w:t>
      </w:r>
      <w:r>
        <w:rPr>
          <w:rFonts w:ascii="Arial" w:hAnsi="Arial"/>
          <w:color w:val="000000"/>
          <w:sz w:val="20"/>
        </w:rPr>
        <w:t>million, with any unpaid amounts due upon maturity on February 4, 2030. At the Company’s option, principal amounts outstanding under the Term Loan bear interest as set forth in the Revolving Credit Facility (but not, for the avoidance of doubt, at a daily simple SOFR rate unless and until such time as the then-existing Benchmark (as defined in the Revolving Credit Facility) is replaced in accordance with the Revolving Credit Facility).</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b/>
          <w:color w:val="000000"/>
          <w:sz w:val="20"/>
          <w:u w:val="single"/>
        </w:rPr>
      </w:pPr>
      <w:r>
        <w:rPr>
          <w:rFonts w:ascii="Arial" w:hAnsi="Arial"/>
          <w:b/>
          <w:color w:val="000000"/>
          <w:sz w:val="20"/>
          <w:u w:val="single"/>
        </w:rPr>
        <w:t>2.500% Senior Unsecured Notes Due 2031</w:t>
      </w:r>
    </w:p>
    <w:p>
      <w:pPr>
        <w:pStyle w:val="TextBody"/>
        <w:bidi w:val="0"/>
        <w:spacing w:before="120" w:after="283"/>
        <w:jc w:val="left"/>
        <w:rPr>
          <w:rFonts w:ascii="Times New Roman" w:hAnsi="Times New Roman"/>
          <w:sz w:val="20"/>
        </w:rPr>
      </w:pPr>
      <w:r>
        <w:rPr>
          <w:rFonts w:ascii="Arial" w:hAnsi="Arial"/>
          <w:color w:val="000000"/>
          <w:sz w:val="20"/>
        </w:rPr>
        <w:t>On July 1, 2021, we issued $750.0</w:t>
      </w:r>
      <w:r>
        <w:rPr>
          <w:rFonts w:ascii="Times New Roman" w:hAnsi="Times New Roman"/>
          <w:color w:val="000000"/>
          <w:sz w:val="20"/>
        </w:rPr>
        <w:t xml:space="preserve"> </w:t>
      </w:r>
      <w:r>
        <w:rPr>
          <w:rFonts w:ascii="Arial" w:hAnsi="Arial"/>
          <w:color w:val="000000"/>
          <w:sz w:val="20"/>
        </w:rPr>
        <w:t>million aggregate principal amount of 2.500% senior notes due July 2031</w:t>
      </w:r>
      <w:r>
        <w:rPr>
          <w:rFonts w:ascii="Times New Roman" w:hAnsi="Times New Roman"/>
          <w:color w:val="000000"/>
          <w:sz w:val="20"/>
        </w:rPr>
        <w:t xml:space="preserve"> </w:t>
      </w:r>
      <w:r>
        <w:rPr>
          <w:rFonts w:ascii="Arial" w:hAnsi="Arial"/>
          <w:color w:val="000000"/>
          <w:sz w:val="20"/>
        </w:rPr>
        <w:t>(the 2.500% Senior Unsecured Notes). The 2.500% Senior Unsecured Notes are senior unsecured obligations of the Company and are not guaranteed by any of our subsidiaries. The 2.500% Senior Unsecured Notes were issued net of original issue discount of $6.3</w:t>
      </w:r>
      <w:r>
        <w:rPr>
          <w:rFonts w:ascii="Times New Roman" w:hAnsi="Times New Roman"/>
          <w:color w:val="000000"/>
          <w:sz w:val="20"/>
        </w:rPr>
        <w:t xml:space="preserve"> </w:t>
      </w:r>
      <w:r>
        <w:rPr>
          <w:rFonts w:ascii="Arial" w:hAnsi="Arial"/>
          <w:color w:val="000000"/>
          <w:sz w:val="20"/>
        </w:rPr>
        <w:t>million and have an effective interest rate of approximately 2.6%. The original issue discount is being amortized by the effective interest method over the 10-year</w:t>
      </w:r>
      <w:r>
        <w:rPr>
          <w:rFonts w:ascii="Times New Roman" w:hAnsi="Times New Roman"/>
          <w:color w:val="000000"/>
          <w:sz w:val="20"/>
        </w:rPr>
        <w:t xml:space="preserve"> </w:t>
      </w:r>
      <w:r>
        <w:rPr>
          <w:rFonts w:ascii="Arial" w:hAnsi="Arial"/>
          <w:color w:val="000000"/>
          <w:sz w:val="20"/>
        </w:rPr>
        <w:t>term of the notes. The 2.500% Senior Unsecured Notes are redeemable prior to April 1, 2031, at a redemption price equal to 100% of the aggregate principal amount of the 2.500% Senior Unsecured Notes being redeemed, plus the present value of remaining scheduled payments of principal and interest from the applicable redemption date to April 1, 2031, discounted to the redemption date on a semi-annual basis at the Treasury rate plus 20</w:t>
      </w:r>
      <w:r>
        <w:rPr>
          <w:rFonts w:ascii="Times New Roman" w:hAnsi="Times New Roman"/>
          <w:color w:val="000000"/>
          <w:sz w:val="20"/>
        </w:rPr>
        <w:t xml:space="preserve"> </w:t>
      </w:r>
      <w:r>
        <w:rPr>
          <w:rFonts w:ascii="Arial" w:hAnsi="Arial"/>
          <w:color w:val="000000"/>
          <w:sz w:val="20"/>
        </w:rPr>
        <w:t>basis points. The 2.500% Senior Unsecured Notes are redeemable on or after April 1, 2031, at a redemption price equal to 100% of the aggregate principal amount of the 2.500% Senior Unsecured Notes being redeemed, plus accrued and unpaid interest to, but excluding, the applicable redemption date. If we experience certain change of control triggering events, we would be required to offer to repurchase the 2.500% Senior Unsecured Notes at a purchase price equal to 101% of the aggregate principal amount of the 2.500% Senior Unsecured Notes being repurchased, plus accrued and unpaid interest to, but excluding, the applicable redemption date. The indenture governing the 2.500% Senior Unsecured Notes contains certain covenants that limit our ability to create or permit to exist certain liens; enter into sale and leaseback transactions; and consolidate, merge, or transfer all or substantially all of our assets, and provides for certain events of default that, if any occurred, would permit or require the principal of and accrued interest on the 2.500% Senior Unsecured Notes to become or be declared due and payable.</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2"/>
        </w:rPr>
        <w:t>(N) 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Operating segments are defined as components of an enterprise that engage in business activities that earn revenue, incur expenses, and prepare separate financial information that is evaluated regularly by our chief operating decision maker (CODM), who is our President and Chief Executive Officer, to assist in allocating resources and assessing performance. This assessment is primarily based on segment earnings from operations, as management believes this is the best metric for segment operating performance. The CODM uses segment profit as part of his review of the monthly operating results on a segment basis. The actual monthly results are reviewed against budgeted amounts as well as the current year reforecast and prior year actual amounts. Interest and taxes are managed on a centralized basis and are not included in segment operating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Our business is organized into two</w:t>
      </w:r>
      <w:r>
        <w:rPr>
          <w:rFonts w:ascii="Times New Roman" w:hAnsi="Times New Roman"/>
          <w:color w:val="000000"/>
          <w:sz w:val="20"/>
        </w:rPr>
        <w:t xml:space="preserve"> </w:t>
      </w:r>
      <w:r>
        <w:rPr>
          <w:rFonts w:ascii="Arial" w:hAnsi="Arial"/>
          <w:color w:val="000000"/>
          <w:sz w:val="20"/>
        </w:rPr>
        <w:t>sectors, within which there are four</w:t>
      </w:r>
      <w:r>
        <w:rPr>
          <w:rFonts w:ascii="Times New Roman" w:hAnsi="Times New Roman"/>
          <w:color w:val="000000"/>
          <w:sz w:val="20"/>
        </w:rPr>
        <w:t xml:space="preserve"> </w:t>
      </w:r>
      <w:r>
        <w:rPr>
          <w:rFonts w:ascii="Arial" w:hAnsi="Arial"/>
          <w:color w:val="000000"/>
          <w:sz w:val="20"/>
        </w:rPr>
        <w:t>reportable business segments. The Heavy Materials sector includes the Cement and Concrete and Aggregates segments. The Light Materials sector includes the Gypsum Wallboard and Recycled Paperboard segments. The Company's operating segments are the same as the Company's reporting segments.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Our primary products, portland cement and gypsum wallboard, are essential for building, expanding, and repairing roads, highways, and residential, commercial and industrial structures across America. We manufacture and sell our products through a network of more than 70 facilities spanning 21 states. Demand for our products is generally cyclical and seasonal, depending on economic and geographic conditions. Our operations are conducted in the United States and include the mining of limestone for the manufacture, production, distribution,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pStyle w:val="TextBody"/>
        <w:bidi w:val="0"/>
        <w:spacing w:before="120" w:after="283"/>
        <w:jc w:val="left"/>
        <w:rPr>
          <w:rFonts w:ascii="Times New Roman" w:hAnsi="Times New Roman"/>
          <w:sz w:val="20"/>
        </w:rPr>
      </w:pPr>
      <w:r>
        <w:rPr>
          <w:rFonts w:ascii="Arial" w:hAnsi="Arial"/>
          <w:color w:val="000000"/>
          <w:sz w:val="20"/>
        </w:rPr>
        <w:t>We operate eight</w:t>
      </w:r>
      <w:r>
        <w:rPr>
          <w:rFonts w:ascii="Times New Roman" w:hAnsi="Times New Roman"/>
          <w:color w:val="000000"/>
          <w:sz w:val="20"/>
        </w:rPr>
        <w:t xml:space="preserve"> </w:t>
      </w:r>
      <w:r>
        <w:rPr>
          <w:rFonts w:ascii="Arial" w:hAnsi="Arial"/>
          <w:color w:val="000000"/>
          <w:sz w:val="20"/>
        </w:rPr>
        <w:t>modern cement plants, two</w:t>
      </w:r>
      <w:r>
        <w:rPr>
          <w:rFonts w:ascii="Times New Roman" w:hAnsi="Times New Roman"/>
          <w:color w:val="000000"/>
          <w:sz w:val="20"/>
        </w:rPr>
        <w:t xml:space="preserve"> </w:t>
      </w:r>
      <w:r>
        <w:rPr>
          <w:rFonts w:ascii="Arial" w:hAnsi="Arial"/>
          <w:color w:val="000000"/>
          <w:sz w:val="20"/>
        </w:rPr>
        <w:t>slag grinding facilities, and over 30</w:t>
      </w:r>
      <w:r>
        <w:rPr>
          <w:rFonts w:ascii="Times New Roman" w:hAnsi="Times New Roman"/>
          <w:color w:val="000000"/>
          <w:sz w:val="20"/>
        </w:rPr>
        <w:t xml:space="preserve"> </w:t>
      </w:r>
      <w:r>
        <w:rPr>
          <w:rFonts w:ascii="Arial" w:hAnsi="Arial"/>
          <w:color w:val="000000"/>
          <w:sz w:val="20"/>
        </w:rPr>
        <w:t>cement distribution terminals. One</w:t>
      </w:r>
      <w:r>
        <w:rPr>
          <w:rFonts w:ascii="Times New Roman" w:hAnsi="Times New Roman"/>
          <w:color w:val="000000"/>
          <w:sz w:val="20"/>
        </w:rPr>
        <w:t xml:space="preserve"> </w:t>
      </w:r>
      <w:r>
        <w:rPr>
          <w:rFonts w:ascii="Arial" w:hAnsi="Arial"/>
          <w:color w:val="000000"/>
          <w:sz w:val="20"/>
        </w:rPr>
        <w:t>cement plant, one</w:t>
      </w:r>
      <w:r>
        <w:rPr>
          <w:rFonts w:ascii="Times New Roman" w:hAnsi="Times New Roman"/>
          <w:color w:val="000000"/>
          <w:sz w:val="20"/>
        </w:rPr>
        <w:t xml:space="preserve"> </w:t>
      </w:r>
      <w:r>
        <w:rPr>
          <w:rFonts w:ascii="Arial" w:hAnsi="Arial"/>
          <w:color w:val="000000"/>
          <w:sz w:val="20"/>
        </w:rPr>
        <w:t>slag plant, and six terminals are operated though our joint venture located in Buda, Texas (the Joint Venture). Our cement companies focus on the U.S. heartland and operate as an integrated network selling product primarily in California, Colorado, Illinois, Indiana, Iowa, Kansas, Kentucky, Missouri, Nebraska,</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Nevada, Ohio, Oklahoma, Tennessee, and Texas. We operate over 25</w:t>
      </w:r>
      <w:r>
        <w:rPr>
          <w:rFonts w:ascii="Times New Roman" w:hAnsi="Times New Roman"/>
          <w:color w:val="000000"/>
          <w:sz w:val="20"/>
        </w:rPr>
        <w:t xml:space="preserve"> </w:t>
      </w:r>
      <w:r>
        <w:rPr>
          <w:rFonts w:ascii="Arial" w:hAnsi="Arial"/>
          <w:color w:val="000000"/>
          <w:sz w:val="20"/>
        </w:rPr>
        <w:t>readymix concrete batch plants and seven</w:t>
      </w:r>
      <w:r>
        <w:rPr>
          <w:rFonts w:ascii="Times New Roman" w:hAnsi="Times New Roman"/>
          <w:color w:val="000000"/>
          <w:sz w:val="20"/>
        </w:rPr>
        <w:t xml:space="preserve"> </w:t>
      </w:r>
      <w:r>
        <w:rPr>
          <w:rFonts w:ascii="Arial" w:hAnsi="Arial"/>
          <w:color w:val="000000"/>
          <w:sz w:val="20"/>
        </w:rPr>
        <w:t>aggregates processing plants, with annual production capacity of 9</w:t>
      </w:r>
      <w:r>
        <w:rPr>
          <w:rFonts w:ascii="Times New Roman" w:hAnsi="Times New Roman"/>
          <w:color w:val="000000"/>
          <w:sz w:val="20"/>
        </w:rPr>
        <w:t xml:space="preserve"> </w:t>
      </w:r>
      <w:r>
        <w:rPr>
          <w:rFonts w:ascii="Arial" w:hAnsi="Arial"/>
          <w:color w:val="000000"/>
          <w:sz w:val="20"/>
        </w:rPr>
        <w:t>million tons, in markets that are complementary to our cement network.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We operate five</w:t>
      </w:r>
      <w:r>
        <w:rPr>
          <w:rFonts w:ascii="Times New Roman" w:hAnsi="Times New Roman"/>
          <w:color w:val="000000"/>
          <w:sz w:val="20"/>
        </w:rPr>
        <w:t xml:space="preserve"> </w:t>
      </w:r>
      <w:r>
        <w:rPr>
          <w:rFonts w:ascii="Arial" w:hAnsi="Arial"/>
          <w:color w:val="000000"/>
          <w:sz w:val="20"/>
        </w:rPr>
        <w:t>gypsum wallboard plants and a recycled paperboard mill. We distribute gypsum wallboard and recycled paperboard throughout the continental United States, with the exception of the Northeast.</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account for intersegment sales at market prices. For segment reporting purposes only, we proportionately consolidate our 50% share of the Joint Venture Revenue and Operating Earnings, consistent with the way management reports the segments within the Company for making operating decisions and assessing performance.</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The following tables set forth certain financial information relating to our operations by segment. We do not allocate interest or taxes at the segment level, only at the consolidated company level.</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77"/>
        <w:gridCol w:w="146"/>
        <w:gridCol w:w="196"/>
        <w:gridCol w:w="146"/>
        <w:gridCol w:w="691"/>
        <w:gridCol w:w="146"/>
        <w:gridCol w:w="146"/>
        <w:gridCol w:w="196"/>
        <w:gridCol w:w="146"/>
        <w:gridCol w:w="601"/>
        <w:gridCol w:w="146"/>
        <w:gridCol w:w="146"/>
        <w:gridCol w:w="241"/>
        <w:gridCol w:w="179"/>
        <w:gridCol w:w="852"/>
        <w:gridCol w:w="146"/>
        <w:gridCol w:w="146"/>
        <w:gridCol w:w="273"/>
        <w:gridCol w:w="204"/>
        <w:gridCol w:w="840"/>
        <w:gridCol w:w="146"/>
        <w:gridCol w:w="146"/>
        <w:gridCol w:w="196"/>
        <w:gridCol w:w="146"/>
        <w:gridCol w:w="691"/>
        <w:gridCol w:w="216"/>
      </w:tblGrid>
      <w:tr>
        <w:trPr/>
        <w:tc>
          <w:tcPr>
            <w:tcW w:w="30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Narrow;sans-serif" w:hAnsi="Arial Narrow;sans-serif"/>
                <w:b/>
                <w:color w:val="000000"/>
                <w:sz w:val="18"/>
              </w:rPr>
              <w:t>For the Three Months Ended September 30, 2025</w:t>
              <w:br/>
            </w:r>
            <w:r>
              <w:rPr>
                <w:rFonts w:ascii="Arial Narrow;sans-serif" w:hAnsi="Arial Narrow;sans-serif"/>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Concrete</w:t>
              <w:br/>
              <w:t>and</w:t>
              <w:br/>
              <w:t>Aggregates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Gypsum Wallboard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Recycled Paperboard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Total</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344,653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81,646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183,482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638,906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33,553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Revenue from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30,312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30,312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384,869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85,824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183,482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48,596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702,771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Reconciliation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(33,553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0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Revenue from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(30,312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0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Consolidated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638,906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Freight and Delivery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32,726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32,567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73,290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Parts, Supplies, and Services (Includes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41,928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64,164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Energy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39,310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54,746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39,750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119,393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Labor and Fixed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42,596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73,797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b/>
                <w:color w:val="004483"/>
                <w:sz w:val="20"/>
              </w:rPr>
              <w:t xml:space="preserve">Depreciation, Depletion, and Amortization </w:t>
            </w:r>
            <w:r>
              <w:rPr>
                <w:rFonts w:ascii="Arial Narrow;sans-serif" w:hAnsi="Arial Narrow;sans-serif"/>
                <w:b/>
                <w:color w:val="004483"/>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23,224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40,761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Purchased 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21,831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Other Segment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34,275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48,768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Segment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119,774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67,307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206,021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Reconciliation of Segment Profit and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Corporate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(21,316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0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Other Non-Operating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1,131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(9,362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07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Earnings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176,474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09"/>
        <w:gridCol w:w="146"/>
        <w:gridCol w:w="196"/>
        <w:gridCol w:w="146"/>
        <w:gridCol w:w="691"/>
        <w:gridCol w:w="146"/>
        <w:gridCol w:w="146"/>
        <w:gridCol w:w="196"/>
        <w:gridCol w:w="146"/>
        <w:gridCol w:w="691"/>
        <w:gridCol w:w="146"/>
        <w:gridCol w:w="146"/>
        <w:gridCol w:w="237"/>
        <w:gridCol w:w="176"/>
        <w:gridCol w:w="837"/>
        <w:gridCol w:w="146"/>
        <w:gridCol w:w="146"/>
        <w:gridCol w:w="266"/>
        <w:gridCol w:w="198"/>
        <w:gridCol w:w="818"/>
        <w:gridCol w:w="146"/>
        <w:gridCol w:w="146"/>
        <w:gridCol w:w="196"/>
        <w:gridCol w:w="146"/>
        <w:gridCol w:w="826"/>
        <w:gridCol w:w="216"/>
      </w:tblGrid>
      <w:tr>
        <w:trPr/>
        <w:tc>
          <w:tcPr>
            <w:tcW w:w="2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Narrow;sans-serif" w:hAnsi="Arial Narrow;sans-serif"/>
                <w:b/>
                <w:color w:val="000000"/>
                <w:sz w:val="18"/>
              </w:rPr>
              <w:t>For the Six Months Ended September 30, 2025</w:t>
              <w:br/>
            </w:r>
            <w:r>
              <w:rPr>
                <w:rFonts w:ascii="Arial Narrow;sans-serif" w:hAnsi="Arial Narrow;sans-serif"/>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Concrete</w:t>
              <w:br/>
              <w:t>and</w:t>
              <w:br/>
              <w:t>Aggregates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Gypsum Wallboard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Recycled Paperboard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Total</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654,979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155,362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404,998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58,257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1,273,596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41,443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69,390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Revenue from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57,595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57,595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732,491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163,392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404,998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99,700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1,400,581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Reconciliation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(69,390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29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Revenue from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(57,595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29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Consolidated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1,273,596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Freight and Delivery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60,804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71,939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147,629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Parts, Supplies, and Services (Includes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116,634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158,967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Energy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72,090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102,401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50,365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60,131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86,417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41,258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238,171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Labor and Fixed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87,105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150,311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b/>
                <w:color w:val="004483"/>
                <w:sz w:val="20"/>
              </w:rPr>
              <w:t xml:space="preserve">Depreciation, Depletion, and Amortization </w:t>
            </w:r>
            <w:r>
              <w:rPr>
                <w:rFonts w:ascii="Arial Narrow;sans-serif" w:hAnsi="Arial Narrow;sans-serif"/>
                <w:b/>
                <w:color w:val="004483"/>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46,062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80,581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Purchased 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39,105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39,105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Other Segment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59,468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87,992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Segment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200,858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159,948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395,424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Reconciliation of Segment Profit and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Corporate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(42,099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29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Other Non-Operating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2,085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(21,078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290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Earnings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334,332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62"/>
        <w:gridCol w:w="146"/>
        <w:gridCol w:w="196"/>
        <w:gridCol w:w="146"/>
        <w:gridCol w:w="691"/>
        <w:gridCol w:w="146"/>
        <w:gridCol w:w="146"/>
        <w:gridCol w:w="196"/>
        <w:gridCol w:w="146"/>
        <w:gridCol w:w="601"/>
        <w:gridCol w:w="166"/>
        <w:gridCol w:w="146"/>
        <w:gridCol w:w="241"/>
        <w:gridCol w:w="179"/>
        <w:gridCol w:w="851"/>
        <w:gridCol w:w="146"/>
        <w:gridCol w:w="146"/>
        <w:gridCol w:w="273"/>
        <w:gridCol w:w="203"/>
        <w:gridCol w:w="838"/>
        <w:gridCol w:w="146"/>
        <w:gridCol w:w="146"/>
        <w:gridCol w:w="196"/>
        <w:gridCol w:w="146"/>
        <w:gridCol w:w="691"/>
        <w:gridCol w:w="215"/>
      </w:tblGrid>
      <w:tr>
        <w:trPr/>
        <w:tc>
          <w:tcPr>
            <w:tcW w:w="30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Narrow;sans-serif" w:hAnsi="Arial Narrow;sans-serif"/>
                <w:b/>
                <w:color w:val="000000"/>
                <w:sz w:val="18"/>
              </w:rPr>
              <w:t>For the Three Months Ended September 30, 2024</w:t>
              <w:br/>
            </w:r>
            <w:r>
              <w:rPr>
                <w:rFonts w:ascii="Arial Narrow;sans-serif" w:hAnsi="Arial Narrow;sans-serif"/>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Concrete</w:t>
              <w:br/>
              <w:t>and</w:t>
              <w:br/>
              <w:t>Aggregates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Gypsum Wallboard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Recycled Paperboard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Total</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313,571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65,930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214,975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623,619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36,068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Revenue from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28,825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28,825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352,780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69,980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214,975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50,777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688,512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Reconciliation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(36,068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0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Revenue from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(28,825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0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Consolidated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623,619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Freight and Delivery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27,821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36,862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77,628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Parts, Supplies, and Services (Includes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47,305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65,639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Energy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39,206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52,582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23,162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34,135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44,132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27,329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128,758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Labor and Fixed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40,329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68,908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b/>
                <w:color w:val="004483"/>
                <w:sz w:val="20"/>
              </w:rPr>
              <w:t xml:space="preserve">Depreciation, Depletion, and Amortization </w:t>
            </w:r>
            <w:r>
              <w:rPr>
                <w:rFonts w:ascii="Arial Narrow;sans-serif" w:hAnsi="Arial Narrow;sans-serif"/>
                <w:b/>
                <w:color w:val="004483"/>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38,310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Purchased 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20,739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Other Segment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22,828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Segment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115,933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90,141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213,120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Reconciliation of Segment Profit and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Corporate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(17,879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0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Other Non-Operating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724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(10,714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0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Earnings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185,251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78"/>
        <w:gridCol w:w="146"/>
        <w:gridCol w:w="196"/>
        <w:gridCol w:w="146"/>
        <w:gridCol w:w="691"/>
        <w:gridCol w:w="146"/>
        <w:gridCol w:w="146"/>
        <w:gridCol w:w="196"/>
        <w:gridCol w:w="146"/>
        <w:gridCol w:w="691"/>
        <w:gridCol w:w="146"/>
        <w:gridCol w:w="146"/>
        <w:gridCol w:w="236"/>
        <w:gridCol w:w="176"/>
        <w:gridCol w:w="834"/>
        <w:gridCol w:w="146"/>
        <w:gridCol w:w="146"/>
        <w:gridCol w:w="250"/>
        <w:gridCol w:w="186"/>
        <w:gridCol w:w="883"/>
        <w:gridCol w:w="146"/>
        <w:gridCol w:w="146"/>
        <w:gridCol w:w="196"/>
        <w:gridCol w:w="146"/>
        <w:gridCol w:w="826"/>
        <w:gridCol w:w="214"/>
      </w:tblGrid>
      <w:tr>
        <w:trPr/>
        <w:tc>
          <w:tcPr>
            <w:tcW w:w="2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Narrow;sans-serif" w:hAnsi="Arial Narrow;sans-serif"/>
                <w:b/>
                <w:color w:val="000000"/>
                <w:sz w:val="18"/>
              </w:rPr>
              <w:t>For the Six Months Ended September 30, 2024</w:t>
              <w:br/>
            </w:r>
            <w:r>
              <w:rPr>
                <w:rFonts w:ascii="Arial Narrow;sans-serif" w:hAnsi="Arial Narrow;sans-serif"/>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Concrete</w:t>
              <w:br/>
              <w:t>and</w:t>
              <w:br/>
              <w:t>Aggregates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Gypsum Wallboard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Recycled Paperboard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Total</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613,143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126,968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432,801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59,396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1,232,308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45,621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74,112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Revenue from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58,135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58,135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691,942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134,795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432,801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105,017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1,364,555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Reconciliation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(74,112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28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Revenue from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(58,135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28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Consolidated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1,232,308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Freight and Delivery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54,969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73,347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147,337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Parts, Supplies, and Services (Includes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122,211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9,063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157,081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Energy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73,103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99,268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6"/>
              </w:rPr>
            </w:pPr>
            <w:r>
              <w:rPr>
                <w:rFonts w:ascii="Arial Narrow;sans-serif" w:hAnsi="Arial Narrow;sans-serif"/>
                <w:color w:val="000000"/>
                <w:sz w:val="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44,160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64,036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91,203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49,951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249,350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Labor and Fixed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81,950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139,452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b/>
                <w:color w:val="004483"/>
                <w:sz w:val="20"/>
              </w:rPr>
              <w:t xml:space="preserve">Depreciation, Depletion, and Amortization </w:t>
            </w:r>
            <w:r>
              <w:rPr>
                <w:rFonts w:ascii="Arial Narrow;sans-serif" w:hAnsi="Arial Narrow;sans-serif"/>
                <w:b/>
                <w:color w:val="004483"/>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45,824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75,920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Purchased 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41,558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41,558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Other Segment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23,109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46,885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Segment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205,058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184,117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407,704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Reconciliation of Segment Profit and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Corporate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(33,528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28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Other Non-Operating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3,407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(21,398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287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Earnings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356,185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3"/>
        </w:rPr>
        <w:t>(1)</w:t>
      </w:r>
      <w:r>
        <w:rPr>
          <w:rFonts w:ascii="Times New Roman" w:hAnsi="Times New Roman"/>
          <w:color w:val="000000"/>
          <w:sz w:val="20"/>
        </w:rPr>
        <w:t xml:space="preserve"> </w:t>
      </w:r>
      <w:r>
        <w:rPr>
          <w:rFonts w:ascii="Arial" w:hAnsi="Arial"/>
          <w:color w:val="000000"/>
          <w:sz w:val="20"/>
        </w:rPr>
        <w:t>Depreciation, Depletion, and Amortization for corporate assets was $1,228</w:t>
      </w:r>
      <w:r>
        <w:rPr>
          <w:rFonts w:ascii="Times New Roman" w:hAnsi="Times New Roman"/>
          <w:color w:val="000000"/>
          <w:sz w:val="20"/>
        </w:rPr>
        <w:t xml:space="preserve"> </w:t>
      </w:r>
      <w:r>
        <w:rPr>
          <w:rFonts w:ascii="Arial" w:hAnsi="Arial"/>
          <w:color w:val="000000"/>
          <w:sz w:val="20"/>
        </w:rPr>
        <w:t>and $2,052</w:t>
      </w:r>
      <w:r>
        <w:rPr>
          <w:rFonts w:ascii="Times New Roman" w:hAnsi="Times New Roman"/>
          <w:color w:val="000000"/>
          <w:sz w:val="20"/>
        </w:rPr>
        <w:t xml:space="preserve"> </w:t>
      </w:r>
      <w:r>
        <w:rPr>
          <w:rFonts w:ascii="Arial" w:hAnsi="Arial"/>
          <w:color w:val="000000"/>
          <w:sz w:val="20"/>
        </w:rPr>
        <w:t>for the three and six months ended September 30, 2025, respectively, and $767</w:t>
      </w:r>
      <w:r>
        <w:rPr>
          <w:rFonts w:ascii="Times New Roman" w:hAnsi="Times New Roman"/>
          <w:color w:val="000000"/>
          <w:sz w:val="20"/>
        </w:rPr>
        <w:t xml:space="preserve"> </w:t>
      </w:r>
      <w:r>
        <w:rPr>
          <w:rFonts w:ascii="Arial" w:hAnsi="Arial"/>
          <w:color w:val="000000"/>
          <w:sz w:val="20"/>
        </w:rPr>
        <w:t>and $1,507</w:t>
      </w:r>
      <w:r>
        <w:rPr>
          <w:rFonts w:ascii="Times New Roman" w:hAnsi="Times New Roman"/>
          <w:color w:val="000000"/>
          <w:sz w:val="20"/>
        </w:rPr>
        <w:t xml:space="preserve"> </w:t>
      </w:r>
      <w:r>
        <w:rPr>
          <w:rFonts w:ascii="Arial" w:hAnsi="Arial"/>
          <w:color w:val="000000"/>
          <w:sz w:val="20"/>
        </w:rPr>
        <w:t>for the three and six months ended September 30, 2024, respectively.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459" w:type="dxa"/>
        <w:jc w:val="left"/>
        <w:tblInd w:w="0" w:type="dxa"/>
        <w:tblLayout w:type="fixed"/>
        <w:tblCellMar>
          <w:top w:w="28" w:type="dxa"/>
          <w:left w:w="28" w:type="dxa"/>
          <w:bottom w:w="28" w:type="dxa"/>
          <w:right w:w="28" w:type="dxa"/>
        </w:tblCellMar>
      </w:tblPr>
      <w:tblGrid>
        <w:gridCol w:w="2521"/>
        <w:gridCol w:w="146"/>
        <w:gridCol w:w="196"/>
        <w:gridCol w:w="146"/>
        <w:gridCol w:w="691"/>
        <w:gridCol w:w="146"/>
        <w:gridCol w:w="146"/>
        <w:gridCol w:w="196"/>
        <w:gridCol w:w="146"/>
        <w:gridCol w:w="691"/>
        <w:gridCol w:w="146"/>
        <w:gridCol w:w="146"/>
        <w:gridCol w:w="196"/>
        <w:gridCol w:w="164"/>
        <w:gridCol w:w="931"/>
        <w:gridCol w:w="146"/>
        <w:gridCol w:w="146"/>
        <w:gridCol w:w="196"/>
        <w:gridCol w:w="146"/>
        <w:gridCol w:w="826"/>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Three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Six Months Ended</w:t>
              <w:br/>
              <w:t>September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386191"/>
                <w:sz w:val="20"/>
              </w:rPr>
            </w:pPr>
            <w:r>
              <w:rPr>
                <w:rFonts w:ascii="Arial Narrow;sans-serif" w:hAnsi="Arial Narrow;sans-serif"/>
                <w:b/>
                <w:color w:val="386191"/>
                <w:sz w:val="20"/>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277EBF"/>
                <w:sz w:val="20"/>
              </w:rPr>
            </w:pPr>
            <w:r>
              <w:rPr>
                <w:rFonts w:ascii="Arial Narrow;sans-serif" w:hAnsi="Arial Narrow;sans-serif"/>
                <w:b/>
                <w:color w:val="277EBF"/>
                <w:sz w:val="20"/>
              </w:rPr>
              <w:t>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73,037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47,981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119,032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66,775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AAC6"/>
                <w:sz w:val="20"/>
              </w:rPr>
            </w:pPr>
            <w:r>
              <w:rPr>
                <w:rFonts w:ascii="Arial Narrow;sans-serif" w:hAnsi="Arial Narrow;sans-serif"/>
                <w:b/>
                <w:color w:val="00AAC6"/>
                <w:sz w:val="20"/>
              </w:rPr>
              <w:t>Concrete and Aggregates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14,127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77943C"/>
                <w:sz w:val="20"/>
              </w:rPr>
            </w:pPr>
            <w:r>
              <w:rPr>
                <w:rFonts w:ascii="Arial Narrow;sans-serif" w:hAnsi="Arial Narrow;sans-serif"/>
                <w:b/>
                <w:color w:val="77943C"/>
                <w:sz w:val="20"/>
              </w:rPr>
              <w:t>Gypsum Wallboard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47,514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7,365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85B372"/>
                <w:sz w:val="20"/>
              </w:rPr>
            </w:pPr>
            <w:r>
              <w:rPr>
                <w:rFonts w:ascii="Arial Narrow;sans-serif" w:hAnsi="Arial Narrow;sans-serif"/>
                <w:b/>
                <w:color w:val="85B372"/>
                <w:sz w:val="20"/>
              </w:rPr>
              <w:t>Recycled Paperboard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8,116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Corporate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3,222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108,538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66,477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184,635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99,605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March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2" w:type="dxa"/>
            <w:gridSpan w:val="7"/>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5"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386191"/>
                <w:sz w:val="20"/>
              </w:rPr>
            </w:pPr>
            <w:r>
              <w:rPr>
                <w:rFonts w:ascii="Arial Narrow;sans-serif" w:hAnsi="Arial Narrow;sans-serif"/>
                <w:b/>
                <w:color w:val="386191"/>
                <w:sz w:val="20"/>
              </w:rPr>
              <w:t>Segment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277EBF"/>
                <w:sz w:val="20"/>
              </w:rPr>
            </w:pPr>
            <w:r>
              <w:rPr>
                <w:rFonts w:ascii="Arial Narrow;sans-serif" w:hAnsi="Arial Narrow;sans-serif"/>
                <w:b/>
                <w:color w:val="277EBF"/>
                <w:sz w:val="20"/>
              </w:rPr>
              <w:t>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2,281,191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2,172,459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AAC6"/>
                <w:sz w:val="20"/>
              </w:rPr>
            </w:pPr>
            <w:r>
              <w:rPr>
                <w:rFonts w:ascii="Arial Narrow;sans-serif" w:hAnsi="Arial Narrow;sans-serif"/>
                <w:b/>
                <w:color w:val="00AAC6"/>
                <w:sz w:val="20"/>
              </w:rPr>
              <w:t>Concrete and Aggregates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415,480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408,792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77943C"/>
                <w:sz w:val="20"/>
              </w:rPr>
            </w:pPr>
            <w:r>
              <w:rPr>
                <w:rFonts w:ascii="Arial Narrow;sans-serif" w:hAnsi="Arial Narrow;sans-serif"/>
                <w:b/>
                <w:color w:val="77943C"/>
                <w:sz w:val="20"/>
              </w:rPr>
              <w:t>Gypsum Wallboard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435,457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429,268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85B372"/>
                <w:sz w:val="20"/>
              </w:rPr>
            </w:pPr>
            <w:r>
              <w:rPr>
                <w:rFonts w:ascii="Arial Narrow;sans-serif" w:hAnsi="Arial Narrow;sans-serif"/>
                <w:b/>
                <w:color w:val="85B372"/>
                <w:sz w:val="20"/>
              </w:rPr>
              <w:t>Recycled Paperboard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163,829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166,673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Corporate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113,321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87,396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3,409,278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3,264,588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Three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Six Months Ended</w:t>
              <w:br/>
              <w:t>September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Cement Operating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Wholly 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113,465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106,657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190,745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188,066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16,992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119,774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115,933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200,858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205,058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Cement Sales Volume (M tons)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Wholly 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3,615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2,196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4,189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3,971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Segment Operating Earnings, including the proportionately consolidated 50% interest in the revenue and expenses of the Joint Venture, represent Revenue, less direct operating expenses, segment Depreciation, and segment Selling, General, and Administrative expenses. We account for intersegment sales at market prices. Corporate assets consist mainly of cash and cash equivalents, general office assets, and miscellaneous other assets.</w:t>
      </w:r>
    </w:p>
    <w:p>
      <w:pPr>
        <w:pStyle w:val="TextBody"/>
        <w:bidi w:val="0"/>
        <w:spacing w:before="120" w:after="283"/>
        <w:jc w:val="left"/>
        <w:rPr>
          <w:rFonts w:ascii="Arial" w:hAnsi="Arial"/>
          <w:color w:val="000000"/>
          <w:sz w:val="20"/>
        </w:rPr>
      </w:pPr>
      <w:r>
        <w:rPr>
          <w:rFonts w:ascii="Arial" w:hAnsi="Arial"/>
          <w:color w:val="000000"/>
          <w:sz w:val="20"/>
        </w:rPr>
        <w:t>The basis used to disclose Identifiable Assets; Capital Expenditures; and Depreciation, Depletion, and Amortization conforms with the equity method, and is similar to how we disclose these accounts in our Unaudited Consolidated Balance Sheets and Unaudited Consolidated Statements of Earnings.</w:t>
      </w:r>
    </w:p>
    <w:p>
      <w:pPr>
        <w:pStyle w:val="TextBody"/>
        <w:bidi w:val="0"/>
        <w:spacing w:before="120" w:after="120"/>
        <w:jc w:val="left"/>
        <w:rPr>
          <w:rFonts w:ascii="Times New Roman" w:hAnsi="Times New Roman"/>
          <w:sz w:val="20"/>
        </w:rPr>
      </w:pPr>
      <w:r>
        <w:rPr>
          <w:rFonts w:ascii="Arial" w:hAnsi="Arial"/>
          <w:color w:val="000000"/>
          <w:sz w:val="20"/>
        </w:rPr>
        <w:t>The segment breakdown of Goodwill is as follows:</w:t>
      </w:r>
      <w:r>
        <w:rPr>
          <w:rFonts w:ascii="Times New Roman" w:hAnsi="Times New Roman"/>
          <w:color w:val="000000"/>
          <w:sz w:val="20"/>
        </w:rPr>
        <w:t xml:space="preserve"> </w:t>
      </w:r>
    </w:p>
    <w:tbl>
      <w:tblPr>
        <w:tblW w:w="4757" w:type="dxa"/>
        <w:jc w:val="left"/>
        <w:tblInd w:w="0" w:type="dxa"/>
        <w:tblLayout w:type="fixed"/>
        <w:tblCellMar>
          <w:top w:w="28" w:type="dxa"/>
          <w:left w:w="28" w:type="dxa"/>
          <w:bottom w:w="28" w:type="dxa"/>
          <w:right w:w="28" w:type="dxa"/>
        </w:tblCellMar>
      </w:tblPr>
      <w:tblGrid>
        <w:gridCol w:w="2146"/>
        <w:gridCol w:w="146"/>
        <w:gridCol w:w="242"/>
        <w:gridCol w:w="853"/>
        <w:gridCol w:w="146"/>
        <w:gridCol w:w="146"/>
        <w:gridCol w:w="196"/>
        <w:gridCol w:w="691"/>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March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277EBF"/>
                <w:sz w:val="20"/>
              </w:rPr>
            </w:pPr>
            <w:r>
              <w:rPr>
                <w:rFonts w:ascii="Arial Narrow;sans-serif" w:hAnsi="Arial Narrow;sans-serif"/>
                <w:b/>
                <w:color w:val="277EBF"/>
                <w:sz w:val="20"/>
              </w:rPr>
              <w:t>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227,639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227,639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AAC6"/>
                <w:sz w:val="20"/>
              </w:rPr>
            </w:pPr>
            <w:r>
              <w:rPr>
                <w:rFonts w:ascii="Arial Narrow;sans-serif" w:hAnsi="Arial Narrow;sans-serif"/>
                <w:b/>
                <w:color w:val="00AAC6"/>
                <w:sz w:val="20"/>
              </w:rPr>
              <w:t>Concrete and Aggregates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118,877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118,099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77943C"/>
                <w:sz w:val="20"/>
              </w:rPr>
            </w:pPr>
            <w:r>
              <w:rPr>
                <w:rFonts w:ascii="Arial Narrow;sans-serif" w:hAnsi="Arial Narrow;sans-serif"/>
                <w:b/>
                <w:color w:val="77943C"/>
                <w:sz w:val="20"/>
              </w:rPr>
              <w:t>Gypsum Wallboard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116,618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116,618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85B372"/>
                <w:sz w:val="20"/>
              </w:rPr>
            </w:pPr>
            <w:r>
              <w:rPr>
                <w:rFonts w:ascii="Arial Narrow;sans-serif" w:hAnsi="Arial Narrow;sans-serif"/>
                <w:b/>
                <w:color w:val="85B372"/>
                <w:sz w:val="20"/>
              </w:rPr>
              <w:t>Recycled Paperboard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7,538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470,672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469,894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Arial" w:hAnsi="Arial"/>
          <w:color w:val="000000"/>
          <w:sz w:val="20"/>
        </w:rPr>
        <w:t>Summarized financial information for the Joint Venture that is not consolidated is set out below. This summarized financial information includes the total amount for the Joint Venture and not our 50% interest in those amounts.</w:t>
      </w:r>
      <w:r>
        <w:rPr>
          <w:rFonts w:ascii="Times New Roman" w:hAnsi="Times New Roman"/>
          <w:color w:val="000000"/>
          <w:sz w:val="20"/>
        </w:rPr>
        <w:t xml:space="preserve"> </w:t>
      </w:r>
    </w:p>
    <w:tbl>
      <w:tblPr>
        <w:tblW w:w="7298" w:type="dxa"/>
        <w:jc w:val="left"/>
        <w:tblInd w:w="0" w:type="dxa"/>
        <w:tblLayout w:type="fixed"/>
        <w:tblCellMar>
          <w:top w:w="28" w:type="dxa"/>
          <w:left w:w="28" w:type="dxa"/>
          <w:bottom w:w="28" w:type="dxa"/>
          <w:right w:w="28" w:type="dxa"/>
        </w:tblCellMar>
      </w:tblPr>
      <w:tblGrid>
        <w:gridCol w:w="2521"/>
        <w:gridCol w:w="146"/>
        <w:gridCol w:w="216"/>
        <w:gridCol w:w="664"/>
        <w:gridCol w:w="161"/>
        <w:gridCol w:w="161"/>
        <w:gridCol w:w="216"/>
        <w:gridCol w:w="664"/>
        <w:gridCol w:w="146"/>
        <w:gridCol w:w="146"/>
        <w:gridCol w:w="196"/>
        <w:gridCol w:w="691"/>
        <w:gridCol w:w="146"/>
        <w:gridCol w:w="146"/>
        <w:gridCol w:w="196"/>
        <w:gridCol w:w="691"/>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Three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Six Months Ended</w:t>
              <w:br/>
              <w:t>September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60,623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57,650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115,190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116,270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15,369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26,311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36,794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Earnings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12,617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33,985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442" w:type="dxa"/>
        <w:jc w:val="left"/>
        <w:tblInd w:w="0" w:type="dxa"/>
        <w:tblLayout w:type="fixed"/>
        <w:tblCellMar>
          <w:top w:w="28" w:type="dxa"/>
          <w:left w:w="28" w:type="dxa"/>
          <w:bottom w:w="28" w:type="dxa"/>
          <w:right w:w="28" w:type="dxa"/>
        </w:tblCellMar>
      </w:tblPr>
      <w:tblGrid>
        <w:gridCol w:w="1831"/>
        <w:gridCol w:w="146"/>
        <w:gridCol w:w="242"/>
        <w:gridCol w:w="853"/>
        <w:gridCol w:w="146"/>
        <w:gridCol w:w="146"/>
        <w:gridCol w:w="196"/>
        <w:gridCol w:w="691"/>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March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139,086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128,384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212,364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207,910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44,239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25,618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30,152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2"/>
        </w:rPr>
        <w:t>(O) INTEREST EXPENSE</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following components are included in Interest Expense, net:</w:t>
      </w:r>
    </w:p>
    <w:p>
      <w:pPr>
        <w:pStyle w:val="TextBody"/>
        <w:bidi w:val="0"/>
        <w:jc w:val="left"/>
        <w:rPr/>
      </w:pPr>
      <w:r>
        <w:rPr/>
        <w:t> </w:t>
      </w:r>
    </w:p>
    <w:tbl>
      <w:tblPr>
        <w:tblW w:w="6851" w:type="dxa"/>
        <w:jc w:val="left"/>
        <w:tblInd w:w="0" w:type="dxa"/>
        <w:tblLayout w:type="fixed"/>
        <w:tblCellMar>
          <w:top w:w="28" w:type="dxa"/>
          <w:left w:w="28" w:type="dxa"/>
          <w:bottom w:w="28" w:type="dxa"/>
          <w:right w:w="28" w:type="dxa"/>
        </w:tblCellMar>
      </w:tblPr>
      <w:tblGrid>
        <w:gridCol w:w="1786"/>
        <w:gridCol w:w="146"/>
        <w:gridCol w:w="196"/>
        <w:gridCol w:w="146"/>
        <w:gridCol w:w="601"/>
        <w:gridCol w:w="166"/>
        <w:gridCol w:w="146"/>
        <w:gridCol w:w="196"/>
        <w:gridCol w:w="146"/>
        <w:gridCol w:w="601"/>
        <w:gridCol w:w="166"/>
        <w:gridCol w:w="146"/>
        <w:gridCol w:w="196"/>
        <w:gridCol w:w="146"/>
        <w:gridCol w:w="601"/>
        <w:gridCol w:w="166"/>
        <w:gridCol w:w="146"/>
        <w:gridCol w:w="196"/>
        <w:gridCol w:w="146"/>
        <w:gridCol w:w="601"/>
        <w:gridCol w:w="21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Three Months Ended</w:t>
              <w:b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Six Months Ended</w:t>
              <w:br/>
              <w:t>September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7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23,942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22,103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Interest Capitalized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7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9,362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10,714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21,078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21,398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color w:val="000000"/>
          <w:sz w:val="20"/>
        </w:rPr>
      </w:pPr>
      <w:r>
        <w:rPr>
          <w:rFonts w:ascii="Arial" w:hAnsi="Arial"/>
          <w:color w:val="000000"/>
          <w:sz w:val="20"/>
        </w:rPr>
        <w:t>Interest Income includes interest earned on investments of excess cash. Components of Interest Expense include interest associated with the Revolving Credit Facility, Term Loan, Senior Unsecured Notes, and commitment fees based on the unused portion of the Revolving Credit Facility. Other Expenses include amortization of debt issuance costs and Revolving Credit Facility costs. Capitalized Interest is related primarily to our long term projects to expand and modernize our Mountain Cement facility in Wyoming, and the modernization of our gypsum wallboard plant in Oklahoma.</w:t>
      </w:r>
    </w:p>
    <w:p>
      <w:pPr>
        <w:pStyle w:val="TextBody"/>
        <w:bidi w:val="0"/>
        <w:spacing w:before="270" w:after="283"/>
        <w:jc w:val="both"/>
        <w:rPr>
          <w:rFonts w:ascii="Times New Roman" w:hAnsi="Times New Roman"/>
          <w:sz w:val="20"/>
        </w:rPr>
      </w:pPr>
      <w:r>
        <w:rPr>
          <w:rFonts w:ascii="Arial" w:hAnsi="Arial"/>
          <w:b/>
          <w:color w:val="000000"/>
          <w:sz w:val="22"/>
        </w:rPr>
        <w:t>(P)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We have certain deductible limits under our workers’ compensation and liability insurance policies for which reserves are established based on the undiscounted estimated costs of known and anticipated claims. We have entered into standby letter of credit agreements relating to workers’ compensation, auto, and general liability self-insurance. At September 30, 2025, we had contingent liabilities under these outstanding letters of credit of approximately $9.9</w:t>
      </w:r>
      <w:r>
        <w:rPr>
          <w:rFonts w:ascii="Times New Roman" w:hAnsi="Times New Roman"/>
          <w:color w:val="000000"/>
          <w:sz w:val="20"/>
        </w:rPr>
        <w:t xml:space="preserve"> </w:t>
      </w:r>
      <w:r>
        <w:rPr>
          <w:rFonts w:ascii="Arial" w:hAnsi="Arial"/>
          <w:color w:val="000000"/>
          <w:sz w:val="20"/>
        </w:rPr>
        <w:t>million.</w:t>
      </w:r>
    </w:p>
    <w:p>
      <w:pPr>
        <w:pStyle w:val="TextBody"/>
        <w:bidi w:val="0"/>
        <w:spacing w:before="120" w:after="283"/>
        <w:jc w:val="left"/>
        <w:rPr>
          <w:rFonts w:ascii="Times New Roman" w:hAnsi="Times New Roman"/>
          <w:sz w:val="20"/>
        </w:rPr>
      </w:pPr>
      <w:r>
        <w:rPr>
          <w:rFonts w:ascii="Arial" w:hAnsi="Arial"/>
          <w:color w:val="000000"/>
          <w:sz w:val="20"/>
        </w:rPr>
        <w:t>In the ordinary course of business, we execute contracts involving indemnifications that are both standard in the industry and specific to a transaction, such as the sale of a business. These indemnifications may include claims relating to any of the following: environmental and tax matters; intellectual property rights; governmental regulations and employment-related matters; customer, supplier, and other commercial contractual relationships; construction contracts; and financial matters. While the maximum amount to which the Company may be exposed under such agreements cannot be estimated, management believes these indemnifications will not have a material adverse effect on our consolidated financial position, results of operations, or cash flows. We currently have no</w:t>
      </w:r>
      <w:r>
        <w:rPr>
          <w:rFonts w:ascii="Times New Roman" w:hAnsi="Times New Roman"/>
          <w:color w:val="000000"/>
          <w:sz w:val="20"/>
        </w:rPr>
        <w:t xml:space="preserve"> </w:t>
      </w:r>
      <w:r>
        <w:rPr>
          <w:rFonts w:ascii="Arial" w:hAnsi="Arial"/>
          <w:color w:val="000000"/>
          <w:sz w:val="20"/>
        </w:rPr>
        <w:t>outstanding guarantees.</w:t>
      </w:r>
    </w:p>
    <w:p>
      <w:pPr>
        <w:pStyle w:val="TextBody"/>
        <w:bidi w:val="0"/>
        <w:spacing w:before="120" w:after="283"/>
        <w:jc w:val="left"/>
        <w:rPr>
          <w:rFonts w:ascii="Times New Roman" w:hAnsi="Times New Roman"/>
          <w:sz w:val="20"/>
        </w:rPr>
      </w:pPr>
      <w:r>
        <w:rPr>
          <w:rFonts w:ascii="Arial" w:hAnsi="Arial"/>
          <w:color w:val="000000"/>
          <w:sz w:val="20"/>
        </w:rPr>
        <w:t>We are currently contingently liable for performance under $47.9</w:t>
      </w:r>
      <w:r>
        <w:rPr>
          <w:rFonts w:ascii="Times New Roman" w:hAnsi="Times New Roman"/>
          <w:color w:val="000000"/>
          <w:sz w:val="20"/>
        </w:rPr>
        <w:t xml:space="preserve"> </w:t>
      </w:r>
      <w:r>
        <w:rPr>
          <w:rFonts w:ascii="Arial" w:hAnsi="Arial"/>
          <w:color w:val="000000"/>
          <w:sz w:val="20"/>
        </w:rPr>
        <w:t>million in performance bonds required by certain states and municipalities, and their related agencies. The bonds are principally for certain reclamation obligations and mining permits. We have indemnified the underwriting insurance company against any exposure under the performance bonds. In our past experience, no material claims have been made against these financial instruments.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r>
        <w:rPr>
          <w:rFonts w:ascii="Arial" w:hAnsi="Arial"/>
          <w:b/>
          <w:color w:val="000000"/>
          <w:sz w:val="22"/>
        </w:rPr>
        <w:t>(Q) FAIR VALUE OF FINANCIAL INSTRUMENTS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fair value of our long-term debt has been estimated based on our current incremental borrowing rates for similar types of borrowing arrangements. The fair value of our 2.500% Senior Unsecured Notes at September 30, 2025, is as follows:</w:t>
      </w:r>
    </w:p>
    <w:p>
      <w:pPr>
        <w:pStyle w:val="TextBody"/>
        <w:bidi w:val="0"/>
        <w:spacing w:before="120" w:after="283"/>
        <w:jc w:val="left"/>
        <w:rPr/>
      </w:pPr>
      <w:r>
        <w:rPr/>
        <w:t> </w:t>
      </w:r>
    </w:p>
    <w:tbl>
      <w:tblPr>
        <w:tblW w:w="5167" w:type="dxa"/>
        <w:jc w:val="left"/>
        <w:tblInd w:w="0" w:type="dxa"/>
        <w:tblLayout w:type="fixed"/>
        <w:tblCellMar>
          <w:top w:w="28" w:type="dxa"/>
          <w:left w:w="28" w:type="dxa"/>
          <w:bottom w:w="28" w:type="dxa"/>
          <w:right w:w="28" w:type="dxa"/>
        </w:tblCellMar>
      </w:tblPr>
      <w:tblGrid>
        <w:gridCol w:w="3391"/>
        <w:gridCol w:w="146"/>
        <w:gridCol w:w="273"/>
        <w:gridCol w:w="203"/>
        <w:gridCol w:w="963"/>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Fair Value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(dollars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2.500% Senior Unsecured Notes Due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679,000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Arial" w:hAnsi="Arial"/>
          <w:color w:val="000000"/>
          <w:sz w:val="20"/>
        </w:rPr>
      </w:pPr>
      <w:r>
        <w:rPr>
          <w:rFonts w:ascii="Arial" w:hAnsi="Arial"/>
          <w:color w:val="000000"/>
          <w:sz w:val="20"/>
        </w:rPr>
        <w:t>The estimated fair value of our long-term debt was based on quoted prices of similar debt instruments with similar terms that are publicly traded (estimated based on Level 1 input of the fair value hierarchy). The carrying values of Cash and Cash Equivalents, Accounts Receivable, Accounts Payable, and Accrued Liabilities approximate their fair values at September 30, 2025, because these assets and liabilities have short-term maturities. The fair value of our Revolving Credit Facility and Term Loan also approximates the carrying value at September 30, 2025.</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8" w:space="1" w:color="000000"/>
        </w:pBdr>
        <w:bidi w:val="0"/>
        <w:jc w:val="left"/>
        <w:rPr>
          <w:rFonts w:ascii="Arial" w:hAnsi="Arial"/>
          <w:b/>
          <w:color w:val="000000"/>
          <w:sz w:val="26"/>
        </w:rPr>
      </w:pPr>
      <w:bookmarkStart w:id="8" w:name="item_7_managements_discussion_and"/>
      <w:bookmarkEnd w:id="8"/>
      <w:r>
        <w:rPr>
          <w:rFonts w:ascii="Arial" w:hAnsi="Arial"/>
          <w:b/>
          <w:color w:val="000000"/>
          <w:sz w:val="26"/>
        </w:rPr>
        <w:t>ITEM 2. Management’s Discussion and Analysis of Financial Condition and Results of Operations</w:t>
      </w:r>
    </w:p>
    <w:p>
      <w:pPr>
        <w:pStyle w:val="TextBody"/>
        <w:bidi w:val="0"/>
        <w:spacing w:before="240" w:after="283"/>
        <w:jc w:val="left"/>
        <w:rPr>
          <w:rFonts w:ascii="Arial" w:hAnsi="Arial"/>
          <w:b/>
          <w:color w:val="000000"/>
          <w:sz w:val="20"/>
        </w:rPr>
      </w:pPr>
      <w:r>
        <w:rPr>
          <w:rFonts w:ascii="Arial" w:hAnsi="Arial"/>
          <w:b/>
          <w:color w:val="000000"/>
          <w:sz w:val="20"/>
        </w:rPr>
        <w:t>EXECUTIVE SUMMARY</w:t>
      </w:r>
    </w:p>
    <w:p>
      <w:pPr>
        <w:pStyle w:val="TextBody"/>
        <w:bidi w:val="0"/>
        <w:spacing w:before="120" w:after="283"/>
        <w:jc w:val="left"/>
        <w:rPr>
          <w:rFonts w:ascii="Arial" w:hAnsi="Arial"/>
          <w:color w:val="000000"/>
          <w:sz w:val="20"/>
        </w:rPr>
      </w:pPr>
      <w:r>
        <w:rPr>
          <w:rFonts w:ascii="Arial" w:hAnsi="Arial"/>
          <w:color w:val="000000"/>
          <w:sz w:val="20"/>
        </w:rPr>
        <w:t>We are a leading U.S. manufacturer of heavy construction products and light building materials. Our primary products, portland cement and gypsum wallboard, are essential for building, expanding, and repairing roads, highways, and residential, commercial, and industrial structures across America. Headquartered in Dallas, Texas, Eagle manufactures and sells its products through a network of more than 70 facilities spanning 21 states. Demand for our products is generally cyclical and seasonal, depending on economic and geographic conditions. General economic downturns or localized downturns in the regions where we have operations may have a material adverse effect on our business, financial condition, and results of operations.</w:t>
      </w:r>
    </w:p>
    <w:p>
      <w:pPr>
        <w:pStyle w:val="TextBody"/>
        <w:bidi w:val="0"/>
        <w:spacing w:before="120" w:after="283"/>
        <w:jc w:val="left"/>
        <w:rPr>
          <w:rFonts w:ascii="Times New Roman" w:hAnsi="Times New Roman"/>
          <w:sz w:val="20"/>
        </w:rPr>
      </w:pPr>
      <w:r>
        <w:rPr>
          <w:rFonts w:ascii="Arial" w:hAnsi="Arial"/>
          <w:color w:val="000000"/>
          <w:sz w:val="20"/>
        </w:rPr>
        <w:t>Our business is organized into two sectors: Heavy Materials, which includes the Cement and Concrete and Aggregates segments; and Light Materials, which includes the Gypsum Wallboard and Recycled Paperboard segments. Financial results and other information for the three and six months ended September 30, 2025, and 2024, are presented on a consolidated basis and by business segment.</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conduct one of our cement operations through a joint venture, Texas Lehigh Cement Company LP, which is located in Buda, Texas (the Joint Venture). We own a 50% interest in the Joint Venture and account for our interest under the equity method of accounting. We proportionately consolidate our 50% share of the Joint Venture’s Revenue and Operating Earnings in the presentation of our Cement segment, which is the way management organizes financial information with respect to the segments within the Company for making operating decisions and assessing performance.</w:t>
      </w:r>
    </w:p>
    <w:p>
      <w:pPr>
        <w:pStyle w:val="TextBody"/>
        <w:bidi w:val="0"/>
        <w:spacing w:before="120" w:after="283"/>
        <w:jc w:val="left"/>
        <w:rPr>
          <w:rFonts w:ascii="Times New Roman" w:hAnsi="Times New Roman"/>
          <w:sz w:val="20"/>
        </w:rPr>
      </w:pPr>
      <w:r>
        <w:rPr>
          <w:rFonts w:ascii="Arial" w:hAnsi="Arial"/>
          <w:color w:val="000000"/>
          <w:sz w:val="20"/>
        </w:rPr>
        <w:t>All our business activities are conducted in the United States. These activities include the mining of limestone for the manufacture, production, distribution, and sale of portland cement, including portland limestone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On August 9, 2024, we finalized the acquisition of an aggregates business in Northern Kentucky. The purchase price of the acquisition was approximately $24.9 million. This business is included in our Heavy Materials sector, and its results of operations are reported in the Concrete and Aggregates business segment from the date of purchase.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On January 7, 2025, we acquired Bullskin Stone &amp; Lime LLC. The purchase price of this acquisition was approximately $149.9 million. This acquisition is included in our Heavy Materials sector, and its results of operations are reported in the Concrete and Aggregates business segment from the date of purchase. See Note (C) in the Notes to Unaudited Consolidated Financial Statements for more information regarding this acquisition.</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above acquisitions are collectively referred to as the Aggregates Acquisitions in the following discussion of our Results of Operations.</w:t>
      </w:r>
    </w:p>
    <w:p>
      <w:pPr>
        <w:pStyle w:val="TextBody"/>
        <w:bidi w:val="0"/>
        <w:spacing w:before="270" w:after="283"/>
        <w:jc w:val="both"/>
        <w:rPr>
          <w:rFonts w:ascii="Times New Roman" w:hAnsi="Times New Roman"/>
          <w:sz w:val="20"/>
        </w:rPr>
      </w:pPr>
      <w:r>
        <w:rPr>
          <w:rFonts w:ascii="Arial" w:hAnsi="Arial"/>
          <w:b/>
          <w:color w:val="000000"/>
          <w:sz w:val="20"/>
        </w:rPr>
        <w:t>MARKET CONDITIONS AND OUTLOOK</w:t>
      </w:r>
      <w:r>
        <w:rPr>
          <w:rFonts w:ascii="Times New Roman" w:hAnsi="Times New Roman"/>
          <w:color w:val="000000"/>
          <w:sz w:val="20"/>
        </w:rPr>
        <w:t xml:space="preserve"> </w:t>
      </w:r>
    </w:p>
    <w:p>
      <w:pPr>
        <w:pStyle w:val="TextBody"/>
        <w:bidi w:val="0"/>
        <w:spacing w:before="120" w:after="160"/>
        <w:jc w:val="left"/>
        <w:rPr>
          <w:rFonts w:ascii="Times New Roman" w:hAnsi="Times New Roman"/>
          <w:sz w:val="20"/>
        </w:rPr>
      </w:pPr>
      <w:r>
        <w:rPr>
          <w:rFonts w:ascii="Arial" w:hAnsi="Arial"/>
          <w:color w:val="000000"/>
          <w:sz w:val="20"/>
        </w:rPr>
        <w:t>In the first half of fiscal year 2026, our cement sales volume increased, driven primarily by federal, state and local support for public infrastructure projects and continued elevated spending across private non-residential end markets. In this improved environment, our Cement sales volume was up approximately 5% during the first half of our fiscal year. The outlook for cement demand continues to be favorable, as nearly 60% of the funds from the trillion-dollar Infrastructure Investment and Jobs Act (IIJA) remain to be spent, and state Department of Transportation (DOT) budgets remain strong.</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sz w:val="20"/>
        </w:rPr>
      </w:pPr>
      <w:r>
        <w:rPr>
          <w:rFonts w:ascii="Arial" w:hAnsi="Arial"/>
          <w:color w:val="000000"/>
          <w:sz w:val="20"/>
        </w:rPr>
        <w:t>The backdrop for residential construction activity remains challenging, primarily because of housing affordability concerns driven by persistently elevated mortgage interest rates, as well as other macroeconomic uncertainties. At the same time, the national supply of homes remains constrained by years of underbuilding. Recently, new home construction has slowed as builders have pulled back on production because of mixed demand signals and higher levels of new home inventory in certain markets. This recent pullback affected our wallboard sales volume, which was down approximately 5% in the first half of our fiscal year. The path ahead for mortgage rates, and the corresponding effect on residential construction activity, is unclear and thus the timing of a recovery in new-home construction remains uncertain.</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i/>
          <w:color w:val="000000"/>
          <w:sz w:val="20"/>
        </w:rPr>
        <w:t>Cost Outlook</w:t>
      </w:r>
      <w:r>
        <w:rPr>
          <w:rFonts w:ascii="Times New Roman" w:hAnsi="Times New Roman"/>
          <w:color w:val="000000"/>
          <w:sz w:val="20"/>
        </w:rPr>
        <w:t xml:space="preserve"> </w:t>
      </w:r>
    </w:p>
    <w:p>
      <w:pPr>
        <w:pStyle w:val="TextBody"/>
        <w:bidi w:val="0"/>
        <w:spacing w:before="0" w:after="160"/>
        <w:jc w:val="left"/>
        <w:rPr>
          <w:rFonts w:ascii="Arial" w:hAnsi="Arial"/>
          <w:color w:val="000000"/>
          <w:sz w:val="20"/>
        </w:rPr>
      </w:pPr>
      <w:r>
        <w:rPr>
          <w:rFonts w:ascii="Arial" w:hAnsi="Arial"/>
          <w:color w:val="000000"/>
          <w:sz w:val="20"/>
        </w:rPr>
        <w:t>We believe we are well-positioned to manage our cost structure and meet our customers’ needs. Our substantial raw material reserves for our Cement, Aggregates, and Gypsum Wallboard businesses, and their proximity to our respective manufacturing facilities support our low-cost producer position across all our business segments.</w:t>
      </w:r>
    </w:p>
    <w:p>
      <w:pPr>
        <w:pStyle w:val="TextBody"/>
        <w:bidi w:val="0"/>
        <w:spacing w:before="0" w:after="160"/>
        <w:jc w:val="left"/>
        <w:rPr>
          <w:rFonts w:ascii="Arial" w:hAnsi="Arial"/>
          <w:color w:val="000000"/>
          <w:sz w:val="20"/>
        </w:rPr>
      </w:pPr>
      <w:r>
        <w:rPr>
          <w:rFonts w:ascii="Arial" w:hAnsi="Arial"/>
          <w:color w:val="000000"/>
          <w:sz w:val="20"/>
        </w:rPr>
        <w:t>Paper is a significant cost component in our Recycled Paperboard and Gypsum Wallboard businesses. The primary raw material used to produce paperboard is old corrugated containers (OCC). Recently, OCC prices have been declining; however, recycled fiber prices are subject to change on short notice due to several factors, including supply of OCC and demand for OCC from both domestic and international companies. Our current customer contracts for gypsum liner include price adjustments that partially compensate for changes in the cost of raw materials, such as recycled fiber, natural gas, and electricity. However, because these price adjustments are not realized until future quarters, material costs in our Gypsum Wallboard segment are likely to fluctuate until the effects of these price adjustments are realized.</w:t>
      </w:r>
    </w:p>
    <w:p>
      <w:pPr>
        <w:pStyle w:val="TextBody"/>
        <w:bidi w:val="0"/>
        <w:spacing w:before="0" w:after="160"/>
        <w:jc w:val="left"/>
        <w:rPr>
          <w:rFonts w:ascii="Times New Roman" w:hAnsi="Times New Roman"/>
          <w:sz w:val="20"/>
        </w:rPr>
      </w:pPr>
      <w:r>
        <w:rPr>
          <w:rFonts w:ascii="Arial" w:hAnsi="Arial"/>
          <w:color w:val="000000"/>
          <w:sz w:val="20"/>
        </w:rPr>
        <w:t>Energy costs decreased slightly in the second quarter but are expected to remain relatively stable over the near future. Freight costs for our Gypsum Wallboard segment increased during the second quarter of fiscal 2026 and are expected to remain at similar levels for the rest of the calendar year. Freight costs for our Cement segment, which relies mostly on rail delivery, increased slightly in the second quarter, and are also expected to remain stable over the remainder of the calendar year. Additionally, labor constraints, primarily drivers, can adversely affect our Concrete business. If labor constraints were to worsen, it could cause delays and inefficiencies in this business.</w:t>
      </w:r>
      <w:r>
        <w:rPr>
          <w:rFonts w:ascii="Times New Roman" w:hAnsi="Times New Roman"/>
          <w:color w:val="000000"/>
          <w:sz w:val="20"/>
        </w:rPr>
        <w:t xml:space="preserve"> </w:t>
      </w:r>
    </w:p>
    <w:p>
      <w:pPr>
        <w:pStyle w:val="TextBody"/>
        <w:bidi w:val="0"/>
        <w:spacing w:before="0" w:after="160"/>
        <w:jc w:val="left"/>
        <w:rPr>
          <w:rFonts w:ascii="Arial" w:hAnsi="Arial"/>
          <w:color w:val="000000"/>
          <w:sz w:val="20"/>
        </w:rPr>
      </w:pPr>
      <w:r>
        <w:rPr>
          <w:rFonts w:ascii="Arial" w:hAnsi="Arial"/>
          <w:color w:val="000000"/>
          <w:sz w:val="20"/>
        </w:rPr>
        <w:t>Maintenance costs are a significant part of our total operating expenses, and we expect a low single-digit increase in inflation for maintenance in fiscal 2026, as equipment and contractor costs remain elevated.</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both"/>
        <w:rPr>
          <w:rFonts w:ascii="Times New Roman" w:hAnsi="Times New Roman"/>
          <w:sz w:val="20"/>
        </w:rPr>
      </w:pPr>
      <w:r>
        <w:rPr>
          <w:rFonts w:ascii="Arial" w:hAnsi="Arial"/>
          <w:b/>
          <w:color w:val="000000"/>
          <w:sz w:val="22"/>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caps/>
          <w:color w:val="000000"/>
          <w:sz w:val="20"/>
        </w:rPr>
        <w:t>THREE MONTHS ENDED September 30, 2025, Compared WITH THREE MONTHS ENDED september 30, 2024</w:t>
      </w:r>
      <w:r>
        <w:rPr>
          <w:rFonts w:ascii="Times New Roman" w:hAnsi="Times New Roman"/>
          <w:caps/>
          <w:color w:val="000000"/>
          <w:sz w:val="20"/>
        </w:rPr>
        <w:t xml:space="preserve"> </w:t>
      </w:r>
    </w:p>
    <w:p>
      <w:pPr>
        <w:pStyle w:val="TextBody"/>
        <w:bidi w:val="0"/>
        <w:jc w:val="both"/>
        <w:rPr/>
      </w:pPr>
      <w:r>
        <w:rPr/>
        <w:t> </w:t>
      </w:r>
    </w:p>
    <w:p>
      <w:pPr>
        <w:pStyle w:val="TextBody"/>
        <w:bidi w:val="0"/>
        <w:jc w:val="left"/>
        <w:rPr/>
      </w:pPr>
      <w:r>
        <w:rPr/>
        <w:t> </w:t>
      </w:r>
    </w:p>
    <w:tbl>
      <w:tblPr>
        <w:tblW w:w="9139" w:type="dxa"/>
        <w:jc w:val="left"/>
        <w:tblInd w:w="0" w:type="dxa"/>
        <w:tblLayout w:type="fixed"/>
        <w:tblCellMar>
          <w:top w:w="28" w:type="dxa"/>
          <w:left w:w="28" w:type="dxa"/>
          <w:bottom w:w="28" w:type="dxa"/>
          <w:right w:w="28" w:type="dxa"/>
        </w:tblCellMar>
      </w:tblPr>
      <w:tblGrid>
        <w:gridCol w:w="4201"/>
        <w:gridCol w:w="146"/>
        <w:gridCol w:w="231"/>
        <w:gridCol w:w="172"/>
        <w:gridCol w:w="886"/>
        <w:gridCol w:w="195"/>
        <w:gridCol w:w="172"/>
        <w:gridCol w:w="172"/>
        <w:gridCol w:w="231"/>
        <w:gridCol w:w="172"/>
        <w:gridCol w:w="886"/>
        <w:gridCol w:w="166"/>
        <w:gridCol w:w="146"/>
        <w:gridCol w:w="146"/>
        <w:gridCol w:w="258"/>
        <w:gridCol w:w="613"/>
        <w:gridCol w:w="346"/>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7"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Three Months Ended 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Percentage</w:t>
              <w:br/>
              <w:t>Change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9"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(in thousands, except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638,906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623,619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(439,194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(419,775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199,712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203,844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Equity in Earnings of Unconsolidated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6,309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Corporate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(21,316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(17,879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Other Non-Operating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1,131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(9,362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Earnings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176,474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185,251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(39,091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(41,731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137,383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143,520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r>
      <w:tr>
        <w:trPr/>
        <w:tc>
          <w:tcPr>
            <w:tcW w:w="4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4.23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REVENUE</w:t>
      </w:r>
    </w:p>
    <w:p>
      <w:pPr>
        <w:pStyle w:val="TextBody"/>
        <w:bidi w:val="0"/>
        <w:spacing w:before="120" w:after="283"/>
        <w:jc w:val="left"/>
        <w:rPr>
          <w:rFonts w:ascii="Times New Roman" w:hAnsi="Times New Roman"/>
          <w:sz w:val="20"/>
        </w:rPr>
      </w:pPr>
      <w:r>
        <w:rPr>
          <w:rFonts w:ascii="Arial" w:hAnsi="Arial"/>
          <w:color w:val="000000"/>
          <w:sz w:val="20"/>
        </w:rPr>
        <w:t>Revenue increased by $15.3 million, or 2%, to $638.9 million for the three months ended September 30, 2025. Excluding the $11.6 million related to the Aggregates Acquisitions, Revenue increased $3.7 million. Higher Sales Volumes positively affected Revenue by $5.0 million, and were partially offset by lower gross sales prices, which adversely affected Revenue by approximately $1.3 million.</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COST OF GOODS SOLD</w:t>
      </w:r>
    </w:p>
    <w:p>
      <w:pPr>
        <w:pStyle w:val="TextBody"/>
        <w:bidi w:val="0"/>
        <w:spacing w:before="120" w:after="283"/>
        <w:jc w:val="left"/>
        <w:rPr>
          <w:rFonts w:ascii="Times New Roman" w:hAnsi="Times New Roman"/>
          <w:sz w:val="20"/>
        </w:rPr>
      </w:pPr>
      <w:r>
        <w:rPr>
          <w:rFonts w:ascii="Arial" w:hAnsi="Arial"/>
          <w:color w:val="000000"/>
          <w:sz w:val="20"/>
        </w:rPr>
        <w:t>Cost of Goods Sold increased by $19.4 million, or 5%, to $439.2 million for the three months ended September 30, 2025. Excluding the $8.3 million related to the Aggregates Acquisitions, Cost of Goods Sold increased $11.1 million, or 3%.The increase was due to higher Sales Volume of $6.2 million and higher operating costs of $4.9 million.</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GROSS PROFIT</w:t>
      </w:r>
    </w:p>
    <w:p>
      <w:pPr>
        <w:pStyle w:val="TextBody"/>
        <w:bidi w:val="0"/>
        <w:spacing w:before="120" w:after="283"/>
        <w:jc w:val="left"/>
        <w:rPr>
          <w:rFonts w:ascii="Times New Roman" w:hAnsi="Times New Roman"/>
          <w:sz w:val="20"/>
        </w:rPr>
      </w:pPr>
      <w:r>
        <w:rPr>
          <w:rFonts w:ascii="Arial" w:hAnsi="Arial"/>
          <w:color w:val="000000"/>
          <w:sz w:val="20"/>
        </w:rPr>
        <w:t>Gross Profit decreased 2% to $199.7 million during the three months ended September 30, 2025. Excluding the $3.3 million of Gross Profit related to the Aggregates Acquisitions, Gross Profit decreased $7.4 million, or 4%. The decrease was primarily related to lower gross sales prices of $1.3 million and increased operating costs of $4.9 million. The gross margin declined to 28%, primarily due to lower gross sales prices.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Arial" w:hAnsi="Arial"/>
          <w:b/>
          <w:color w:val="000000"/>
          <w:sz w:val="20"/>
        </w:rPr>
      </w:pPr>
      <w:r>
        <w:rPr>
          <w:rFonts w:ascii="Arial" w:hAnsi="Arial"/>
          <w:b/>
          <w:color w:val="000000"/>
          <w:sz w:val="20"/>
        </w:rPr>
        <w:t>EQUITY IN EARNINGS OF UNCONSOLIDATED JOINT VENTURE</w:t>
      </w:r>
    </w:p>
    <w:p>
      <w:pPr>
        <w:pStyle w:val="TextBody"/>
        <w:bidi w:val="0"/>
        <w:spacing w:before="120" w:after="283"/>
        <w:jc w:val="left"/>
        <w:rPr>
          <w:rFonts w:ascii="Times New Roman" w:hAnsi="Times New Roman"/>
          <w:sz w:val="20"/>
        </w:rPr>
      </w:pPr>
      <w:r>
        <w:rPr>
          <w:rFonts w:ascii="Arial" w:hAnsi="Arial"/>
          <w:color w:val="000000"/>
          <w:sz w:val="20"/>
        </w:rPr>
        <w:t>Equity in Earnings of our Unconsolidated Joint Venture decreased by $3.0 million, or 32%, for the three months ended September 30, 2025. The decrease was due to higher operating costs of $4.6 million, which were offset by higher gross sales prices of $1.6 million. Increased operating costs were primarily related to higher energy, freight, and raw materials costs, which reduced operating earnings by $1.0 million, $0.9 million, and $2.0 million respectively.</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CORPORATE GENERAL AND ADMINISTRATIVE</w:t>
      </w:r>
    </w:p>
    <w:p>
      <w:pPr>
        <w:pStyle w:val="TextBody"/>
        <w:bidi w:val="0"/>
        <w:spacing w:before="120" w:after="283"/>
        <w:jc w:val="left"/>
        <w:rPr>
          <w:rFonts w:ascii="Times New Roman" w:hAnsi="Times New Roman"/>
          <w:sz w:val="20"/>
        </w:rPr>
      </w:pPr>
      <w:r>
        <w:rPr>
          <w:rFonts w:ascii="Arial" w:hAnsi="Arial"/>
          <w:color w:val="000000"/>
          <w:sz w:val="20"/>
        </w:rPr>
        <w:t>Corporate General and Administrative expenses increased by approximately $3.4 million, or 19%, for the three months ended September 30, 2025. The increase was due primarily to higher salary and incentive compensation, professional fees, and information technology costs of $1.7 million, $0.7 million, and $0.8 million, respectively.</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color w:val="000000"/>
          <w:sz w:val="20"/>
        </w:rPr>
        <w:t>OTHER NON-OPERATING INCOME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Other Non-Operating Income consists of a variety of items that are unrelated to segment operations and include non-inventoried Aggregates income, asset sales, and other miscellaneous income and cost items.</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INTEREST EXPENSE, NET</w:t>
      </w:r>
    </w:p>
    <w:p>
      <w:pPr>
        <w:pStyle w:val="TextBody"/>
        <w:bidi w:val="0"/>
        <w:spacing w:before="120" w:after="283"/>
        <w:jc w:val="left"/>
        <w:rPr>
          <w:rFonts w:ascii="Times New Roman" w:hAnsi="Times New Roman"/>
          <w:sz w:val="20"/>
        </w:rPr>
      </w:pPr>
      <w:r>
        <w:rPr>
          <w:rFonts w:ascii="Arial" w:hAnsi="Arial"/>
          <w:color w:val="000000"/>
          <w:sz w:val="20"/>
        </w:rPr>
        <w:t>Interest Expense, net decreased by approximately $1.3 million, or 13%, during the three months ended September 30, 2025. This decrease was mainly due to an increase of $1.4 million in capitalized interest during fiscal 2026 compared with fiscal 2025. The increase in capitalized interest is due primarily to capital spending for the expansion and modernization of our cement plant in Laramie, Wyoming and our gypsum wallboard plant in Oklahoma.</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EARNINGS BEFORE INCOME TAXES</w:t>
      </w:r>
    </w:p>
    <w:p>
      <w:pPr>
        <w:pStyle w:val="TextBody"/>
        <w:bidi w:val="0"/>
        <w:spacing w:before="120" w:after="283"/>
        <w:jc w:val="left"/>
        <w:rPr>
          <w:rFonts w:ascii="Arial" w:hAnsi="Arial"/>
          <w:color w:val="000000"/>
          <w:sz w:val="20"/>
        </w:rPr>
      </w:pPr>
      <w:r>
        <w:rPr>
          <w:rFonts w:ascii="Arial" w:hAnsi="Arial"/>
          <w:color w:val="000000"/>
          <w:sz w:val="20"/>
        </w:rPr>
        <w:t>Earnings Before Income Taxes decreased to $176.5 million during the three months ended September 30, 2025, primarily as a result of lower Gross Profit and Equity in Earnings of Unconsolidated Joint Venture, and higher Corporate General and Administrative expense, partially offset by lower Interest Expense, net.</w:t>
      </w:r>
    </w:p>
    <w:p>
      <w:pPr>
        <w:pStyle w:val="TextBody"/>
        <w:bidi w:val="0"/>
        <w:spacing w:before="270" w:after="283"/>
        <w:jc w:val="left"/>
        <w:rPr>
          <w:rFonts w:ascii="Arial" w:hAnsi="Arial"/>
          <w:b/>
          <w:color w:val="000000"/>
          <w:sz w:val="20"/>
        </w:rPr>
      </w:pPr>
      <w:r>
        <w:rPr>
          <w:rFonts w:ascii="Arial" w:hAnsi="Arial"/>
          <w:b/>
          <w:color w:val="000000"/>
          <w:sz w:val="20"/>
        </w:rPr>
        <w:t>INCOME TAX EXPENSE</w:t>
      </w:r>
    </w:p>
    <w:p>
      <w:pPr>
        <w:pStyle w:val="TextBody"/>
        <w:bidi w:val="0"/>
        <w:spacing w:before="120" w:after="283"/>
        <w:jc w:val="left"/>
        <w:rPr>
          <w:rFonts w:ascii="Times New Roman" w:hAnsi="Times New Roman"/>
          <w:sz w:val="20"/>
        </w:rPr>
      </w:pPr>
      <w:r>
        <w:rPr>
          <w:rFonts w:ascii="Arial" w:hAnsi="Arial"/>
          <w:color w:val="000000"/>
          <w:sz w:val="20"/>
        </w:rPr>
        <w:t>Income Tax Expense was $39.1 million for the three months ended September 30, 2025, compared with $41.7 million for the three months ended September 30, 2024. The effective tax rate declined to 22% from 23% in the prior-year period.</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NET EARNINGS</w:t>
      </w:r>
    </w:p>
    <w:p>
      <w:pPr>
        <w:pStyle w:val="TextBody"/>
        <w:bidi w:val="0"/>
        <w:spacing w:before="120" w:after="283"/>
        <w:jc w:val="left"/>
        <w:rPr>
          <w:rFonts w:ascii="Arial" w:hAnsi="Arial"/>
          <w:color w:val="000000"/>
          <w:sz w:val="20"/>
        </w:rPr>
      </w:pPr>
      <w:r>
        <w:rPr>
          <w:rFonts w:ascii="Arial" w:hAnsi="Arial"/>
          <w:color w:val="000000"/>
          <w:sz w:val="20"/>
        </w:rPr>
        <w:t>Net Earnings decreased 4% to $137.4 million for the three months ended September 30, 2025.</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both"/>
        <w:rPr>
          <w:rFonts w:ascii="Times New Roman" w:hAnsi="Times New Roman"/>
          <w:sz w:val="20"/>
        </w:rPr>
      </w:pPr>
      <w:r>
        <w:rPr>
          <w:rFonts w:ascii="Arial" w:hAnsi="Arial"/>
          <w:b/>
          <w:color w:val="000000"/>
          <w:sz w:val="22"/>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caps/>
          <w:color w:val="000000"/>
          <w:sz w:val="20"/>
        </w:rPr>
        <w:t>six MONTHS ENDED September 30, 2025, Compared WITH six MONTHS ENDED september 30, 2024</w:t>
      </w:r>
      <w:r>
        <w:rPr>
          <w:rFonts w:ascii="Times New Roman" w:hAnsi="Times New Roman"/>
          <w:caps/>
          <w:color w:val="000000"/>
          <w:sz w:val="20"/>
        </w:rPr>
        <w:t xml:space="preserve"> </w:t>
      </w:r>
    </w:p>
    <w:p>
      <w:pPr>
        <w:pStyle w:val="TextBody"/>
        <w:bidi w:val="0"/>
        <w:jc w:val="left"/>
        <w:rPr/>
      </w:pPr>
      <w:r>
        <w:rPr/>
        <w:t> </w:t>
      </w:r>
    </w:p>
    <w:tbl>
      <w:tblPr>
        <w:tblW w:w="8973" w:type="dxa"/>
        <w:jc w:val="left"/>
        <w:tblInd w:w="0" w:type="dxa"/>
        <w:tblLayout w:type="fixed"/>
        <w:tblCellMar>
          <w:top w:w="28" w:type="dxa"/>
          <w:left w:w="28" w:type="dxa"/>
          <w:bottom w:w="28" w:type="dxa"/>
          <w:right w:w="28" w:type="dxa"/>
        </w:tblCellMar>
      </w:tblPr>
      <w:tblGrid>
        <w:gridCol w:w="4201"/>
        <w:gridCol w:w="146"/>
        <w:gridCol w:w="207"/>
        <w:gridCol w:w="154"/>
        <w:gridCol w:w="873"/>
        <w:gridCol w:w="175"/>
        <w:gridCol w:w="154"/>
        <w:gridCol w:w="154"/>
        <w:gridCol w:w="207"/>
        <w:gridCol w:w="154"/>
        <w:gridCol w:w="873"/>
        <w:gridCol w:w="166"/>
        <w:gridCol w:w="146"/>
        <w:gridCol w:w="146"/>
        <w:gridCol w:w="258"/>
        <w:gridCol w:w="613"/>
        <w:gridCol w:w="346"/>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1"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Six Months Ended 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Percentage</w:t>
              <w:br/>
              <w:t>Change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3"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(in thousands, except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1,273,596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1,232,308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(888,285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(841,596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385,311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390,712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Equity in Earnings of Unconsolidated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10,113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Corporate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(42,099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Other Non-Operating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2,085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(21,078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Earnings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334,332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356,185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(73,587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(78,823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260,745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277,362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r>
      <w:tr>
        <w:trPr/>
        <w:tc>
          <w:tcPr>
            <w:tcW w:w="42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7.99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REVENUE</w:t>
      </w:r>
    </w:p>
    <w:p>
      <w:pPr>
        <w:pStyle w:val="TextBody"/>
        <w:bidi w:val="0"/>
        <w:spacing w:before="120" w:after="283"/>
        <w:jc w:val="left"/>
        <w:rPr>
          <w:rFonts w:ascii="Times New Roman" w:hAnsi="Times New Roman"/>
          <w:sz w:val="20"/>
        </w:rPr>
      </w:pPr>
      <w:r>
        <w:rPr>
          <w:rFonts w:ascii="Arial" w:hAnsi="Arial"/>
          <w:color w:val="000000"/>
          <w:sz w:val="20"/>
        </w:rPr>
        <w:t>Revenue increased by $41.3 million, or 3%, to $1,273.6 million for the six months ended September 30, 2025. Excluding the $23.0 million related to the Aggregates Acquisitions, Revenue increased $18.3 million, or 2%. Higher Sales Volumes positively affected Revenue by $24.0 million, and were partially offset by lower gross sales prices, which adversely affected Revenue by approximately $5.7 million.</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COST OF GOODS SOLD</w:t>
      </w:r>
    </w:p>
    <w:p>
      <w:pPr>
        <w:pStyle w:val="TextBody"/>
        <w:bidi w:val="0"/>
        <w:spacing w:before="120" w:after="283"/>
        <w:jc w:val="left"/>
        <w:rPr>
          <w:rFonts w:ascii="Arial" w:hAnsi="Arial"/>
          <w:color w:val="000000"/>
          <w:sz w:val="20"/>
        </w:rPr>
      </w:pPr>
      <w:r>
        <w:rPr>
          <w:rFonts w:ascii="Arial" w:hAnsi="Arial"/>
          <w:color w:val="000000"/>
          <w:sz w:val="20"/>
        </w:rPr>
        <w:t>Cost of Goods Sold increased by $46.7 million, or 6%, to $888.3 million for the six months ended September 30, 2025. Excluding the $17.8 million related to the Aggregates Acquisitions, Cost of Goods Sold increased $28.9 million, or 3%.The increase was due to higher Sales Volume and operating costs of $17.7 million and $11.1 million, respectively. Higher operating costs were primarily related to our Cement and Gypsum Wallboard businesses and are discussed further in the segment analysis.</w:t>
      </w:r>
    </w:p>
    <w:p>
      <w:pPr>
        <w:pStyle w:val="TextBody"/>
        <w:bidi w:val="0"/>
        <w:spacing w:before="270" w:after="283"/>
        <w:jc w:val="left"/>
        <w:rPr>
          <w:rFonts w:ascii="Arial" w:hAnsi="Arial"/>
          <w:b/>
          <w:color w:val="000000"/>
          <w:sz w:val="20"/>
        </w:rPr>
      </w:pPr>
      <w:r>
        <w:rPr>
          <w:rFonts w:ascii="Arial" w:hAnsi="Arial"/>
          <w:b/>
          <w:color w:val="000000"/>
          <w:sz w:val="20"/>
        </w:rPr>
        <w:t>GROSS PROFIT</w:t>
      </w:r>
    </w:p>
    <w:p>
      <w:pPr>
        <w:pStyle w:val="TextBody"/>
        <w:bidi w:val="0"/>
        <w:spacing w:before="120" w:after="283"/>
        <w:jc w:val="left"/>
        <w:rPr>
          <w:rFonts w:ascii="Times New Roman" w:hAnsi="Times New Roman"/>
          <w:sz w:val="20"/>
        </w:rPr>
      </w:pPr>
      <w:r>
        <w:rPr>
          <w:rFonts w:ascii="Arial" w:hAnsi="Arial"/>
          <w:color w:val="000000"/>
          <w:sz w:val="20"/>
        </w:rPr>
        <w:t>Gross Profit decreased 1% to $385.3 million during the six months ended September 30, 2025. Excluding the $5.2 million of Gross Profit related to the Aggregates Acquisitions, Gross Profit decreased $10.6 million, or 3%. The decrease was primarily related to lower gross sales prices and higher operating costs of $5.7 million and $11.1 million, respectively, partially offset by higher Sales Volume of $6.2 million. The gross margin declined to 26%, primarily due to higher operating costs and lower gross sales prices.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Arial" w:hAnsi="Arial"/>
          <w:b/>
          <w:color w:val="000000"/>
          <w:sz w:val="20"/>
        </w:rPr>
      </w:pPr>
      <w:r>
        <w:rPr>
          <w:rFonts w:ascii="Arial" w:hAnsi="Arial"/>
          <w:b/>
          <w:color w:val="000000"/>
          <w:sz w:val="20"/>
        </w:rPr>
        <w:t>EQUITY IN EARNINGS OF UNCONSOLIDATED JOINT VENTURE</w:t>
      </w:r>
    </w:p>
    <w:p>
      <w:pPr>
        <w:pStyle w:val="TextBody"/>
        <w:bidi w:val="0"/>
        <w:spacing w:before="120" w:after="283"/>
        <w:jc w:val="left"/>
        <w:rPr>
          <w:rFonts w:ascii="Times New Roman" w:hAnsi="Times New Roman"/>
          <w:sz w:val="20"/>
        </w:rPr>
      </w:pPr>
      <w:r>
        <w:rPr>
          <w:rFonts w:ascii="Arial" w:hAnsi="Arial"/>
          <w:color w:val="000000"/>
          <w:sz w:val="20"/>
        </w:rPr>
        <w:t>Equity in Earnings of our Unconsolidated Joint Venture decreased by $6.9 million, or 40%, for the six months ended September 30, 2025. The decrease was due to lower Sales Volume and increased operating costs of $1.1 million and $9.0 million, respectively. This was partially offset by $3.2 million from increased gross sales prices. Increased operating costs were primarily related to higher energy, freight, raw materials, and fixed costs, which reduced operating earnings by $1.7 million, $1.4 million, $2.9 million, and $2.0 million, respectively.</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CORPORATE GENERAL AND ADMINISTRATIVE</w:t>
      </w:r>
    </w:p>
    <w:p>
      <w:pPr>
        <w:pStyle w:val="TextBody"/>
        <w:bidi w:val="0"/>
        <w:spacing w:before="120" w:after="283"/>
        <w:jc w:val="left"/>
        <w:rPr>
          <w:rFonts w:ascii="Times New Roman" w:hAnsi="Times New Roman"/>
          <w:sz w:val="20"/>
        </w:rPr>
      </w:pPr>
      <w:r>
        <w:rPr>
          <w:rFonts w:ascii="Arial" w:hAnsi="Arial"/>
          <w:color w:val="000000"/>
          <w:sz w:val="20"/>
        </w:rPr>
        <w:t>Corporate General and Administrative expenses increased by approximately $8.6 million, or 26%, for the six months ended September 30, 2025. The increase was due primarily to higher salary and incentive compensation, professional fees, and information technology costs of $3.9 million, $1.9 million, and $1.9 million, respectively.</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color w:val="000000"/>
          <w:sz w:val="20"/>
        </w:rPr>
        <w:t>OTHER NON-OPERATING INCOME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Other Non-Operating Income consists of a variety of items that are unrelated to segment operations and include non-inventoried Aggregates income, asset sales, and other miscellaneous income and cost items.</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INTEREST EXPENSE, NET</w:t>
      </w:r>
    </w:p>
    <w:p>
      <w:pPr>
        <w:pStyle w:val="TextBody"/>
        <w:bidi w:val="0"/>
        <w:spacing w:before="120" w:after="283"/>
        <w:jc w:val="left"/>
        <w:rPr>
          <w:rFonts w:ascii="Times New Roman" w:hAnsi="Times New Roman"/>
          <w:sz w:val="20"/>
        </w:rPr>
      </w:pPr>
      <w:r>
        <w:rPr>
          <w:rFonts w:ascii="Arial" w:hAnsi="Arial"/>
          <w:color w:val="000000"/>
          <w:sz w:val="20"/>
        </w:rPr>
        <w:t>Interest Expense, net decreased by approximately $0.3 million, or 1%, during the six months ended September 30, 2025. This decrease was mainly due to an increase of $2.4 million in capitalized interest during fiscal 2026 compared with fiscal 2025. The increase in capitalized interest is due primarily to capital spending for the expansion and modernization of our cement plant in Laramie, Wyoming and our gypsum wallboard plant in Oklahoma. This was partially offset by $1.8 million of increased interest expense from our Revolving Credit Facility and Term Loan due to higher outstanding borrowings.</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EARNINGS BEFORE INCOME TAXES</w:t>
      </w:r>
    </w:p>
    <w:p>
      <w:pPr>
        <w:pStyle w:val="TextBody"/>
        <w:bidi w:val="0"/>
        <w:spacing w:before="120" w:after="283"/>
        <w:jc w:val="left"/>
        <w:rPr>
          <w:rFonts w:ascii="Arial" w:hAnsi="Arial"/>
          <w:color w:val="000000"/>
          <w:sz w:val="20"/>
        </w:rPr>
      </w:pPr>
      <w:r>
        <w:rPr>
          <w:rFonts w:ascii="Arial" w:hAnsi="Arial"/>
          <w:color w:val="000000"/>
          <w:sz w:val="20"/>
        </w:rPr>
        <w:t>Earnings Before Income Taxes decreased to $334.3 million during the six months ended September 30, 2025, primarily as a result of lower Gross Profit and Equity in Earnings of Unconsolidated Joint Venture, and higher Corporate General and Administrative expense, partially offset by lower Interest Expense, net.</w:t>
      </w:r>
    </w:p>
    <w:p>
      <w:pPr>
        <w:pStyle w:val="TextBody"/>
        <w:bidi w:val="0"/>
        <w:spacing w:before="270" w:after="283"/>
        <w:jc w:val="left"/>
        <w:rPr>
          <w:rFonts w:ascii="Arial" w:hAnsi="Arial"/>
          <w:b/>
          <w:color w:val="000000"/>
          <w:sz w:val="20"/>
        </w:rPr>
      </w:pPr>
      <w:r>
        <w:rPr>
          <w:rFonts w:ascii="Arial" w:hAnsi="Arial"/>
          <w:b/>
          <w:color w:val="000000"/>
          <w:sz w:val="20"/>
        </w:rPr>
        <w:t>INCOME TAX EXPENSE</w:t>
      </w:r>
    </w:p>
    <w:p>
      <w:pPr>
        <w:pStyle w:val="TextBody"/>
        <w:bidi w:val="0"/>
        <w:spacing w:before="120" w:after="283"/>
        <w:jc w:val="left"/>
        <w:rPr>
          <w:rFonts w:ascii="Times New Roman" w:hAnsi="Times New Roman"/>
          <w:sz w:val="20"/>
        </w:rPr>
      </w:pPr>
      <w:r>
        <w:rPr>
          <w:rFonts w:ascii="Arial" w:hAnsi="Arial"/>
          <w:color w:val="000000"/>
          <w:sz w:val="20"/>
        </w:rPr>
        <w:t>Income Tax Expense was $73.6 million for the six months ended September 30, 2025, compared with $78.8 million for the six months ended September 30, 2024. The effective tax rate remained at 22%, consistent with the prior-year period.</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NET EARNINGS</w:t>
      </w:r>
    </w:p>
    <w:p>
      <w:pPr>
        <w:pStyle w:val="TextBody"/>
        <w:bidi w:val="0"/>
        <w:spacing w:before="120" w:after="283"/>
        <w:jc w:val="left"/>
        <w:rPr>
          <w:rFonts w:ascii="Arial" w:hAnsi="Arial"/>
          <w:color w:val="000000"/>
          <w:sz w:val="20"/>
        </w:rPr>
      </w:pPr>
      <w:r>
        <w:rPr>
          <w:rFonts w:ascii="Arial" w:hAnsi="Arial"/>
          <w:color w:val="000000"/>
          <w:sz w:val="20"/>
        </w:rPr>
        <w:t>Net Earnings decreased 6% to $260.7 million for the six months ended September 30, 2025.</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Arial" w:hAnsi="Arial"/>
          <w:b/>
          <w:caps/>
          <w:color w:val="000000"/>
          <w:sz w:val="20"/>
        </w:rPr>
      </w:pPr>
      <w:r>
        <w:rPr>
          <w:rFonts w:ascii="Arial" w:hAnsi="Arial"/>
          <w:b/>
          <w:caps/>
          <w:color w:val="000000"/>
          <w:sz w:val="20"/>
        </w:rPr>
        <w:t>Three and six MONTHS ENDED september 30, 2025, COMPARED WITH three and six MONTHS ENDED september 30, 2024, BY SEGMENT</w:t>
      </w:r>
    </w:p>
    <w:p>
      <w:pPr>
        <w:pStyle w:val="TextBody"/>
        <w:bidi w:val="0"/>
        <w:spacing w:before="120" w:after="283"/>
        <w:jc w:val="left"/>
        <w:rPr>
          <w:rFonts w:ascii="Arial" w:hAnsi="Arial"/>
          <w:color w:val="000000"/>
          <w:sz w:val="20"/>
        </w:rPr>
      </w:pPr>
      <w:r>
        <w:rPr>
          <w:rFonts w:ascii="Arial" w:hAnsi="Arial"/>
          <w:color w:val="000000"/>
          <w:sz w:val="20"/>
        </w:rPr>
        <w:t>The following presents results within our two business sectors for the three and six months ended September 30, 2025, and 2024. Revenue and operating results are organized by sector and discussed by individual business segments.</w:t>
      </w:r>
    </w:p>
    <w:p>
      <w:pPr>
        <w:pStyle w:val="TextBody"/>
        <w:bidi w:val="0"/>
        <w:jc w:val="left"/>
        <w:rPr/>
      </w:pPr>
      <w:r>
        <w:rPr/>
        <w:t> </w:t>
      </w:r>
    </w:p>
    <w:p>
      <w:pPr>
        <w:pStyle w:val="TextBody"/>
        <w:bidi w:val="0"/>
        <w:spacing w:before="70" w:after="283"/>
        <w:jc w:val="left"/>
        <w:rPr>
          <w:rFonts w:ascii="Arial" w:hAnsi="Arial"/>
          <w:b/>
          <w:color w:val="000000"/>
          <w:sz w:val="20"/>
          <w:u w:val="single"/>
        </w:rPr>
      </w:pPr>
      <w:r>
        <w:rPr>
          <w:rFonts w:ascii="Arial" w:hAnsi="Arial"/>
          <w:b/>
          <w:color w:val="000000"/>
          <w:sz w:val="20"/>
          <w:u w:val="single"/>
        </w:rPr>
        <w:t>Heavy Materials</w:t>
      </w:r>
    </w:p>
    <w:p>
      <w:pPr>
        <w:pStyle w:val="TextBody"/>
        <w:bidi w:val="0"/>
        <w:spacing w:before="120" w:after="283"/>
        <w:jc w:val="left"/>
        <w:rPr>
          <w:rFonts w:ascii="Times New Roman" w:hAnsi="Times New Roman"/>
          <w:sz w:val="20"/>
        </w:rPr>
      </w:pPr>
      <w:r>
        <w:rPr>
          <w:rFonts w:ascii="Arial" w:hAnsi="Arial"/>
          <w:b/>
          <w:color w:val="000000"/>
          <w:sz w:val="20"/>
        </w:rPr>
        <w:t xml:space="preserve">CEMENT </w:t>
      </w:r>
      <w:r>
        <w:rPr>
          <w:rFonts w:ascii="Arial" w:hAnsi="Arial"/>
          <w:b/>
          <w:color w:val="000000"/>
          <w:sz w:val="13"/>
        </w:rPr>
        <w:t>(1)</w:t>
      </w:r>
    </w:p>
    <w:tbl>
      <w:tblPr>
        <w:tblW w:w="10205" w:type="dxa"/>
        <w:jc w:val="left"/>
        <w:tblInd w:w="0" w:type="dxa"/>
        <w:tblLayout w:type="fixed"/>
        <w:tblCellMar>
          <w:top w:w="28" w:type="dxa"/>
          <w:left w:w="28" w:type="dxa"/>
          <w:bottom w:w="28" w:type="dxa"/>
          <w:right w:w="28" w:type="dxa"/>
        </w:tblCellMar>
      </w:tblPr>
      <w:tblGrid>
        <w:gridCol w:w="1702"/>
        <w:gridCol w:w="146"/>
        <w:gridCol w:w="219"/>
        <w:gridCol w:w="163"/>
        <w:gridCol w:w="775"/>
        <w:gridCol w:w="186"/>
        <w:gridCol w:w="163"/>
        <w:gridCol w:w="219"/>
        <w:gridCol w:w="163"/>
        <w:gridCol w:w="775"/>
        <w:gridCol w:w="166"/>
        <w:gridCol w:w="146"/>
        <w:gridCol w:w="294"/>
        <w:gridCol w:w="577"/>
        <w:gridCol w:w="264"/>
        <w:gridCol w:w="146"/>
        <w:gridCol w:w="214"/>
        <w:gridCol w:w="159"/>
        <w:gridCol w:w="756"/>
        <w:gridCol w:w="181"/>
        <w:gridCol w:w="159"/>
        <w:gridCol w:w="214"/>
        <w:gridCol w:w="159"/>
        <w:gridCol w:w="756"/>
        <w:gridCol w:w="166"/>
        <w:gridCol w:w="146"/>
        <w:gridCol w:w="258"/>
        <w:gridCol w:w="613"/>
        <w:gridCol w:w="320"/>
      </w:tblGrid>
      <w:tr>
        <w:trPr/>
        <w:tc>
          <w:tcPr>
            <w:tcW w:w="1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Three Months Ended 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Six Months Ended 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Percentage</w:t>
              <w:br/>
              <w:t>Change</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Percentage</w:t>
              <w:br/>
              <w:t>Change</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(in thousands, except per ton information)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(in thousands, except per ton information)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0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277EBF"/>
                <w:sz w:val="20"/>
              </w:rPr>
            </w:pPr>
            <w:r>
              <w:rPr>
                <w:rFonts w:ascii="Arial Narrow;sans-serif" w:hAnsi="Arial Narrow;sans-serif"/>
                <w:b/>
                <w:color w:val="277EBF"/>
                <w:sz w:val="20"/>
              </w:rPr>
              <w:t>Revenue, including</w:t>
              <w:br/>
              <w:t>   Intersegment and</w:t>
              <w:br/>
              <w:t>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384,869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352,780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732,491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691,942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70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277EBF"/>
                <w:sz w:val="20"/>
              </w:rPr>
            </w:pPr>
            <w:r>
              <w:rPr>
                <w:rFonts w:ascii="Arial Narrow;sans-serif" w:hAnsi="Arial Narrow;sans-serif"/>
                <w:b/>
                <w:color w:val="277EBF"/>
                <w:sz w:val="20"/>
              </w:rPr>
              <w:t>Less 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(9,904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(19,917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70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277EBF"/>
                <w:sz w:val="20"/>
              </w:rPr>
            </w:pPr>
            <w:r>
              <w:rPr>
                <w:rFonts w:ascii="Arial Narrow;sans-serif" w:hAnsi="Arial Narrow;sans-serif"/>
                <w:b/>
                <w:color w:val="277EBF"/>
                <w:sz w:val="20"/>
              </w:rPr>
              <w:t>Less Joint Venture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(30,312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(28,825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(57,595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(58,135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70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277EBF"/>
                <w:sz w:val="20"/>
              </w:rPr>
            </w:pPr>
            <w:r>
              <w:rPr>
                <w:rFonts w:ascii="Arial Narrow;sans-serif" w:hAnsi="Arial Narrow;sans-serif"/>
                <w:b/>
                <w:color w:val="277EBF"/>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344,653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313,571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654,979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613,143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70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277EBF"/>
                <w:sz w:val="20"/>
              </w:rPr>
            </w:pPr>
            <w:r>
              <w:rPr>
                <w:rFonts w:ascii="Arial Narrow;sans-serif" w:hAnsi="Arial Narrow;sans-serif"/>
                <w:b/>
                <w:color w:val="277EBF"/>
                <w:sz w:val="20"/>
              </w:rPr>
              <w:t>Sales Volume (M Tons)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2,196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4,189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70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b/>
                <w:color w:val="277EBF"/>
                <w:sz w:val="20"/>
              </w:rPr>
              <w:t>Freight and Delivery Costs</w:t>
              <w:br/>
              <w:t xml:space="preserve">   billed to Customers </w:t>
            </w:r>
            <w:r>
              <w:rPr>
                <w:rFonts w:ascii="Arial Narrow;sans-serif" w:hAnsi="Arial Narrow;sans-serif"/>
                <w:b/>
                <w:color w:val="277EBF"/>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(22,825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(42,956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(40,989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70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b/>
                <w:color w:val="277EBF"/>
                <w:sz w:val="20"/>
              </w:rPr>
              <w:t>Average Net Sales Price,</w:t>
              <w:br/>
              <w:t>   per ton</w:t>
            </w:r>
            <w:r>
              <w:rPr>
                <w:rFonts w:ascii="Times New Roman" w:hAnsi="Times New Roman"/>
                <w:color w:val="277EBF"/>
                <w:sz w:val="20"/>
              </w:rPr>
              <w:t> </w:t>
            </w:r>
            <w:r>
              <w:rPr>
                <w:rFonts w:ascii="Arial Narrow;sans-serif" w:hAnsi="Arial Narrow;sans-serif"/>
                <w:b/>
                <w:color w:val="277EBF"/>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155.10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155.87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277EBF"/>
                <w:sz w:val="20"/>
              </w:rPr>
            </w:pPr>
            <w:r>
              <w:rPr>
                <w:rFonts w:ascii="Arial Narrow;sans-serif" w:hAnsi="Arial Narrow;sans-serif"/>
                <w:b/>
                <w:color w:val="277EBF"/>
                <w:sz w:val="20"/>
              </w:rPr>
              <w:t>Operating Margin, per 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54.54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47.95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70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277EBF"/>
                <w:sz w:val="20"/>
              </w:rPr>
            </w:pPr>
            <w:r>
              <w:rPr>
                <w:rFonts w:ascii="Arial Narrow;sans-serif" w:hAnsi="Arial Narrow;sans-serif"/>
                <w:b/>
                <w:color w:val="277EBF"/>
                <w:sz w:val="20"/>
              </w:rPr>
              <w:t>Operating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119,774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115,933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200,858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205,058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70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color w:val="000000"/>
          <w:sz w:val="13"/>
        </w:rPr>
      </w:pPr>
      <w:r>
        <w:rPr>
          <w:rFonts w:ascii="Arial" w:hAnsi="Arial"/>
          <w:color w:val="000000"/>
          <w:sz w:val="13"/>
        </w:rPr>
        <w:t>(1) Total of wholly owned subsidiaries and proportionately consolidated 50% interest of the Joint Venture’s results.</w:t>
      </w:r>
    </w:p>
    <w:p>
      <w:pPr>
        <w:pStyle w:val="TextBody"/>
        <w:bidi w:val="0"/>
        <w:jc w:val="left"/>
        <w:rPr>
          <w:rFonts w:ascii="Arial" w:hAnsi="Arial"/>
          <w:color w:val="000000"/>
          <w:sz w:val="13"/>
        </w:rPr>
      </w:pPr>
      <w:r>
        <w:rPr>
          <w:rFonts w:ascii="Arial" w:hAnsi="Arial"/>
          <w:color w:val="000000"/>
          <w:sz w:val="13"/>
        </w:rPr>
        <w:t>(2) This amount does not include the cost of freight from our plants to our distribution terminals.</w:t>
      </w:r>
    </w:p>
    <w:p>
      <w:pPr>
        <w:pStyle w:val="TextBody"/>
        <w:bidi w:val="0"/>
        <w:jc w:val="left"/>
        <w:rPr>
          <w:rFonts w:ascii="Arial" w:hAnsi="Arial"/>
          <w:color w:val="000000"/>
          <w:sz w:val="13"/>
        </w:rPr>
      </w:pPr>
      <w:r>
        <w:rPr>
          <w:rFonts w:ascii="Arial" w:hAnsi="Arial"/>
          <w:color w:val="000000"/>
          <w:sz w:val="13"/>
        </w:rPr>
        <w:t>(3) Net of freight per ton, including Joint Venture.</w:t>
      </w:r>
    </w:p>
    <w:p>
      <w:pPr>
        <w:pStyle w:val="TextBody"/>
        <w:bidi w:val="0"/>
        <w:spacing w:before="120" w:after="283"/>
        <w:jc w:val="left"/>
        <w:rPr>
          <w:rFonts w:ascii="Arial" w:hAnsi="Arial"/>
          <w:b/>
          <w:i/>
          <w:color w:val="000000"/>
          <w:sz w:val="20"/>
        </w:rPr>
      </w:pPr>
      <w:r>
        <w:rPr>
          <w:rFonts w:ascii="Arial" w:hAnsi="Arial"/>
          <w:b/>
          <w:i/>
          <w:color w:val="000000"/>
          <w:sz w:val="20"/>
        </w:rPr>
        <w:t>Three months ended September 30, 2025</w:t>
      </w:r>
    </w:p>
    <w:p>
      <w:pPr>
        <w:pStyle w:val="TextBody"/>
        <w:bidi w:val="0"/>
        <w:spacing w:before="120" w:after="283"/>
        <w:jc w:val="left"/>
        <w:rPr>
          <w:rFonts w:ascii="Times New Roman" w:hAnsi="Times New Roman"/>
          <w:sz w:val="20"/>
        </w:rPr>
      </w:pPr>
      <w:r>
        <w:rPr>
          <w:rFonts w:ascii="Arial" w:hAnsi="Arial"/>
          <w:color w:val="000000"/>
          <w:sz w:val="20"/>
        </w:rPr>
        <w:t>Cement Revenue was $384.9 million, a 9% increase, for the three months ended September 30, 2025. This increase was due to higher gross sales prices and Sales Volume, which increased Cement Revenue by $3.4 million and $28.7 million, respectively.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Cement Operating Earnings increased by $3.9 million to $119.8 million for the three months ended September 30, 2025.</w:t>
      </w:r>
      <w:r>
        <w:rPr>
          <w:rFonts w:ascii="Times New Roman" w:hAnsi="Times New Roman"/>
          <w:color w:val="FF0000"/>
          <w:sz w:val="20"/>
        </w:rPr>
        <w:t xml:space="preserve"> </w:t>
      </w:r>
      <w:r>
        <w:rPr>
          <w:rFonts w:ascii="Arial" w:hAnsi="Arial"/>
          <w:color w:val="000000"/>
          <w:sz w:val="20"/>
        </w:rPr>
        <w:t>The increase was due to higher gross sales prices and Sales Volume of $3.4 million and $9.9 million, respectively, which were partially offset by higher operating costs of $9.4 million. The increase in operating costs was mainly due to higher freight, purchased raw materials, and labor and other fixed costs of approximately $1.9 million, $7.2 million, and $4.3 million, respectively. This was partially offset by lower maintenance costs of approximately $5.3 million. The Operating Margin decreased to 31% from 33% because of higher operating costs, partially offset by the increase in gross sales prices.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b/>
          <w:i/>
          <w:color w:val="000000"/>
          <w:sz w:val="20"/>
        </w:rPr>
      </w:pPr>
      <w:r>
        <w:rPr>
          <w:rFonts w:ascii="Arial" w:hAnsi="Arial"/>
          <w:b/>
          <w:i/>
          <w:color w:val="000000"/>
          <w:sz w:val="20"/>
        </w:rPr>
        <w:t>Six months ended September 30, 2025</w:t>
      </w:r>
    </w:p>
    <w:p>
      <w:pPr>
        <w:pStyle w:val="TextBody"/>
        <w:bidi w:val="0"/>
        <w:spacing w:before="120" w:after="283"/>
        <w:jc w:val="left"/>
        <w:rPr>
          <w:rFonts w:ascii="Times New Roman" w:hAnsi="Times New Roman"/>
          <w:sz w:val="20"/>
        </w:rPr>
      </w:pPr>
      <w:r>
        <w:rPr>
          <w:rFonts w:ascii="Arial" w:hAnsi="Arial"/>
          <w:color w:val="000000"/>
          <w:sz w:val="20"/>
        </w:rPr>
        <w:t>Cement Revenue was $732.5 million, a 6% increase, for the six months ended September 30, 2025. This increase was due to higher gross sales prices and Sales Volume, which increased Cement Revenue by $4.2 million and $36.4 million, respectively.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Cement Operating Earnings decreased by $4.2 million to $200.9 million for the six months ended September 30, 2025.</w:t>
      </w:r>
      <w:r>
        <w:rPr>
          <w:rFonts w:ascii="Times New Roman" w:hAnsi="Times New Roman"/>
          <w:color w:val="FF0000"/>
          <w:sz w:val="20"/>
        </w:rPr>
        <w:t xml:space="preserve"> </w:t>
      </w:r>
      <w:r>
        <w:rPr>
          <w:rFonts w:ascii="Arial" w:hAnsi="Arial"/>
          <w:color w:val="000000"/>
          <w:sz w:val="20"/>
        </w:rPr>
        <w:t>The decrease was due to higher operating costs of $19.8 million, which were partially offset by higher Sales Volume and higher gross sales prices of $11.4 million and $4.2 million, respectively. The increase in operating costs was mainly due to higher freight, purchased raw materials, and labor and other fixed costs of approximately $2.4 million, $10.0 million, and $12.8 million, respectively. This was partially offset by lower maintenance costs of approximately $5.6 million. The Operating Margin decreased to 27% from 30% because of higher operating costs, partially offset by the increase in gross sales prices.</w:t>
      </w:r>
    </w:p>
    <w:p>
      <w:pPr>
        <w:pStyle w:val="TextBody"/>
        <w:bidi w:val="0"/>
        <w:spacing w:before="270" w:after="283"/>
        <w:jc w:val="left"/>
        <w:rPr>
          <w:rFonts w:ascii="Arial" w:hAnsi="Arial"/>
          <w:b/>
          <w:color w:val="000000"/>
          <w:sz w:val="20"/>
        </w:rPr>
      </w:pPr>
      <w:r>
        <w:rPr>
          <w:rFonts w:ascii="Arial" w:hAnsi="Arial"/>
          <w:b/>
          <w:color w:val="000000"/>
          <w:sz w:val="20"/>
        </w:rPr>
        <w:t>CONCRETE AND AGGREGATES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39"/>
        <w:gridCol w:w="146"/>
        <w:gridCol w:w="228"/>
        <w:gridCol w:w="169"/>
        <w:gridCol w:w="699"/>
        <w:gridCol w:w="193"/>
        <w:gridCol w:w="169"/>
        <w:gridCol w:w="228"/>
        <w:gridCol w:w="169"/>
        <w:gridCol w:w="699"/>
        <w:gridCol w:w="166"/>
        <w:gridCol w:w="146"/>
        <w:gridCol w:w="243"/>
        <w:gridCol w:w="628"/>
        <w:gridCol w:w="241"/>
        <w:gridCol w:w="146"/>
        <w:gridCol w:w="214"/>
        <w:gridCol w:w="159"/>
        <w:gridCol w:w="756"/>
        <w:gridCol w:w="181"/>
        <w:gridCol w:w="159"/>
        <w:gridCol w:w="214"/>
        <w:gridCol w:w="159"/>
        <w:gridCol w:w="756"/>
        <w:gridCol w:w="166"/>
        <w:gridCol w:w="146"/>
        <w:gridCol w:w="243"/>
        <w:gridCol w:w="628"/>
        <w:gridCol w:w="415"/>
      </w:tblGrid>
      <w:tr>
        <w:trPr/>
        <w:tc>
          <w:tcPr>
            <w:tcW w:w="1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1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Three Months Ended 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Six Months Ended 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Percentage</w:t>
              <w:br/>
              <w:t>Change</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Percentage</w:t>
              <w:br/>
              <w:t>Change</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(in thousands, except per ton information)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(in thousands, except per ton information)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3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3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AAC6"/>
                <w:sz w:val="20"/>
              </w:rPr>
            </w:pPr>
            <w:r>
              <w:rPr>
                <w:rFonts w:ascii="Arial Narrow;sans-serif" w:hAnsi="Arial Narrow;sans-serif"/>
                <w:b/>
                <w:color w:val="00AAC6"/>
                <w:sz w:val="20"/>
              </w:rPr>
              <w:t>Revenue, including</w:t>
              <w:br/>
              <w:t>   Intersegment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85,824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69,980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163,392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134,795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73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AAC6"/>
                <w:sz w:val="20"/>
              </w:rPr>
            </w:pPr>
            <w:r>
              <w:rPr>
                <w:rFonts w:ascii="Arial Narrow;sans-serif" w:hAnsi="Arial Narrow;sans-serif"/>
                <w:b/>
                <w:color w:val="00AAC6"/>
                <w:sz w:val="20"/>
              </w:rPr>
              <w:t>Less 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(4,178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(8,030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73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AAC6"/>
                <w:sz w:val="20"/>
              </w:rPr>
            </w:pPr>
            <w:r>
              <w:rPr>
                <w:rFonts w:ascii="Arial Narrow;sans-serif" w:hAnsi="Arial Narrow;sans-serif"/>
                <w:b/>
                <w:color w:val="00AAC6"/>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81,646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65,930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155,362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126,968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73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AAC6"/>
                <w:sz w:val="20"/>
              </w:rPr>
            </w:pPr>
            <w:r>
              <w:rPr>
                <w:rFonts w:ascii="Arial Narrow;sans-serif" w:hAnsi="Arial Narrow;sans-serif"/>
                <w:b/>
                <w:color w:val="00AAC6"/>
                <w:sz w:val="20"/>
              </w:rPr>
              <w:t>Sales Volume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AAC6"/>
                <w:sz w:val="20"/>
              </w:rPr>
            </w:pPr>
            <w:r>
              <w:rPr>
                <w:rFonts w:ascii="Arial Narrow;sans-serif" w:hAnsi="Arial Narrow;sans-serif"/>
                <w:b/>
                <w:color w:val="00AAC6"/>
                <w:sz w:val="20"/>
              </w:rPr>
              <w:t>M Cubic Yards of Concrete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347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669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Arial Narrow;sans-serif" w:hAnsi="Arial Narrow;sans-serif"/>
                <w:color w:val="000000"/>
                <w:sz w:val="20"/>
              </w:rPr>
            </w:pPr>
            <w:r>
              <w:rPr>
                <w:rFonts w:ascii="Arial Narrow;sans-serif" w:hAnsi="Arial Narrow;sans-serif"/>
                <w:color w:val="000000"/>
                <w:sz w:val="20"/>
              </w:rPr>
              <w:t>)%</w:t>
            </w:r>
          </w:p>
        </w:tc>
      </w:tr>
      <w:tr>
        <w:trPr/>
        <w:tc>
          <w:tcPr>
            <w:tcW w:w="1739"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73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AAC6"/>
                <w:sz w:val="20"/>
              </w:rPr>
            </w:pPr>
            <w:r>
              <w:rPr>
                <w:rFonts w:ascii="Arial Narrow;sans-serif" w:hAnsi="Arial Narrow;sans-serif"/>
                <w:b/>
                <w:color w:val="00AAC6"/>
                <w:sz w:val="20"/>
              </w:rPr>
              <w:t>M Tons of Aggregate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1,985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3,716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109</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Arial Narrow;sans-serif" w:hAnsi="Arial Narrow;sans-serif"/>
                <w:color w:val="000000"/>
                <w:sz w:val="20"/>
              </w:rPr>
            </w:pPr>
            <w:r>
              <w:rPr>
                <w:rFonts w:ascii="Arial Narrow;sans-serif" w:hAnsi="Arial Narrow;sans-serif"/>
                <w:color w:val="000000"/>
                <w:sz w:val="20"/>
              </w:rPr>
              <w:t>%</w:t>
            </w:r>
          </w:p>
        </w:tc>
      </w:tr>
      <w:tr>
        <w:trPr/>
        <w:tc>
          <w:tcPr>
            <w:tcW w:w="1739"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73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AAC6"/>
                <w:sz w:val="20"/>
              </w:rPr>
            </w:pPr>
            <w:r>
              <w:rPr>
                <w:rFonts w:ascii="Arial Narrow;sans-serif" w:hAnsi="Arial Narrow;sans-serif"/>
                <w:b/>
                <w:color w:val="00AAC6"/>
                <w:sz w:val="20"/>
              </w:rPr>
              <w:t>Average Net Sales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AAC6"/>
                <w:sz w:val="20"/>
              </w:rPr>
            </w:pPr>
            <w:r>
              <w:rPr>
                <w:rFonts w:ascii="Arial Narrow;sans-serif" w:hAnsi="Arial Narrow;sans-serif"/>
                <w:b/>
                <w:color w:val="00AAC6"/>
                <w:sz w:val="20"/>
              </w:rPr>
              <w:t>Concrete, Per Cubic Yard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153.68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152.11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Arial Narrow;sans-serif" w:hAnsi="Arial Narrow;sans-serif"/>
                <w:color w:val="000000"/>
                <w:sz w:val="20"/>
              </w:rPr>
            </w:pPr>
            <w:r>
              <w:rPr>
                <w:rFonts w:ascii="Arial Narrow;sans-serif" w:hAnsi="Arial Narrow;sans-serif"/>
                <w:color w:val="000000"/>
                <w:sz w:val="20"/>
              </w:rPr>
              <w:t>%</w:t>
            </w:r>
          </w:p>
        </w:tc>
      </w:tr>
      <w:tr>
        <w:trPr/>
        <w:tc>
          <w:tcPr>
            <w:tcW w:w="1739"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73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AAC6"/>
                <w:sz w:val="20"/>
              </w:rPr>
            </w:pPr>
            <w:r>
              <w:rPr>
                <w:rFonts w:ascii="Arial Narrow;sans-serif" w:hAnsi="Arial Narrow;sans-serif"/>
                <w:b/>
                <w:color w:val="00AAC6"/>
                <w:sz w:val="20"/>
              </w:rPr>
              <w:t>Aggregates, Per 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14.31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Arial Narrow;sans-serif" w:hAnsi="Arial Narrow;sans-serif"/>
                <w:color w:val="000000"/>
                <w:sz w:val="20"/>
              </w:rPr>
            </w:pPr>
            <w:r>
              <w:rPr>
                <w:rFonts w:ascii="Arial Narrow;sans-serif" w:hAnsi="Arial Narrow;sans-serif"/>
                <w:color w:val="000000"/>
                <w:sz w:val="20"/>
              </w:rPr>
              <w:t>%</w:t>
            </w:r>
          </w:p>
        </w:tc>
      </w:tr>
      <w:tr>
        <w:trPr/>
        <w:tc>
          <w:tcPr>
            <w:tcW w:w="1739"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AAC6"/>
                <w:sz w:val="20"/>
              </w:rPr>
            </w:pPr>
            <w:r>
              <w:rPr>
                <w:rFonts w:ascii="Arial Narrow;sans-serif" w:hAnsi="Arial Narrow;sans-serif"/>
                <w:b/>
                <w:color w:val="00AAC6"/>
                <w:sz w:val="20"/>
              </w:rPr>
              <w:t>Operating Earnings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7,924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896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14,099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610</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73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Arial" w:hAnsi="Arial"/>
          <w:b/>
          <w:i/>
          <w:color w:val="000000"/>
          <w:sz w:val="20"/>
        </w:rPr>
      </w:pPr>
      <w:r>
        <w:rPr>
          <w:rFonts w:ascii="Arial" w:hAnsi="Arial"/>
          <w:b/>
          <w:i/>
          <w:color w:val="000000"/>
          <w:sz w:val="20"/>
        </w:rPr>
        <w:t>Three months ended September 30, 2025</w:t>
      </w:r>
    </w:p>
    <w:p>
      <w:pPr>
        <w:pStyle w:val="TextBody"/>
        <w:bidi w:val="0"/>
        <w:spacing w:before="240" w:after="283"/>
        <w:jc w:val="left"/>
        <w:rPr>
          <w:rFonts w:ascii="Arial" w:hAnsi="Arial"/>
          <w:color w:val="000000"/>
          <w:sz w:val="20"/>
        </w:rPr>
      </w:pPr>
      <w:r>
        <w:rPr>
          <w:rFonts w:ascii="Arial" w:hAnsi="Arial"/>
          <w:color w:val="000000"/>
          <w:sz w:val="20"/>
        </w:rPr>
        <w:t>Concrete and Aggregates Revenue increased 23% to $85.8 million for the three months ended September 30, 2025. Excluding the Aggregates Acquisitions, Revenue increased $4.2 million, or 6%. The increase was due to higher Concrete gross sales prices of $1.4 million and higher Aggregates Sales Volume of $4.9 million, which was partially offset by lower Aggregates gross prices, which reduced Revenue by $2.1 million.</w:t>
      </w:r>
    </w:p>
    <w:p>
      <w:pPr>
        <w:pStyle w:val="TextBody"/>
        <w:bidi w:val="0"/>
        <w:spacing w:before="120" w:after="283"/>
        <w:jc w:val="left"/>
        <w:rPr>
          <w:rFonts w:ascii="Times New Roman" w:hAnsi="Times New Roman"/>
          <w:sz w:val="20"/>
        </w:rPr>
      </w:pPr>
      <w:r>
        <w:rPr>
          <w:rFonts w:ascii="Arial" w:hAnsi="Arial"/>
          <w:color w:val="000000"/>
          <w:sz w:val="20"/>
        </w:rPr>
        <w:t>Operating Earnings were approximately $7.9 million, an 896% increase. Excluding the Aggregates Acquisitions, Operating Earnings increased $5.6 million, or 660%. The increase was due to higher Sales Volume and lower operating costs, which positively affected Operating Earnings by $1.1 million and $5.1 million, respectively, partially offset by lower gross sales prices of $0.6 million. Excluding the Aggregates Acquisitions, Sales Volume</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increased 35%, with most of the increase in our Northern Colorado and Northern Kentucky markets. The decrease in operating costs was primarily due to lower materials, delivery, and maintenance expenses of approximately $2.3 million, $2.2 million, and $0.3 million, respectively.</w:t>
      </w:r>
      <w:r>
        <w:rPr>
          <w:rFonts w:ascii="Times New Roman" w:hAnsi="Times New Roman"/>
          <w:color w:val="000000"/>
          <w:sz w:val="20"/>
        </w:rPr>
        <w:t xml:space="preserve"> </w:t>
      </w:r>
    </w:p>
    <w:p>
      <w:pPr>
        <w:pStyle w:val="TextBody"/>
        <w:bidi w:val="0"/>
        <w:spacing w:before="120" w:after="283"/>
        <w:jc w:val="left"/>
        <w:rPr>
          <w:rFonts w:ascii="Arial" w:hAnsi="Arial"/>
          <w:b/>
          <w:i/>
          <w:color w:val="000000"/>
          <w:sz w:val="20"/>
        </w:rPr>
      </w:pPr>
      <w:r>
        <w:rPr>
          <w:rFonts w:ascii="Arial" w:hAnsi="Arial"/>
          <w:b/>
          <w:i/>
          <w:color w:val="000000"/>
          <w:sz w:val="20"/>
        </w:rPr>
        <w:t>Six months ended September 30, 2025</w:t>
      </w:r>
    </w:p>
    <w:p>
      <w:pPr>
        <w:pStyle w:val="TextBody"/>
        <w:bidi w:val="0"/>
        <w:spacing w:before="240" w:after="283"/>
        <w:jc w:val="left"/>
        <w:rPr>
          <w:rFonts w:ascii="Arial" w:hAnsi="Arial"/>
          <w:color w:val="000000"/>
          <w:sz w:val="20"/>
        </w:rPr>
      </w:pPr>
      <w:r>
        <w:rPr>
          <w:rFonts w:ascii="Arial" w:hAnsi="Arial"/>
          <w:color w:val="000000"/>
          <w:sz w:val="20"/>
        </w:rPr>
        <w:t>Concrete and Aggregates Revenue increased 21% to $163.4 million for the six months ended September 30, 2025. Excluding the Aggregates Acquisitions, Revenue increased $5.6 million, or 4%. The increase was due to higher Concrete gross sales prices of $2.1 million and higher Aggregates Sales Volume of $7.9 million, which was partially offset by lower Concrete Sales Volume and Aggregates gross sales prices, which reduced Revenue by $3.1 million and $1.3 million.</w:t>
      </w:r>
    </w:p>
    <w:p>
      <w:pPr>
        <w:pStyle w:val="TextBody"/>
        <w:bidi w:val="0"/>
        <w:spacing w:before="120" w:after="283"/>
        <w:jc w:val="left"/>
        <w:rPr>
          <w:rFonts w:ascii="Times New Roman" w:hAnsi="Times New Roman"/>
          <w:sz w:val="20"/>
        </w:rPr>
      </w:pPr>
      <w:r>
        <w:rPr>
          <w:rFonts w:ascii="Arial" w:hAnsi="Arial"/>
          <w:color w:val="000000"/>
          <w:sz w:val="20"/>
        </w:rPr>
        <w:t>Operating Earnings were approximately $14.1 million, a 610% increase. Excluding the Aggregates Acquisitions, Operating Earnings increased $6.9 million, or 345%. The increase was due to higher gross sales prices and higher Aggregates Sales Volume, which positively affected Operating Earnings by $0.8 million and $2.9 million, respectively, as well as lower operating costs of $3.2 million. Excluding the Aggregates Acquisitions, Sales Volume increased 33%, with most of the increase in our Northern Colorado and Northern Kentucky markets. The decrease in operating costs was primarily due to lower materials and maintenance expenses of approximately $1.1 million and $1.2 million, respectively.</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2"/>
          <w:u w:val="single"/>
        </w:rPr>
      </w:pPr>
      <w:r>
        <w:rPr>
          <w:rFonts w:ascii="Arial" w:hAnsi="Arial"/>
          <w:b/>
          <w:color w:val="000000"/>
          <w:sz w:val="22"/>
          <w:u w:val="single"/>
        </w:rPr>
        <w:t>Light Materials</w:t>
      </w:r>
    </w:p>
    <w:p>
      <w:pPr>
        <w:pStyle w:val="TextBody"/>
        <w:bidi w:val="0"/>
        <w:spacing w:before="120" w:after="283"/>
        <w:jc w:val="left"/>
        <w:rPr>
          <w:rFonts w:ascii="Times New Roman" w:hAnsi="Times New Roman"/>
          <w:sz w:val="20"/>
        </w:rPr>
      </w:pPr>
      <w:r>
        <w:rPr>
          <w:rFonts w:ascii="Arial" w:hAnsi="Arial"/>
          <w:b/>
          <w:color w:val="000000"/>
          <w:sz w:val="20"/>
        </w:rPr>
        <w:t>GYPSUM WALLBOARD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601"/>
        <w:gridCol w:w="146"/>
        <w:gridCol w:w="224"/>
        <w:gridCol w:w="166"/>
        <w:gridCol w:w="790"/>
        <w:gridCol w:w="189"/>
        <w:gridCol w:w="166"/>
        <w:gridCol w:w="224"/>
        <w:gridCol w:w="166"/>
        <w:gridCol w:w="790"/>
        <w:gridCol w:w="166"/>
        <w:gridCol w:w="146"/>
        <w:gridCol w:w="258"/>
        <w:gridCol w:w="613"/>
        <w:gridCol w:w="268"/>
        <w:gridCol w:w="146"/>
        <w:gridCol w:w="217"/>
        <w:gridCol w:w="162"/>
        <w:gridCol w:w="768"/>
        <w:gridCol w:w="184"/>
        <w:gridCol w:w="162"/>
        <w:gridCol w:w="217"/>
        <w:gridCol w:w="162"/>
        <w:gridCol w:w="768"/>
        <w:gridCol w:w="166"/>
        <w:gridCol w:w="146"/>
        <w:gridCol w:w="258"/>
        <w:gridCol w:w="613"/>
        <w:gridCol w:w="323"/>
      </w:tblGrid>
      <w:tr>
        <w:trPr/>
        <w:tc>
          <w:tcPr>
            <w:tcW w:w="1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5"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Three Months Ended 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Six Months Ended 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Percentage</w:t>
              <w:br/>
              <w:t>Change</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Percentage</w:t>
              <w:br/>
              <w:t>Change</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5"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(in thousands, except per ton information)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(in thousands, except per ton information)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77943C"/>
                <w:sz w:val="20"/>
              </w:rPr>
            </w:pPr>
            <w:r>
              <w:rPr>
                <w:rFonts w:ascii="Arial Narrow;sans-serif" w:hAnsi="Arial Narrow;sans-serif"/>
                <w:b/>
                <w:color w:val="77943C"/>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183,482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214,975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404,998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432,801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6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77943C"/>
                <w:sz w:val="20"/>
              </w:rPr>
            </w:pPr>
            <w:r>
              <w:rPr>
                <w:rFonts w:ascii="Arial Narrow;sans-serif" w:hAnsi="Arial Narrow;sans-serif"/>
                <w:b/>
                <w:color w:val="77943C"/>
                <w:sz w:val="20"/>
              </w:rPr>
              <w:t>Sales Volume (MMSF)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648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1,432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6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77943C"/>
                <w:sz w:val="20"/>
              </w:rPr>
            </w:pPr>
            <w:r>
              <w:rPr>
                <w:rFonts w:ascii="Arial Narrow;sans-serif" w:hAnsi="Arial Narrow;sans-serif"/>
                <w:b/>
                <w:color w:val="77943C"/>
                <w:sz w:val="20"/>
              </w:rPr>
              <w:t>Freight and Delivery Costs</w:t>
              <w:br/>
              <w:t>   Billed to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(32,567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(36,862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(71,939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(73,347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6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b/>
                <w:color w:val="77943C"/>
                <w:sz w:val="20"/>
              </w:rPr>
              <w:t>Average Net Sales Price, per</w:t>
              <w:br/>
              <w:t xml:space="preserve">   MSF </w:t>
            </w:r>
            <w:r>
              <w:rPr>
                <w:rFonts w:ascii="Arial Narrow;sans-serif" w:hAnsi="Arial Narrow;sans-serif"/>
                <w:b/>
                <w:color w:val="77943C"/>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232.94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236.88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232.65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238.16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6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77943C"/>
                <w:sz w:val="20"/>
              </w:rPr>
            </w:pPr>
            <w:r>
              <w:rPr>
                <w:rFonts w:ascii="Arial Narrow;sans-serif" w:hAnsi="Arial Narrow;sans-serif"/>
                <w:b/>
                <w:color w:val="77943C"/>
                <w:sz w:val="20"/>
              </w:rPr>
              <w:t>Freight, per MSF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50.26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49.02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50.24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6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77943C"/>
                <w:sz w:val="20"/>
              </w:rPr>
            </w:pPr>
            <w:r>
              <w:rPr>
                <w:rFonts w:ascii="Arial Narrow;sans-serif" w:hAnsi="Arial Narrow;sans-serif"/>
                <w:b/>
                <w:color w:val="77943C"/>
                <w:sz w:val="20"/>
              </w:rPr>
              <w:t>Operating Margin, per MSF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103.87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111.70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6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77943C"/>
                <w:sz w:val="20"/>
              </w:rPr>
            </w:pPr>
            <w:r>
              <w:rPr>
                <w:rFonts w:ascii="Arial Narrow;sans-serif" w:hAnsi="Arial Narrow;sans-serif"/>
                <w:b/>
                <w:color w:val="77943C"/>
                <w:sz w:val="20"/>
              </w:rPr>
              <w:t>Operating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67,307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90,141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159,948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184,117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60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5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Arial" w:hAnsi="Arial"/>
          <w:color w:val="000000"/>
          <w:sz w:val="13"/>
        </w:rPr>
      </w:pPr>
      <w:r>
        <w:rPr>
          <w:rFonts w:ascii="Arial" w:hAnsi="Arial"/>
          <w:color w:val="000000"/>
          <w:sz w:val="13"/>
        </w:rPr>
        <w:t>(1) Net of freight per MSF.</w:t>
      </w:r>
    </w:p>
    <w:p>
      <w:pPr>
        <w:pStyle w:val="TextBody"/>
        <w:bidi w:val="0"/>
        <w:spacing w:before="120" w:after="283"/>
        <w:jc w:val="left"/>
        <w:rPr>
          <w:rFonts w:ascii="Arial" w:hAnsi="Arial"/>
          <w:b/>
          <w:i/>
          <w:color w:val="000000"/>
          <w:sz w:val="20"/>
        </w:rPr>
      </w:pPr>
      <w:r>
        <w:rPr>
          <w:rFonts w:ascii="Arial" w:hAnsi="Arial"/>
          <w:b/>
          <w:i/>
          <w:color w:val="000000"/>
          <w:sz w:val="20"/>
        </w:rPr>
        <w:t>Three months ended September 30, 2025</w:t>
      </w:r>
    </w:p>
    <w:p>
      <w:pPr>
        <w:pStyle w:val="TextBody"/>
        <w:bidi w:val="0"/>
        <w:spacing w:before="120" w:after="283"/>
        <w:jc w:val="left"/>
        <w:rPr>
          <w:rFonts w:ascii="Arial" w:hAnsi="Arial"/>
          <w:color w:val="000000"/>
          <w:sz w:val="20"/>
        </w:rPr>
      </w:pPr>
      <w:r>
        <w:rPr>
          <w:rFonts w:ascii="Arial" w:hAnsi="Arial"/>
          <w:color w:val="000000"/>
          <w:sz w:val="20"/>
        </w:rPr>
        <w:t>Gypsum Wallboard Revenue was $183.5 million, a 15% decrease for the three months ended September 30, 2025. Lower gross sales prices and Sales Volume reduced Revenue by approximately $1.8 million and $29.7, respectively. Our market share remained relatively consistent during the three months ended September 30, 2025.</w:t>
      </w:r>
    </w:p>
    <w:p>
      <w:pPr>
        <w:pStyle w:val="TextBody"/>
        <w:bidi w:val="0"/>
        <w:spacing w:before="120" w:after="283"/>
        <w:jc w:val="left"/>
        <w:rPr>
          <w:rFonts w:ascii="Times New Roman" w:hAnsi="Times New Roman"/>
          <w:sz w:val="20"/>
        </w:rPr>
      </w:pPr>
      <w:r>
        <w:rPr>
          <w:rFonts w:ascii="Arial" w:hAnsi="Arial"/>
          <w:color w:val="000000"/>
          <w:sz w:val="20"/>
        </w:rPr>
        <w:t>Operating Earnings decreased 25% to $67.3 million, primarily because of lower gross sales prices and Sales Volume of $1.8 million and $12.5 million, as well as higher operating costs of $8.6 million. The higher operating</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costs were primarily related to freight, maintenance, energy, input costs (mainly fiber), and fixed costs, which reduced Operating Earnings by approximately $0.8 million, $0.6 million, $1.4 million, $0.9 million, and $1.8 million, respectively. Operating Margin decreased to 37% for the three months ended September 30, 2025, primarily because of lower gross sales prices and higher operating costs. Fixed costs are less than 20% of the overall cost of wallboard; therefore, changes in utilization generally have a relatively minor impact on our operating cost per unit.</w:t>
      </w:r>
      <w:r>
        <w:rPr>
          <w:rFonts w:ascii="Times New Roman" w:hAnsi="Times New Roman"/>
          <w:color w:val="000000"/>
          <w:sz w:val="20"/>
        </w:rPr>
        <w:t xml:space="preserve"> </w:t>
      </w:r>
    </w:p>
    <w:p>
      <w:pPr>
        <w:pStyle w:val="TextBody"/>
        <w:bidi w:val="0"/>
        <w:spacing w:before="120" w:after="283"/>
        <w:jc w:val="left"/>
        <w:rPr>
          <w:rFonts w:ascii="Arial" w:hAnsi="Arial"/>
          <w:b/>
          <w:i/>
          <w:color w:val="000000"/>
          <w:sz w:val="20"/>
        </w:rPr>
      </w:pPr>
      <w:r>
        <w:rPr>
          <w:rFonts w:ascii="Arial" w:hAnsi="Arial"/>
          <w:b/>
          <w:i/>
          <w:color w:val="000000"/>
          <w:sz w:val="20"/>
        </w:rPr>
        <w:t>Six months ended September 30, 2025</w:t>
      </w:r>
    </w:p>
    <w:p>
      <w:pPr>
        <w:pStyle w:val="TextBody"/>
        <w:bidi w:val="0"/>
        <w:spacing w:before="120" w:after="283"/>
        <w:jc w:val="left"/>
        <w:rPr>
          <w:rFonts w:ascii="Arial" w:hAnsi="Arial"/>
          <w:color w:val="000000"/>
          <w:sz w:val="20"/>
        </w:rPr>
      </w:pPr>
      <w:r>
        <w:rPr>
          <w:rFonts w:ascii="Arial" w:hAnsi="Arial"/>
          <w:color w:val="000000"/>
          <w:sz w:val="20"/>
        </w:rPr>
        <w:t>Gypsum Wallboard Revenue was $405.0 million, a 6% decrease for the six months ended September 30, 2025. Lower gross sales prices and Sales Volume negatively affected Revenue by approximately $5.7 million and $22.1 million, respectively. Our market share remained relatively consistent during the six months ended September 30, 2025.</w:t>
      </w:r>
    </w:p>
    <w:p>
      <w:pPr>
        <w:pStyle w:val="TextBody"/>
        <w:bidi w:val="0"/>
        <w:spacing w:before="120" w:after="283"/>
        <w:jc w:val="left"/>
        <w:rPr>
          <w:rFonts w:ascii="Arial" w:hAnsi="Arial"/>
          <w:color w:val="000000"/>
          <w:sz w:val="20"/>
        </w:rPr>
      </w:pPr>
      <w:r>
        <w:rPr>
          <w:rFonts w:ascii="Arial" w:hAnsi="Arial"/>
          <w:color w:val="000000"/>
          <w:sz w:val="20"/>
        </w:rPr>
        <w:t>Operating Earnings decreased 13% to $159.9 million, primarily because of lower gross sales prices and Sales Volume of $5.7 million and $9.4 million, respectively, as well as higher operating costs of $9.1 million. The higher operating costs were primarily related to freight, maintenance and energy, which reduced Operating Earnings by approximately $2.4 million, $1.8 million, and $2.2 million, respectively. Operating Margin decreased to 39% for the six months ended September 30, 2025, primarily because of lower gross sales prices and higher operating costs. Fixed costs are less than 20% of the overall cost of wallboard; therefore, changes in utilization generally have a relatively minor impact on our operating cost per unit.</w:t>
      </w:r>
    </w:p>
    <w:p>
      <w:pPr>
        <w:pStyle w:val="TextBody"/>
        <w:bidi w:val="0"/>
        <w:spacing w:before="270" w:after="283"/>
        <w:jc w:val="left"/>
        <w:rPr>
          <w:rFonts w:ascii="Arial" w:hAnsi="Arial"/>
          <w:b/>
          <w:color w:val="000000"/>
          <w:sz w:val="20"/>
        </w:rPr>
      </w:pPr>
      <w:r>
        <w:rPr>
          <w:rFonts w:ascii="Arial" w:hAnsi="Arial"/>
          <w:b/>
          <w:color w:val="000000"/>
          <w:sz w:val="20"/>
        </w:rPr>
        <w:t>RECYCLED PAPERBOARD</w:t>
      </w:r>
    </w:p>
    <w:tbl>
      <w:tblPr>
        <w:tblW w:w="10205" w:type="dxa"/>
        <w:jc w:val="left"/>
        <w:tblInd w:w="0" w:type="dxa"/>
        <w:tblLayout w:type="fixed"/>
        <w:tblCellMar>
          <w:top w:w="28" w:type="dxa"/>
          <w:left w:w="28" w:type="dxa"/>
          <w:bottom w:w="28" w:type="dxa"/>
          <w:right w:w="28" w:type="dxa"/>
        </w:tblCellMar>
      </w:tblPr>
      <w:tblGrid>
        <w:gridCol w:w="1718"/>
        <w:gridCol w:w="146"/>
        <w:gridCol w:w="224"/>
        <w:gridCol w:w="166"/>
        <w:gridCol w:w="756"/>
        <w:gridCol w:w="189"/>
        <w:gridCol w:w="166"/>
        <w:gridCol w:w="224"/>
        <w:gridCol w:w="166"/>
        <w:gridCol w:w="756"/>
        <w:gridCol w:w="166"/>
        <w:gridCol w:w="146"/>
        <w:gridCol w:w="258"/>
        <w:gridCol w:w="613"/>
        <w:gridCol w:w="266"/>
        <w:gridCol w:w="146"/>
        <w:gridCol w:w="216"/>
        <w:gridCol w:w="161"/>
        <w:gridCol w:w="732"/>
        <w:gridCol w:w="183"/>
        <w:gridCol w:w="161"/>
        <w:gridCol w:w="216"/>
        <w:gridCol w:w="161"/>
        <w:gridCol w:w="765"/>
        <w:gridCol w:w="166"/>
        <w:gridCol w:w="146"/>
        <w:gridCol w:w="294"/>
        <w:gridCol w:w="577"/>
        <w:gridCol w:w="321"/>
      </w:tblGrid>
      <w:tr>
        <w:trPr/>
        <w:tc>
          <w:tcPr>
            <w:tcW w:w="1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7"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Three Months Ended 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5"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Six Months Ended 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Percentage</w:t>
              <w:br/>
              <w:t>Change</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Percentage</w:t>
              <w:br/>
              <w:t>Change</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7"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(in thousands, except per ton information)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5"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(in thousands, except per ton information)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85B372"/>
                <w:sz w:val="20"/>
              </w:rPr>
            </w:pPr>
            <w:r>
              <w:rPr>
                <w:rFonts w:ascii="Arial Narrow;sans-serif" w:hAnsi="Arial Narrow;sans-serif"/>
                <w:b/>
                <w:color w:val="85B372"/>
                <w:sz w:val="20"/>
              </w:rPr>
              <w:t>Revenue, including</w:t>
              <w:br/>
              <w:t>   Intersegment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48,596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50,777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99,700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105,017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71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85B372"/>
                <w:sz w:val="20"/>
              </w:rPr>
            </w:pPr>
            <w:r>
              <w:rPr>
                <w:rFonts w:ascii="Arial Narrow;sans-serif" w:hAnsi="Arial Narrow;sans-serif"/>
                <w:b/>
                <w:color w:val="85B372"/>
                <w:sz w:val="20"/>
              </w:rPr>
              <w:t>Less 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(19,471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(41,443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(45,621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71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3A3A3"/>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85B372"/>
                <w:sz w:val="20"/>
              </w:rPr>
            </w:pPr>
            <w:r>
              <w:rPr>
                <w:rFonts w:ascii="Arial Narrow;sans-serif" w:hAnsi="Arial Narrow;sans-serif"/>
                <w:b/>
                <w:color w:val="85B372"/>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29,125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58,257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59,396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71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85B372"/>
                <w:sz w:val="20"/>
              </w:rPr>
            </w:pPr>
            <w:r>
              <w:rPr>
                <w:rFonts w:ascii="Arial Narrow;sans-serif" w:hAnsi="Arial Narrow;sans-serif"/>
                <w:b/>
                <w:color w:val="85B372"/>
                <w:sz w:val="20"/>
              </w:rPr>
              <w:t>Sales Volume (M Tons)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71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b/>
                <w:color w:val="85B372"/>
                <w:sz w:val="20"/>
              </w:rPr>
              <w:t>Average Net Sales Price,</w:t>
              <w:br/>
              <w:t xml:space="preserve">   per ton </w:t>
            </w:r>
            <w:r>
              <w:rPr>
                <w:rFonts w:ascii="Arial Narrow;sans-serif" w:hAnsi="Arial Narrow;sans-serif"/>
                <w:b/>
                <w:color w:val="85B372"/>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598.48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595.19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581.55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596.33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71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85B372"/>
                <w:sz w:val="20"/>
              </w:rPr>
            </w:pPr>
            <w:r>
              <w:rPr>
                <w:rFonts w:ascii="Arial Narrow;sans-serif" w:hAnsi="Arial Narrow;sans-serif"/>
                <w:b/>
                <w:color w:val="85B372"/>
                <w:sz w:val="20"/>
              </w:rPr>
              <w:t>Operating Margin, per 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134.34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119.30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27</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71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85B372"/>
                <w:sz w:val="20"/>
              </w:rPr>
            </w:pPr>
            <w:r>
              <w:rPr>
                <w:rFonts w:ascii="Arial Narrow;sans-serif" w:hAnsi="Arial Narrow;sans-serif"/>
                <w:b/>
                <w:color w:val="85B372"/>
                <w:sz w:val="20"/>
              </w:rPr>
              <w:t>Operating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11,016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37</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20,519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24</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71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92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93"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Arial" w:hAnsi="Arial"/>
          <w:color w:val="000000"/>
          <w:sz w:val="13"/>
        </w:rPr>
      </w:pPr>
      <w:r>
        <w:rPr>
          <w:rFonts w:ascii="Arial" w:hAnsi="Arial"/>
          <w:color w:val="000000"/>
          <w:sz w:val="13"/>
        </w:rPr>
        <w:t>(1) Net of freight per ton.</w:t>
      </w:r>
    </w:p>
    <w:p>
      <w:pPr>
        <w:pStyle w:val="TextBody"/>
        <w:bidi w:val="0"/>
        <w:spacing w:before="120" w:after="283"/>
        <w:jc w:val="left"/>
        <w:rPr>
          <w:rFonts w:ascii="Arial" w:hAnsi="Arial"/>
          <w:b/>
          <w:i/>
          <w:color w:val="000000"/>
          <w:sz w:val="20"/>
        </w:rPr>
      </w:pPr>
      <w:r>
        <w:rPr>
          <w:rFonts w:ascii="Arial" w:hAnsi="Arial"/>
          <w:b/>
          <w:i/>
          <w:color w:val="000000"/>
          <w:sz w:val="20"/>
        </w:rPr>
        <w:t>Three months ended September 30, 2025</w:t>
      </w:r>
    </w:p>
    <w:p>
      <w:pPr>
        <w:pStyle w:val="TextBody"/>
        <w:bidi w:val="0"/>
        <w:spacing w:before="120" w:after="283"/>
        <w:jc w:val="left"/>
        <w:rPr>
          <w:rFonts w:ascii="Times New Roman" w:hAnsi="Times New Roman"/>
          <w:sz w:val="20"/>
        </w:rPr>
      </w:pPr>
      <w:r>
        <w:rPr>
          <w:rFonts w:ascii="Arial" w:hAnsi="Arial"/>
          <w:color w:val="000000"/>
          <w:sz w:val="20"/>
        </w:rPr>
        <w:t>Recycled Paperboard Revenue decreased 4% to $48.6 million during the three months ended September 30, 2025. Lower Sales Volume reduced Revenue by $2.5 million, partially offset by higher gross sales prices of $0.3 million. Higher gross sales prices were related to the pricing provision changes in our long-term sales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Operating Earnings increased 37% to $11.0 million, primarily because of higher gross sales prices and lower operating costs, which increased Operating Earnings by $0.3 million and $3.1 million, respectively. This was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partially offset by lower Sales Volume, which reduced Operating Earnings by approximately $0.4 million. The decrease in operating costs was primarily related to lower input costs, namely fiber, of approximately $5.5 million, which were partially offset by higher energy, maintenance and supplies, and fixed costs of $0.8 million, $0.9 million, and $0.3 million, respectively. Operating Margin increased to 23%, largely due to the decrease in operating costs. Although the Company has certain pricing provisions in its long-term sales agreements, prices are adjusted only at certain times throughout the year, so price adjustments are not always reflected in the same period as the change in costs.</w:t>
      </w:r>
      <w:r>
        <w:rPr>
          <w:rFonts w:ascii="Times New Roman" w:hAnsi="Times New Roman"/>
          <w:color w:val="000000"/>
          <w:sz w:val="20"/>
        </w:rPr>
        <w:t xml:space="preserve"> </w:t>
      </w:r>
    </w:p>
    <w:p>
      <w:pPr>
        <w:pStyle w:val="TextBody"/>
        <w:bidi w:val="0"/>
        <w:spacing w:before="120" w:after="283"/>
        <w:jc w:val="left"/>
        <w:rPr>
          <w:rFonts w:ascii="Arial" w:hAnsi="Arial"/>
          <w:b/>
          <w:i/>
          <w:color w:val="000000"/>
          <w:sz w:val="20"/>
        </w:rPr>
      </w:pPr>
      <w:r>
        <w:rPr>
          <w:rFonts w:ascii="Arial" w:hAnsi="Arial"/>
          <w:b/>
          <w:i/>
          <w:color w:val="000000"/>
          <w:sz w:val="20"/>
        </w:rPr>
        <w:t>Six months ended September 30, 2025</w:t>
      </w:r>
    </w:p>
    <w:p>
      <w:pPr>
        <w:pStyle w:val="TextBody"/>
        <w:bidi w:val="0"/>
        <w:spacing w:before="120" w:after="283"/>
        <w:jc w:val="left"/>
        <w:rPr>
          <w:rFonts w:ascii="Times New Roman" w:hAnsi="Times New Roman"/>
          <w:sz w:val="20"/>
        </w:rPr>
      </w:pPr>
      <w:r>
        <w:rPr>
          <w:rFonts w:ascii="Arial" w:hAnsi="Arial"/>
          <w:color w:val="000000"/>
          <w:sz w:val="20"/>
        </w:rPr>
        <w:t>Recycled Paperboard Revenue decreased 5% to $99.7 million during the three months ended September 30, 2025. Lower gross sales prices and Sales Volume reduced Revenue by $2.5 million and $2.8 million, respectively. Lower gross sales prices were related to the pricing provisions in our long-term sales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Operating Earnings increased 24% to $20.5 million, primarily because of lower operating costs, which increased Operating Earnings by $6.6 million. This was partially offset by lower gross sales prices and Sales Volume, which reduced Operating Earnings by approximately $2.5 million and $0.4 million, respectively. The decrease in operating costs was primarily related to lower input costs, namely fiber, of approximately $9.0 million, which were partially offset by higher energy and fixed costs of $1.2 million and $0.5 million, respectively. Operating Margin increased to 21%, with the decrease in operating costs offsetting the lower gross sales prices. Although the Company has certain pricing provisions in its long-term sales agreements, prices are adjusted only at certain times throughout the year, so price adjustments are not always reflected in the same period as the change in costs.</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preparation of financial statements in accordance with accounting principles generally accepted in the United States requires management to adopt accounting policies and make significant judgments and estimates to develop amounts disclosed in the financial statements. In many cases, alternative policies or estimation techniques could be used. We maintain a thorough process to review the application of our accounting policies and to evaluate the appropriateness of the many estimates that are required to prepare our financial statements. However, even under optimal circumstances, estimates routinely require adjustment based on changing circumstances and the receipt of new or better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Information regarding our Critical Accounting Policies can be found in our Annual Report on Form 10-K for the fiscal year ended March 31, 2025 (the Annual Report). The three Critical Accounting Policies that we believe are material to our financial statements, and require either the most judgment, or the selection or application of alternative accounting policies, are those related to long-lived assets, goodwill, and business combinations. Management has discussed the development and selection of these Critical Accounting Policies and estimates with the Audit Committee of our Board of Directors and with our independent registered public accounting firm. In addition, Note (A) in the Notes to Consolidated Financial Statements in our Annual Report contains a summary of our significant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color w:val="000000"/>
          <w:sz w:val="20"/>
          <w:u w:val="single"/>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Refer to Note (A) in the Notes to Unaudited Consolidated Financial Statements of this Quarterly Report on Form 10-Q for information regarding recently issued accounting pronouncements that may affect our financial statements.</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At this time, we believe we have access to sufficient financial resources from our liquidity sources to fund our business and operations, including contractual obligations, capital expenditures, and debt service obligations for at least the next twelve months. We regularly monitor any potential disruptions to the economy, and to our</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operations, particularly changing fiscal policy or economic conditions affecting our industries. Please see the Debt Financing Activities section below for a discussion of our Revolving Credit Facility and the amount of borrowings available to us in the next twelve-month period.</w:t>
      </w:r>
    </w:p>
    <w:p>
      <w:pPr>
        <w:pStyle w:val="TextBody"/>
        <w:bidi w:val="0"/>
        <w:spacing w:before="120" w:after="283"/>
        <w:jc w:val="both"/>
        <w:rPr>
          <w:rFonts w:ascii="Times New Roman" w:hAnsi="Times New Roman"/>
          <w:sz w:val="20"/>
        </w:rPr>
      </w:pPr>
      <w:r>
        <w:rPr>
          <w:rFonts w:ascii="Arial" w:hAnsi="Arial"/>
          <w:b/>
          <w:color w:val="000000"/>
          <w:sz w:val="20"/>
          <w:u w:val="single"/>
        </w:rPr>
        <w:t>Cash Flow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following table provides a summary of our cash flows:</w:t>
      </w:r>
      <w:r>
        <w:rPr>
          <w:rFonts w:ascii="Times New Roman" w:hAnsi="Times New Roman"/>
          <w:color w:val="000000"/>
          <w:sz w:val="20"/>
        </w:rPr>
        <w:t xml:space="preserve"> </w:t>
      </w:r>
    </w:p>
    <w:tbl>
      <w:tblPr>
        <w:tblW w:w="8996" w:type="dxa"/>
        <w:jc w:val="left"/>
        <w:tblInd w:w="0" w:type="dxa"/>
        <w:tblLayout w:type="fixed"/>
        <w:tblCellMar>
          <w:top w:w="28" w:type="dxa"/>
          <w:left w:w="28" w:type="dxa"/>
          <w:bottom w:w="28" w:type="dxa"/>
          <w:right w:w="28" w:type="dxa"/>
        </w:tblCellMar>
      </w:tblPr>
      <w:tblGrid>
        <w:gridCol w:w="5506"/>
        <w:gridCol w:w="146"/>
        <w:gridCol w:w="219"/>
        <w:gridCol w:w="163"/>
        <w:gridCol w:w="839"/>
        <w:gridCol w:w="185"/>
        <w:gridCol w:w="163"/>
        <w:gridCol w:w="163"/>
        <w:gridCol w:w="219"/>
        <w:gridCol w:w="163"/>
        <w:gridCol w:w="839"/>
        <w:gridCol w:w="391"/>
      </w:tblGrid>
      <w:tr>
        <w:trPr/>
        <w:tc>
          <w:tcPr>
            <w:tcW w:w="5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3"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Six Months Ended September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3"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341,231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365,898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Additions to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(184,635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(99,605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Arial Narrow;sans-serif" w:hAnsi="Arial Narrow;sans-serif"/>
                <w:color w:val="000000"/>
                <w:sz w:val="20"/>
              </w:rPr>
            </w:pPr>
            <w:r>
              <w:rPr>
                <w:rFonts w:ascii="Arial Narrow;sans-serif" w:hAnsi="Arial Narrow;sans-serif"/>
                <w:color w:val="000000"/>
                <w:sz w:val="20"/>
              </w:rPr>
              <w:t>)</w:t>
            </w:r>
          </w:p>
        </w:tc>
      </w:tr>
      <w:tr>
        <w:trPr/>
        <w:tc>
          <w:tcPr>
            <w:tcW w:w="550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4483"/>
                <w:sz w:val="20"/>
              </w:rPr>
            </w:pPr>
            <w:r>
              <w:rPr>
                <w:rFonts w:ascii="Arial Narrow;sans-serif" w:hAnsi="Arial Narrow;sans-serif"/>
                <w:b/>
                <w:color w:val="004483"/>
                <w:sz w:val="20"/>
              </w:rPr>
              <w:t>Acquisition Spending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(24,881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Arial Narrow;sans-serif" w:hAnsi="Arial Narrow;sans-serif"/>
                <w:color w:val="000000"/>
                <w:sz w:val="20"/>
              </w:rPr>
            </w:pPr>
            <w:r>
              <w:rPr>
                <w:rFonts w:ascii="Arial Narrow;sans-serif" w:hAnsi="Arial Narrow;sans-serif"/>
                <w:color w:val="000000"/>
                <w:sz w:val="20"/>
              </w:rPr>
              <w:t>)</w:t>
            </w:r>
          </w:p>
        </w:tc>
      </w:tr>
      <w:tr>
        <w:trPr/>
        <w:tc>
          <w:tcPr>
            <w:tcW w:w="550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(184,635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(124,486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r>
      <w:tr>
        <w:trPr/>
        <w:tc>
          <w:tcPr>
            <w:tcW w:w="5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Borrowings Under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130,000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80,000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Repayment of Borrowings Under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(75,000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(95,000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5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Repayment of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(7,500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5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Dividends Paid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(16,631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(17,001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5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Purchase and Retirement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(167,700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(146,176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5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Proceeds from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479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Shares Redeemed to Settle Employee Taxes on Stock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(5,612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Arial Narrow;sans-serif" w:hAnsi="Arial Narrow;sans-serif"/>
                <w:color w:val="000000"/>
                <w:sz w:val="20"/>
              </w:rPr>
            </w:pPr>
            <w:r>
              <w:rPr>
                <w:rFonts w:ascii="Arial Narrow;sans-serif" w:hAnsi="Arial Narrow;sans-serif"/>
                <w:color w:val="000000"/>
                <w:sz w:val="20"/>
              </w:rPr>
              <w:t>)</w:t>
            </w:r>
          </w:p>
        </w:tc>
      </w:tr>
      <w:tr>
        <w:trPr/>
        <w:tc>
          <w:tcPr>
            <w:tcW w:w="5506" w:type="dxa"/>
            <w:tcBorders>
              <w:bottom w:val="single" w:sz="4" w:space="0" w:color="A6A6A6"/>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(141,964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(182,428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r>
      <w:tr>
        <w:trPr/>
        <w:tc>
          <w:tcPr>
            <w:tcW w:w="550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14,632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58,984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color w:val="000000"/>
          <w:sz w:val="20"/>
        </w:rPr>
      </w:pPr>
      <w:r>
        <w:rPr>
          <w:rFonts w:ascii="Arial" w:hAnsi="Arial"/>
          <w:color w:val="000000"/>
          <w:sz w:val="20"/>
        </w:rPr>
        <w:t>Net Cash Provided by Operating Activities decreased by $24.7 million to $341.2 million during the six months ended September 30, 2025. This decrease was primarily attributable to lower cash flows from changes in Working Capital and Operating Earnings of $33.2 million and $16.7 million, respectively, partially offset by higher non cash activity of $25.2 million. The decrease in cash from Working Capital is due to a $65.7 million increase in cash flows from Income Taxes Payable at September 30, 2024, which resulted from our deferring tax payments for the three and six months ended September 30, 2024. The Internal Revenue Service granted this deferral to individuals and businesses in Texas that were affected by severe storms, straight-line winds, tornados, and flooding that occurred in April 2024. These deferred tax payments were made in December 2024.</w:t>
      </w:r>
    </w:p>
    <w:p>
      <w:pPr>
        <w:pStyle w:val="TextBody"/>
        <w:bidi w:val="0"/>
        <w:spacing w:before="120" w:after="283"/>
        <w:jc w:val="left"/>
        <w:rPr>
          <w:rFonts w:ascii="Times New Roman" w:hAnsi="Times New Roman"/>
          <w:sz w:val="20"/>
        </w:rPr>
      </w:pPr>
      <w:r>
        <w:rPr>
          <w:rFonts w:ascii="Arial" w:hAnsi="Arial"/>
          <w:color w:val="000000"/>
          <w:sz w:val="20"/>
        </w:rPr>
        <w:t>Working Capital increased by $0.5 million to $424.1 million at September 30, 2025, compared with March 31, 2025. The increase was primarily due to higher Cash, Accounts Receivable, net, and Prepaid and Other Assets of $14.6 million, $38.5 million, and $2.9 million, respectively. This was partially offset by $10.2 million of lower Income Tax Receivable, net and $45.0 million of lower Inventories.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The increase in Accounts Receivable at September 30, 2025, was primarily related to higher Revenue during the three months ended September 30, 2025, compared with the three months ended March 31, 2025. As a percentage of quarterly sales generated for the respective quarter, Accounts Receivable was approximately 40% and 45% at September 30, 2025, and March 31, 2025, respectively. Management measures the change in Accounts Receivable by monitoring the days sales outstanding on a monthly basis to determine if any deterioration has occurred in the collectability of the Accounts Receivable. No significant deterioration in the collectability of our Accounts Receivable was identified at September 30, 2025.</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Our Inventory balance at September 30, 2025, decreased by approximately $45.0 million from our balance at March 31, 2025. Within Inventory, Raw Materials and Materials-in-Progress, Finished Cement, and Aggregates declined $23.7 million, $19.4 million, and $2.5 million, respectively. The decline in Raw Materials and Materials-in-Progress and Finished Cement is consistent with our business cycle; we generally build up clinker inventory over the winter months to meet the demand for cement in the spring and summer. The largest individual balance in our Inventory is Repair Parts. These parts are necessary given the size and complexity of our manufacturing plants, and the age of certain of our plants, which creates the need to stock a high level of Repair Parts inventory. We believe all of these repair parts are necessary, and we perform semi-annual analyses to identify obsolete parts. We have less than one year’s sales of all product inventories, and our inventories have a low risk of obsolescence because our products are basic construction materials.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Net Cash Used in Investing Activities during the six months ended September 30, 2025, was approximately $184.6 million, compared with $124.5 million during the same period in 2024. The $60.1 million increase was primarily related to the modernization and expansion of our Mountain Cement facility.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Net Cash Used in Financing Activities was $142.0 million during the six months ended September 30, 2025 compared with $182.4 million during the same period in 2024. The $40.4 million decrease was mainly related to higher borrowings, net of repayments of $67.5 million, partially offset by higher Purchase and Retirement of Common Stock and Shares Redeemed to Settle Employee Taxes of $21.5 million and $4.1 million, respectively.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Our debt-to-capitalization ratio and net-debt-to-capitalization ratio were 45.7% and 45.0%, respectively, at September 30, 2025, compared with 46.1% and 45.7%, respectively, at March 31, 2025.</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0"/>
          <w:u w:val="single"/>
        </w:rPr>
        <w:t>Debt Financing Activities</w:t>
      </w:r>
      <w:r>
        <w:rPr>
          <w:rFonts w:ascii="Times New Roman" w:hAnsi="Times New Roman"/>
          <w:color w:val="000000"/>
          <w:sz w:val="20"/>
        </w:rPr>
        <w:t xml:space="preserve"> </w:t>
      </w:r>
    </w:p>
    <w:p>
      <w:pPr>
        <w:pStyle w:val="TextBody"/>
        <w:bidi w:val="0"/>
        <w:spacing w:before="120" w:after="120"/>
        <w:jc w:val="left"/>
        <w:rPr>
          <w:rFonts w:ascii="Arial" w:hAnsi="Arial"/>
          <w:color w:val="000000"/>
          <w:sz w:val="20"/>
        </w:rPr>
      </w:pPr>
      <w:r>
        <w:rPr>
          <w:rFonts w:ascii="Arial" w:hAnsi="Arial"/>
          <w:color w:val="000000"/>
          <w:sz w:val="20"/>
        </w:rPr>
        <w:t>Below is a summary of the Company’s outstanding debt facilities at September 30, 2025:</w:t>
      </w:r>
    </w:p>
    <w:tbl>
      <w:tblPr>
        <w:tblW w:w="3988" w:type="dxa"/>
        <w:jc w:val="left"/>
        <w:tblInd w:w="0" w:type="dxa"/>
        <w:tblLayout w:type="fixed"/>
        <w:tblCellMar>
          <w:top w:w="28" w:type="dxa"/>
          <w:left w:w="28" w:type="dxa"/>
          <w:bottom w:w="28" w:type="dxa"/>
          <w:right w:w="28" w:type="dxa"/>
        </w:tblCellMar>
      </w:tblPr>
      <w:tblGrid>
        <w:gridCol w:w="2626"/>
        <w:gridCol w:w="146"/>
        <w:gridCol w:w="1216"/>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Maturity</w:t>
            </w:r>
          </w:p>
        </w:tc>
      </w:tr>
      <w:tr>
        <w:trPr/>
        <w:tc>
          <w:tcPr>
            <w:tcW w:w="26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February 2030</w:t>
            </w:r>
          </w:p>
        </w:tc>
      </w:tr>
      <w:tr>
        <w:trPr/>
        <w:tc>
          <w:tcPr>
            <w:tcW w:w="26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February 2030</w:t>
            </w:r>
          </w:p>
        </w:tc>
      </w:tr>
      <w:tr>
        <w:trPr/>
        <w:tc>
          <w:tcPr>
            <w:tcW w:w="26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2.500% Senior Unsecured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July 2031</w:t>
            </w:r>
          </w:p>
        </w:tc>
      </w:tr>
      <w:tr>
        <w:trPr/>
        <w:tc>
          <w:tcPr>
            <w:tcW w:w="262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Arial" w:hAnsi="Arial"/>
          <w:color w:val="000000"/>
          <w:sz w:val="20"/>
        </w:rPr>
        <w:t>See Note (M) in the Notes to Unaudited Consolidated Financial Statements for further details on the Company’s debt facilities, including interest rate, and financial and other covenants and restrictions.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revolving borrowing capacity of our Revolving Credit Facility is $750.0 million (any revolving loans borrowed under the Revolving Credit Facility, as applicable, the Revolving Loans). The Revolving Credit Facility also includes a swingline loan sublimit of $25.0 million, and a $40.0 million letter of credit facility. At September 30, 2025, we had $255.0 million outstanding of Revolving Loans under the Revolving Credit Facility and $9.9 million of outstanding letters of credit, leaving us with $485.1 million of available borrowings under the Revolving Credit Facility, net of the outstanding letters of credit. We are contingently liable for performance under $47.9 million in performance bonds relating primarily to our mining operations. We do not have any off-balance sheet debt, or any outstanding debt guarantees.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Other than the Revolving Credit Facility, we have no additional source of committed external financing in place. Should the Revolving Credit Facility be terminated, no assurance can be given as to our ability to secure a new source of financing. Consequently, if any balance were outstanding on the Revolving Credit Facility at the time of termination, and an alternative source of financing could not be secured, it would have a material adverse impact on our business.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believe our cash flow from operations and available borrowings under our Revolving Credit Facility, as well as cash on hand, should be sufficient to meet our currently anticipated operating needs, capital expenditures, and dividend and debt service requirements for at least the next 12 months. However, our future liquidity and capital requirements may vary depending on several factors, including market conditions in the construction industry, our ability to maintain compliance with covenants in our Revolving Credit Facility, the level of competition, and general and economic factors beyond our control, such as supply chain constraints and inflation. These and other developments could reduce our cash flow or require that we seek additional sources of funding. We cannot predict what effect these factors will have on our future liquidity. See the Market Conditions and Outlook section above for further discussion of the possible effects on our business.</w:t>
      </w:r>
    </w:p>
    <w:p>
      <w:pPr>
        <w:pStyle w:val="TextBody"/>
        <w:bidi w:val="0"/>
        <w:spacing w:before="120" w:after="283"/>
        <w:jc w:val="left"/>
        <w:rPr>
          <w:rFonts w:ascii="Times New Roman" w:hAnsi="Times New Roman"/>
          <w:sz w:val="20"/>
        </w:rPr>
      </w:pPr>
      <w:r>
        <w:rPr>
          <w:rFonts w:ascii="Arial" w:hAnsi="Arial"/>
          <w:color w:val="000000"/>
          <w:sz w:val="20"/>
        </w:rPr>
        <w:t>As market conditions warrant, the Company may from time to time seek to purchase or repay its outstanding debt securities or loans, including the 2.500% Senior Unsecured Notes, Term Loan, and borrowings under the Revolving Credit Facility, in privately negotiated or open market transactions, by tender offer or otherwise. Subject to any applicable limitations contained in the agreements governing our indebtedness, any purchases made by us may be funded by using cash on our balance sheet or the incurrence of new debt. The amounts involved in any such purchase transactions, individually or in aggregate, may be material.</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had approximately $38.8 million of lease liabilities at September 30, 2025, with an average remaining life of approximately 11.8 years.</w:t>
      </w:r>
    </w:p>
    <w:p>
      <w:pPr>
        <w:pStyle w:val="TextBody"/>
        <w:bidi w:val="0"/>
        <w:spacing w:before="120" w:after="283"/>
        <w:jc w:val="left"/>
        <w:rPr>
          <w:rFonts w:ascii="Arial" w:hAnsi="Arial"/>
          <w:b/>
          <w:color w:val="000000"/>
          <w:sz w:val="20"/>
          <w:u w:val="single"/>
        </w:rPr>
      </w:pPr>
      <w:r>
        <w:rPr>
          <w:rFonts w:ascii="Arial" w:hAnsi="Arial"/>
          <w:b/>
          <w:color w:val="000000"/>
          <w:sz w:val="20"/>
          <w:u w:val="single"/>
        </w:rPr>
        <w:t>Dividends</w:t>
      </w:r>
    </w:p>
    <w:p>
      <w:pPr>
        <w:pStyle w:val="TextBody"/>
        <w:bidi w:val="0"/>
        <w:spacing w:before="120" w:after="283"/>
        <w:jc w:val="left"/>
        <w:rPr>
          <w:rFonts w:ascii="Arial" w:hAnsi="Arial"/>
          <w:color w:val="000000"/>
          <w:sz w:val="20"/>
        </w:rPr>
      </w:pPr>
      <w:r>
        <w:rPr>
          <w:rFonts w:ascii="Arial" w:hAnsi="Arial"/>
          <w:color w:val="000000"/>
          <w:sz w:val="20"/>
        </w:rPr>
        <w:t>Dividends paid were $16.6 million and $17.0 million for the six months ended September 30, 2025, and 2024, respectively. Each quarterly dividend payment is subject to review and approval by our Board of Directors, who will continue to evaluate our dividend payment amount on a quarterly basis.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b/>
          <w:color w:val="000000"/>
          <w:sz w:val="20"/>
          <w:u w:val="single"/>
        </w:rPr>
      </w:pPr>
      <w:r>
        <w:rPr>
          <w:rFonts w:ascii="Arial" w:hAnsi="Arial"/>
          <w:b/>
          <w:color w:val="000000"/>
          <w:sz w:val="20"/>
          <w:u w:val="single"/>
        </w:rPr>
        <w:t>Share Repurchases</w:t>
      </w:r>
    </w:p>
    <w:p>
      <w:pPr>
        <w:pStyle w:val="TextBody"/>
        <w:bidi w:val="0"/>
        <w:spacing w:before="120" w:after="283"/>
        <w:jc w:val="both"/>
        <w:rPr>
          <w:rFonts w:ascii="Arial" w:hAnsi="Arial"/>
          <w:color w:val="000000"/>
          <w:sz w:val="20"/>
        </w:rPr>
      </w:pPr>
      <w:r>
        <w:rPr>
          <w:rFonts w:ascii="Arial" w:hAnsi="Arial"/>
          <w:color w:val="000000"/>
          <w:sz w:val="20"/>
        </w:rPr>
        <w:t>During the six months ended September 30, 2025, our share repurchases were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294"/>
        <w:gridCol w:w="146"/>
        <w:gridCol w:w="234"/>
        <w:gridCol w:w="1116"/>
        <w:gridCol w:w="146"/>
        <w:gridCol w:w="146"/>
        <w:gridCol w:w="346"/>
        <w:gridCol w:w="1062"/>
        <w:gridCol w:w="146"/>
        <w:gridCol w:w="146"/>
        <w:gridCol w:w="405"/>
        <w:gridCol w:w="962"/>
        <w:gridCol w:w="146"/>
        <w:gridCol w:w="146"/>
        <w:gridCol w:w="205"/>
        <w:gridCol w:w="1164"/>
        <w:gridCol w:w="395"/>
      </w:tblGrid>
      <w:tr>
        <w:trPr/>
        <w:tc>
          <w:tcPr>
            <w:tcW w:w="32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Total Number of</w:t>
              <w:br/>
              <w:t>Shares 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Average Price Paid</w:t>
              <w:b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Total Number of</w:t>
              <w:br/>
              <w:t>Shares Purchased</w:t>
              <w:br/>
              <w:t>as Part of Publicly</w:t>
              <w:br/>
              <w:t>Announced Plans</w:t>
              <w:br/>
              <w:t>or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Maximum Number</w:t>
              <w:br/>
              <w:t>of Shares that May</w:t>
              <w:br/>
              <w:t>Yet Be Purchased</w:t>
              <w:br/>
              <w:t>Under the Plans</w:t>
              <w:br/>
              <w:t>or Programs</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April 1 through April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159,581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0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May 1 through May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0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June 1 through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63,357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0000"/>
                <w:sz w:val="20"/>
              </w:rPr>
            </w:pPr>
            <w:r>
              <w:rPr>
                <w:rFonts w:ascii="Arial Narrow;sans-serif" w:hAnsi="Arial Narrow;sans-serif"/>
                <w:b/>
                <w:color w:val="000000"/>
                <w:sz w:val="20"/>
              </w:rPr>
              <w:t>Quarter 1 Totals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357,938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219.64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July 1 through July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0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August 1 through August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0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September 1 through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231.76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0000"/>
                <w:sz w:val="20"/>
              </w:rPr>
            </w:pPr>
            <w:r>
              <w:rPr>
                <w:rFonts w:ascii="Arial Narrow;sans-serif" w:hAnsi="Arial Narrow;sans-serif"/>
                <w:b/>
                <w:color w:val="000000"/>
                <w:sz w:val="20"/>
              </w:rPr>
              <w:t>Quarter 2 Totals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395,500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225.24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4"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08"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67"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369"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395"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b/>
                <w:color w:val="000000"/>
                <w:sz w:val="20"/>
              </w:rPr>
            </w:pPr>
            <w:r>
              <w:rPr>
                <w:rFonts w:ascii="Arial Narrow;sans-serif" w:hAnsi="Arial Narrow;sans-serif"/>
                <w:b/>
                <w:color w:val="000000"/>
                <w:sz w:val="20"/>
              </w:rPr>
              <w:t>Year-to-Date Totals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753,438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222.58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3,916,059</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9"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May 17, 2022, the Board of Directors authorized us to repurchase an additional 7.5 million shares. This authorization brought the cumulative total of common stock our Board has approved for repurchase in the open market to 55.9 million shares since we became publicly held in April 1994. Through September 30, 2025, we have repurchased approximately 52.0 million shares.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Share repurchases may be made from time to time in the open market or in privately negotiated transactions. The timing and amount of any share repurchases are determined by management, based on its evaluation of market and economic conditions and other factors. In some cases, repurchases may be made pursuant to plans, programs, or directions established from time to time by the Company’s management, including plans intended to comply with the safe-harbor provided by Rule 10b5-1.</w:t>
      </w:r>
    </w:p>
    <w:p>
      <w:pPr>
        <w:pStyle w:val="TextBody"/>
        <w:bidi w:val="0"/>
        <w:spacing w:before="120" w:after="283"/>
        <w:jc w:val="left"/>
        <w:rPr>
          <w:rFonts w:ascii="Times New Roman" w:hAnsi="Times New Roman"/>
          <w:sz w:val="20"/>
        </w:rPr>
      </w:pPr>
      <w:r>
        <w:rPr>
          <w:rFonts w:ascii="Arial" w:hAnsi="Arial"/>
          <w:color w:val="000000"/>
          <w:sz w:val="20"/>
        </w:rPr>
        <w:t>During the six months ended September 30, 2025, the Company withheld from employees 23,968 shares of stock upon the vesting of Restricted Shares that were granted under the Plan. We withheld these shares to satisfy the employees’ statutory tax withholding requirements, which is necessary once the Restricted Shares or Restricted Share Units are vested.</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b/>
          <w:color w:val="000000"/>
          <w:sz w:val="20"/>
          <w:u w:val="single"/>
        </w:rPr>
      </w:pPr>
      <w:r>
        <w:rPr>
          <w:rFonts w:ascii="Arial" w:hAnsi="Arial"/>
          <w:b/>
          <w:color w:val="000000"/>
          <w:sz w:val="20"/>
          <w:u w:val="single"/>
        </w:rPr>
        <w:t>Capital Expenditures</w:t>
      </w:r>
    </w:p>
    <w:p>
      <w:pPr>
        <w:pStyle w:val="TextBody"/>
        <w:bidi w:val="0"/>
        <w:spacing w:before="120" w:after="283"/>
        <w:jc w:val="left"/>
        <w:rPr>
          <w:rFonts w:ascii="Times New Roman" w:hAnsi="Times New Roman"/>
          <w:sz w:val="20"/>
        </w:rPr>
      </w:pPr>
      <w:r>
        <w:rPr>
          <w:rFonts w:ascii="Arial" w:hAnsi="Arial"/>
          <w:color w:val="000000"/>
          <w:sz w:val="20"/>
        </w:rPr>
        <w:t>The following table details capital expenditures by category:</w:t>
      </w:r>
      <w:r>
        <w:rPr>
          <w:rFonts w:ascii="Times New Roman" w:hAnsi="Times New Roman"/>
          <w:color w:val="000000"/>
          <w:sz w:val="20"/>
        </w:rPr>
        <w:t xml:space="preserve"> </w:t>
      </w:r>
    </w:p>
    <w:tbl>
      <w:tblPr>
        <w:tblW w:w="6422" w:type="dxa"/>
        <w:jc w:val="left"/>
        <w:tblInd w:w="0" w:type="dxa"/>
        <w:tblLayout w:type="fixed"/>
        <w:tblCellMar>
          <w:top w:w="28" w:type="dxa"/>
          <w:left w:w="28" w:type="dxa"/>
          <w:bottom w:w="28" w:type="dxa"/>
          <w:right w:w="28" w:type="dxa"/>
        </w:tblCellMar>
      </w:tblPr>
      <w:tblGrid>
        <w:gridCol w:w="3031"/>
        <w:gridCol w:w="146"/>
        <w:gridCol w:w="293"/>
        <w:gridCol w:w="1033"/>
        <w:gridCol w:w="218"/>
        <w:gridCol w:w="218"/>
        <w:gridCol w:w="293"/>
        <w:gridCol w:w="899"/>
        <w:gridCol w:w="2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000000"/>
                <w:sz w:val="18"/>
              </w:rPr>
            </w:pPr>
            <w:r>
              <w:rPr>
                <w:rFonts w:ascii="Arial Narrow;sans-serif" w:hAnsi="Arial Narrow;sans-serif"/>
                <w:b/>
                <w:color w:val="000000"/>
                <w:sz w:val="18"/>
              </w:rPr>
              <w:t>For the Six Months Ended September 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18"/>
              </w:rPr>
            </w:pPr>
            <w:r>
              <w:rPr>
                <w:rFonts w:ascii="Arial Narrow;sans-serif" w:hAnsi="Arial Narrow;sans-serif"/>
                <w:b/>
                <w:color w:val="000000"/>
                <w:sz w:val="18"/>
              </w:rPr>
              <w:t>2024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(dollars 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Land and Quarries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3,057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4,293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32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1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Plants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150,924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62,203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326"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192" w:type="dxa"/>
            <w:gridSpan w:val="2"/>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4483"/>
                <w:sz w:val="20"/>
              </w:rPr>
            </w:pPr>
            <w:r>
              <w:rPr>
                <w:rFonts w:ascii="Arial Narrow;sans-serif" w:hAnsi="Arial Narrow;sans-serif"/>
                <w:b/>
                <w:color w:val="004483"/>
                <w:sz w:val="20"/>
              </w:rPr>
              <w:t>Buildings, Machinery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30,654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33,109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A6A6A6"/>
            </w:tcBorders>
            <w:shd w:fill="FFFFFF" w:val="clear"/>
            <w:tcMar>
              <w:top w:w="0" w:type="dxa"/>
              <w:left w:w="0" w:type="dxa"/>
              <w:right w:w="0" w:type="dxa"/>
            </w:tcMar>
            <w:vAlign w:val="center"/>
          </w:tcPr>
          <w:p>
            <w:pPr>
              <w:pStyle w:val="TableContents"/>
              <w:bidi w:val="0"/>
              <w:spacing w:before="0" w:after="283"/>
              <w:jc w:val="center"/>
              <w:rPr/>
            </w:pPr>
            <w:r>
              <w:rPr/>
              <w:t> </w:t>
            </w:r>
          </w:p>
        </w:tc>
        <w:tc>
          <w:tcPr>
            <w:tcW w:w="132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0000"/>
                <w:sz w:val="20"/>
              </w:rPr>
            </w:pPr>
            <w:r>
              <w:rPr>
                <w:rFonts w:ascii="Arial Narrow;sans-serif" w:hAnsi="Arial Narrow;sans-serif"/>
                <w:b/>
                <w:color w:val="000000"/>
                <w:sz w:val="20"/>
              </w:rPr>
              <w:t>Total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184,635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b/>
                <w:color w:val="000000"/>
                <w:sz w:val="20"/>
              </w:rPr>
            </w:pPr>
            <w:r>
              <w:rPr>
                <w:rFonts w:ascii="Arial Narrow;sans-serif" w:hAnsi="Arial Narrow;sans-serif"/>
                <w:b/>
                <w:color w:val="000000"/>
                <w:sz w:val="20"/>
              </w:rPr>
              <w:t>99,605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Arial" w:hAnsi="Arial"/>
          <w:color w:val="000000"/>
          <w:sz w:val="20"/>
        </w:rPr>
      </w:pPr>
      <w:r>
        <w:rPr>
          <w:rFonts w:ascii="Arial" w:hAnsi="Arial"/>
          <w:color w:val="000000"/>
          <w:sz w:val="20"/>
        </w:rPr>
        <w:t>Capital expenditures for fiscal 2026 are expected to range from $475.0 million to $500.0 million and will be allocated across both Heavy Materials and Light Materials sectors. These estimated capital expenditures will include the expansion and modernization of our Mountain Cement facility in Wyoming, the modernization of our gypsum wallboard plant in Oklahoma, and maintenance capital expenditures and improvements, as well as other safety and regulatory projects.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Arial" w:hAnsi="Arial"/>
          <w:b/>
          <w:color w:val="000000"/>
          <w:sz w:val="20"/>
        </w:rPr>
      </w:pPr>
      <w:r>
        <w:rPr>
          <w:rFonts w:ascii="Arial" w:hAnsi="Arial"/>
          <w:b/>
          <w:color w:val="000000"/>
          <w:sz w:val="20"/>
        </w:rPr>
        <w:t>FORWARD-LOOKING STATEMENTS</w:t>
      </w:r>
    </w:p>
    <w:p>
      <w:pPr>
        <w:pStyle w:val="TextBody"/>
        <w:bidi w:val="0"/>
        <w:spacing w:before="120" w:after="283"/>
        <w:jc w:val="left"/>
        <w:rPr>
          <w:rFonts w:ascii="Arial" w:hAnsi="Arial"/>
          <w:color w:val="000000"/>
          <w:sz w:val="20"/>
        </w:rPr>
      </w:pPr>
      <w:r>
        <w:rPr>
          <w:rFonts w:ascii="Arial" w:hAnsi="Arial"/>
          <w:color w:val="000000"/>
          <w:sz w:val="20"/>
        </w:rPr>
        <w:t>Certain matters discussed in this report contain forward-looking statements within the meaning of Section 27A of the Securities Act of 1933, Section 21E of the Securities Exchange Act of 1934, and the Private Securities Litigation Reform Act of 1995. Forward-looking statements may be identified by the context of the statement and generally arise when the Company is discussing its beliefs, estimates or expectations as to future events. These statements are not historical facts or guarantees of future performance but instead represent only the Company’s belief at the time the statements were made regarding future events which are subject to certain risks, uncertainties and other factors, many of which are outside the Company’s control. Actual results and outcomes may differ materially from what is expressed or forecast in such forward-looking statements. The principal risks and uncertainties that may affect the Company’s actual performance include the following: the cyclical and seasonal nature of the Company’s businesses; fluctuations in public infrastructure expenditures; the effects of adverse weather conditions on infrastructure and other construction projects as well as our facilities and operations; the fact that our products are commodities and that prices for our products are subject to material fluctuation due to market conditions and other factors beyond our control; the availability of and fluctuations in the cost of raw materials; changes in the costs of energy, including, without limitation, natural gas, coal and oil (including diesel), and the nature of our obligations to counterparties under energy supply contracts, such as those related to market conditions (for example, spot market prices), governmental orders and other matters; changes in the cost and availability of transportation; unexpected operational difficulties, including unexpected maintenance costs, equipment downtime and interruption of production; material nonpayment or non-performance by any of our key customers; consolidation of our customers; interruptions in our supply chain; inability to timely execute or realize capacity expansions or efficiency gains from capital improvement projects; difficulties and delays in the development of new business lines; governmental regulation and changes in governmental and public policy (including, without limitation, climate change and other environmental regulation); changes in trade policy, including tariffs and the effects of any increases in tariffs on our business, including increases in inputs used in our facility expansion and modernization projects; possible losses or other adverse outcomes from pending or future litigation or arbitration proceedings; changes in economic conditions or the nature or level of activity in any one or more of the markets or industries in which the Company or its customers are engaged; competition; cyber-attacks or data security breaches, together with the costs of protecting our systems against such incidents and the possible effects thereof on our operations; increases in capacity in the gypsum wallboard and cement industries; changes in the demand for residential housing construction or commercial construction or construction projects undertaken by state or local governments; the availability of acquisitions or other growth opportunities that meet our financial return standards and fit our strategic focus; risks related to pursuit of acquisitions, joint ventures and other transactions or the execution or implementation of such transactions, including the integration of operations acquired by the Company; general economic conditions, including inflation and recessionary conditions; and changes in interest rates and the resulting effects on the Company and demand for our products. For example, increases in interest rates, decreases in demand for construction materials or increases in the cost of energy (including, without limitation, natural gas, coal and oil) or the cost of our raw materials can be expected to adversely affect the revenue and operating earnings of our operations. In addition, changes in national or regional economic conditions and levels of infrastructure and construction spending could also adversely affect the Company’s results of operations. Finally, any forward-looking statements made by the Company are subject to the risks and impacts associated with natural disasters, the outbreak, escalation or resurgence of health emergencies, pandemics or other unforeseen events, including, without limitation, the COVID-19 pandemic and responses thereto designed to contain its spread and mitigate its public health effects, as well as their impact on our operations and on economic conditions, capital and financial markets. These and other factors are described in the Company’s Annual Report on Form 10-K for the fiscal year ended March 31, 2025, on file with the Securities and Exchange Commission. All forward-looking statements made herein are made as of the date hereof, and the risk that actual results will differ materially from expectations expressed herein will increase with the passage of time. The Company undertakes no duty to update any forward-looking statement to reflect future events or changes in the Company’s expectations.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both"/>
        <w:rPr>
          <w:rFonts w:ascii="Times New Roman" w:hAnsi="Times New Roman"/>
          <w:sz w:val="20"/>
        </w:rPr>
      </w:pPr>
      <w:bookmarkStart w:id="9" w:name="item_3"/>
      <w:bookmarkEnd w:id="9"/>
      <w:r>
        <w:rPr>
          <w:rFonts w:ascii="Arial" w:hAnsi="Arial"/>
          <w:b/>
          <w:color w:val="000000"/>
          <w:sz w:val="26"/>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We are exposed to market risks related to fluctuations in interest rates on our Revolving Credit Facility and Term Loan. We have occasionally utilized derivative instruments, including interest rate swaps, in conjunction with our overall strategy to manage the debt outstanding that is subject to interest rate changes. We had a $750.0 million Revolving Credit Facility at September 30, 2025, under which borrowings bear interest at a variable rate. A hypothetical 100 basis point increase in interest rates on the $255.0 million of borrowings under the Revolving Credit Facility and the $288.8 million of borrowings under the Term Loan at September 30, 2025, would increase interest expense by approximately $5.4 million on an annual basis. At present, we do not utilize derivative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We are subject to commodity risk with respect to price changes principally in coal, coke, natural gas, and power. We attempt to limit our exposure to changes in commodity prices by entering into contracts or increasing our use of alternative fuels.</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bookmarkStart w:id="10" w:name="item_4"/>
      <w:bookmarkEnd w:id="10"/>
      <w:r>
        <w:rPr>
          <w:rFonts w:ascii="Arial" w:hAnsi="Arial"/>
          <w:b/>
          <w:color w:val="000000"/>
          <w:sz w:val="26"/>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We have established a system of disclosure controls and procedures that are designed to ensure that information relating to the Company, which is required to be disclosed by us in the reports that we file or submit under the Securities Exchange Act of 1934 (Exchange Act), is recorded, processed, summarized, and reported within the time periods specified by the SEC’s rules and forms, and that such information is accumulated and communicated to management, including our Chief Executive Officer (CEO) and Chief Financial Officer (CFO), in a timely fashion. An evaluation of the effectiveness of the design and operation of our disclosure controls and procedures (as defined in Rule 13a-15(e) under the Exchange Act) was performed as of the end of the period covered by this quarterly report. This evaluation was performed under the supervision and with the participation of management, including our CEO and CFO. Based upon that evaluation, our CEO and CFO have concluded that these disclosure controls and procedures were effective.</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are currently undertaking a significant multi-year ERP implementation to upgrade our information technology platforms and business processes. The ERP implementation is occurring in phases over several years, which began in fiscal 2025 with the implementation at Corporate. During the three months ended September 30, 2025, we implemented the ERP at our Gypsum Wallboard and Recycled Paperboard segments.</w:t>
      </w:r>
    </w:p>
    <w:p>
      <w:pPr>
        <w:pStyle w:val="TextBody"/>
        <w:bidi w:val="0"/>
        <w:spacing w:before="120" w:after="283"/>
        <w:jc w:val="left"/>
        <w:rPr>
          <w:rFonts w:ascii="Arial" w:hAnsi="Arial"/>
          <w:color w:val="000000"/>
          <w:sz w:val="20"/>
        </w:rPr>
      </w:pPr>
      <w:r>
        <w:rPr>
          <w:rFonts w:ascii="Arial" w:hAnsi="Arial"/>
          <w:color w:val="000000"/>
          <w:sz w:val="20"/>
        </w:rPr>
        <w:t>As a result of this multi-year implementation, we expect certain changes to our processes and procedures, which, in turn, will result in changes to our internal control over financial reporting. While we expect this implementation to strengthen our internal control over financial reporting by automating certain manual processes and standardizing business processes and reporting across our organization, we will continue to evaluate and monitor our internal control over financial reporting as processes and procedures in the affected areas evolve.</w:t>
      </w:r>
    </w:p>
    <w:p>
      <w:pPr>
        <w:pStyle w:val="TextBody"/>
        <w:bidi w:val="0"/>
        <w:spacing w:before="120" w:after="283"/>
        <w:jc w:val="left"/>
        <w:rPr>
          <w:rFonts w:ascii="Arial" w:hAnsi="Arial"/>
          <w:color w:val="000000"/>
          <w:sz w:val="20"/>
        </w:rPr>
      </w:pPr>
      <w:r>
        <w:rPr>
          <w:rFonts w:ascii="Arial" w:hAnsi="Arial"/>
          <w:color w:val="000000"/>
          <w:sz w:val="20"/>
        </w:rPr>
        <w:t>With the exception of the implementations described above, there have been no changes in our internal control over financial reporting (as defined in Rules 13a-15(f) and 15d-15(f) under the Exchange Act) that occurred during the three months ended September 30, 2025 that have materially affected, or are reasonably likely to materially affect, our internal control over financial reporting.</w:t>
      </w:r>
    </w:p>
    <w:p>
      <w:pPr>
        <w:pStyle w:val="TextBody"/>
        <w:bidi w:val="0"/>
        <w:spacing w:before="120" w:after="283"/>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1" w:name="part_ii"/>
      <w:bookmarkEnd w:id="11"/>
      <w:r>
        <w:rPr>
          <w:rFonts w:ascii="Arial" w:hAnsi="Arial"/>
          <w:b/>
          <w:color w:val="000000"/>
          <w:sz w:val="26"/>
        </w:rPr>
        <w:t>PART II. OTHER INFORMATION</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bookmarkStart w:id="12" w:name="item_1_legal_proceedings"/>
      <w:bookmarkEnd w:id="12"/>
      <w:r>
        <w:rPr>
          <w:rFonts w:ascii="Arial" w:hAnsi="Arial"/>
          <w:b/>
          <w:color w:val="000000"/>
          <w:sz w:val="26"/>
        </w:rPr>
        <w:t>Item 1.</w:t>
      </w:r>
      <w:r>
        <w:rPr>
          <w:rFonts w:ascii="Times New Roman" w:hAnsi="Times New Roman"/>
          <w:color w:val="000000"/>
          <w:sz w:val="20"/>
        </w:rPr>
        <w:t xml:space="preserve"> </w:t>
      </w:r>
      <w:r>
        <w:rPr>
          <w:rFonts w:ascii="Arial" w:hAnsi="Arial"/>
          <w:b/>
          <w:color w:val="000000"/>
          <w:sz w:val="26"/>
        </w:rPr>
        <w:t>Legal Proceedings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In addition to the legal matters described in Part 1, Item 3 "Legal Proceedings" of our Form 10-K for the fiscal year ended March 31, 2025, from time to time, we have been and may in the future become involved in litigation or other legal proceedings in the ordinary course of our business activities or in connection with transactions or activities undertaken by us, including claims related to worker safety, worker health, environmental matters, commercial contracts, product liability, personal injury, land use rights, taxes, and permits. While the outcome of these proceedings cannot be predicted with certainty, in the opinion of management (based on currently available facts), we do not believe that the ultimate outcome of any currently pending legal proceeding will have a material effect on our consolidated financial condition, results of operations, or liquidity.</w:t>
      </w:r>
    </w:p>
    <w:p>
      <w:pPr>
        <w:pStyle w:val="TextBody"/>
        <w:bidi w:val="0"/>
        <w:spacing w:before="120" w:after="283"/>
        <w:jc w:val="left"/>
        <w:rPr>
          <w:rFonts w:ascii="Arial" w:hAnsi="Arial"/>
          <w:color w:val="000000"/>
          <w:sz w:val="20"/>
        </w:rPr>
      </w:pPr>
      <w:r>
        <w:rPr>
          <w:rFonts w:ascii="Arial" w:hAnsi="Arial"/>
          <w:color w:val="000000"/>
          <w:sz w:val="20"/>
        </w:rPr>
        <w:t>For additional information regarding claims and other contingent liabilities to which we may be subject, see Note (P) to the Unaudited Consolidated Financial Statements.</w:t>
      </w:r>
    </w:p>
    <w:p>
      <w:pPr>
        <w:pStyle w:val="TextBody"/>
        <w:bidi w:val="0"/>
        <w:spacing w:before="270" w:after="283"/>
        <w:jc w:val="both"/>
        <w:rPr>
          <w:rFonts w:ascii="Arial" w:hAnsi="Arial"/>
          <w:b/>
          <w:color w:val="000000"/>
          <w:sz w:val="26"/>
        </w:rPr>
      </w:pPr>
      <w:bookmarkStart w:id="13" w:name="item_1a"/>
      <w:bookmarkEnd w:id="13"/>
      <w:r>
        <w:rPr>
          <w:rFonts w:ascii="Arial" w:hAnsi="Arial"/>
          <w:b/>
          <w:color w:val="000000"/>
          <w:sz w:val="26"/>
        </w:rPr>
        <w:t>Item 1A. Risk Factors</w:t>
      </w:r>
    </w:p>
    <w:p>
      <w:pPr>
        <w:pStyle w:val="TextBody"/>
        <w:bidi w:val="0"/>
        <w:spacing w:before="120" w:after="283"/>
        <w:jc w:val="left"/>
        <w:rPr>
          <w:rFonts w:ascii="Arial" w:hAnsi="Arial"/>
          <w:color w:val="000000"/>
          <w:sz w:val="20"/>
        </w:rPr>
      </w:pPr>
      <w:r>
        <w:rPr>
          <w:rFonts w:ascii="Arial" w:hAnsi="Arial"/>
          <w:color w:val="000000"/>
          <w:sz w:val="20"/>
        </w:rPr>
        <w:t>For information regarding factors that could affect our results of operations, financial condition, and liquidity, see Part 1. Item 1A. Risk Factors in our Form 10-K for the fiscal year ended March 31, 2025, filed with the Securities and Exchange Commission on May 20, 2025.</w:t>
      </w:r>
    </w:p>
    <w:p>
      <w:pPr>
        <w:pStyle w:val="TextBody"/>
        <w:bidi w:val="0"/>
        <w:spacing w:before="270" w:after="283"/>
        <w:jc w:val="left"/>
        <w:rPr>
          <w:rFonts w:ascii="Times New Roman" w:hAnsi="Times New Roman"/>
          <w:sz w:val="20"/>
        </w:rPr>
      </w:pPr>
      <w:bookmarkStart w:id="14" w:name="item_2_unregistered_sales"/>
      <w:bookmarkEnd w:id="14"/>
      <w:r>
        <w:rPr>
          <w:rFonts w:ascii="Arial" w:hAnsi="Arial"/>
          <w:b/>
          <w:color w:val="000000"/>
          <w:sz w:val="26"/>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disclosure required under this Item is included in “Management’s Discussion and Analysis of Results of Operations and Financial Condition” of this Quarterly Report on Form 10-Q under the heading “Share Repurchases” and is incorporated herein by reference.</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bookmarkStart w:id="15" w:name="item_4_mine_safety"/>
      <w:bookmarkEnd w:id="15"/>
      <w:r>
        <w:rPr>
          <w:rFonts w:ascii="Arial" w:hAnsi="Arial"/>
          <w:b/>
          <w:color w:val="000000"/>
          <w:sz w:val="26"/>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information concerning mine safety violations or other regulatory matters required by Section 1503 (a) of the Dodd-Frank Wall Street Reform and Consumer Protection Act and Item 104 of Regulation S-K is included in Exhibit 95 to this Quarterly Report Form 10-Q.</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6"/>
        </w:rPr>
      </w:pPr>
      <w:bookmarkStart w:id="16" w:name="item_5_other_information"/>
      <w:bookmarkEnd w:id="16"/>
      <w:r>
        <w:rPr>
          <w:rFonts w:ascii="Arial" w:hAnsi="Arial"/>
          <w:b/>
          <w:color w:val="000000"/>
          <w:sz w:val="26"/>
        </w:rPr>
        <w:t>Item 5. Other Information</w:t>
      </w:r>
    </w:p>
    <w:p>
      <w:pPr>
        <w:pStyle w:val="TextBody"/>
        <w:bidi w:val="0"/>
        <w:spacing w:before="120" w:after="283"/>
        <w:jc w:val="left"/>
        <w:rPr>
          <w:rFonts w:ascii="Times New Roman" w:hAnsi="Times New Roman"/>
          <w:sz w:val="20"/>
        </w:rPr>
      </w:pPr>
      <w:r>
        <w:rPr>
          <w:rFonts w:ascii="Arial" w:hAnsi="Arial"/>
          <w:color w:val="000000"/>
          <w:sz w:val="20"/>
        </w:rPr>
        <w:t>None of the Company's directors or officers adopted, modified, or terminated</w:t>
      </w:r>
      <w:r>
        <w:rPr>
          <w:rFonts w:ascii="Times New Roman" w:hAnsi="Times New Roman"/>
          <w:color w:val="000000"/>
          <w:sz w:val="20"/>
        </w:rPr>
        <w:t xml:space="preserve"> </w:t>
      </w:r>
      <w:r>
        <w:rPr>
          <w:rFonts w:ascii="Arial" w:hAnsi="Arial"/>
          <w:color w:val="000000"/>
          <w:sz w:val="20"/>
        </w:rPr>
        <w:t>a Rule 10b5-1 trading arrangement, or a non-Rule 10b5-1 trading arrangement during the Company's fiscal quarter ended September 30, 2025.</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bookmarkStart w:id="17" w:name="item_6_exhibits"/>
      <w:bookmarkEnd w:id="17"/>
      <w:r>
        <w:rPr>
          <w:rFonts w:ascii="Arial" w:hAnsi="Arial"/>
          <w:b/>
          <w:color w:val="000000"/>
          <w:sz w:val="26"/>
        </w:rPr>
        <w:t>Item 6. Exhibits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39"/>
        <w:gridCol w:w="146"/>
        <w:gridCol w:w="9320"/>
      </w:tblGrid>
      <w:tr>
        <w:trPr/>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0" w:type="dxa"/>
            <w:tcBorders/>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3.1</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20" w:type="dxa"/>
            <w:tcBorders/>
            <w:tcMar>
              <w:top w:w="0" w:type="dxa"/>
              <w:left w:w="0" w:type="dxa"/>
              <w:bottom w:w="0" w:type="dxa"/>
              <w:right w:w="0" w:type="dxa"/>
            </w:tcMar>
            <w:vAlign w:val="center"/>
          </w:tcPr>
          <w:p>
            <w:pPr>
              <w:pStyle w:val="TableContents"/>
              <w:bidi w:val="0"/>
              <w:spacing w:before="120" w:after="283"/>
              <w:jc w:val="left"/>
              <w:rPr/>
            </w:pPr>
            <w:hyperlink r:id="rId3">
              <w:r>
                <w:rPr>
                  <w:rStyle w:val="InternetLink"/>
                  <w:rFonts w:ascii="Arial" w:hAnsi="Arial"/>
                  <w:color w:val="000000"/>
                  <w:sz w:val="20"/>
                </w:rPr>
                <w:t>Restated Certificate of Incorporation filed as Exhibit 3.1 to the Company’s Current Report on Form 8-K filed with the Commission on April 11, 2006 (File No. 001-12984) and incorporated herein by reference.</w:t>
              </w:r>
            </w:hyperlink>
          </w:p>
        </w:tc>
      </w:tr>
      <w:tr>
        <w:trPr/>
        <w:tc>
          <w:tcPr>
            <w:tcW w:w="739"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3.2</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20" w:type="dxa"/>
            <w:tcBorders/>
            <w:tcMar>
              <w:top w:w="0" w:type="dxa"/>
              <w:left w:w="0" w:type="dxa"/>
              <w:bottom w:w="0" w:type="dxa"/>
              <w:right w:w="0" w:type="dxa"/>
            </w:tcMar>
            <w:vAlign w:val="center"/>
          </w:tcPr>
          <w:p>
            <w:pPr>
              <w:pStyle w:val="TableContents"/>
              <w:bidi w:val="0"/>
              <w:spacing w:before="120" w:after="283"/>
              <w:jc w:val="left"/>
              <w:rPr/>
            </w:pPr>
            <w:hyperlink r:id="rId4">
              <w:r>
                <w:rPr>
                  <w:rStyle w:val="InternetLink"/>
                  <w:rFonts w:ascii="Arial" w:hAnsi="Arial"/>
                  <w:color w:val="000000"/>
                  <w:sz w:val="20"/>
                </w:rPr>
                <w:t>Certificate of Amendment of Restated Certificate of Incorporation of Eagle Materials Inc., filed as Exhibit 3.1 to the Company’s Current Report on Form 8-K filed with the Commission on August 7, 2024 (File No. 001-12984) and incorporated herein by reference.</w:t>
              </w:r>
            </w:hyperlink>
          </w:p>
        </w:tc>
      </w:tr>
      <w:tr>
        <w:trPr/>
        <w:tc>
          <w:tcPr>
            <w:tcW w:w="739"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3.3</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20" w:type="dxa"/>
            <w:tcBorders/>
            <w:tcMar>
              <w:top w:w="0" w:type="dxa"/>
              <w:left w:w="0" w:type="dxa"/>
              <w:bottom w:w="0" w:type="dxa"/>
              <w:right w:w="0" w:type="dxa"/>
            </w:tcMar>
            <w:vAlign w:val="center"/>
          </w:tcPr>
          <w:p>
            <w:pPr>
              <w:pStyle w:val="TableContents"/>
              <w:bidi w:val="0"/>
              <w:spacing w:before="120" w:after="283"/>
              <w:jc w:val="left"/>
              <w:rPr/>
            </w:pPr>
            <w:hyperlink r:id="rId5">
              <w:r>
                <w:rPr>
                  <w:rStyle w:val="InternetLink"/>
                  <w:rFonts w:ascii="Arial" w:hAnsi="Arial"/>
                  <w:color w:val="000000"/>
                  <w:sz w:val="20"/>
                </w:rPr>
                <w:t>Restated Certificate of Designation, Preferences and Rights of Series A Preferred Stock filed as Exhibit 3.2 to the Company’s Current Report on Form 8-K filed with the Commission on April 11, 2006 (File No. 001-12984) and incorporated herein by reference.</w:t>
              </w:r>
            </w:hyperlink>
          </w:p>
        </w:tc>
      </w:tr>
      <w:tr>
        <w:trPr/>
        <w:tc>
          <w:tcPr>
            <w:tcW w:w="739"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3.4</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20" w:type="dxa"/>
            <w:tcBorders/>
            <w:tcMar>
              <w:top w:w="0" w:type="dxa"/>
              <w:left w:w="0" w:type="dxa"/>
              <w:bottom w:w="0" w:type="dxa"/>
              <w:right w:w="0" w:type="dxa"/>
            </w:tcMar>
            <w:vAlign w:val="center"/>
          </w:tcPr>
          <w:p>
            <w:pPr>
              <w:pStyle w:val="TableContents"/>
              <w:bidi w:val="0"/>
              <w:spacing w:before="120" w:after="283"/>
              <w:jc w:val="left"/>
              <w:rPr/>
            </w:pPr>
            <w:hyperlink r:id="rId6">
              <w:r>
                <w:rPr>
                  <w:rStyle w:val="InternetLink"/>
                  <w:rFonts w:ascii="Arial" w:hAnsi="Arial"/>
                  <w:color w:val="000000"/>
                  <w:sz w:val="20"/>
                </w:rPr>
                <w:t>Second Amended and Restated Bylaws filed as Exhibit 3.1 to the Company’s Current Report on Form 8-K, filed with the Commission on November 7, 2022 (File No. 001-12984) and incorporated herein by reference.</w:t>
              </w:r>
            </w:hyperlink>
          </w:p>
        </w:tc>
      </w:tr>
      <w:tr>
        <w:trPr/>
        <w:tc>
          <w:tcPr>
            <w:tcW w:w="739"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10.1*</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20" w:type="dxa"/>
            <w:tcBorders/>
            <w:tcMar>
              <w:top w:w="0" w:type="dxa"/>
              <w:left w:w="0" w:type="dxa"/>
              <w:bottom w:w="0" w:type="dxa"/>
              <w:right w:w="0" w:type="dxa"/>
            </w:tcMar>
            <w:vAlign w:val="center"/>
          </w:tcPr>
          <w:p>
            <w:pPr>
              <w:pStyle w:val="TableContents"/>
              <w:bidi w:val="0"/>
              <w:spacing w:before="120" w:after="283"/>
              <w:jc w:val="left"/>
              <w:rPr/>
            </w:pPr>
            <w:hyperlink w:anchor="exp-ex10_1.htm">
              <w:r>
                <w:rPr>
                  <w:rStyle w:val="InternetLink"/>
                  <w:rFonts w:ascii="Arial" w:hAnsi="Arial"/>
                  <w:color w:val="000000"/>
                  <w:sz w:val="20"/>
                </w:rPr>
                <w:t xml:space="preserve">Non-Employee Director Compensation Summary. </w:t>
              </w:r>
            </w:hyperlink>
            <w:hyperlink w:anchor="exp-ex10_1.htm">
              <w:r>
                <w:rPr>
                  <w:rStyle w:val="InternetLink"/>
                  <w:rFonts w:ascii="Arial" w:hAnsi="Arial"/>
                  <w:color w:val="000000"/>
                  <w:sz w:val="13"/>
                </w:rPr>
                <w:t>(1)</w:t>
              </w:r>
            </w:hyperlink>
          </w:p>
        </w:tc>
      </w:tr>
      <w:tr>
        <w:trPr/>
        <w:tc>
          <w:tcPr>
            <w:tcW w:w="739"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10.2*</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20" w:type="dxa"/>
            <w:tcBorders/>
            <w:tcMar>
              <w:top w:w="0" w:type="dxa"/>
              <w:left w:w="0" w:type="dxa"/>
              <w:bottom w:w="0" w:type="dxa"/>
              <w:right w:w="0" w:type="dxa"/>
            </w:tcMar>
            <w:vAlign w:val="center"/>
          </w:tcPr>
          <w:p>
            <w:pPr>
              <w:pStyle w:val="TableContents"/>
              <w:bidi w:val="0"/>
              <w:spacing w:before="120" w:after="283"/>
              <w:jc w:val="left"/>
              <w:rPr/>
            </w:pPr>
            <w:hyperlink w:anchor="exp-ex10_2.htm">
              <w:r>
                <w:rPr>
                  <w:rStyle w:val="InternetLink"/>
                  <w:rFonts w:ascii="Arial" w:hAnsi="Arial"/>
                  <w:color w:val="000000"/>
                  <w:sz w:val="20"/>
                </w:rPr>
                <w:t xml:space="preserve">Form of Director Restricted Stock Agreement. </w:t>
              </w:r>
            </w:hyperlink>
            <w:hyperlink w:anchor="exp-ex10_2.htm">
              <w:r>
                <w:rPr>
                  <w:rStyle w:val="InternetLink"/>
                  <w:rFonts w:ascii="Arial" w:hAnsi="Arial"/>
                  <w:color w:val="000000"/>
                  <w:sz w:val="13"/>
                </w:rPr>
                <w:t>(1)</w:t>
              </w:r>
            </w:hyperlink>
          </w:p>
        </w:tc>
      </w:tr>
      <w:tr>
        <w:trPr/>
        <w:tc>
          <w:tcPr>
            <w:tcW w:w="739"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0" w:type="dxa"/>
            <w:tcBorders/>
            <w:tcMar>
              <w:top w:w="0" w:type="dxa"/>
              <w:left w:w="0" w:type="dxa"/>
              <w:bottom w:w="0" w:type="dxa"/>
              <w:right w:w="0" w:type="dxa"/>
            </w:tcMar>
            <w:vAlign w:val="center"/>
          </w:tcPr>
          <w:p>
            <w:pPr>
              <w:pStyle w:val="TableContents"/>
              <w:bidi w:val="0"/>
              <w:spacing w:before="120" w:after="283"/>
              <w:jc w:val="left"/>
              <w:rPr/>
            </w:pPr>
            <w:hyperlink w:anchor="exp-ex31_1.htm">
              <w:r>
                <w:rPr>
                  <w:rStyle w:val="InternetLink"/>
                  <w:rFonts w:ascii="Arial" w:hAnsi="Arial"/>
                  <w:color w:val="000000"/>
                  <w:sz w:val="20"/>
                </w:rPr>
                <w:t>Certification of the Chief Executive Officer of Eagle Materials Inc. pursuant to Rules 13a-14 and 15d-14 promulgated under the Securities Exchange Act of 1934, as amended.</w:t>
              </w:r>
            </w:hyperlink>
          </w:p>
        </w:tc>
      </w:tr>
      <w:tr>
        <w:trPr/>
        <w:tc>
          <w:tcPr>
            <w:tcW w:w="739"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0" w:type="dxa"/>
            <w:tcBorders/>
            <w:tcMar>
              <w:top w:w="0" w:type="dxa"/>
              <w:left w:w="0" w:type="dxa"/>
              <w:bottom w:w="0" w:type="dxa"/>
              <w:right w:w="0" w:type="dxa"/>
            </w:tcMar>
            <w:vAlign w:val="center"/>
          </w:tcPr>
          <w:p>
            <w:pPr>
              <w:pStyle w:val="TableContents"/>
              <w:bidi w:val="0"/>
              <w:spacing w:before="120" w:after="283"/>
              <w:jc w:val="left"/>
              <w:rPr/>
            </w:pPr>
            <w:hyperlink w:anchor="exp-ex31_2.htm">
              <w:r>
                <w:rPr>
                  <w:rStyle w:val="InternetLink"/>
                  <w:rFonts w:ascii="Arial" w:hAnsi="Arial"/>
                  <w:color w:val="000000"/>
                  <w:sz w:val="20"/>
                </w:rPr>
                <w:t>Certification of the Chief Financial Officer of Eagle Materials Inc. pursuant to Rules 13a-14 and 15d-14 promulgated under the Securities Exchange Act of 1934, as amended.</w:t>
              </w:r>
            </w:hyperlink>
          </w:p>
        </w:tc>
      </w:tr>
      <w:tr>
        <w:trPr/>
        <w:tc>
          <w:tcPr>
            <w:tcW w:w="739"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0" w:type="dxa"/>
            <w:tcBorders/>
            <w:tcMar>
              <w:top w:w="0" w:type="dxa"/>
              <w:left w:w="0" w:type="dxa"/>
              <w:bottom w:w="0" w:type="dxa"/>
              <w:right w:w="0" w:type="dxa"/>
            </w:tcMar>
            <w:vAlign w:val="center"/>
          </w:tcPr>
          <w:p>
            <w:pPr>
              <w:pStyle w:val="TableContents"/>
              <w:bidi w:val="0"/>
              <w:spacing w:before="120" w:after="283"/>
              <w:jc w:val="left"/>
              <w:rPr/>
            </w:pPr>
            <w:hyperlink w:anchor="exp-ex32_1.htm">
              <w:r>
                <w:rPr>
                  <w:rStyle w:val="InternetLink"/>
                  <w:rFonts w:ascii="Arial" w:hAnsi="Arial"/>
                  <w:color w:val="000000"/>
                  <w:sz w:val="20"/>
                </w:rPr>
                <w:t>Certification of the Chief Executive Officer of Eagle Materials Inc. pursuant to 18 U.S.C. Section 1350, as adopted pursuant to Section 906 of the Sarbanes-Oxley Act of 2002.</w:t>
              </w:r>
            </w:hyperlink>
          </w:p>
        </w:tc>
      </w:tr>
      <w:tr>
        <w:trPr/>
        <w:tc>
          <w:tcPr>
            <w:tcW w:w="739"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0" w:type="dxa"/>
            <w:tcBorders/>
            <w:tcMar>
              <w:top w:w="0" w:type="dxa"/>
              <w:left w:w="0" w:type="dxa"/>
              <w:bottom w:w="0" w:type="dxa"/>
              <w:right w:w="0" w:type="dxa"/>
            </w:tcMar>
            <w:vAlign w:val="center"/>
          </w:tcPr>
          <w:p>
            <w:pPr>
              <w:pStyle w:val="TableContents"/>
              <w:bidi w:val="0"/>
              <w:spacing w:before="120" w:after="283"/>
              <w:jc w:val="left"/>
              <w:rPr/>
            </w:pPr>
            <w:hyperlink w:anchor="exp-ex32_2.htm">
              <w:r>
                <w:rPr>
                  <w:rStyle w:val="InternetLink"/>
                  <w:rFonts w:ascii="Arial" w:hAnsi="Arial"/>
                  <w:color w:val="000000"/>
                  <w:sz w:val="20"/>
                </w:rPr>
                <w:t>Certification of the Chief Financial Officer of Eagle Materials Inc. pursuant to 18 U.S.C. Section 1350, as adopted pursuant to Section 906 of the Sarbanes-Oxley Act of 2002.</w:t>
              </w:r>
            </w:hyperlink>
          </w:p>
        </w:tc>
      </w:tr>
      <w:tr>
        <w:trPr/>
        <w:tc>
          <w:tcPr>
            <w:tcW w:w="739"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95*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0" w:type="dxa"/>
            <w:tcBorders/>
            <w:tcMar>
              <w:top w:w="0" w:type="dxa"/>
              <w:left w:w="0" w:type="dxa"/>
              <w:bottom w:w="0" w:type="dxa"/>
              <w:right w:w="0" w:type="dxa"/>
            </w:tcMar>
            <w:vAlign w:val="center"/>
          </w:tcPr>
          <w:p>
            <w:pPr>
              <w:pStyle w:val="TableContents"/>
              <w:bidi w:val="0"/>
              <w:spacing w:before="120" w:after="283"/>
              <w:jc w:val="left"/>
              <w:rPr/>
            </w:pPr>
            <w:hyperlink w:anchor="exp-ex95.htm">
              <w:r>
                <w:rPr>
                  <w:rStyle w:val="InternetLink"/>
                  <w:rFonts w:ascii="Arial" w:hAnsi="Arial"/>
                  <w:color w:val="000000"/>
                  <w:sz w:val="20"/>
                </w:rPr>
                <w:t>Mine Safety Disclosure.</w:t>
              </w:r>
            </w:hyperlink>
          </w:p>
        </w:tc>
      </w:tr>
      <w:tr>
        <w:trPr/>
        <w:tc>
          <w:tcPr>
            <w:tcW w:w="739"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0"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Inline XBRL Instance Document – The instance document does not appear in the Interactive Data File because its XBRL tags are embedded within the Inline XBRL document.</w:t>
            </w:r>
          </w:p>
        </w:tc>
      </w:tr>
      <w:tr>
        <w:trPr/>
        <w:tc>
          <w:tcPr>
            <w:tcW w:w="739"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0"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Inline XBRL Taxonomy Extension Schema Document with Embedded Linkbase Documents.</w:t>
            </w:r>
          </w:p>
        </w:tc>
      </w:tr>
      <w:tr>
        <w:trPr/>
        <w:tc>
          <w:tcPr>
            <w:tcW w:w="739"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104.1*</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320"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Cover Page Interactive Data File – (formatted as Inline XBRL and Contained in Exhibit 101).</w:t>
            </w:r>
          </w:p>
        </w:tc>
      </w:tr>
    </w:tbl>
    <w:p>
      <w:pPr>
        <w:pStyle w:val="TextBody"/>
        <w:bidi w:val="0"/>
        <w:spacing w:before="40" w:after="283"/>
        <w:jc w:val="left"/>
        <w:rPr>
          <w:rFonts w:ascii="Times New Roman" w:hAnsi="Times New Roman"/>
          <w:sz w:val="20"/>
        </w:rPr>
      </w:pPr>
      <w:r>
        <w:rPr>
          <w:rFonts w:ascii="Arial" w:hAnsi="Arial"/>
          <w:color w:val="000000"/>
          <w:sz w:val="20"/>
        </w:rPr>
        <w:t>* Filed herewith.</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3"/>
        </w:rPr>
        <w:t>(1)</w:t>
      </w:r>
      <w:r>
        <w:rPr>
          <w:rFonts w:ascii="Times New Roman" w:hAnsi="Times New Roman"/>
          <w:color w:val="000000"/>
          <w:sz w:val="20"/>
        </w:rPr>
        <w:t xml:space="preserve"> </w:t>
      </w:r>
      <w:r>
        <w:rPr>
          <w:rFonts w:ascii="Arial" w:hAnsi="Arial"/>
          <w:color w:val="000000"/>
          <w:sz w:val="20"/>
        </w:rPr>
        <w:t>Management contract, compensatory plan, or arrangement.</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8" w:name="signatures"/>
      <w:bookmarkEnd w:id="18"/>
      <w:r>
        <w:rPr>
          <w:rFonts w:ascii="Arial" w:hAnsi="Arial"/>
          <w:b/>
          <w:color w:val="000000"/>
          <w:sz w:val="26"/>
        </w:rPr>
        <w:t>SIGNATURES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r>
        <w:rPr>
          <w:rFonts w:ascii="Times New Roman" w:hAnsi="Times New Roman"/>
          <w:color w:val="000000"/>
          <w:sz w:val="20"/>
        </w:rPr>
        <w:t xml:space="preserve"> </w:t>
      </w:r>
    </w:p>
    <w:tbl>
      <w:tblPr>
        <w:tblW w:w="5533" w:type="dxa"/>
        <w:jc w:val="left"/>
        <w:tblInd w:w="0" w:type="dxa"/>
        <w:tblLayout w:type="fixed"/>
        <w:tblCellMar>
          <w:top w:w="28" w:type="dxa"/>
          <w:left w:w="28" w:type="dxa"/>
          <w:bottom w:w="28" w:type="dxa"/>
          <w:right w:w="28" w:type="dxa"/>
        </w:tblCellMar>
      </w:tblPr>
      <w:tblGrid>
        <w:gridCol w:w="1621"/>
        <w:gridCol w:w="146"/>
        <w:gridCol w:w="376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EAGLE MATERIALS INC.</w:t>
            </w:r>
          </w:p>
        </w:tc>
      </w:tr>
      <w:tr>
        <w:trPr/>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Registrant</w:t>
            </w:r>
          </w:p>
        </w:tc>
      </w:tr>
      <w:tr>
        <w:trPr/>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October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MICHAEL R. HAACK</w:t>
            </w:r>
          </w:p>
        </w:tc>
      </w:tr>
      <w:tr>
        <w:trPr/>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Michael R. Haack</w:t>
            </w:r>
          </w:p>
          <w:p>
            <w:pPr>
              <w:pStyle w:val="TableContents"/>
              <w:bidi w:val="0"/>
              <w:jc w:val="center"/>
              <w:rPr>
                <w:rFonts w:ascii="Arial" w:hAnsi="Arial"/>
                <w:color w:val="000000"/>
                <w:sz w:val="20"/>
              </w:rPr>
            </w:pPr>
            <w:r>
              <w:rPr>
                <w:rFonts w:ascii="Arial" w:hAnsi="Arial"/>
                <w:color w:val="000000"/>
                <w:sz w:val="20"/>
              </w:rPr>
              <w:t>President and Chief Executive Officer</w:t>
            </w:r>
          </w:p>
          <w:p>
            <w:pPr>
              <w:pStyle w:val="TableContents"/>
              <w:bidi w:val="0"/>
              <w:spacing w:before="0" w:after="20"/>
              <w:jc w:val="center"/>
              <w:rPr>
                <w:rFonts w:ascii="Arial" w:hAnsi="Arial"/>
                <w:color w:val="000000"/>
                <w:sz w:val="20"/>
              </w:rPr>
            </w:pPr>
            <w:r>
              <w:rPr>
                <w:rFonts w:ascii="Arial" w:hAnsi="Arial"/>
                <w:color w:val="000000"/>
                <w:sz w:val="20"/>
              </w:rPr>
              <w:t>(principal executive officer)</w:t>
            </w:r>
          </w:p>
        </w:tc>
      </w:tr>
      <w:tr>
        <w:trPr/>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October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D. CRAIG KESLER</w:t>
            </w:r>
          </w:p>
        </w:tc>
      </w:tr>
      <w:tr>
        <w:trPr/>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D. Craig Kesler</w:t>
            </w:r>
          </w:p>
          <w:p>
            <w:pPr>
              <w:pStyle w:val="TableContents"/>
              <w:bidi w:val="0"/>
              <w:jc w:val="center"/>
              <w:rPr>
                <w:rFonts w:ascii="Arial" w:hAnsi="Arial"/>
                <w:color w:val="000000"/>
                <w:sz w:val="20"/>
              </w:rPr>
            </w:pPr>
            <w:r>
              <w:rPr>
                <w:rFonts w:ascii="Arial" w:hAnsi="Arial"/>
                <w:color w:val="000000"/>
                <w:sz w:val="20"/>
              </w:rPr>
              <w:t>Executive Vice President – Finance and</w:t>
            </w:r>
          </w:p>
          <w:p>
            <w:pPr>
              <w:pStyle w:val="TableContents"/>
              <w:bidi w:val="0"/>
              <w:jc w:val="center"/>
              <w:rPr>
                <w:rFonts w:ascii="Arial" w:hAnsi="Arial"/>
                <w:color w:val="000000"/>
                <w:sz w:val="20"/>
              </w:rPr>
            </w:pPr>
            <w:r>
              <w:rPr>
                <w:rFonts w:ascii="Arial" w:hAnsi="Arial"/>
                <w:color w:val="000000"/>
                <w:sz w:val="20"/>
              </w:rPr>
              <w:t>Administration and Chief Financial Officer</w:t>
            </w:r>
          </w:p>
          <w:p>
            <w:pPr>
              <w:pStyle w:val="TableContents"/>
              <w:bidi w:val="0"/>
              <w:spacing w:before="0" w:after="20"/>
              <w:jc w:val="center"/>
              <w:rPr>
                <w:rFonts w:ascii="Arial" w:hAnsi="Arial"/>
                <w:color w:val="000000"/>
                <w:sz w:val="20"/>
              </w:rPr>
            </w:pPr>
            <w:r>
              <w:rPr>
                <w:rFonts w:ascii="Arial" w:hAnsi="Arial"/>
                <w:color w:val="000000"/>
                <w:sz w:val="20"/>
              </w:rPr>
              <w:t>(principal financial officer)</w:t>
            </w:r>
          </w:p>
        </w:tc>
      </w:tr>
    </w:tbl>
    <w:tbl>
      <w:tblPr>
        <w:tblW w:w="5196" w:type="dxa"/>
        <w:jc w:val="left"/>
        <w:tblInd w:w="0" w:type="dxa"/>
        <w:tblLayout w:type="fixed"/>
        <w:tblCellMar>
          <w:top w:w="28" w:type="dxa"/>
          <w:left w:w="28" w:type="dxa"/>
          <w:bottom w:w="28" w:type="dxa"/>
          <w:right w:w="28" w:type="dxa"/>
        </w:tblCellMar>
      </w:tblPr>
      <w:tblGrid>
        <w:gridCol w:w="1621"/>
        <w:gridCol w:w="109"/>
        <w:gridCol w:w="3466"/>
      </w:tblGrid>
      <w:tr>
        <w:trPr/>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16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October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WILLIAM R. DEVLIN</w:t>
            </w:r>
          </w:p>
        </w:tc>
      </w:tr>
      <w:tr>
        <w:trPr/>
        <w:tc>
          <w:tcPr>
            <w:tcW w:w="1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William R. Devlin</w:t>
            </w:r>
          </w:p>
          <w:p>
            <w:pPr>
              <w:pStyle w:val="TableContents"/>
              <w:bidi w:val="0"/>
              <w:jc w:val="center"/>
              <w:rPr>
                <w:rFonts w:ascii="Arial" w:hAnsi="Arial"/>
                <w:color w:val="000000"/>
                <w:sz w:val="20"/>
              </w:rPr>
            </w:pPr>
            <w:r>
              <w:rPr>
                <w:rFonts w:ascii="Arial" w:hAnsi="Arial"/>
                <w:color w:val="000000"/>
                <w:sz w:val="20"/>
              </w:rPr>
              <w:t>Senior Vice President – Controller and</w:t>
            </w:r>
          </w:p>
          <w:p>
            <w:pPr>
              <w:pStyle w:val="TableContents"/>
              <w:bidi w:val="0"/>
              <w:jc w:val="center"/>
              <w:rPr>
                <w:rFonts w:ascii="Arial" w:hAnsi="Arial"/>
                <w:color w:val="000000"/>
                <w:sz w:val="20"/>
              </w:rPr>
            </w:pPr>
            <w:r>
              <w:rPr>
                <w:rFonts w:ascii="Arial" w:hAnsi="Arial"/>
                <w:color w:val="000000"/>
                <w:sz w:val="20"/>
              </w:rPr>
              <w:t>Chief Accounting Officer</w:t>
            </w:r>
          </w:p>
          <w:p>
            <w:pPr>
              <w:pStyle w:val="TableContents"/>
              <w:bidi w:val="0"/>
              <w:spacing w:before="0" w:after="20"/>
              <w:jc w:val="center"/>
              <w:rPr>
                <w:rFonts w:ascii="Arial" w:hAnsi="Arial"/>
                <w:color w:val="000000"/>
                <w:sz w:val="20"/>
              </w:rPr>
            </w:pPr>
            <w:r>
              <w:rPr>
                <w:rFonts w:ascii="Arial" w:hAnsi="Arial"/>
                <w:color w:val="000000"/>
                <w:sz w:val="20"/>
              </w:rPr>
              <w:t>(principal accounting officer)</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19" w:name="exp-ex10_1.htm"/>
      <w:bookmarkStart w:id="20" w:name="ksexpex10_1"/>
      <w:bookmarkEnd w:id="19"/>
      <w:bookmarkEnd w:id="20"/>
      <w:r>
        <w:rPr>
          <w:rFonts w:ascii="Times New Roman" w:hAnsi="Times New Roman"/>
          <w:b/>
          <w:color w:val="000000"/>
          <w:sz w:val="24"/>
        </w:rPr>
        <w:t>EXHIBIT 10.1</w:t>
      </w:r>
      <w:r>
        <w:br w:type="page"/>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EAGLE MATERIALS INC.</w:t>
      </w:r>
    </w:p>
    <w:p>
      <w:pPr>
        <w:pStyle w:val="TextBody"/>
        <w:bidi w:val="0"/>
        <w:jc w:val="center"/>
        <w:rPr>
          <w:rFonts w:ascii="Times New Roman" w:hAnsi="Times New Roman"/>
          <w:b/>
          <w:color w:val="000000"/>
          <w:sz w:val="24"/>
        </w:rPr>
      </w:pPr>
      <w:r>
        <w:rPr>
          <w:rFonts w:ascii="Times New Roman" w:hAnsi="Times New Roman"/>
          <w:b/>
          <w:color w:val="000000"/>
          <w:sz w:val="24"/>
        </w:rPr>
        <w:t>Non-Employee Directors -- Compensation Summary</w:t>
      </w:r>
    </w:p>
    <w:p>
      <w:pPr>
        <w:pStyle w:val="TextBody"/>
        <w:bidi w:val="0"/>
        <w:jc w:val="center"/>
        <w:rPr>
          <w:rFonts w:ascii="Times New Roman" w:hAnsi="Times New Roman"/>
          <w:b/>
          <w:color w:val="000000"/>
          <w:sz w:val="24"/>
        </w:rPr>
      </w:pPr>
      <w:r>
        <w:rPr>
          <w:rFonts w:ascii="Times New Roman" w:hAnsi="Times New Roman"/>
          <w:b/>
          <w:color w:val="000000"/>
          <w:sz w:val="24"/>
        </w:rPr>
        <w:t>Effective August 2025 to July 2026</w:t>
      </w:r>
    </w:p>
    <w:p>
      <w:pPr>
        <w:pStyle w:val="TextBody"/>
        <w:bidi w:val="0"/>
        <w:jc w:val="left"/>
        <w:rPr>
          <w:rFonts w:ascii="Times New Roman" w:hAnsi="Times New Roman"/>
          <w:sz w:val="20"/>
        </w:rPr>
      </w:pPr>
      <w:r>
        <w:rPr>
          <w:rFonts w:ascii="Times New Roman" w:hAnsi="Times New Roman"/>
          <w:color w:val="000000"/>
          <w:sz w:val="24"/>
        </w:rPr>
        <w:t>On an annual basis, each non-employee director of Eagle Materials Inc. (the “Company”) may select one of the following compensation packages for his or her performance of director services during the next 12 months: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(1) total annual compensation valued at $230,000, of which $105,000 is paid in cash and the remainder is provided in the form of an equity grant valued at $125,000; or</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(2) an equity grant valued at $261,500.</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The grant date value of the equity grant under either alternative is paid in restricted shares of common stock of the Company, par value $0.01 (“Common Stock”).</w:t>
      </w:r>
    </w:p>
    <w:p>
      <w:pPr>
        <w:pStyle w:val="TextBody"/>
        <w:bidi w:val="0"/>
        <w:jc w:val="left"/>
        <w:rPr>
          <w:rFonts w:ascii="Times New Roman" w:hAnsi="Times New Roman"/>
          <w:sz w:val="20"/>
        </w:rPr>
      </w:pPr>
      <w:r>
        <w:rPr>
          <w:rFonts w:ascii="Times New Roman" w:hAnsi="Times New Roman"/>
          <w:color w:val="000000"/>
          <w:sz w:val="24"/>
        </w:rPr>
        <w:t>The number of shares of restricted stock is determined as of the date of grant using the closing price of the Common Stock on the New York Stock Exchange (“NYSE”) on the date of grant. The restricted stock granted to directors in August 2025 is subject to vesting requirements, with the shares becoming fully vested (unrestricted) on the earliest to occur of (i) the one-year anniversary of the date of grant; (ii) the next annual meeting of the Company’s stockholders, which is at least 50 weeks after the immediately preceding year’s annual meeting; (iii) the recipient’s retirement from the Board in accordance with the Company’s director retirement policy, or earlier under such terms and conditions as approved by the Compensation Committee; (iv) the recipient’s disability as determined by the Compensation Committee; or (v) the recipient’s death. During the restriction period the director will have the right to vote the shares. In addition, upon the vesting of the underlying shares, the director will also be entitled to accrued cash dividends with respect to such shares that were paid to holders of Common Stock during the restriction period.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Non-employee directors who chair committees of the Board of Directors receive additional annual compensation. The chairs of the Audit Committee, Compensation Committee and Governance Committee each receive a fee of $20,000 per year. The Chairman of the Board of Directors receives a fee of $125,000 per year. Chairpersons who choose compensation package alternative one (part equity and part cash) receive this additional compensation in the form of cash. Chairpersons who choose compensation package alternative two (all equity) receive this additional compensation in the form of equity, in which case a 30% premium is added to such fees when valuing the equity to be received by such chairperson.</w:t>
      </w:r>
    </w:p>
    <w:p>
      <w:pPr>
        <w:pStyle w:val="TextBody"/>
        <w:bidi w:val="0"/>
        <w:jc w:val="left"/>
        <w:rPr>
          <w:rFonts w:ascii="Times New Roman" w:hAnsi="Times New Roman"/>
          <w:sz w:val="20"/>
        </w:rPr>
      </w:pPr>
      <w:r>
        <w:rPr>
          <w:rFonts w:ascii="Times New Roman" w:hAnsi="Times New Roman"/>
          <w:color w:val="000000"/>
          <w:sz w:val="24"/>
        </w:rPr>
        <w:t>In certain prior years, equity grants were in some cases made in the form of restricted stock units (“RSUs”). In the case of non-employee directors who hold unvested RSUs (which currently only includes Mr. Nicolais), these directors will receive dividend equivalent units as and when the Company issues a cash dividend on the Common Stock, in accordance with the terms of the RSUs.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All directors are reimbursed for reasonable expenses of attending meetings.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1" w:name="exp-ex10_2.htm"/>
      <w:bookmarkStart w:id="22" w:name="ksexpex10_2"/>
      <w:bookmarkEnd w:id="21"/>
      <w:bookmarkEnd w:id="22"/>
      <w:r>
        <w:rPr>
          <w:rFonts w:ascii="Times New Roman" w:hAnsi="Times New Roman"/>
          <w:b/>
          <w:color w:val="000000"/>
          <w:sz w:val="24"/>
        </w:rPr>
        <w:t>EXHIBIT 10.2</w:t>
      </w:r>
      <w:r>
        <w:br w:type="page"/>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u w:val="single"/>
        </w:rPr>
        <w:t>EAGLE MATERIALS INC</w:t>
      </w:r>
      <w:r>
        <w:rPr>
          <w:rFonts w:ascii="Times New Roman" w:hAnsi="Times New Roman"/>
          <w:b/>
          <w:color w:val="000000"/>
          <w:sz w:val="24"/>
        </w:rPr>
        <w:t>.</w:t>
      </w:r>
    </w:p>
    <w:p>
      <w:pPr>
        <w:pStyle w:val="TextBody"/>
        <w:bidi w:val="0"/>
        <w:jc w:val="center"/>
        <w:rPr>
          <w:rFonts w:ascii="Times New Roman" w:hAnsi="Times New Roman"/>
          <w:b/>
          <w:color w:val="000000"/>
          <w:sz w:val="24"/>
        </w:rPr>
      </w:pPr>
      <w:r>
        <w:rPr>
          <w:rFonts w:ascii="Times New Roman" w:hAnsi="Times New Roman"/>
          <w:b/>
          <w:color w:val="000000"/>
          <w:sz w:val="24"/>
        </w:rPr>
        <w:t>2023 EQUITY INCENTIVE PLAN</w:t>
      </w:r>
    </w:p>
    <w:p>
      <w:pPr>
        <w:pStyle w:val="TextBody"/>
        <w:bidi w:val="0"/>
        <w:jc w:val="center"/>
        <w:rPr>
          <w:rFonts w:ascii="Times New Roman" w:hAnsi="Times New Roman"/>
          <w:b/>
          <w:color w:val="000000"/>
          <w:sz w:val="24"/>
        </w:rPr>
      </w:pPr>
      <w:r>
        <w:rPr>
          <w:rFonts w:ascii="Times New Roman" w:hAnsi="Times New Roman"/>
          <w:b/>
          <w:color w:val="000000"/>
          <w:sz w:val="24"/>
        </w:rPr>
        <w:t>RESTRICTED STOCK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Eagle Materials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____________ (the “</w:t>
      </w:r>
      <w:r>
        <w:rPr>
          <w:rFonts w:ascii="Times New Roman" w:hAnsi="Times New Roman"/>
          <w:color w:val="000000"/>
          <w:sz w:val="24"/>
          <w:u w:val="single"/>
        </w:rPr>
        <w:t>Grantee</w:t>
      </w:r>
      <w:r>
        <w:rPr>
          <w:rFonts w:ascii="Times New Roman" w:hAnsi="Times New Roman"/>
          <w:color w:val="000000"/>
          <w:sz w:val="20"/>
        </w:rPr>
        <w:t>”</w:t>
      </w:r>
      <w:r>
        <w:rPr>
          <w:rFonts w:ascii="Times New Roman" w:hAnsi="Times New Roman"/>
          <w:color w:val="000000"/>
          <w:sz w:val="24"/>
        </w:rPr>
        <w:t>) hereby enter into this Restricted Stock Award 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in order to set forth the terms and conditions of the Company’s award (the “</w:t>
      </w:r>
      <w:r>
        <w:rPr>
          <w:rFonts w:ascii="Times New Roman" w:hAnsi="Times New Roman"/>
          <w:color w:val="000000"/>
          <w:sz w:val="24"/>
          <w:u w:val="single"/>
        </w:rPr>
        <w:t>Award</w:t>
      </w:r>
      <w:r>
        <w:rPr>
          <w:rFonts w:ascii="Times New Roman" w:hAnsi="Times New Roman"/>
          <w:color w:val="000000"/>
          <w:sz w:val="20"/>
        </w:rPr>
        <w:t>”</w:t>
      </w:r>
      <w:r>
        <w:rPr>
          <w:rFonts w:ascii="Times New Roman" w:hAnsi="Times New Roman"/>
          <w:color w:val="000000"/>
          <w:sz w:val="24"/>
        </w:rPr>
        <w:t>) to the Grantee of certain shares of Common Stock of the Company granted to the Grantee on August 4, 2025 (the “</w:t>
      </w:r>
      <w:r>
        <w:rPr>
          <w:rFonts w:ascii="Times New Roman" w:hAnsi="Times New Roman"/>
          <w:color w:val="000000"/>
          <w:sz w:val="24"/>
          <w:u w:val="single"/>
        </w:rPr>
        <w:t>Award Date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pPr>
      <w:r>
        <w:rPr>
          <w:rFonts w:ascii="Times New Roman" w:hAnsi="Times New Roman"/>
          <w:color w:val="000000"/>
          <w:sz w:val="24"/>
          <w:u w:val="single"/>
        </w:rPr>
        <w:t>Award</w:t>
      </w:r>
      <w:r>
        <w:rPr>
          <w:rFonts w:ascii="Times New Roman" w:hAnsi="Times New Roman"/>
          <w:color w:val="000000"/>
          <w:sz w:val="24"/>
        </w:rPr>
        <w:t>. The Company hereby awards to the Grantee ______ shares of Common Stock of the Company (the “</w:t>
      </w:r>
      <w:r>
        <w:rPr>
          <w:rFonts w:ascii="Times New Roman" w:hAnsi="Times New Roman"/>
          <w:color w:val="000000"/>
          <w:sz w:val="24"/>
          <w:u w:val="single"/>
        </w:rPr>
        <w:t>Shares</w:t>
      </w:r>
      <w:r>
        <w:rPr>
          <w:color w:val="000000"/>
        </w:rPr>
        <w:t>”</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pPr>
      <w:r>
        <w:rPr>
          <w:rFonts w:ascii="Times New Roman" w:hAnsi="Times New Roman"/>
          <w:color w:val="000000"/>
          <w:sz w:val="24"/>
          <w:u w:val="single"/>
        </w:rPr>
        <w:t>Relationship to the Plan</w:t>
      </w:r>
      <w:r>
        <w:rPr>
          <w:rFonts w:ascii="Times New Roman" w:hAnsi="Times New Roman"/>
          <w:color w:val="000000"/>
          <w:sz w:val="24"/>
        </w:rPr>
        <w:t>. The Award shall be subject to the terms and conditions of the Eagle Materials Inc. 2023 Equity Incentive Plan (as may be amended from time to time, the “</w:t>
      </w:r>
      <w:r>
        <w:rPr>
          <w:rFonts w:ascii="Times New Roman" w:hAnsi="Times New Roman"/>
          <w:color w:val="000000"/>
          <w:sz w:val="24"/>
          <w:u w:val="single"/>
        </w:rPr>
        <w:t>Plan</w:t>
      </w:r>
      <w:r>
        <w:rPr>
          <w:color w:val="000000"/>
        </w:rPr>
        <w:t>”</w:t>
      </w:r>
      <w:r>
        <w:rPr>
          <w:rFonts w:ascii="Times New Roman" w:hAnsi="Times New Roman"/>
          <w:color w:val="000000"/>
          <w:sz w:val="24"/>
        </w:rPr>
        <w:t>), this Agreement and such administrative interpretations of the Plan, if any, as such interpretations may be in effect on the date of this Agreement or thereafter. Except as defined herein, capitalized terms shall have the meanings ascribed to them under the Plan. For purposes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left"/>
        <w:rPr/>
      </w:pPr>
      <w:r>
        <w:rPr>
          <w:color w:val="000000"/>
        </w:rPr>
        <w:t>“</w:t>
      </w:r>
      <w:r>
        <w:rPr>
          <w:rFonts w:ascii="Times New Roman" w:hAnsi="Times New Roman"/>
          <w:color w:val="000000"/>
          <w:sz w:val="24"/>
          <w:u w:val="single"/>
        </w:rPr>
        <w:t>Disability</w:t>
      </w:r>
      <w:r>
        <w:rPr>
          <w:color w:val="000000"/>
        </w:rPr>
        <w:t xml:space="preserve">” </w:t>
      </w:r>
      <w:r>
        <w:rPr>
          <w:rFonts w:ascii="Times New Roman" w:hAnsi="Times New Roman"/>
          <w:color w:val="000000"/>
          <w:sz w:val="24"/>
        </w:rPr>
        <w:t>shall mean a disability of the Grantee as determined by the Committee.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left"/>
        <w:rPr/>
      </w:pPr>
      <w:r>
        <w:rPr>
          <w:color w:val="000000"/>
        </w:rPr>
        <w:t>“</w:t>
      </w:r>
      <w:r>
        <w:rPr>
          <w:rFonts w:ascii="Times New Roman" w:hAnsi="Times New Roman"/>
          <w:color w:val="000000"/>
          <w:sz w:val="24"/>
          <w:u w:val="single"/>
        </w:rPr>
        <w:t>Restriction Period</w:t>
      </w:r>
      <w:r>
        <w:rPr>
          <w:color w:val="000000"/>
        </w:rPr>
        <w:t xml:space="preserve">” </w:t>
      </w:r>
      <w:r>
        <w:rPr>
          <w:rFonts w:ascii="Times New Roman" w:hAnsi="Times New Roman"/>
          <w:color w:val="000000"/>
          <w:sz w:val="24"/>
        </w:rPr>
        <w:t xml:space="preserve">shall mean the period beginning on the Award Date and ending on the date immediately preceding the Vesting Date (as defined below) for a Share.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left"/>
        <w:rPr/>
      </w:pPr>
      <w:r>
        <w:rPr>
          <w:color w:val="000000"/>
        </w:rPr>
        <w:t>“</w:t>
      </w:r>
      <w:r>
        <w:rPr>
          <w:rFonts w:ascii="Times New Roman" w:hAnsi="Times New Roman"/>
          <w:color w:val="000000"/>
          <w:sz w:val="24"/>
          <w:u w:val="single"/>
        </w:rPr>
        <w:t>Retirement</w:t>
      </w:r>
      <w:r>
        <w:rPr>
          <w:color w:val="000000"/>
        </w:rPr>
        <w:t xml:space="preserve">” </w:t>
      </w:r>
      <w:r>
        <w:rPr>
          <w:rFonts w:ascii="Times New Roman" w:hAnsi="Times New Roman"/>
          <w:color w:val="000000"/>
          <w:sz w:val="24"/>
        </w:rPr>
        <w:t>shall mean termination of service on the Board at the Company’s mandatory retirement age in accordance with the Company’s director retirement policy or earlier on such terms and conditions as approved by the Committee.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pPr>
      <w:r>
        <w:rPr>
          <w:rFonts w:ascii="Times New Roman" w:hAnsi="Times New Roman"/>
          <w:color w:val="000000"/>
          <w:sz w:val="24"/>
          <w:u w:val="single"/>
        </w:rPr>
        <w:t>Vesting</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3.1.</w:t>
      </w:r>
    </w:p>
    <w:p>
      <w:pPr>
        <w:pStyle w:val="TextBody"/>
        <w:bidi w:val="0"/>
        <w:spacing w:before="0" w:after="240"/>
        <w:jc w:val="left"/>
        <w:rPr/>
      </w:pPr>
      <w:r>
        <w:rPr>
          <w:rFonts w:ascii="Times New Roman" w:hAnsi="Times New Roman"/>
          <w:color w:val="000000"/>
          <w:sz w:val="24"/>
          <w:u w:val="single"/>
        </w:rPr>
        <w:t>Vesting Criteria</w:t>
      </w:r>
      <w:r>
        <w:rPr>
          <w:rFonts w:ascii="Times New Roman" w:hAnsi="Times New Roman"/>
          <w:color w:val="000000"/>
          <w:sz w:val="24"/>
        </w:rPr>
        <w:t>. The Grantee’s interest in the Shares shall vest in full as of the earliest of (i) the one-year anniversary of the Award Date; (ii) the next annual meeting of the Company’s stockholders, which is at least 50 weeks after the immediately preceding year’s annual meeting; (iii) the Grantee’s Retirement; (iv) the Grantee’s Disability; or (v) the Grantee’s death (as applicable, the “</w:t>
      </w:r>
      <w:r>
        <w:rPr>
          <w:rFonts w:ascii="Times New Roman" w:hAnsi="Times New Roman"/>
          <w:color w:val="000000"/>
          <w:sz w:val="24"/>
          <w:u w:val="single"/>
        </w:rPr>
        <w:t>Vesting Date</w:t>
      </w:r>
      <w:r>
        <w:rPr>
          <w:color w:val="000000"/>
        </w:rPr>
        <w:t>”</w:t>
      </w:r>
      <w:r>
        <w:rPr>
          <w:rFonts w:ascii="Times New Roman" w:hAnsi="Times New Roman"/>
          <w:color w:val="000000"/>
          <w:sz w:val="24"/>
        </w:rPr>
        <w:t xml:space="preserve">). Prior to the Vesting Date, all Shares shall be unvested Shares.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3.2.</w:t>
      </w:r>
    </w:p>
    <w:p>
      <w:pPr>
        <w:pStyle w:val="TextBody"/>
        <w:bidi w:val="0"/>
        <w:spacing w:before="0" w:after="240"/>
        <w:jc w:val="left"/>
        <w:rPr/>
      </w:pPr>
      <w:r>
        <w:rPr>
          <w:rFonts w:ascii="Times New Roman" w:hAnsi="Times New Roman"/>
          <w:color w:val="000000"/>
          <w:sz w:val="24"/>
          <w:u w:val="single"/>
        </w:rPr>
        <w:t>Restrictions</w:t>
      </w:r>
      <w:r>
        <w:rPr>
          <w:rFonts w:ascii="Times New Roman" w:hAnsi="Times New Roman"/>
          <w:color w:val="000000"/>
          <w:sz w:val="24"/>
        </w:rPr>
        <w:t>. During the Restriction Period, the Grantee may not sell, transfer, pledge, assign, hypothecate, encumber or otherwise dispose of any unvested Shares or any right or interest related to such unvested Shares, other than as required by the Grantee’s will or beneficiary designation, in accordance with the laws of descent and distribution or by a qualified domestic relations order.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3.3.</w:t>
      </w:r>
    </w:p>
    <w:p>
      <w:pPr>
        <w:pStyle w:val="TextBody"/>
        <w:bidi w:val="0"/>
        <w:spacing w:before="0" w:after="240"/>
        <w:jc w:val="left"/>
        <w:rPr/>
      </w:pPr>
      <w:r>
        <w:rPr>
          <w:rFonts w:ascii="Times New Roman" w:hAnsi="Times New Roman"/>
          <w:color w:val="000000"/>
          <w:sz w:val="24"/>
          <w:u w:val="single"/>
        </w:rPr>
        <w:t>Forfeiture</w:t>
      </w:r>
      <w:r>
        <w:rPr>
          <w:rFonts w:ascii="Times New Roman" w:hAnsi="Times New Roman"/>
          <w:color w:val="000000"/>
          <w:sz w:val="24"/>
        </w:rPr>
        <w:t>. Subject to Section 4, the Grantee must be in continuous service as a Non-Employee Director for purposes of Section 1.4 of the Plan (“</w:t>
      </w:r>
      <w:r>
        <w:rPr>
          <w:rFonts w:ascii="Times New Roman" w:hAnsi="Times New Roman"/>
          <w:color w:val="000000"/>
          <w:sz w:val="24"/>
          <w:u w:val="single"/>
        </w:rPr>
        <w:t xml:space="preserve">Continuous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rFonts w:ascii="Times New Roman" w:hAnsi="Times New Roman"/>
          <w:color w:val="000000"/>
          <w:sz w:val="24"/>
          <w:u w:val="single"/>
        </w:rPr>
        <w:t>Service</w:t>
      </w:r>
      <w:r>
        <w:rPr>
          <w:color w:val="000000"/>
        </w:rPr>
        <w:t>”</w:t>
      </w:r>
      <w:r>
        <w:rPr>
          <w:rFonts w:ascii="Times New Roman" w:hAnsi="Times New Roman"/>
          <w:color w:val="000000"/>
          <w:sz w:val="24"/>
        </w:rPr>
        <w:t>) from the Award Date through the Vesting Date for an unvested Share to become vested. Subject to Section 4, the termination of such Continuous Service prior to the Vesting Date shall cause all unvested Shares to be automatically forfeited as of the date of such termination of Continuous Service.</w:t>
      </w:r>
      <w:r>
        <w:rPr>
          <w:color w:val="00000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pPr>
      <w:r>
        <w:rPr>
          <w:rFonts w:ascii="Times New Roman" w:hAnsi="Times New Roman"/>
          <w:color w:val="000000"/>
          <w:sz w:val="24"/>
          <w:u w:val="single"/>
        </w:rPr>
        <w:t>Change in Control</w:t>
      </w:r>
      <w:r>
        <w:rPr>
          <w:rFonts w:ascii="Times New Roman" w:hAnsi="Times New Roman"/>
          <w:color w:val="000000"/>
          <w:sz w:val="24"/>
        </w:rPr>
        <w:t>. Notwithstanding Section 3 above, if the Grantee has been in Continuous Service from the Award Date through the occurrence of a Change in Control, then, in the event of the occurrence of such a Change in Control, any vesting of the Shares will remain subject to the applicable provisions of the Plan, including, but not limited to, Sections 1.3 and 5.8 thereof.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left"/>
        <w:rPr/>
      </w:pPr>
      <w:r>
        <w:rPr>
          <w:rFonts w:ascii="Times New Roman" w:hAnsi="Times New Roman"/>
          <w:color w:val="000000"/>
          <w:sz w:val="24"/>
          <w:u w:val="single"/>
        </w:rPr>
        <w:t>Stockholder Rights</w:t>
      </w:r>
      <w:r>
        <w:rPr>
          <w:rFonts w:ascii="Times New Roman" w:hAnsi="Times New Roman"/>
          <w:color w:val="000000"/>
          <w:sz w:val="24"/>
        </w:rPr>
        <w:t xml:space="preserve">. The Grantee shall have the right to vote the Shares. On the Vesting Date, the Grantee shall be paid a cash dividend payment equal to: (i) the sum of per share dividends paid with respect to Common Stock during the period from the Award Date to the Vesting Date; </w:t>
      </w:r>
      <w:r>
        <w:rPr>
          <w:rFonts w:ascii="Times New Roman" w:hAnsi="Times New Roman"/>
          <w:color w:val="000000"/>
          <w:sz w:val="24"/>
          <w:u w:val="single"/>
        </w:rPr>
        <w:t>provided</w:t>
      </w:r>
      <w:r>
        <w:rPr>
          <w:rFonts w:ascii="Times New Roman" w:hAnsi="Times New Roman"/>
          <w:color w:val="000000"/>
          <w:sz w:val="24"/>
        </w:rPr>
        <w:t>, that the record date for such dividend payment is on or after the Award Date; times (ii) the number of Shares determined to be vested with respect to the Vesting Date, it being understood that the Grantee’s entitlement to receive such dividend payment shall be subject to the same vesting conditions as the Shares hereunder.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left"/>
        <w:rPr/>
      </w:pPr>
      <w:r>
        <w:rPr>
          <w:rFonts w:ascii="Times New Roman" w:hAnsi="Times New Roman"/>
          <w:color w:val="000000"/>
          <w:sz w:val="24"/>
          <w:u w:val="single"/>
        </w:rPr>
        <w:t>Corporate Events</w:t>
      </w:r>
      <w:r>
        <w:rPr>
          <w:rFonts w:ascii="Times New Roman" w:hAnsi="Times New Roman"/>
          <w:color w:val="000000"/>
          <w:sz w:val="24"/>
        </w:rPr>
        <w:t xml:space="preserve">. If, from time to time during the term of the Restriction Period, there is any equity restructuring affecting the outstanding Common Stock that causes the per share value of Common Stock to change, the Shares and other applicable terms of this Award shall be adjusted in accordance with the provisions of Section 5.7 of the Plan. Any and all new, substituted or additional securities to which the Grantee may be entitled by reason of the Grantee’s ownership of the Shares hereunder because of an equity restructuring shall be immediately subject to the restrictions set forth herein (as may be modified pursuant to this Agreement) and included thereafter as Shares for purposes of this Agreement.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left"/>
        <w:rPr/>
      </w:pPr>
      <w:r>
        <w:rPr>
          <w:rFonts w:ascii="Times New Roman" w:hAnsi="Times New Roman"/>
          <w:color w:val="000000"/>
          <w:sz w:val="24"/>
          <w:u w:val="single"/>
        </w:rPr>
        <w:t>Refusal to Transfer</w:t>
      </w:r>
      <w:r>
        <w:rPr>
          <w:rFonts w:ascii="Times New Roman" w:hAnsi="Times New Roman"/>
          <w:color w:val="000000"/>
          <w:sz w:val="24"/>
        </w:rPr>
        <w:t>. The Company shall not be required: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7.1.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to transfer on its books any Shares that have been sold or otherwise transferred in violation of any of the provisions of this Agreement or the Plan;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7.2.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to treat such purchaser or other transferee as owner of such Shares, accord such purchaser or other transferee the right to vote; or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7.3.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pay or deliver dividends or other distributions to such purchaser or other transferee with respect to such Shares.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left"/>
        <w:rPr/>
      </w:pPr>
      <w:r>
        <w:rPr>
          <w:rFonts w:ascii="Times New Roman" w:hAnsi="Times New Roman"/>
          <w:color w:val="000000"/>
          <w:sz w:val="24"/>
          <w:u w:val="single"/>
        </w:rPr>
        <w:t>Legends</w:t>
      </w:r>
      <w:r>
        <w:rPr>
          <w:rFonts w:ascii="Times New Roman" w:hAnsi="Times New Roman"/>
          <w:color w:val="000000"/>
          <w:sz w:val="24"/>
        </w:rPr>
        <w:t>. If the Shares are certificated, the certificate or certificates evidencing the Shares, if any, issued hereunder shall be endorsed with the following legend: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SHARES REPRESENTED BY THIS CERTIFICATE ARE SUBJECT TO CERTAIN RESTRICTIONS AND, ACCORDINGLY, MAY NOT BE SOLD, TRANSFERRED, PLEDGED, ASSIGNED, HYPOTHECATED, ENCUMBERED, OR IN ANY MANNER DISPOSED OF EXCEPT IN CONFORMITY WITH THE TERMS OF THAT CERTAIN RESTRICTED STOCK AGREEMENT BETWEEN THE ISSUER AND THE ORIGINAL HOLDER OF THESE SHARES. A COPY OF SUCH AGREEMENT IS MAINTAINED AT THE ISSUER’S PRINCIPAL CORPORATE OFFICES.</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left"/>
        <w:rPr/>
      </w:pPr>
      <w:r>
        <w:rPr>
          <w:rFonts w:ascii="Times New Roman" w:hAnsi="Times New Roman"/>
          <w:color w:val="000000"/>
          <w:sz w:val="24"/>
          <w:u w:val="single"/>
        </w:rPr>
        <w:t>Tax Consequences</w:t>
      </w:r>
      <w:r>
        <w:rPr>
          <w:rFonts w:ascii="Times New Roman" w:hAnsi="Times New Roman"/>
          <w:color w:val="000000"/>
          <w:sz w:val="24"/>
        </w:rPr>
        <w:t>. The Grantee acknowledges that the Grantee has reviewed, or has had the opportunity to review, with the Grantee’s own tax advisors the federal, state, and local tax consequences of this investment and the transactions contemplated by this Agreement. The Grantee is relying solely on such advisors and not on any statements or representations of the Company or any of its agents. The Grantee understands that the Grantee (and not the Company) shall be responsible for the Grantee’s own tax liability that may arise as a result of the transactions contemplated by this Agreement. The Grantee understands that Section 83 of the Code taxes as ordinary income the difference between the purchase price, if any, for the Shares and the Fair Market Value of the Shares as of the date the restrictions on the Shares lapse. In this context, “restriction” means the restrictions imposed during the Restriction Period. The Grantee understands that the Grantee may elect to be taxed at the time the Shares are awarded rather than when and as the restrictions lapse by filing an election under Section 83(b) of the Code with the Internal Revenue Service within 30 days from the Award Date (and by submitting a copy of such election with the Company). THE GRANTEE ACKNOWLEDGES THAT IT IS THE GRANTEE’S SOLE RESPONSIBILITY (AND NOT THE COMPANY’S) TO FILE TIMELY THE ELECTION UNDER SECTION 83(B), EVEN IF THE GRANTEE REQUESTS THE COMPANY OR ITS REPRESENTATIVES TO MAKE THIS FILING ON THE GRANTEE’S BEHALF.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left"/>
        <w:rPr/>
      </w:pPr>
      <w:r>
        <w:rPr>
          <w:rFonts w:ascii="Times New Roman" w:hAnsi="Times New Roman"/>
          <w:color w:val="000000"/>
          <w:sz w:val="24"/>
          <w:u w:val="single"/>
        </w:rPr>
        <w:t>Entire Agreement; Governing Law</w:t>
      </w:r>
      <w:r>
        <w:rPr>
          <w:rFonts w:ascii="Times New Roman" w:hAnsi="Times New Roman"/>
          <w:color w:val="000000"/>
          <w:sz w:val="24"/>
        </w:rPr>
        <w:t>. The Plan and this Agreement constitute the entire agreement of the Company and the Grantee (collectively, the “</w:t>
      </w:r>
      <w:r>
        <w:rPr>
          <w:rFonts w:ascii="Times New Roman" w:hAnsi="Times New Roman"/>
          <w:color w:val="000000"/>
          <w:sz w:val="24"/>
          <w:u w:val="single"/>
        </w:rPr>
        <w:t>Parties</w:t>
      </w:r>
      <w:r>
        <w:rPr>
          <w:color w:val="000000"/>
        </w:rPr>
        <w:t>”</w:t>
      </w:r>
      <w:r>
        <w:rPr>
          <w:rFonts w:ascii="Times New Roman" w:hAnsi="Times New Roman"/>
          <w:color w:val="000000"/>
          <w:sz w:val="24"/>
        </w:rPr>
        <w:t>) with respect to the subject matter hereof and supersede in their entirety all prior undertakings and agreements of the Parties with respect to the subject matter hereof, and may not be modified adversely to the Grantee’s interest except by means of a writing signed by the Parties or as otherwise permitted under the Plan or this Agreement. Nothing in the Plan and this Agreement (except as expressly provided therein or herein) is intended to confer any rights or remedies on any person other than the Parties. The Plan and this Agreement are to be construed in accordance with and governed by the internal laws of the State of Texas, without giving effect to any choice-of-law rule that would cause the application of the laws of any jurisdiction other than the internal laws of the State of Texas to the rights and duties of the Parties. Should any provision of the Plan or this Agreement relating to the Shares be determined by a court of law to be illegal or unenforceable, such provision shall be enforced to the fullest extent allowed by law and the other provisions shall nevertheless remain effective and shall remain enforceable.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left"/>
        <w:rPr/>
      </w:pPr>
      <w:r>
        <w:rPr>
          <w:rFonts w:ascii="Times New Roman" w:hAnsi="Times New Roman"/>
          <w:color w:val="000000"/>
          <w:sz w:val="24"/>
          <w:u w:val="single"/>
        </w:rPr>
        <w:t>Interpretive Matters</w:t>
      </w:r>
      <w:r>
        <w:rPr>
          <w:rFonts w:ascii="Times New Roman" w:hAnsi="Times New Roman"/>
          <w:color w:val="000000"/>
          <w:sz w:val="24"/>
        </w:rPr>
        <w:t xml:space="preserve">. Whenever required by the context, pronouns and any variation thereof shall be deemed to refer to the masculine, feminine, or neuter, and the singular shall include the plural, and vice versa. The term “include” or “including” does not denote or imply any limitation. The term “business day” means any Monday through Friday other than such a day on which banks are authorized to be closed in the State of Texas. The captions and headings used in this Agreement are inserted for convenience and shall not be deemed a part of the Award or this Agreement for construction or interpretation.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left"/>
        <w:rPr/>
      </w:pPr>
      <w:r>
        <w:rPr>
          <w:rFonts w:ascii="Times New Roman" w:hAnsi="Times New Roman"/>
          <w:color w:val="000000"/>
          <w:sz w:val="24"/>
          <w:u w:val="single"/>
        </w:rPr>
        <w:t>Notice</w:t>
      </w:r>
      <w:r>
        <w:rPr>
          <w:rFonts w:ascii="Times New Roman" w:hAnsi="Times New Roman"/>
          <w:color w:val="000000"/>
          <w:sz w:val="24"/>
        </w:rPr>
        <w:t>. Any notice or other communication required or permitted hereunder shall be given in writing and shall be deemed given, effective, and received upon prepaid delivery in person or by courier or upon the earlier of delivery or the third business day after deposit in the United States mail if sent by certified mail, with postage and fees prepaid, addressed to the other Party at its address as shown beneath its signature in this Agreement, or to such other address as such Party may designate in writing from time to time by notice to the other Party.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left"/>
        <w:rPr/>
      </w:pPr>
      <w:r>
        <w:rPr>
          <w:rFonts w:ascii="Times New Roman" w:hAnsi="Times New Roman"/>
          <w:color w:val="000000"/>
          <w:sz w:val="24"/>
          <w:u w:val="single"/>
        </w:rPr>
        <w:t>Successors and Assigns</w:t>
      </w:r>
      <w:r>
        <w:rPr>
          <w:rFonts w:ascii="Times New Roman" w:hAnsi="Times New Roman"/>
          <w:color w:val="000000"/>
          <w:sz w:val="24"/>
        </w:rPr>
        <w:t xml:space="preserve">. This Agreement shall bind and inure to the benefit of and be enforceable by the Grantee, the Company and their respective permitted successors and assigns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(including personal representatives, heirs and legatees), except that the Grantee may not assign any rights or obligations under this Agreement except to the extent and in the manner expressly permitted herein.</w:t>
      </w:r>
    </w:p>
    <w:p>
      <w:pPr>
        <w:pStyle w:val="TextBody"/>
        <w:bidi w:val="0"/>
        <w:jc w:val="left"/>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4"/>
        </w:rPr>
        <w:t>EAGLE MATERIALS INC</w:t>
      </w:r>
      <w:r>
        <w:rPr>
          <w:rFonts w:ascii="Times New Roman" w:hAnsi="Times New Roman"/>
          <w:color w:val="000000"/>
          <w:sz w:val="24"/>
        </w:rPr>
        <w:t>.</w:t>
      </w:r>
    </w:p>
    <w:p>
      <w:pPr>
        <w:pStyle w:val="TextBody"/>
        <w:bidi w:val="0"/>
        <w:jc w:val="both"/>
        <w:rPr/>
      </w:pPr>
      <w:r>
        <w:rPr/>
        <w:t> </w:t>
      </w:r>
    </w:p>
    <w:p>
      <w:pPr>
        <w:pStyle w:val="TextBody"/>
        <w:bidi w:val="0"/>
        <w:jc w:val="both"/>
        <w:rPr/>
      </w:pPr>
      <w:r>
        <w:rPr/>
        <w:t> </w:t>
      </w:r>
    </w:p>
    <w:tbl>
      <w:tblPr>
        <w:tblW w:w="4269" w:type="dxa"/>
        <w:jc w:val="left"/>
        <w:tblInd w:w="0" w:type="dxa"/>
        <w:tblLayout w:type="fixed"/>
        <w:tblCellMar>
          <w:top w:w="28" w:type="dxa"/>
          <w:left w:w="28" w:type="dxa"/>
          <w:bottom w:w="28" w:type="dxa"/>
          <w:right w:w="28" w:type="dxa"/>
        </w:tblCellMar>
      </w:tblPr>
      <w:tblGrid>
        <w:gridCol w:w="161"/>
        <w:gridCol w:w="146"/>
        <w:gridCol w:w="946"/>
        <w:gridCol w:w="301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By:</w:t>
            </w:r>
          </w:p>
        </w:tc>
        <w:tc>
          <w:tcPr>
            <w:tcW w:w="301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tcMar>
              <w:top w:w="0" w:type="dxa"/>
              <w:left w:w="0" w:type="dxa"/>
              <w:bottom w:w="0" w:type="dxa"/>
              <w:right w:w="0" w:type="dxa"/>
            </w:tcMar>
            <w:vAlign w:val="center"/>
          </w:tcPr>
          <w:p>
            <w:pPr>
              <w:pStyle w:val="TableContents"/>
              <w:bidi w:val="0"/>
              <w:spacing w:before="0" w:after="283"/>
              <w:jc w:val="both"/>
              <w:rPr/>
            </w:pPr>
            <w:r>
              <w:rPr/>
              <w:t> </w:t>
            </w:r>
          </w:p>
        </w:tc>
        <w:tc>
          <w:tcPr>
            <w:tcW w:w="301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w:t>
            </w:r>
          </w:p>
        </w:tc>
        <w:tc>
          <w:tcPr>
            <w:tcW w:w="30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Michael R. Haack</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tcMar>
              <w:top w:w="0" w:type="dxa"/>
              <w:left w:w="0" w:type="dxa"/>
              <w:bottom w:w="0" w:type="dxa"/>
              <w:right w:w="0" w:type="dxa"/>
            </w:tcMar>
            <w:vAlign w:val="center"/>
          </w:tcPr>
          <w:p>
            <w:pPr>
              <w:pStyle w:val="TableContents"/>
              <w:bidi w:val="0"/>
              <w:spacing w:before="0" w:after="283"/>
              <w:jc w:val="both"/>
              <w:rPr/>
            </w:pPr>
            <w:r>
              <w:rPr/>
              <w:t> </w:t>
            </w:r>
          </w:p>
        </w:tc>
        <w:tc>
          <w:tcPr>
            <w:tcW w:w="301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Its:</w:t>
            </w:r>
          </w:p>
        </w:tc>
        <w:tc>
          <w:tcPr>
            <w:tcW w:w="30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President and CEO</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tcMar>
              <w:top w:w="0" w:type="dxa"/>
              <w:left w:w="0" w:type="dxa"/>
              <w:bottom w:w="0" w:type="dxa"/>
              <w:right w:w="0" w:type="dxa"/>
            </w:tcMar>
            <w:vAlign w:val="center"/>
          </w:tcPr>
          <w:p>
            <w:pPr>
              <w:pStyle w:val="TableContents"/>
              <w:bidi w:val="0"/>
              <w:spacing w:before="0" w:after="283"/>
              <w:jc w:val="both"/>
              <w:rPr/>
            </w:pPr>
            <w:r>
              <w:rPr/>
              <w:t> </w:t>
            </w:r>
          </w:p>
        </w:tc>
        <w:tc>
          <w:tcPr>
            <w:tcW w:w="301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Address:</w:t>
            </w:r>
          </w:p>
        </w:tc>
        <w:tc>
          <w:tcPr>
            <w:tcW w:w="301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5960 Berkshire Ln., Suite 900</w:t>
            </w:r>
          </w:p>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Dallas, Texas 75225</w:t>
            </w:r>
          </w:p>
        </w:tc>
      </w:tr>
    </w:tbl>
    <w:p>
      <w:pPr>
        <w:pStyle w:val="TextBody"/>
        <w:bidi w:val="0"/>
        <w:jc w:val="both"/>
        <w:rPr>
          <w:rFonts w:ascii="Times New Roman" w:hAnsi="Times New Roman"/>
          <w:color w:val="000000"/>
          <w:sz w:val="24"/>
        </w:rPr>
      </w:pPr>
      <w:r>
        <w:rPr>
          <w:rFonts w:ascii="Times New Roman" w:hAnsi="Times New Roman"/>
          <w:color w:val="000000"/>
          <w:sz w:val="24"/>
        </w:rPr>
        <w:t>The Grantee acknowledges receipt of a copy of the Plan, represents that he or she is familiar with the terms and provisions thereof, and hereby accepts the Award subject to all of the terms and provisions hereof and thereof. The Grantee has reviewed this Agreement and the Plan in their entirety, has had an opportunity to obtain the advice of counsel prior to executing this Agreement, and fully understands all provisions of this Agreement and the Plan. The Grantee further agrees to notify the Company upon any change in the address for notice indicated in this Agreement.</w:t>
      </w:r>
    </w:p>
    <w:p>
      <w:pPr>
        <w:pStyle w:val="TextBody"/>
        <w:bidi w:val="0"/>
        <w:jc w:val="both"/>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GRANTEE</w:t>
      </w:r>
    </w:p>
    <w:p>
      <w:pPr>
        <w:pStyle w:val="TextBody"/>
        <w:bidi w:val="0"/>
        <w:jc w:val="both"/>
        <w:rPr/>
      </w:pPr>
      <w:r>
        <w:rPr/>
        <w:t> </w:t>
      </w:r>
    </w:p>
    <w:tbl>
      <w:tblPr>
        <w:tblW w:w="1444" w:type="dxa"/>
        <w:jc w:val="left"/>
        <w:tblInd w:w="0" w:type="dxa"/>
        <w:tblLayout w:type="fixed"/>
        <w:tblCellMar>
          <w:top w:w="28" w:type="dxa"/>
          <w:left w:w="28" w:type="dxa"/>
          <w:bottom w:w="28" w:type="dxa"/>
          <w:right w:w="28" w:type="dxa"/>
        </w:tblCellMar>
      </w:tblPr>
      <w:tblGrid>
        <w:gridCol w:w="161"/>
        <w:gridCol w:w="146"/>
        <w:gridCol w:w="9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Signed:</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4"/>
              </w:rPr>
            </w:pPr>
            <w:r>
              <w:rPr>
                <w:rFonts w:ascii="Times New Roman" w:hAnsi="Times New Roman"/>
                <w:color w:val="000000"/>
                <w:sz w:val="24"/>
              </w:rPr>
              <w:t>Name:</w:t>
            </w:r>
          </w:p>
        </w:tc>
        <w:tc>
          <w:tcPr>
            <w:tcW w:w="191" w:type="dxa"/>
            <w:tcBorders/>
            <w:tcMar>
              <w:top w:w="0" w:type="dxa"/>
              <w:left w:w="0" w:type="dxa"/>
              <w:bottom w:w="0" w:type="dxa"/>
              <w:right w:w="0" w:type="dxa"/>
            </w:tcMar>
            <w:vAlign w:val="center"/>
          </w:tcPr>
          <w:p>
            <w:pPr>
              <w:pStyle w:val="TableContents"/>
              <w:bidi w:val="0"/>
              <w:spacing w:before="0" w:after="120"/>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tcMar>
              <w:top w:w="0" w:type="dxa"/>
              <w:left w:w="0" w:type="dxa"/>
              <w:bottom w:w="0" w:type="dxa"/>
              <w:right w:w="0" w:type="dxa"/>
            </w:tcMar>
            <w:vAlign w:val="center"/>
          </w:tcPr>
          <w:p>
            <w:pPr>
              <w:pStyle w:val="TableContents"/>
              <w:bidi w:val="0"/>
              <w:spacing w:before="0" w:after="120"/>
              <w:jc w:val="both"/>
              <w:rPr/>
            </w:pPr>
            <w:r>
              <w:rPr/>
              <w:t> </w:t>
            </w:r>
          </w:p>
        </w:tc>
        <w:tc>
          <w:tcPr>
            <w:tcW w:w="191" w:type="dxa"/>
            <w:tcBorders/>
            <w:tcMar>
              <w:top w:w="0" w:type="dxa"/>
              <w:left w:w="0" w:type="dxa"/>
              <w:bottom w:w="0" w:type="dxa"/>
              <w:right w:w="0" w:type="dxa"/>
            </w:tcMar>
            <w:vAlign w:val="center"/>
          </w:tcPr>
          <w:p>
            <w:pPr>
              <w:pStyle w:val="TableContents"/>
              <w:bidi w:val="0"/>
              <w:spacing w:before="0" w:after="120"/>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Address:</w:t>
            </w:r>
          </w:p>
        </w:tc>
        <w:tc>
          <w:tcPr>
            <w:tcW w:w="191" w:type="dxa"/>
            <w:tcBorders/>
            <w:tcMar>
              <w:top w:w="0" w:type="dxa"/>
              <w:left w:w="0" w:type="dxa"/>
              <w:bottom w:w="0" w:type="dxa"/>
              <w:right w:w="0" w:type="dxa"/>
            </w:tcMar>
            <w:vAlign w:val="center"/>
          </w:tcPr>
          <w:p>
            <w:pPr>
              <w:pStyle w:val="TableContents"/>
              <w:bidi w:val="0"/>
              <w:spacing w:before="0" w:after="120"/>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exp-ex31_1.htm"/>
      <w:bookmarkStart w:id="24" w:name="ksexpex31_1"/>
      <w:bookmarkEnd w:id="23"/>
      <w:bookmarkEnd w:id="24"/>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Periodic Report Pursuant to Section 302 of the Sarbanes-Oxley Act of 2002</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Michael R. Haack,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1. I have reviewed this report on Form 10-Q of Eagle Materials Inc.;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Dated: October 30, 2025</w:t>
      </w:r>
    </w:p>
    <w:p>
      <w:pPr>
        <w:pStyle w:val="TextBody"/>
        <w:bidi w:val="0"/>
        <w:jc w:val="left"/>
        <w:rPr/>
      </w:pPr>
      <w:r>
        <w:rPr/>
        <w:t> </w:t>
      </w:r>
    </w:p>
    <w:tbl>
      <w:tblPr>
        <w:tblW w:w="3681" w:type="dxa"/>
        <w:jc w:val="left"/>
        <w:tblInd w:w="0" w:type="dxa"/>
        <w:tblLayout w:type="fixed"/>
        <w:tblCellMar>
          <w:top w:w="28" w:type="dxa"/>
          <w:left w:w="28" w:type="dxa"/>
          <w:bottom w:w="28" w:type="dxa"/>
          <w:right w:w="28" w:type="dxa"/>
        </w:tblCellMar>
      </w:tblPr>
      <w:tblGrid>
        <w:gridCol w:w="361"/>
        <w:gridCol w:w="109"/>
        <w:gridCol w:w="3211"/>
      </w:tblGrid>
      <w:tr>
        <w:trPr/>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Michael R. Haack </w:t>
            </w:r>
          </w:p>
        </w:tc>
      </w:tr>
      <w:tr>
        <w:trPr/>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Michael R. Haack</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exp-ex31_2.htm"/>
      <w:bookmarkStart w:id="26" w:name="ksexpex31_2"/>
      <w:bookmarkEnd w:id="25"/>
      <w:bookmarkEnd w:id="2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Periodic Report Pursuant to Section 302 of the Sarbanes-Oxley Act of 2002</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D. Craig Kesler,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1. I have reviewed this report on Form 10-Q of Eagle Materials Inc.;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Dated: October 30, 2025</w:t>
      </w:r>
    </w:p>
    <w:tbl>
      <w:tblPr>
        <w:tblW w:w="2886" w:type="dxa"/>
        <w:jc w:val="left"/>
        <w:tblInd w:w="0" w:type="dxa"/>
        <w:tblLayout w:type="fixed"/>
        <w:tblCellMar>
          <w:top w:w="28" w:type="dxa"/>
          <w:left w:w="28" w:type="dxa"/>
          <w:bottom w:w="28" w:type="dxa"/>
          <w:right w:w="28" w:type="dxa"/>
        </w:tblCellMar>
      </w:tblPr>
      <w:tblGrid>
        <w:gridCol w:w="361"/>
        <w:gridCol w:w="109"/>
        <w:gridCol w:w="2416"/>
      </w:tblGrid>
      <w:tr>
        <w:trPr/>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 Craig Kesler</w:t>
            </w:r>
          </w:p>
        </w:tc>
      </w:tr>
      <w:tr>
        <w:trPr/>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D. Craig Kesler</w:t>
            </w:r>
          </w:p>
          <w:p>
            <w:pPr>
              <w:pStyle w:val="TableContents"/>
              <w:bidi w:val="0"/>
              <w:jc w:val="both"/>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exp-ex32_1.htm"/>
      <w:bookmarkStart w:id="28" w:name="ksexpex32_1"/>
      <w:bookmarkEnd w:id="27"/>
      <w:bookmarkEnd w:id="28"/>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Periodic Report Pursuant to Section 906 of the Sarbanes-Oxley Act of 2002</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the Quarterly Report of Eagle Materials Inc. and subsidiaries (the “Company”) on Form 10-Q for the period ended September 30, 2025 as filed with the Securities and Exchange Commission on the date hereof (the “Report”), I, Michael R. Haack, President and Chief Executive Officer of the Company, certify, pursuant to 18 U.S.C. section 1350, as adopted pursuant to section 906 of the Sarbanes-Oxley Act of 2002, that, to the best of my knowledge: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Dated: October 30, 2025</w:t>
      </w:r>
    </w:p>
    <w:tbl>
      <w:tblPr>
        <w:tblW w:w="3681" w:type="dxa"/>
        <w:jc w:val="left"/>
        <w:tblInd w:w="0" w:type="dxa"/>
        <w:tblLayout w:type="fixed"/>
        <w:tblCellMar>
          <w:top w:w="28" w:type="dxa"/>
          <w:left w:w="28" w:type="dxa"/>
          <w:bottom w:w="28" w:type="dxa"/>
          <w:right w:w="28" w:type="dxa"/>
        </w:tblCellMar>
      </w:tblPr>
      <w:tblGrid>
        <w:gridCol w:w="361"/>
        <w:gridCol w:w="109"/>
        <w:gridCol w:w="3211"/>
      </w:tblGrid>
      <w:tr>
        <w:trPr/>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R. Haack</w:t>
            </w:r>
          </w:p>
        </w:tc>
      </w:tr>
      <w:tr>
        <w:trPr/>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Michael R. Haack</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exp-ex32_2.htm"/>
      <w:bookmarkStart w:id="30" w:name="ksexpex32_2"/>
      <w:bookmarkEnd w:id="29"/>
      <w:bookmarkEnd w:id="30"/>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Periodic Report Pursuant to Section 906 of the Sarbanes-Oxley Act of 2002</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the Quarterly Report of Eagle Materials Inc. and subsidiaries (the “Company”) on Form 10-Q for the period ended September 30, 2025 as filed with the Securities and Exchange Commission on the date hereof (the “Report”), I, D. Craig Kesler, Chief Financial Officer of the Company, certify, pursuant to 18 U.S.C. section 1350, as adopted pursuant to section 906 of the Sarbanes-Oxley Act of 2002, that, to the best of my knowledge: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Dated: October 30, 2025</w:t>
      </w:r>
    </w:p>
    <w:tbl>
      <w:tblPr>
        <w:tblW w:w="2886" w:type="dxa"/>
        <w:jc w:val="left"/>
        <w:tblInd w:w="0" w:type="dxa"/>
        <w:tblLayout w:type="fixed"/>
        <w:tblCellMar>
          <w:top w:w="28" w:type="dxa"/>
          <w:left w:w="28" w:type="dxa"/>
          <w:bottom w:w="28" w:type="dxa"/>
          <w:right w:w="28" w:type="dxa"/>
        </w:tblCellMar>
      </w:tblPr>
      <w:tblGrid>
        <w:gridCol w:w="361"/>
        <w:gridCol w:w="109"/>
        <w:gridCol w:w="2416"/>
      </w:tblGrid>
      <w:tr>
        <w:trPr/>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 Craig Kesler</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D. Craig Kesler</w:t>
            </w:r>
          </w:p>
          <w:p>
            <w:pPr>
              <w:pStyle w:val="TableContents"/>
              <w:bidi w:val="0"/>
              <w:jc w:val="both"/>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 w:hAnsi="Times New Roman"/>
          <w:sz w:val="20"/>
          <w:bdr w:val="single" w:sz="4" w:space="1" w:color="000000"/>
        </w:rPr>
      </w:pPr>
      <w:bookmarkStart w:id="31" w:name="exp-ex95.htm"/>
      <w:bookmarkStart w:id="32" w:name="ksexpex95"/>
      <w:bookmarkEnd w:id="31"/>
      <w:bookmarkEnd w:id="32"/>
      <w:r>
        <w:rPr>
          <w:rFonts w:ascii="Times New Roman" w:hAnsi="Times New Roman"/>
          <w:b/>
          <w:i/>
          <w:color w:val="000000"/>
          <w:sz w:val="20"/>
          <w:bdr w:val="single" w:sz="4" w:space="1" w:color="000000"/>
        </w:rPr>
        <w:t>Exhibit 95</w:t>
      </w:r>
      <w:r>
        <w:rPr>
          <w:rFonts w:ascii="Times New Roman" w:hAnsi="Times New Roman"/>
          <w:color w:val="000000"/>
          <w:sz w:val="20"/>
          <w:bdr w:val="single" w:sz="4" w:space="1" w:color="000000"/>
        </w:rPr>
        <w:t xml:space="preserve"> </w:t>
      </w:r>
      <w:r>
        <w:br w:type="page"/>
      </w:r>
    </w:p>
    <w:p>
      <w:pPr>
        <w:pStyle w:val="TextBody"/>
        <w:bidi w:val="0"/>
        <w:spacing w:before="0" w:after="0"/>
        <w:jc w:val="center"/>
        <w:rPr>
          <w:rFonts w:ascii="Times New Roman" w:hAnsi="Times New Roman"/>
          <w:b/>
          <w:i/>
          <w:color w:val="000000"/>
          <w:sz w:val="20"/>
          <w:bdr w:val="single" w:sz="4" w:space="1" w:color="000000"/>
        </w:rPr>
      </w:pPr>
      <w:r>
        <w:rPr>
          <w:rFonts w:ascii="Times New Roman" w:hAnsi="Times New Roman"/>
          <w:b/>
          <w:i/>
          <w:color w:val="000000"/>
          <w:sz w:val="20"/>
          <w:bdr w:val="single" w:sz="4" w:space="1" w:color="000000"/>
        </w:rPr>
        <w:t>MINE SAFETY DISCLOSURE</w:t>
      </w:r>
    </w:p>
    <w:p>
      <w:pPr>
        <w:pStyle w:val="TextBody"/>
        <w:bidi w:val="0"/>
        <w:spacing w:before="0" w:after="0"/>
        <w:jc w:val="right"/>
        <w:rPr>
          <w:bdr w:val="single" w:sz="4" w:space="1" w:color="000000"/>
        </w:rPr>
      </w:pPr>
      <w:r>
        <w:rPr>
          <w:bdr w:val="single" w:sz="4" w:space="1" w:color="000000"/>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00"/>
              <w:jc w:val="left"/>
              <w:rPr>
                <w:rFonts w:ascii="Times New Roman" w:hAnsi="Times New Roman"/>
                <w:color w:val="000000"/>
                <w:sz w:val="18"/>
              </w:rPr>
            </w:pPr>
            <w:r>
              <w:rPr>
                <w:rFonts w:ascii="Times New Roman" w:hAnsi="Times New Roman"/>
                <w:color w:val="000000"/>
                <w:sz w:val="18"/>
              </w:rPr>
              <w:t>Section 1503 of the Dodd-Frank Wall Street Reform and Consumer Protection Act contains reporting requirements regarding mine safety. The operation of our quarries is subject to regulation by the federal Mine Safety and Health Administration, or MSHA, under the Federal Mine Safety and Health Act of 1977, or the Mine Act. Set forth below is the required information regarding certain mining safety and health matters for the Quarter 2 FY 2026 July 1, 2025 – September 30, 2025, for our facilities. In evaluating this information, consideration should be given to factors such as: (i) the number of citations and orders will vary depending on the size of the quarry, (ii) the number of citations issued will vary from inspector-to-inspector and mine-to-mine, and (iii) citations and orders can be contested and appealed, and in that process, may be reduced in severity and amount, and are sometimes dismissed.</w:t>
            </w:r>
          </w:p>
        </w:tc>
      </w:tr>
    </w:tbl>
    <w:p>
      <w:pPr>
        <w:pStyle w:val="TextBody"/>
        <w:bidi w:val="0"/>
        <w:spacing w:before="0" w:after="200"/>
        <w:jc w:val="left"/>
        <w:rPr>
          <w:bdr w:val="single" w:sz="4" w:space="1" w:color="000000"/>
        </w:rPr>
      </w:pPr>
      <w:r>
        <w:rPr>
          <w:bdr w:val="single" w:sz="4" w:space="1" w:color="000000"/>
        </w:rPr>
        <w:t> </w:t>
      </w:r>
    </w:p>
    <w:tbl>
      <w:tblPr>
        <w:tblW w:w="10205" w:type="dxa"/>
        <w:jc w:val="left"/>
        <w:tblInd w:w="0" w:type="dxa"/>
        <w:tblLayout w:type="fixed"/>
        <w:tblCellMar>
          <w:top w:w="28" w:type="dxa"/>
          <w:left w:w="28" w:type="dxa"/>
          <w:bottom w:w="28" w:type="dxa"/>
          <w:right w:w="28" w:type="dxa"/>
        </w:tblCellMar>
      </w:tblPr>
      <w:tblGrid>
        <w:gridCol w:w="1149"/>
        <w:gridCol w:w="731"/>
        <w:gridCol w:w="637"/>
        <w:gridCol w:w="657"/>
        <w:gridCol w:w="647"/>
        <w:gridCol w:w="637"/>
        <w:gridCol w:w="1003"/>
        <w:gridCol w:w="755"/>
        <w:gridCol w:w="887"/>
        <w:gridCol w:w="820"/>
        <w:gridCol w:w="733"/>
        <w:gridCol w:w="719"/>
        <w:gridCol w:w="830"/>
      </w:tblGrid>
      <w:tr>
        <w:trPr/>
        <w:tc>
          <w:tcPr>
            <w:tcW w:w="114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114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Mine or Operating Name/MSHA </w:t>
              <w:br/>
              <w:t>Identification Number</w:t>
            </w:r>
          </w:p>
        </w:tc>
        <w:tc>
          <w:tcPr>
            <w:tcW w:w="7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Section 104 S&amp;S Citations</w:t>
            </w:r>
          </w:p>
        </w:tc>
        <w:tc>
          <w:tcPr>
            <w:tcW w:w="63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Section 104(b) Orders</w:t>
            </w:r>
          </w:p>
        </w:tc>
        <w:tc>
          <w:tcPr>
            <w:tcW w:w="65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Section 104(d) Citations and Orders</w:t>
            </w:r>
          </w:p>
        </w:tc>
        <w:tc>
          <w:tcPr>
            <w:tcW w:w="64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Section 110(b)(2) Violations</w:t>
            </w:r>
          </w:p>
        </w:tc>
        <w:tc>
          <w:tcPr>
            <w:tcW w:w="63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Section 107(a) Orders</w:t>
            </w:r>
          </w:p>
        </w:tc>
        <w:tc>
          <w:tcPr>
            <w:tcW w:w="100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 Dollar Value of MSHA Assessments Proposed</w:t>
            </w:r>
          </w:p>
        </w:tc>
        <w:tc>
          <w:tcPr>
            <w:tcW w:w="75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 Number of Mining Related Fatalities</w:t>
            </w:r>
          </w:p>
        </w:tc>
        <w:tc>
          <w:tcPr>
            <w:tcW w:w="88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Received Notice of Pattern of Violations Under Section 104(e)</w:t>
              <w:br/>
              <w:t xml:space="preserve">(yes/no) </w:t>
            </w:r>
          </w:p>
        </w:tc>
        <w:tc>
          <w:tcPr>
            <w:tcW w:w="820"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Received Notice of Potential to Have Pattern Under Section 104(e)</w:t>
              <w:br/>
              <w:t>(yes/no)</w:t>
            </w:r>
          </w:p>
        </w:tc>
        <w:tc>
          <w:tcPr>
            <w:tcW w:w="73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Legal Actions Pending as of Last Day of Period</w:t>
            </w:r>
          </w:p>
        </w:tc>
        <w:tc>
          <w:tcPr>
            <w:tcW w:w="719"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Legal Actions Initiated During Period</w:t>
            </w:r>
          </w:p>
        </w:tc>
        <w:tc>
          <w:tcPr>
            <w:tcW w:w="830"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Legal Actions Resolved During Period</w:t>
            </w:r>
          </w:p>
        </w:tc>
      </w:tr>
      <w:tr>
        <w:trPr/>
        <w:tc>
          <w:tcPr>
            <w:tcW w:w="11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3D Concrete LLC</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Lyon, Nevada (2602412)</w:t>
            </w:r>
          </w:p>
        </w:tc>
        <w:tc>
          <w:tcPr>
            <w:tcW w:w="7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shd w:fill="D9E2F3" w:val="clear"/>
            <w:tcMar>
              <w:top w:w="0" w:type="dxa"/>
              <w:left w:w="108" w:type="dxa"/>
              <w:right w:w="108"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American Gypsum Company LLC</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Albuquerque, NM (2900181)</w:t>
            </w:r>
          </w:p>
        </w:tc>
        <w:tc>
          <w:tcPr>
            <w:tcW w:w="731"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American Gypsum Company LLC</w:t>
              <w:br/>
              <w:t>Duke, OK (3400256)</w:t>
            </w:r>
          </w:p>
        </w:tc>
        <w:tc>
          <w:tcPr>
            <w:tcW w:w="7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shd w:fill="D9E2F3" w:val="clear"/>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American Gypsum Company LLC</w:t>
              <w:br/>
              <w:t>Eagle, CO (0503997)</w:t>
            </w:r>
          </w:p>
        </w:tc>
        <w:tc>
          <w:tcPr>
            <w:tcW w:w="731"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Battletown Materials LLC</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Meade, KY (1518147)</w:t>
            </w:r>
          </w:p>
        </w:tc>
        <w:tc>
          <w:tcPr>
            <w:tcW w:w="7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shd w:fill="D9E2F3" w:val="clear"/>
            <w:tcMar>
              <w:top w:w="0" w:type="dxa"/>
              <w:left w:w="108" w:type="dxa"/>
              <w:right w:w="108"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Battletown Quarry</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Battletown, KY (1500040)</w:t>
            </w:r>
          </w:p>
        </w:tc>
        <w:tc>
          <w:tcPr>
            <w:tcW w:w="731"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Bullskin Stone &amp; Lime, LLC, Fayette, PA</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(3610047)</w:t>
            </w:r>
          </w:p>
        </w:tc>
        <w:tc>
          <w:tcPr>
            <w:tcW w:w="7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$151</w:t>
            </w:r>
          </w:p>
        </w:tc>
        <w:tc>
          <w:tcPr>
            <w:tcW w:w="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shd w:fill="D9E2F3" w:val="clear"/>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Centex Materials LLC</w:t>
              <w:br/>
              <w:t>Buda, TX (4102241)</w:t>
            </w:r>
          </w:p>
        </w:tc>
        <w:tc>
          <w:tcPr>
            <w:tcW w:w="731"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Central Plains Cement Company LLC</w:t>
              <w:br/>
              <w:t>Sugar Creek, MO (2302171)</w:t>
            </w:r>
          </w:p>
        </w:tc>
        <w:tc>
          <w:tcPr>
            <w:tcW w:w="7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1</w:t>
            </w:r>
            <w:r>
              <w:rPr>
                <w:rFonts w:ascii="Times New Roman" w:hAnsi="Times New Roman"/>
                <w:color w:val="000000"/>
                <w:sz w:val="11"/>
              </w:rPr>
              <w:t>(1)</w:t>
            </w:r>
          </w:p>
        </w:tc>
        <w:tc>
          <w:tcPr>
            <w:tcW w:w="71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1</w:t>
            </w:r>
            <w:r>
              <w:rPr>
                <w:rFonts w:ascii="Times New Roman" w:hAnsi="Times New Roman"/>
                <w:color w:val="000000"/>
                <w:sz w:val="11"/>
              </w:rPr>
              <w:t>(1)</w:t>
            </w:r>
          </w:p>
        </w:tc>
        <w:tc>
          <w:tcPr>
            <w:tcW w:w="8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3</w:t>
            </w:r>
            <w:r>
              <w:rPr>
                <w:rFonts w:ascii="Times New Roman" w:hAnsi="Times New Roman"/>
                <w:color w:val="000000"/>
                <w:sz w:val="11"/>
              </w:rPr>
              <w:t>(1)</w:t>
            </w:r>
          </w:p>
        </w:tc>
      </w:tr>
      <w:tr>
        <w:trPr/>
        <w:tc>
          <w:tcPr>
            <w:tcW w:w="1149" w:type="dxa"/>
            <w:tcBorders>
              <w:left w:val="single" w:sz="4" w:space="0" w:color="000000"/>
              <w:bottom w:val="single" w:sz="4" w:space="0" w:color="000000"/>
              <w:right w:val="single" w:sz="4" w:space="0" w:color="000000"/>
            </w:tcBorders>
            <w:shd w:fill="D9E2F3" w:val="clear"/>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Central Plains Cement Company LLC, Tulsa, OK (3400026)</w:t>
            </w:r>
          </w:p>
        </w:tc>
        <w:tc>
          <w:tcPr>
            <w:tcW w:w="731"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2</w:t>
            </w:r>
            <w:r>
              <w:rPr>
                <w:rFonts w:ascii="Times New Roman" w:hAnsi="Times New Roman"/>
                <w:color w:val="000000"/>
                <w:sz w:val="11"/>
              </w:rPr>
              <w:t>(1)</w:t>
            </w:r>
          </w:p>
        </w:tc>
        <w:tc>
          <w:tcPr>
            <w:tcW w:w="719"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1</w:t>
            </w:r>
            <w:r>
              <w:rPr>
                <w:rFonts w:ascii="Times New Roman" w:hAnsi="Times New Roman"/>
                <w:color w:val="000000"/>
                <w:sz w:val="11"/>
              </w:rPr>
              <w:t>(1)</w:t>
            </w:r>
          </w:p>
        </w:tc>
      </w:tr>
      <w:tr>
        <w:trPr/>
        <w:tc>
          <w:tcPr>
            <w:tcW w:w="11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Fairborn Cement Company LLC</w:t>
              <w:br/>
              <w:t>Greene County, OH (3300161)</w:t>
            </w:r>
          </w:p>
        </w:tc>
        <w:tc>
          <w:tcPr>
            <w:tcW w:w="7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shd w:fill="D9E2F3" w:val="clear"/>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Illinois Cement Company LLC</w:t>
              <w:br/>
              <w:t>LaSalle, IL (1100003)</w:t>
            </w:r>
          </w:p>
        </w:tc>
        <w:tc>
          <w:tcPr>
            <w:tcW w:w="731"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Kosmos Cement Company LLC</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Jefferson, KY (1504469)</w:t>
            </w:r>
          </w:p>
        </w:tc>
        <w:tc>
          <w:tcPr>
            <w:tcW w:w="7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shd w:fill="D9E2F3" w:val="clear"/>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Mountain Cement Company LLC</w:t>
              <w:br/>
              <w:t>Laramie, WY (4800007)</w:t>
            </w:r>
          </w:p>
        </w:tc>
        <w:tc>
          <w:tcPr>
            <w:tcW w:w="731"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1</w:t>
            </w:r>
            <w:r>
              <w:rPr>
                <w:rFonts w:ascii="Times New Roman" w:hAnsi="Times New Roman"/>
                <w:color w:val="000000"/>
                <w:sz w:val="11"/>
              </w:rPr>
              <w:t>(1)</w:t>
            </w:r>
          </w:p>
        </w:tc>
      </w:tr>
      <w:tr>
        <w:trPr/>
        <w:tc>
          <w:tcPr>
            <w:tcW w:w="11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Nevada Cement Company LLC</w:t>
              <w:br/>
              <w:t>Fernley, NV (2600015)</w:t>
            </w:r>
          </w:p>
        </w:tc>
        <w:tc>
          <w:tcPr>
            <w:tcW w:w="7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shd w:fill="D9E2F3" w:val="clear"/>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Raptor Materials LLC Weld, CO (115) (504681)</w:t>
            </w:r>
          </w:p>
        </w:tc>
        <w:tc>
          <w:tcPr>
            <w:tcW w:w="731"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Raptor Materials LLC Weld, CO (Two Rivers) (505192)</w:t>
            </w:r>
          </w:p>
        </w:tc>
        <w:tc>
          <w:tcPr>
            <w:tcW w:w="7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shd w:fill="D9E2F3" w:val="clear"/>
            <w:tcMar>
              <w:top w:w="0" w:type="dxa"/>
              <w:left w:w="108" w:type="dxa"/>
              <w:right w:w="108"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Seguin Sand</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Guadalupe, TX (4105665)</w:t>
            </w:r>
          </w:p>
        </w:tc>
        <w:tc>
          <w:tcPr>
            <w:tcW w:w="731"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19"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30" w:type="dxa"/>
            <w:tcBorders>
              <w:bottom w:val="single" w:sz="4" w:space="0" w:color="000000"/>
              <w:right w:val="single" w:sz="4" w:space="0" w:color="000000"/>
            </w:tcBorders>
            <w:shd w:fill="D9E2F3"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r>
        <w:trPr/>
        <w:tc>
          <w:tcPr>
            <w:tcW w:w="11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Texas Lehigh Cement Company LP</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Buda, TX (4102781)</w:t>
            </w:r>
          </w:p>
        </w:tc>
        <w:tc>
          <w:tcPr>
            <w:tcW w:w="7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0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88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8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7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2</w:t>
            </w:r>
            <w:r>
              <w:rPr>
                <w:rFonts w:ascii="Times New Roman" w:hAnsi="Times New Roman"/>
                <w:color w:val="000000"/>
                <w:sz w:val="11"/>
              </w:rPr>
              <w:t>(1)</w:t>
            </w:r>
          </w:p>
        </w:tc>
        <w:tc>
          <w:tcPr>
            <w:tcW w:w="71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2</w:t>
            </w:r>
            <w:r>
              <w:rPr>
                <w:rFonts w:ascii="Times New Roman" w:hAnsi="Times New Roman"/>
                <w:color w:val="000000"/>
                <w:sz w:val="11"/>
              </w:rPr>
              <w:t>(1)</w:t>
            </w:r>
          </w:p>
        </w:tc>
        <w:tc>
          <w:tcPr>
            <w:tcW w:w="8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bl>
    <w:p>
      <w:pPr>
        <w:pStyle w:val="TextBody"/>
        <w:bidi w:val="0"/>
        <w:spacing w:before="0" w:after="0"/>
        <w:jc w:val="left"/>
        <w:rPr>
          <w:rFonts w:ascii="Times New Roman" w:hAnsi="Times New Roman"/>
          <w:color w:val="000000"/>
          <w:sz w:val="16"/>
          <w:bdr w:val="single" w:sz="4" w:space="1" w:color="000000"/>
        </w:rPr>
      </w:pPr>
      <w:r>
        <w:rPr>
          <w:rFonts w:ascii="Times New Roman" w:hAnsi="Times New Roman"/>
          <w:color w:val="000000"/>
          <w:sz w:val="16"/>
          <w:bdr w:val="single" w:sz="4" w:space="1" w:color="000000"/>
        </w:rPr>
        <w:t>(1)</w:t>
      </w:r>
    </w:p>
    <w:p>
      <w:pPr>
        <w:pStyle w:val="TextBody"/>
        <w:bidi w:val="0"/>
        <w:spacing w:before="0" w:after="0"/>
        <w:jc w:val="left"/>
        <w:rPr>
          <w:rFonts w:ascii="Times New Roman" w:hAnsi="Times New Roman"/>
          <w:color w:val="000000"/>
          <w:sz w:val="16"/>
          <w:bdr w:val="single" w:sz="4" w:space="1" w:color="000000"/>
        </w:rPr>
      </w:pPr>
      <w:r>
        <w:rPr>
          <w:rFonts w:ascii="Times New Roman" w:hAnsi="Times New Roman"/>
          <w:color w:val="000000"/>
          <w:sz w:val="16"/>
          <w:bdr w:val="single" w:sz="4" w:space="1" w:color="000000"/>
        </w:rPr>
        <w:t xml:space="preserve">All legal actions were penalty contests.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918646/000095013406007120/d34975exv3w1.htm" TargetMode="External"/><Relationship Id="rId4" Type="http://schemas.openxmlformats.org/officeDocument/2006/relationships/hyperlink" Target="https://www.sec.gov/Archives/edgar/data/918646/000119312524195946/d877046dex31.htm" TargetMode="External"/><Relationship Id="rId5" Type="http://schemas.openxmlformats.org/officeDocument/2006/relationships/hyperlink" Target="https://www.sec.gov/Archives/edgar/data/918646/000095013406007120/d34975exv3w2.htm" TargetMode="External"/><Relationship Id="rId6" Type="http://schemas.openxmlformats.org/officeDocument/2006/relationships/hyperlink" Target="https://www.sec.gov/Archives/edgar/data/918646/000119312522279133/d385636dex3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21614</Words>
  <Characters>118040</Characters>
  <CharactersWithSpaces>159093</CharactersWithSpaces>
  <Paragraphs>25894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