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28"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2024</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1-12984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540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EAGLE MATERIALS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16"/>
          <w:szCs w:val="16"/>
          <w:color w:val="auto"/>
        </w:rPr>
        <w:t>(State of Incorporation)</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75-2520779 </w:t>
      </w:r>
      <w:r>
        <w:rPr>
          <w:rFonts w:ascii="Arial" w:cs="Arial" w:eastAsia="Arial" w:hAnsi="Arial"/>
          <w:sz w:val="16"/>
          <w:szCs w:val="16"/>
          <w:color w:val="auto"/>
        </w:rPr>
        <w:t>(I.R.S. Employer Identification No.)</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5960 Berkshire Lane, Suite 900, Dallas, Texas 75225 </w:t>
      </w:r>
      <w:r>
        <w:rPr>
          <w:rFonts w:ascii="Arial" w:cs="Arial" w:eastAsia="Arial" w:hAnsi="Arial"/>
          <w:sz w:val="16"/>
          <w:szCs w:val="16"/>
          <w:color w:val="auto"/>
        </w:rPr>
        <w:t>(Address of principal executive offices)</w:t>
      </w:r>
    </w:p>
    <w:p>
      <w:pPr>
        <w:spacing w:after="0" w:line="50" w:lineRule="exact"/>
        <w:rPr>
          <w:sz w:val="24"/>
          <w:szCs w:val="24"/>
          <w:color w:val="auto"/>
        </w:rPr>
      </w:pPr>
    </w:p>
    <w:p>
      <w:pPr>
        <w:ind w:left="3520" w:hanging="463"/>
        <w:spacing w:after="0"/>
        <w:tabs>
          <w:tab w:leader="none" w:pos="35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432-2000 </w:t>
      </w: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171"/>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4500" w:type="dxa"/>
            <w:vAlign w:val="bottom"/>
          </w:tcPr>
          <w:p>
            <w:pPr>
              <w:jc w:val="center"/>
              <w:spacing w:after="0"/>
              <w:rPr>
                <w:sz w:val="20"/>
                <w:szCs w:val="20"/>
                <w:color w:val="auto"/>
              </w:rPr>
            </w:pPr>
            <w:r>
              <w:rPr>
                <w:rFonts w:ascii="Arial" w:cs="Arial" w:eastAsia="Arial" w:hAnsi="Arial"/>
                <w:sz w:val="16"/>
                <w:szCs w:val="16"/>
                <w:color w:val="auto"/>
              </w:rPr>
              <w:t>Common Stock (par value $.01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9"/>
              </w:rPr>
              <w:t>EXP</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77"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81" w:lineRule="exact"/>
        <w:rPr>
          <w:sz w:val="24"/>
          <w:szCs w:val="24"/>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 w:lineRule="exact"/>
        <w:rPr>
          <w:sz w:val="24"/>
          <w:szCs w:val="24"/>
          <w:color w:val="auto"/>
        </w:rPr>
      </w:pPr>
    </w:p>
    <w:p>
      <w:pPr>
        <w:jc w:val="both"/>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2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84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Non-accelerated filer</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84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8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6"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 w:lineRule="exact"/>
        <w:rPr>
          <w:sz w:val="24"/>
          <w:szCs w:val="24"/>
          <w:color w:val="auto"/>
        </w:rPr>
      </w:pPr>
    </w:p>
    <w:p>
      <w:pPr>
        <w:ind w:right="2240"/>
        <w:spacing w:after="0" w:line="23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7060" w:type="dxa"/>
            <w:vAlign w:val="bottom"/>
            <w:gridSpan w:val="3"/>
          </w:tcPr>
          <w:p>
            <w:pPr>
              <w:spacing w:after="0"/>
              <w:rPr>
                <w:sz w:val="20"/>
                <w:szCs w:val="20"/>
                <w:color w:val="auto"/>
              </w:rPr>
            </w:pPr>
            <w:r>
              <w:rPr>
                <w:rFonts w:ascii="Arial" w:cs="Arial" w:eastAsia="Arial" w:hAnsi="Arial"/>
                <w:sz w:val="18"/>
                <w:szCs w:val="18"/>
                <w:color w:val="auto"/>
              </w:rPr>
              <w:t>As of January 27, 2025, the number of outstanding shares of common stock was:</w:t>
            </w:r>
          </w:p>
        </w:tc>
        <w:tc>
          <w:tcPr>
            <w:tcW w:w="4180" w:type="dxa"/>
            <w:vAlign w:val="bottom"/>
          </w:tcPr>
          <w:p>
            <w:pPr>
              <w:spacing w:after="0"/>
              <w:rPr>
                <w:sz w:val="20"/>
                <w:szCs w:val="20"/>
                <w:color w:val="auto"/>
              </w:rPr>
            </w:pPr>
          </w:p>
        </w:tc>
      </w:tr>
      <w:tr>
        <w:trPr>
          <w:trHeight w:val="253"/>
        </w:trPr>
        <w:tc>
          <w:tcPr>
            <w:tcW w:w="7060" w:type="dxa"/>
            <w:vAlign w:val="bottom"/>
            <w:gridSpan w:val="3"/>
          </w:tcPr>
          <w:p>
            <w:pPr>
              <w:jc w:val="center"/>
              <w:ind w:right="1420"/>
              <w:spacing w:after="0"/>
              <w:rPr>
                <w:sz w:val="20"/>
                <w:szCs w:val="20"/>
                <w:color w:val="auto"/>
              </w:rPr>
            </w:pPr>
            <w:r>
              <w:rPr>
                <w:rFonts w:ascii="Arial" w:cs="Arial" w:eastAsia="Arial" w:hAnsi="Arial"/>
                <w:sz w:val="18"/>
                <w:szCs w:val="18"/>
                <w:b w:val="1"/>
                <w:bCs w:val="1"/>
                <w:color w:val="auto"/>
                <w:w w:val="99"/>
              </w:rPr>
              <w:t>Class</w:t>
            </w:r>
          </w:p>
        </w:tc>
        <w:tc>
          <w:tcPr>
            <w:tcW w:w="4180" w:type="dxa"/>
            <w:vAlign w:val="bottom"/>
          </w:tcPr>
          <w:p>
            <w:pPr>
              <w:jc w:val="center"/>
              <w:ind w:right="1230"/>
              <w:spacing w:after="0"/>
              <w:rPr>
                <w:sz w:val="20"/>
                <w:szCs w:val="20"/>
                <w:color w:val="auto"/>
              </w:rPr>
            </w:pPr>
            <w:r>
              <w:rPr>
                <w:rFonts w:ascii="Arial" w:cs="Arial" w:eastAsia="Arial" w:hAnsi="Arial"/>
                <w:sz w:val="18"/>
                <w:szCs w:val="18"/>
                <w:b w:val="1"/>
                <w:bCs w:val="1"/>
                <w:color w:val="auto"/>
                <w:w w:val="99"/>
              </w:rPr>
              <w:t>Outstanding Shares</w:t>
            </w:r>
          </w:p>
        </w:tc>
      </w:tr>
      <w:tr>
        <w:trPr>
          <w:trHeight w:val="232"/>
        </w:trPr>
        <w:tc>
          <w:tcPr>
            <w:tcW w:w="5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$.01 Par Value</w:t>
            </w:r>
          </w:p>
        </w:tc>
        <w:tc>
          <w:tcPr>
            <w:tcW w:w="10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4180" w:type="dxa"/>
            <w:vAlign w:val="bottom"/>
            <w:tcBorders>
              <w:top w:val="single" w:sz="8" w:color="auto"/>
            </w:tcBorders>
          </w:tcPr>
          <w:p>
            <w:pPr>
              <w:jc w:val="right"/>
              <w:ind w:right="2210"/>
              <w:spacing w:after="0"/>
              <w:rPr>
                <w:sz w:val="20"/>
                <w:szCs w:val="20"/>
                <w:color w:val="auto"/>
              </w:rPr>
            </w:pPr>
            <w:r>
              <w:rPr>
                <w:rFonts w:ascii="Arial" w:cs="Arial" w:eastAsia="Arial" w:hAnsi="Arial"/>
                <w:sz w:val="18"/>
                <w:szCs w:val="18"/>
                <w:color w:val="auto"/>
              </w:rPr>
              <w:t>33,287,642</w:t>
            </w:r>
          </w:p>
        </w:tc>
      </w:tr>
      <w:tr>
        <w:trPr>
          <w:trHeight w:val="52"/>
        </w:trPr>
        <w:tc>
          <w:tcPr>
            <w:tcW w:w="5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r>
      <w:tr>
        <w:trPr>
          <w:trHeight w:val="1303"/>
        </w:trPr>
        <w:tc>
          <w:tcPr>
            <w:tcW w:w="5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 I. FINANCIAL INFORMATION (unaudited)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04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9520" w:type="dxa"/>
            <w:vAlign w:val="bottom"/>
            <w:gridSpan w:val="17"/>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66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9520" w:type="dxa"/>
            <w:vAlign w:val="bottom"/>
            <w:gridSpan w:val="17"/>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520" w:type="dxa"/>
            <w:vAlign w:val="bottom"/>
            <w:gridSpan w:val="17"/>
          </w:tcPr>
          <w:p>
            <w:pPr>
              <w:spacing w:after="0"/>
              <w:rPr>
                <w:sz w:val="20"/>
                <w:szCs w:val="20"/>
                <w:color w:val="auto"/>
              </w:rPr>
            </w:pPr>
            <w:r>
              <w:rPr>
                <w:rFonts w:ascii="Arial" w:cs="Arial" w:eastAsia="Arial" w:hAnsi="Arial"/>
                <w:sz w:val="18"/>
                <w:szCs w:val="18"/>
                <w:color w:val="auto"/>
              </w:rPr>
              <w:t>Consolidated Statements of Earnings for the Three and Nine Months Ended December 31, 2024 and 2023</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520" w:type="dxa"/>
            <w:vAlign w:val="bottom"/>
            <w:gridSpan w:val="17"/>
          </w:tcPr>
          <w:p>
            <w:pPr>
              <w:spacing w:after="0"/>
              <w:rPr>
                <w:sz w:val="20"/>
                <w:szCs w:val="20"/>
                <w:color w:val="auto"/>
              </w:rPr>
            </w:pPr>
            <w:r>
              <w:rPr>
                <w:rFonts w:ascii="Arial" w:cs="Arial" w:eastAsia="Arial" w:hAnsi="Arial"/>
                <w:sz w:val="18"/>
                <w:szCs w:val="18"/>
                <w:color w:val="auto"/>
              </w:rPr>
              <w:t>Consolidated Statements of Comprehensive Earnings for the Three and Nine Months Ended December 31, 2024 and</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Borders>
              <w:top w:val="single" w:sz="8" w:color="0000EE"/>
            </w:tcBorders>
            <w:gridSpan w:val="2"/>
          </w:tcPr>
          <w:p>
            <w:pPr>
              <w:jc w:val="right"/>
              <w:ind w:right="20"/>
              <w:spacing w:after="0"/>
              <w:rPr>
                <w:sz w:val="20"/>
                <w:szCs w:val="20"/>
                <w:color w:val="auto"/>
              </w:rPr>
            </w:pPr>
            <w:r>
              <w:rPr>
                <w:rFonts w:ascii="Arial" w:cs="Arial" w:eastAsia="Arial" w:hAnsi="Arial"/>
                <w:sz w:val="18"/>
                <w:szCs w:val="18"/>
                <w:color w:val="auto"/>
              </w:rPr>
              <w:t>2023</w:t>
            </w:r>
          </w:p>
        </w:tc>
        <w:tc>
          <w:tcPr>
            <w:tcW w:w="3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38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220" w:type="dxa"/>
            <w:vAlign w:val="bottom"/>
            <w:tcBorders>
              <w:top w:val="single" w:sz="8" w:color="0000EE"/>
            </w:tcBorders>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138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520" w:type="dxa"/>
            <w:vAlign w:val="bottom"/>
            <w:gridSpan w:val="17"/>
          </w:tcPr>
          <w:p>
            <w:pPr>
              <w:spacing w:after="0"/>
              <w:rPr>
                <w:sz w:val="20"/>
                <w:szCs w:val="20"/>
                <w:color w:val="auto"/>
              </w:rPr>
            </w:pPr>
            <w:r>
              <w:rPr>
                <w:rFonts w:ascii="Arial" w:cs="Arial" w:eastAsia="Arial" w:hAnsi="Arial"/>
                <w:sz w:val="18"/>
                <w:szCs w:val="18"/>
                <w:color w:val="auto"/>
              </w:rPr>
              <w:t>Consolidated Balance Sheets as of December 31, 2024 and March 31, 2024</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520" w:type="dxa"/>
            <w:vAlign w:val="bottom"/>
            <w:gridSpan w:val="17"/>
          </w:tcPr>
          <w:p>
            <w:pPr>
              <w:spacing w:after="0"/>
              <w:rPr>
                <w:sz w:val="20"/>
                <w:szCs w:val="20"/>
                <w:color w:val="auto"/>
              </w:rPr>
            </w:pPr>
            <w:r>
              <w:rPr>
                <w:rFonts w:ascii="Arial" w:cs="Arial" w:eastAsia="Arial" w:hAnsi="Arial"/>
                <w:sz w:val="18"/>
                <w:szCs w:val="18"/>
                <w:color w:val="auto"/>
              </w:rPr>
              <w:t>Consolidated Statements of Cash Flows for the Three and Nine Months Ended December, 2024 and 2023</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520" w:type="dxa"/>
            <w:vAlign w:val="bottom"/>
            <w:gridSpan w:val="17"/>
          </w:tcPr>
          <w:p>
            <w:pPr>
              <w:spacing w:after="0"/>
              <w:rPr>
                <w:sz w:val="20"/>
                <w:szCs w:val="20"/>
                <w:color w:val="auto"/>
              </w:rPr>
            </w:pPr>
            <w:r>
              <w:rPr>
                <w:rFonts w:ascii="Arial" w:cs="Arial" w:eastAsia="Arial" w:hAnsi="Arial"/>
                <w:sz w:val="18"/>
                <w:szCs w:val="18"/>
                <w:color w:val="auto"/>
              </w:rPr>
              <w:t>Consolidated Statements of Stockholders' Equity for the Three and Nine Months Ended December 31, 2024 and 2023</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36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auto"/>
                <w:w w:val="99"/>
              </w:rPr>
              <w:t>Notes to Unaudited Consolidated Financial Statements</w:t>
            </w:r>
          </w:p>
        </w:tc>
        <w:tc>
          <w:tcPr>
            <w:tcW w:w="5000" w:type="dxa"/>
            <w:vAlign w:val="bottom"/>
            <w:tcBorders>
              <w:top w:val="single" w:sz="8" w:color="0000EE"/>
            </w:tcBorders>
            <w:gridSpan w:val="7"/>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520" w:type="dxa"/>
            <w:vAlign w:val="bottom"/>
            <w:gridSpan w:val="17"/>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70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color w:val="auto"/>
                <w:w w:val="99"/>
              </w:rPr>
              <w:t>Quantitative and Qualitative Disclosures About Market Risk</w:t>
            </w:r>
          </w:p>
        </w:tc>
        <w:tc>
          <w:tcPr>
            <w:tcW w:w="2360" w:type="dxa"/>
            <w:vAlign w:val="bottom"/>
            <w:tcBorders>
              <w:top w:val="single" w:sz="8" w:color="0000EE"/>
            </w:tcBorders>
            <w:gridSpan w:val="3"/>
          </w:tcPr>
          <w:p>
            <w:pPr>
              <w:spacing w:after="0"/>
              <w:rPr>
                <w:sz w:val="24"/>
                <w:szCs w:val="24"/>
                <w:color w:val="auto"/>
              </w:rPr>
            </w:pPr>
          </w:p>
        </w:tc>
        <w:tc>
          <w:tcPr>
            <w:tcW w:w="246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9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auto"/>
                <w:w w:val="98"/>
              </w:rPr>
              <w:t>Controls and Procedures</w:t>
            </w:r>
          </w:p>
        </w:tc>
        <w:tc>
          <w:tcPr>
            <w:tcW w:w="7540" w:type="dxa"/>
            <w:vAlign w:val="bottom"/>
            <w:gridSpan w:val="9"/>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2980" w:type="dxa"/>
            <w:vAlign w:val="bottom"/>
            <w:tcBorders>
              <w:bottom w:val="single" w:sz="8" w:color="auto"/>
            </w:tcBorders>
            <w:gridSpan w:val="8"/>
          </w:tcPr>
          <w:p>
            <w:pPr>
              <w:spacing w:after="0"/>
              <w:rPr>
                <w:sz w:val="20"/>
                <w:szCs w:val="20"/>
                <w:color w:val="auto"/>
              </w:rPr>
            </w:pPr>
            <w:r>
              <w:rPr>
                <w:rFonts w:ascii="Arial" w:cs="Arial" w:eastAsia="Arial" w:hAnsi="Arial"/>
                <w:sz w:val="20"/>
                <w:szCs w:val="20"/>
                <w:b w:val="1"/>
                <w:bCs w:val="1"/>
                <w:color w:val="auto"/>
                <w:w w:val="99"/>
              </w:rPr>
              <w:t>PART II. OTHER INFORMATION</w:t>
            </w:r>
          </w:p>
        </w:tc>
        <w:tc>
          <w:tcPr>
            <w:tcW w:w="7580" w:type="dxa"/>
            <w:vAlign w:val="bottom"/>
            <w:gridSpan w:val="10"/>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auto"/>
                <w:w w:val="97"/>
              </w:rPr>
              <w:t>Legal Proceedings</w:t>
            </w:r>
          </w:p>
        </w:tc>
        <w:tc>
          <w:tcPr>
            <w:tcW w:w="8040" w:type="dxa"/>
            <w:vAlign w:val="bottom"/>
            <w:gridSpan w:val="1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520" w:type="dxa"/>
            <w:vAlign w:val="bottom"/>
            <w:gridSpan w:val="17"/>
          </w:tcPr>
          <w:p>
            <w:pPr>
              <w:spacing w:after="0"/>
              <w:rPr>
                <w:sz w:val="20"/>
                <w:szCs w:val="20"/>
                <w:color w:val="auto"/>
              </w:rPr>
            </w:pPr>
            <w:r>
              <w:rPr>
                <w:rFonts w:ascii="Arial" w:cs="Arial" w:eastAsia="Arial" w:hAnsi="Arial"/>
                <w:sz w:val="18"/>
                <w:szCs w:val="18"/>
                <w:color w:val="auto"/>
              </w:rPr>
              <w:t>Risk Factors</w:t>
            </w: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8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auto"/>
                <w:w w:val="99"/>
              </w:rPr>
              <w:t>Unregistered Sales of Equity Securities and Use of Proceeds</w:t>
            </w:r>
          </w:p>
        </w:tc>
        <w:tc>
          <w:tcPr>
            <w:tcW w:w="468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9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auto"/>
                <w:w w:val="98"/>
              </w:rPr>
              <w:t>Mine Safety Disclosures</w:t>
            </w:r>
          </w:p>
        </w:tc>
        <w:tc>
          <w:tcPr>
            <w:tcW w:w="7600" w:type="dxa"/>
            <w:vAlign w:val="bottom"/>
            <w:gridSpan w:val="11"/>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520" w:type="dxa"/>
            <w:vAlign w:val="bottom"/>
            <w:gridSpan w:val="17"/>
          </w:tcPr>
          <w:p>
            <w:pPr>
              <w:spacing w:after="0"/>
              <w:rPr>
                <w:sz w:val="20"/>
                <w:szCs w:val="20"/>
                <w:color w:val="auto"/>
              </w:rPr>
            </w:pPr>
            <w:r>
              <w:rPr>
                <w:rFonts w:ascii="Arial" w:cs="Arial" w:eastAsia="Arial" w:hAnsi="Arial"/>
                <w:sz w:val="18"/>
                <w:szCs w:val="18"/>
                <w:color w:val="auto"/>
              </w:rPr>
              <w:t>Other Information</w:t>
            </w: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auto"/>
                <w:w w:val="95"/>
              </w:rPr>
              <w:t>Exhibits</w:t>
            </w:r>
          </w:p>
        </w:tc>
        <w:tc>
          <w:tcPr>
            <w:tcW w:w="760" w:type="dxa"/>
            <w:vAlign w:val="bottom"/>
            <w:tcBorders>
              <w:top w:val="single" w:sz="8" w:color="0000EE"/>
            </w:tcBorders>
            <w:gridSpan w:val="2"/>
          </w:tcPr>
          <w:p>
            <w:pPr>
              <w:spacing w:after="0"/>
              <w:rPr>
                <w:sz w:val="24"/>
                <w:szCs w:val="24"/>
                <w:color w:val="auto"/>
              </w:rPr>
            </w:pPr>
          </w:p>
        </w:tc>
        <w:tc>
          <w:tcPr>
            <w:tcW w:w="814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560" w:type="dxa"/>
            <w:vAlign w:val="bottom"/>
            <w:gridSpan w:val="18"/>
          </w:tcPr>
          <w:p>
            <w:pPr>
              <w:spacing w:after="0"/>
              <w:rPr>
                <w:sz w:val="20"/>
                <w:szCs w:val="20"/>
                <w:color w:val="auto"/>
              </w:rPr>
            </w:pPr>
            <w:r>
              <w:rPr>
                <w:rFonts w:ascii="Arial" w:cs="Arial" w:eastAsia="Arial" w:hAnsi="Arial"/>
                <w:sz w:val="18"/>
                <w:szCs w:val="18"/>
                <w:b w:val="1"/>
                <w:bCs w:val="1"/>
                <w:color w:val="auto"/>
              </w:rPr>
              <w:t>SIGNATURES</w:t>
            </w: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58"/>
        </w:trPr>
        <w:tc>
          <w:tcPr>
            <w:tcW w:w="20" w:type="dxa"/>
            <w:vAlign w:val="bottom"/>
            <w:tcBorders>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EAGLE MATERIALS INC. AND SUBSIDIARIES CONSOLIDATED STATEMENTS OF EARNINGS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880" w:type="dxa"/>
            <w:vAlign w:val="bottom"/>
            <w:gridSpan w:val="8"/>
            <w:shd w:val="clear" w:color="auto" w:fill="004483"/>
          </w:tcPr>
          <w:p>
            <w:pPr>
              <w:jc w:val="right"/>
              <w:ind w:right="139"/>
              <w:spacing w:after="0"/>
              <w:rPr>
                <w:sz w:val="20"/>
                <w:szCs w:val="20"/>
                <w:color w:val="auto"/>
              </w:rPr>
            </w:pPr>
            <w:r>
              <w:rPr>
                <w:rFonts w:ascii="Arial" w:cs="Arial" w:eastAsia="Arial" w:hAnsi="Arial"/>
                <w:sz w:val="13"/>
                <w:szCs w:val="13"/>
                <w:b w:val="1"/>
                <w:bCs w:val="1"/>
                <w:color w:val="FFFFFF"/>
                <w:w w:val="99"/>
              </w:rPr>
              <w:t>For the Three Months Ended December 31,</w:t>
            </w:r>
          </w:p>
        </w:tc>
        <w:tc>
          <w:tcPr>
            <w:tcW w:w="12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80" w:type="dxa"/>
            <w:vAlign w:val="bottom"/>
            <w:gridSpan w:val="6"/>
            <w:shd w:val="clear" w:color="auto" w:fill="004483"/>
          </w:tcPr>
          <w:p>
            <w:pPr>
              <w:jc w:val="right"/>
              <w:ind w:right="179"/>
              <w:spacing w:after="0"/>
              <w:rPr>
                <w:sz w:val="20"/>
                <w:szCs w:val="20"/>
                <w:color w:val="auto"/>
              </w:rPr>
            </w:pPr>
            <w:r>
              <w:rPr>
                <w:rFonts w:ascii="Arial" w:cs="Arial" w:eastAsia="Arial" w:hAnsi="Arial"/>
                <w:sz w:val="13"/>
                <w:szCs w:val="13"/>
                <w:b w:val="1"/>
                <w:bCs w:val="1"/>
                <w:color w:val="FFFFFF"/>
                <w:w w:val="97"/>
              </w:rPr>
              <w:t>For the Nine Months Ended December 31,</w:t>
            </w:r>
          </w:p>
        </w:tc>
        <w:tc>
          <w:tcPr>
            <w:tcW w:w="0" w:type="dxa"/>
            <w:vAlign w:val="bottom"/>
          </w:tcPr>
          <w:p>
            <w:pPr>
              <w:spacing w:after="0"/>
              <w:rPr>
                <w:sz w:val="1"/>
                <w:szCs w:val="1"/>
                <w:color w:val="auto"/>
              </w:rPr>
            </w:pPr>
          </w:p>
        </w:tc>
      </w:tr>
      <w:tr>
        <w:trPr>
          <w:trHeight w:val="144"/>
        </w:trPr>
        <w:tc>
          <w:tcPr>
            <w:tcW w:w="5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40" w:type="dxa"/>
            <w:vAlign w:val="bottom"/>
            <w:tcBorders>
              <w:bottom w:val="single" w:sz="8" w:color="004483"/>
            </w:tcBorders>
          </w:tcPr>
          <w:p>
            <w:pPr>
              <w:spacing w:after="0"/>
              <w:rPr>
                <w:sz w:val="15"/>
                <w:szCs w:val="15"/>
                <w:color w:val="auto"/>
              </w:rPr>
            </w:pPr>
          </w:p>
        </w:tc>
        <w:tc>
          <w:tcPr>
            <w:tcW w:w="260" w:type="dxa"/>
            <w:vAlign w:val="bottom"/>
            <w:tcBorders>
              <w:bottom w:val="single" w:sz="8" w:color="004483"/>
            </w:tcBorders>
          </w:tcPr>
          <w:p>
            <w:pPr>
              <w:spacing w:after="0"/>
              <w:rPr>
                <w:sz w:val="15"/>
                <w:szCs w:val="15"/>
                <w:color w:val="auto"/>
              </w:rPr>
            </w:pPr>
          </w:p>
        </w:tc>
        <w:tc>
          <w:tcPr>
            <w:tcW w:w="1000" w:type="dxa"/>
            <w:vAlign w:val="bottom"/>
            <w:tcBorders>
              <w:bottom w:val="single" w:sz="8" w:color="004483"/>
            </w:tcBorders>
          </w:tcPr>
          <w:p>
            <w:pPr>
              <w:spacing w:after="0"/>
              <w:rPr>
                <w:sz w:val="15"/>
                <w:szCs w:val="15"/>
                <w:color w:val="auto"/>
              </w:rPr>
            </w:pPr>
          </w:p>
        </w:tc>
        <w:tc>
          <w:tcPr>
            <w:tcW w:w="80" w:type="dxa"/>
            <w:vAlign w:val="bottom"/>
            <w:tcBorders>
              <w:bottom w:val="single" w:sz="8" w:color="004483"/>
            </w:tcBorders>
          </w:tcPr>
          <w:p>
            <w:pPr>
              <w:spacing w:after="0"/>
              <w:rPr>
                <w:sz w:val="15"/>
                <w:szCs w:val="15"/>
                <w:color w:val="auto"/>
              </w:rPr>
            </w:pPr>
          </w:p>
        </w:tc>
        <w:tc>
          <w:tcPr>
            <w:tcW w:w="3160" w:type="dxa"/>
            <w:vAlign w:val="bottom"/>
            <w:tcBorders>
              <w:bottom w:val="single" w:sz="8" w:color="004483"/>
            </w:tcBorders>
            <w:gridSpan w:val="10"/>
          </w:tcPr>
          <w:p>
            <w:pPr>
              <w:spacing w:after="0"/>
              <w:rPr>
                <w:sz w:val="20"/>
                <w:szCs w:val="20"/>
                <w:color w:val="auto"/>
              </w:rPr>
            </w:pPr>
            <w:r>
              <w:rPr>
                <w:rFonts w:ascii="Arial" w:cs="Arial" w:eastAsia="Arial" w:hAnsi="Arial"/>
                <w:sz w:val="13"/>
                <w:szCs w:val="13"/>
                <w:color w:val="auto"/>
                <w:w w:val="98"/>
              </w:rPr>
              <w:t>(dollars in thousands, except share and per share data)</w:t>
            </w:r>
          </w:p>
        </w:tc>
        <w:tc>
          <w:tcPr>
            <w:tcW w:w="280" w:type="dxa"/>
            <w:vAlign w:val="bottom"/>
            <w:tcBorders>
              <w:bottom w:val="single" w:sz="8" w:color="004483"/>
            </w:tcBorders>
          </w:tcPr>
          <w:p>
            <w:pPr>
              <w:spacing w:after="0"/>
              <w:rPr>
                <w:sz w:val="15"/>
                <w:szCs w:val="15"/>
                <w:color w:val="auto"/>
              </w:rPr>
            </w:pPr>
          </w:p>
        </w:tc>
        <w:tc>
          <w:tcPr>
            <w:tcW w:w="102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200"/>
              <w:spacing w:after="0"/>
              <w:rPr>
                <w:sz w:val="20"/>
                <w:szCs w:val="20"/>
                <w:color w:val="auto"/>
              </w:rPr>
            </w:pPr>
            <w:r>
              <w:rPr>
                <w:rFonts w:ascii="Arial" w:cs="Arial" w:eastAsia="Arial" w:hAnsi="Arial"/>
                <w:sz w:val="16"/>
                <w:szCs w:val="16"/>
                <w:color w:val="004483"/>
              </w:rPr>
              <w:t>Revenue</w:t>
            </w:r>
          </w:p>
        </w:tc>
        <w:tc>
          <w:tcPr>
            <w:tcW w:w="260" w:type="dxa"/>
            <w:vAlign w:val="bottom"/>
          </w:tcPr>
          <w:p>
            <w:pPr>
              <w:jc w:val="right"/>
              <w:ind w:right="83"/>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558,025</w:t>
            </w:r>
          </w:p>
        </w:tc>
        <w:tc>
          <w:tcPr>
            <w:tcW w:w="80" w:type="dxa"/>
            <w:vAlign w:val="bottom"/>
          </w:tcPr>
          <w:p>
            <w:pPr>
              <w:spacing w:after="0"/>
              <w:rPr>
                <w:sz w:val="17"/>
                <w:szCs w:val="17"/>
                <w:color w:val="auto"/>
              </w:rPr>
            </w:pPr>
          </w:p>
        </w:tc>
        <w:tc>
          <w:tcPr>
            <w:tcW w:w="42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558,833</w:t>
            </w:r>
          </w:p>
        </w:tc>
        <w:tc>
          <w:tcPr>
            <w:tcW w:w="12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1,790,333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1,782,590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40" w:type="dxa"/>
            <w:vAlign w:val="bottom"/>
            <w:tcBorders>
              <w:top w:val="single" w:sz="8" w:color="A6A6A6"/>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Cost of Goods Sold</w:t>
            </w:r>
          </w:p>
        </w:tc>
        <w:tc>
          <w:tcPr>
            <w:tcW w:w="260" w:type="dxa"/>
            <w:vAlign w:val="bottom"/>
            <w:tcBorders>
              <w:top w:val="single" w:sz="8" w:color="A6A6A6"/>
              <w:bottom w:val="single" w:sz="8" w:color="004483"/>
            </w:tcBorders>
          </w:tcPr>
          <w:p>
            <w:pPr>
              <w:spacing w:after="0"/>
              <w:rPr>
                <w:sz w:val="18"/>
                <w:szCs w:val="18"/>
                <w:color w:val="auto"/>
              </w:rPr>
            </w:pPr>
          </w:p>
        </w:tc>
        <w:tc>
          <w:tcPr>
            <w:tcW w:w="1000" w:type="dxa"/>
            <w:vAlign w:val="bottom"/>
            <w:tcBorders>
              <w:top w:val="single" w:sz="8" w:color="A6A6A6"/>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380,212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60" w:type="dxa"/>
            <w:vAlign w:val="bottom"/>
            <w:tcBorders>
              <w:top w:val="single" w:sz="8" w:color="A6A6A6"/>
              <w:bottom w:val="single" w:sz="8" w:color="004483"/>
            </w:tcBorders>
          </w:tcPr>
          <w:p>
            <w:pPr>
              <w:spacing w:after="0"/>
              <w:rPr>
                <w:sz w:val="18"/>
                <w:szCs w:val="18"/>
                <w:color w:val="auto"/>
              </w:rPr>
            </w:pPr>
          </w:p>
        </w:tc>
        <w:tc>
          <w:tcPr>
            <w:tcW w:w="1000" w:type="dxa"/>
            <w:vAlign w:val="bottom"/>
            <w:tcBorders>
              <w:top w:val="single" w:sz="8" w:color="A6A6A6"/>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378,205</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004483"/>
            </w:tcBorders>
          </w:tcPr>
          <w:p>
            <w:pPr>
              <w:spacing w:after="0"/>
              <w:rPr>
                <w:sz w:val="18"/>
                <w:szCs w:val="18"/>
                <w:color w:val="auto"/>
              </w:rPr>
            </w:pPr>
          </w:p>
        </w:tc>
        <w:tc>
          <w:tcPr>
            <w:tcW w:w="1160" w:type="dxa"/>
            <w:vAlign w:val="bottom"/>
            <w:tcBorders>
              <w:top w:val="single" w:sz="8" w:color="A6A6A6"/>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1,221,808</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80" w:type="dxa"/>
            <w:vAlign w:val="bottom"/>
            <w:tcBorders>
              <w:top w:val="single" w:sz="8" w:color="A6A6A6"/>
              <w:bottom w:val="single" w:sz="8" w:color="004483"/>
            </w:tcBorders>
          </w:tcPr>
          <w:p>
            <w:pPr>
              <w:spacing w:after="0"/>
              <w:rPr>
                <w:sz w:val="18"/>
                <w:szCs w:val="18"/>
                <w:color w:val="auto"/>
              </w:rPr>
            </w:pPr>
          </w:p>
        </w:tc>
        <w:tc>
          <w:tcPr>
            <w:tcW w:w="1020" w:type="dxa"/>
            <w:vAlign w:val="bottom"/>
            <w:tcBorders>
              <w:top w:val="single" w:sz="8" w:color="A6A6A6"/>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1,216,949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Gross Profit</w:t>
            </w:r>
          </w:p>
        </w:tc>
        <w:tc>
          <w:tcPr>
            <w:tcW w:w="2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177,813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180,628</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568,525</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80" w:type="dxa"/>
            <w:vAlign w:val="bottom"/>
            <w:tcBorders>
              <w:bottom w:val="single" w:sz="8" w:color="A6A6A6"/>
            </w:tcBorders>
          </w:tcPr>
          <w:p>
            <w:pPr>
              <w:spacing w:after="0"/>
              <w:rPr>
                <w:sz w:val="17"/>
                <w:szCs w:val="17"/>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565,641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Equity in Earnings of Unconsolidated Joint Venture</w:t>
            </w:r>
          </w:p>
        </w:tc>
        <w:tc>
          <w:tcPr>
            <w:tcW w:w="2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4,987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9,285</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21,979</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80" w:type="dxa"/>
            <w:vAlign w:val="bottom"/>
            <w:tcBorders>
              <w:bottom w:val="single" w:sz="8" w:color="A6A6A6"/>
            </w:tcBorders>
          </w:tcPr>
          <w:p>
            <w:pPr>
              <w:spacing w:after="0"/>
              <w:rPr>
                <w:sz w:val="17"/>
                <w:szCs w:val="17"/>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22,790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Corporate General and Administrative Expense</w:t>
            </w:r>
          </w:p>
        </w:tc>
        <w:tc>
          <w:tcPr>
            <w:tcW w:w="2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(20,818</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(14,201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(54,346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7"/>
                <w:szCs w:val="17"/>
                <w:color w:val="auto"/>
              </w:rPr>
            </w:pPr>
          </w:p>
        </w:tc>
        <w:tc>
          <w:tcPr>
            <w:tcW w:w="280" w:type="dxa"/>
            <w:vAlign w:val="bottom"/>
            <w:tcBorders>
              <w:bottom w:val="single" w:sz="8" w:color="A6A6A6"/>
            </w:tcBorders>
          </w:tcPr>
          <w:p>
            <w:pPr>
              <w:spacing w:after="0"/>
              <w:rPr>
                <w:sz w:val="17"/>
                <w:szCs w:val="17"/>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(42,456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Other Non-Operating Income (Loss)</w:t>
            </w:r>
          </w:p>
        </w:tc>
        <w:tc>
          <w:tcPr>
            <w:tcW w:w="2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1,381</w:t>
            </w: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1,019</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4,788</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7"/>
                <w:szCs w:val="17"/>
                <w:color w:val="auto"/>
              </w:rPr>
            </w:pPr>
          </w:p>
        </w:tc>
        <w:tc>
          <w:tcPr>
            <w:tcW w:w="280" w:type="dxa"/>
            <w:vAlign w:val="bottom"/>
            <w:tcBorders>
              <w:bottom w:val="single" w:sz="8" w:color="A6A6A6"/>
            </w:tcBorders>
          </w:tcPr>
          <w:p>
            <w:pPr>
              <w:spacing w:after="0"/>
              <w:rPr>
                <w:sz w:val="17"/>
                <w:szCs w:val="17"/>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2,837</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Interest Expense, net</w:t>
            </w:r>
          </w:p>
        </w:tc>
        <w:tc>
          <w:tcPr>
            <w:tcW w:w="260" w:type="dxa"/>
            <w:vAlign w:val="bottom"/>
            <w:tcBorders>
              <w:bottom w:val="single" w:sz="8" w:color="004483"/>
            </w:tcBorders>
          </w:tcPr>
          <w:p>
            <w:pPr>
              <w:spacing w:after="0"/>
              <w:rPr>
                <w:sz w:val="18"/>
                <w:szCs w:val="18"/>
                <w:color w:val="auto"/>
              </w:rPr>
            </w:pP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(9,061</w:t>
            </w:r>
          </w:p>
        </w:tc>
        <w:tc>
          <w:tcPr>
            <w:tcW w:w="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60" w:type="dxa"/>
            <w:vAlign w:val="bottom"/>
            <w:tcBorders>
              <w:bottom w:val="single" w:sz="8" w:color="004483"/>
            </w:tcBorders>
          </w:tcPr>
          <w:p>
            <w:pPr>
              <w:spacing w:after="0"/>
              <w:rPr>
                <w:sz w:val="18"/>
                <w:szCs w:val="18"/>
                <w:color w:val="auto"/>
              </w:rPr>
            </w:pP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(10,128</w:t>
            </w:r>
          </w:p>
        </w:tc>
        <w:tc>
          <w:tcPr>
            <w:tcW w:w="120" w:type="dxa"/>
            <w:vAlign w:val="bottom"/>
            <w:vMerge w:val="continue"/>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1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(30,459</w:t>
            </w:r>
          </w:p>
        </w:tc>
        <w:tc>
          <w:tcPr>
            <w:tcW w:w="100" w:type="dxa"/>
            <w:vAlign w:val="bottom"/>
            <w:vMerge w:val="continue"/>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80" w:type="dxa"/>
            <w:vAlign w:val="bottom"/>
            <w:tcBorders>
              <w:bottom w:val="single" w:sz="8" w:color="004483"/>
            </w:tcBorders>
          </w:tcPr>
          <w:p>
            <w:pPr>
              <w:spacing w:after="0"/>
              <w:rPr>
                <w:sz w:val="18"/>
                <w:szCs w:val="18"/>
                <w:color w:val="auto"/>
              </w:rPr>
            </w:pPr>
          </w:p>
        </w:tc>
        <w:tc>
          <w:tcPr>
            <w:tcW w:w="10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(32,571</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Earnings Before Income Taxes</w:t>
            </w:r>
          </w:p>
        </w:tc>
        <w:tc>
          <w:tcPr>
            <w:tcW w:w="2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154,302</w:t>
            </w: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166,603</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510,487</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7"/>
                <w:szCs w:val="17"/>
                <w:color w:val="auto"/>
              </w:rPr>
            </w:pPr>
          </w:p>
        </w:tc>
        <w:tc>
          <w:tcPr>
            <w:tcW w:w="280" w:type="dxa"/>
            <w:vAlign w:val="bottom"/>
            <w:tcBorders>
              <w:bottom w:val="single" w:sz="8" w:color="A6A6A6"/>
            </w:tcBorders>
          </w:tcPr>
          <w:p>
            <w:pPr>
              <w:spacing w:after="0"/>
              <w:rPr>
                <w:sz w:val="17"/>
                <w:szCs w:val="17"/>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516,241</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3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Income Taxes</w:t>
            </w:r>
          </w:p>
        </w:tc>
        <w:tc>
          <w:tcPr>
            <w:tcW w:w="260" w:type="dxa"/>
            <w:vAlign w:val="bottom"/>
            <w:tcBorders>
              <w:bottom w:val="single" w:sz="8" w:color="004483"/>
            </w:tcBorders>
          </w:tcPr>
          <w:p>
            <w:pPr>
              <w:spacing w:after="0"/>
              <w:rPr>
                <w:sz w:val="18"/>
                <w:szCs w:val="18"/>
                <w:color w:val="auto"/>
              </w:rPr>
            </w:pP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(34,728</w:t>
            </w:r>
          </w:p>
        </w:tc>
        <w:tc>
          <w:tcPr>
            <w:tcW w:w="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60" w:type="dxa"/>
            <w:vAlign w:val="bottom"/>
            <w:tcBorders>
              <w:bottom w:val="single" w:sz="8" w:color="004483"/>
            </w:tcBorders>
          </w:tcPr>
          <w:p>
            <w:pPr>
              <w:spacing w:after="0"/>
              <w:rPr>
                <w:sz w:val="18"/>
                <w:szCs w:val="18"/>
                <w:color w:val="auto"/>
              </w:rPr>
            </w:pP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(37,465</w:t>
            </w:r>
          </w:p>
        </w:tc>
        <w:tc>
          <w:tcPr>
            <w:tcW w:w="120" w:type="dxa"/>
            <w:vAlign w:val="bottom"/>
            <w:vMerge w:val="continue"/>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1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(113,551</w:t>
            </w:r>
          </w:p>
        </w:tc>
        <w:tc>
          <w:tcPr>
            <w:tcW w:w="100" w:type="dxa"/>
            <w:vAlign w:val="bottom"/>
            <w:vMerge w:val="continue"/>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80" w:type="dxa"/>
            <w:vAlign w:val="bottom"/>
            <w:tcBorders>
              <w:bottom w:val="single" w:sz="8" w:color="004483"/>
            </w:tcBorders>
          </w:tcPr>
          <w:p>
            <w:pPr>
              <w:spacing w:after="0"/>
              <w:rPr>
                <w:sz w:val="18"/>
                <w:szCs w:val="18"/>
                <w:color w:val="auto"/>
              </w:rPr>
            </w:pPr>
          </w:p>
        </w:tc>
        <w:tc>
          <w:tcPr>
            <w:tcW w:w="10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(115,701</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340" w:type="dxa"/>
            <w:vAlign w:val="bottom"/>
          </w:tcPr>
          <w:p>
            <w:pPr>
              <w:ind w:left="380"/>
              <w:spacing w:after="0" w:line="183" w:lineRule="exact"/>
              <w:rPr>
                <w:sz w:val="20"/>
                <w:szCs w:val="20"/>
                <w:color w:val="auto"/>
              </w:rPr>
            </w:pPr>
            <w:r>
              <w:rPr>
                <w:rFonts w:ascii="Arial" w:cs="Arial" w:eastAsia="Arial" w:hAnsi="Arial"/>
                <w:sz w:val="16"/>
                <w:szCs w:val="16"/>
                <w:b w:val="1"/>
                <w:bCs w:val="1"/>
                <w:color w:val="auto"/>
              </w:rPr>
              <w:t>Net Earnings</w:t>
            </w:r>
          </w:p>
        </w:tc>
        <w:tc>
          <w:tcPr>
            <w:tcW w:w="260" w:type="dxa"/>
            <w:vAlign w:val="bottom"/>
            <w:tcBorders>
              <w:bottom w:val="single" w:sz="8" w:color="004483"/>
            </w:tcBorders>
          </w:tcPr>
          <w:p>
            <w:pPr>
              <w:spacing w:after="0"/>
              <w:rPr>
                <w:sz w:val="15"/>
                <w:szCs w:val="15"/>
                <w:color w:val="auto"/>
              </w:rPr>
            </w:pP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119,574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004483"/>
            </w:tcBorders>
          </w:tcPr>
          <w:p>
            <w:pPr>
              <w:spacing w:after="0"/>
              <w:rPr>
                <w:sz w:val="15"/>
                <w:szCs w:val="15"/>
                <w:color w:val="auto"/>
              </w:rPr>
            </w:pP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129,138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1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396,936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004483"/>
            </w:tcBorders>
          </w:tcPr>
          <w:p>
            <w:pPr>
              <w:spacing w:after="0"/>
              <w:rPr>
                <w:sz w:val="15"/>
                <w:szCs w:val="15"/>
                <w:color w:val="auto"/>
              </w:rPr>
            </w:pPr>
          </w:p>
        </w:tc>
        <w:tc>
          <w:tcPr>
            <w:tcW w:w="10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400,540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4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4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80" w:type="dxa"/>
            <w:vAlign w:val="bottom"/>
            <w:tcBorders>
              <w:bottom w:val="single" w:sz="8" w:color="A6A6A6"/>
            </w:tcBorders>
          </w:tcPr>
          <w:p>
            <w:pPr>
              <w:spacing w:after="0"/>
              <w:rPr>
                <w:sz w:val="17"/>
                <w:szCs w:val="17"/>
                <w:color w:val="auto"/>
              </w:rPr>
            </w:pPr>
          </w:p>
        </w:tc>
        <w:tc>
          <w:tcPr>
            <w:tcW w:w="102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Basic</w:t>
            </w:r>
          </w:p>
        </w:tc>
        <w:tc>
          <w:tcPr>
            <w:tcW w:w="260" w:type="dxa"/>
            <w:vAlign w:val="bottom"/>
            <w:tcBorders>
              <w:bottom w:val="single" w:sz="8" w:color="A6A6A6"/>
            </w:tcBorders>
          </w:tcPr>
          <w:p>
            <w:pPr>
              <w:jc w:val="right"/>
              <w:ind w:right="83"/>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Borders>
              <w:bottom w:val="single" w:sz="8" w:color="A6A6A6"/>
            </w:tcBorders>
            <w:gridSpan w:val="2"/>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7"/>
                <w:szCs w:val="17"/>
                <w:color w:val="auto"/>
              </w:rPr>
            </w:pPr>
          </w:p>
        </w:tc>
        <w:tc>
          <w:tcPr>
            <w:tcW w:w="2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11.85</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80" w:type="dxa"/>
            <w:vAlign w:val="bottom"/>
            <w:tcBorders>
              <w:bottom w:val="single" w:sz="8" w:color="A6A6A6"/>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Diluted</w:t>
            </w:r>
          </w:p>
        </w:tc>
        <w:tc>
          <w:tcPr>
            <w:tcW w:w="260" w:type="dxa"/>
            <w:vAlign w:val="bottom"/>
            <w:tcBorders>
              <w:bottom w:val="single" w:sz="8" w:color="A6A6A6"/>
            </w:tcBorders>
          </w:tcPr>
          <w:p>
            <w:pPr>
              <w:jc w:val="right"/>
              <w:ind w:right="83"/>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Borders>
              <w:bottom w:val="single" w:sz="8" w:color="A6A6A6"/>
            </w:tcBorders>
            <w:gridSpan w:val="2"/>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17"/>
                <w:szCs w:val="17"/>
                <w:color w:val="auto"/>
              </w:rPr>
            </w:pPr>
          </w:p>
        </w:tc>
        <w:tc>
          <w:tcPr>
            <w:tcW w:w="2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11.75</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80" w:type="dxa"/>
            <w:vAlign w:val="bottom"/>
            <w:tcBorders>
              <w:bottom w:val="single" w:sz="8" w:color="A6A6A6"/>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AVERAGE SHARES OUTSTANDING</w:t>
            </w:r>
          </w:p>
        </w:tc>
        <w:tc>
          <w:tcPr>
            <w:tcW w:w="2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80" w:type="dxa"/>
            <w:vAlign w:val="bottom"/>
            <w:tcBorders>
              <w:bottom w:val="single" w:sz="8" w:color="A6A6A6"/>
            </w:tcBorders>
          </w:tcPr>
          <w:p>
            <w:pPr>
              <w:spacing w:after="0"/>
              <w:rPr>
                <w:sz w:val="17"/>
                <w:szCs w:val="17"/>
                <w:color w:val="auto"/>
              </w:rPr>
            </w:pPr>
          </w:p>
        </w:tc>
        <w:tc>
          <w:tcPr>
            <w:tcW w:w="102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340" w:type="dxa"/>
            <w:vAlign w:val="bottom"/>
          </w:tcPr>
          <w:p>
            <w:pPr>
              <w:ind w:left="200"/>
              <w:spacing w:after="0" w:line="183" w:lineRule="exact"/>
              <w:rPr>
                <w:sz w:val="20"/>
                <w:szCs w:val="20"/>
                <w:color w:val="auto"/>
              </w:rPr>
            </w:pPr>
            <w:r>
              <w:rPr>
                <w:rFonts w:ascii="Arial" w:cs="Arial" w:eastAsia="Arial" w:hAnsi="Arial"/>
                <w:sz w:val="16"/>
                <w:szCs w:val="16"/>
                <w:color w:val="004483"/>
              </w:rPr>
              <w:t>Basic</w:t>
            </w:r>
          </w:p>
        </w:tc>
        <w:tc>
          <w:tcPr>
            <w:tcW w:w="260" w:type="dxa"/>
            <w:vAlign w:val="bottom"/>
            <w:tcBorders>
              <w:bottom w:val="single" w:sz="8" w:color="004483"/>
            </w:tcBorders>
          </w:tcPr>
          <w:p>
            <w:pPr>
              <w:spacing w:after="0"/>
              <w:rPr>
                <w:sz w:val="15"/>
                <w:szCs w:val="15"/>
                <w:color w:val="auto"/>
              </w:rPr>
            </w:pP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33,317,168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004483"/>
            </w:tcBorders>
          </w:tcPr>
          <w:p>
            <w:pPr>
              <w:spacing w:after="0"/>
              <w:rPr>
                <w:sz w:val="15"/>
                <w:szCs w:val="15"/>
                <w:color w:val="auto"/>
              </w:rPr>
            </w:pP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34,466,141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1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33,493,382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004483"/>
            </w:tcBorders>
          </w:tcPr>
          <w:p>
            <w:pPr>
              <w:spacing w:after="0"/>
              <w:rPr>
                <w:sz w:val="15"/>
                <w:szCs w:val="15"/>
                <w:color w:val="auto"/>
              </w:rPr>
            </w:pPr>
          </w:p>
        </w:tc>
        <w:tc>
          <w:tcPr>
            <w:tcW w:w="10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34,931,378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4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340" w:type="dxa"/>
            <w:vAlign w:val="bottom"/>
          </w:tcPr>
          <w:p>
            <w:pPr>
              <w:ind w:left="200"/>
              <w:spacing w:after="0" w:line="170" w:lineRule="exact"/>
              <w:rPr>
                <w:sz w:val="20"/>
                <w:szCs w:val="20"/>
                <w:color w:val="auto"/>
              </w:rPr>
            </w:pPr>
            <w:r>
              <w:rPr>
                <w:rFonts w:ascii="Arial" w:cs="Arial" w:eastAsia="Arial" w:hAnsi="Arial"/>
                <w:sz w:val="16"/>
                <w:szCs w:val="16"/>
                <w:color w:val="004483"/>
              </w:rPr>
              <w:t>Diluted</w:t>
            </w:r>
          </w:p>
        </w:tc>
        <w:tc>
          <w:tcPr>
            <w:tcW w:w="260" w:type="dxa"/>
            <w:vAlign w:val="bottom"/>
            <w:tcBorders>
              <w:bottom w:val="single" w:sz="8" w:color="004483"/>
            </w:tcBorders>
          </w:tcPr>
          <w:p>
            <w:pPr>
              <w:spacing w:after="0"/>
              <w:rPr>
                <w:sz w:val="14"/>
                <w:szCs w:val="14"/>
                <w:color w:val="auto"/>
              </w:rPr>
            </w:pPr>
          </w:p>
        </w:tc>
        <w:tc>
          <w:tcPr>
            <w:tcW w:w="100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color w:val="auto"/>
              </w:rPr>
              <w:t>33,608,538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004483"/>
            </w:tcBorders>
          </w:tcPr>
          <w:p>
            <w:pPr>
              <w:spacing w:after="0"/>
              <w:rPr>
                <w:sz w:val="14"/>
                <w:szCs w:val="14"/>
                <w:color w:val="auto"/>
              </w:rPr>
            </w:pPr>
          </w:p>
        </w:tc>
        <w:tc>
          <w:tcPr>
            <w:tcW w:w="100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color w:val="auto"/>
              </w:rPr>
              <w:t>34,749,721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004483"/>
            </w:tcBorders>
          </w:tcPr>
          <w:p>
            <w:pPr>
              <w:spacing w:after="0"/>
              <w:rPr>
                <w:sz w:val="14"/>
                <w:szCs w:val="14"/>
                <w:color w:val="auto"/>
              </w:rPr>
            </w:pPr>
          </w:p>
        </w:tc>
        <w:tc>
          <w:tcPr>
            <w:tcW w:w="116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color w:val="auto"/>
              </w:rPr>
              <w:t>33,771,660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004483"/>
            </w:tcBorders>
          </w:tcPr>
          <w:p>
            <w:pPr>
              <w:spacing w:after="0"/>
              <w:rPr>
                <w:sz w:val="14"/>
                <w:szCs w:val="14"/>
                <w:color w:val="auto"/>
              </w:rPr>
            </w:pPr>
          </w:p>
        </w:tc>
        <w:tc>
          <w:tcPr>
            <w:tcW w:w="102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color w:val="auto"/>
              </w:rPr>
              <w:t>35,201,658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4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4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CASH DIVIDENDS PER SHARE</w:t>
            </w:r>
          </w:p>
        </w:tc>
        <w:tc>
          <w:tcPr>
            <w:tcW w:w="260" w:type="dxa"/>
            <w:vAlign w:val="bottom"/>
            <w:tcBorders>
              <w:bottom w:val="single" w:sz="8" w:color="004483"/>
            </w:tcBorders>
          </w:tcPr>
          <w:p>
            <w:pPr>
              <w:jc w:val="right"/>
              <w:ind w:right="83"/>
              <w:spacing w:after="0" w:line="170" w:lineRule="exact"/>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0.25</w:t>
            </w:r>
          </w:p>
        </w:tc>
        <w:tc>
          <w:tcPr>
            <w:tcW w:w="8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004483"/>
            </w:tcBorders>
          </w:tcPr>
          <w:p>
            <w:pPr>
              <w:jc w:val="right"/>
              <w:ind w:right="79"/>
              <w:spacing w:after="0" w:line="170" w:lineRule="exact"/>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0.25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0.75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004483"/>
            </w:tcBorders>
          </w:tcPr>
          <w:p>
            <w:pPr>
              <w:jc w:val="right"/>
              <w:ind w:right="79"/>
              <w:spacing w:after="0" w:line="170" w:lineRule="exact"/>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0.75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4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EAGLE MATERIALS INC. AND SUBSIDIARIES CONSOLIDATED STATEMENTS OF COMPREHENSIVE EARNINGS (unaudited)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40" w:type="dxa"/>
            <w:vAlign w:val="bottom"/>
          </w:tcPr>
          <w:p>
            <w:pPr>
              <w:spacing w:after="0"/>
              <w:rPr>
                <w:sz w:val="13"/>
                <w:szCs w:val="13"/>
                <w:color w:val="auto"/>
              </w:rPr>
            </w:pPr>
          </w:p>
        </w:tc>
        <w:tc>
          <w:tcPr>
            <w:tcW w:w="2880" w:type="dxa"/>
            <w:vAlign w:val="bottom"/>
            <w:gridSpan w:val="7"/>
            <w:shd w:val="clear" w:color="auto" w:fill="004483"/>
          </w:tcPr>
          <w:p>
            <w:pPr>
              <w:jc w:val="right"/>
              <w:ind w:right="139"/>
              <w:spacing w:after="0"/>
              <w:rPr>
                <w:sz w:val="20"/>
                <w:szCs w:val="20"/>
                <w:color w:val="auto"/>
              </w:rPr>
            </w:pPr>
            <w:r>
              <w:rPr>
                <w:rFonts w:ascii="Arial" w:cs="Arial" w:eastAsia="Arial" w:hAnsi="Arial"/>
                <w:sz w:val="13"/>
                <w:szCs w:val="13"/>
                <w:b w:val="1"/>
                <w:bCs w:val="1"/>
                <w:color w:val="FFFFFF"/>
                <w:w w:val="99"/>
              </w:rPr>
              <w:t>For the Three Months Ended December 31,</w:t>
            </w:r>
          </w:p>
        </w:tc>
        <w:tc>
          <w:tcPr>
            <w:tcW w:w="120" w:type="dxa"/>
            <w:vAlign w:val="bottom"/>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2780" w:type="dxa"/>
            <w:vAlign w:val="bottom"/>
            <w:gridSpan w:val="6"/>
            <w:shd w:val="clear" w:color="auto" w:fill="004483"/>
          </w:tcPr>
          <w:p>
            <w:pPr>
              <w:jc w:val="right"/>
              <w:ind w:right="179"/>
              <w:spacing w:after="0"/>
              <w:rPr>
                <w:sz w:val="20"/>
                <w:szCs w:val="20"/>
                <w:color w:val="auto"/>
              </w:rPr>
            </w:pPr>
            <w:r>
              <w:rPr>
                <w:rFonts w:ascii="Arial" w:cs="Arial" w:eastAsia="Arial" w:hAnsi="Arial"/>
                <w:sz w:val="13"/>
                <w:szCs w:val="13"/>
                <w:b w:val="1"/>
                <w:bCs w:val="1"/>
                <w:color w:val="FFFFFF"/>
                <w:w w:val="97"/>
              </w:rPr>
              <w:t>For the Nine Months Ended December 31,</w:t>
            </w:r>
          </w:p>
        </w:tc>
        <w:tc>
          <w:tcPr>
            <w:tcW w:w="0" w:type="dxa"/>
            <w:vAlign w:val="bottom"/>
          </w:tcPr>
          <w:p>
            <w:pPr>
              <w:spacing w:after="0"/>
              <w:rPr>
                <w:sz w:val="1"/>
                <w:szCs w:val="1"/>
                <w:color w:val="auto"/>
              </w:rPr>
            </w:pPr>
          </w:p>
        </w:tc>
      </w:tr>
      <w:tr>
        <w:trPr>
          <w:trHeight w:val="117"/>
        </w:trPr>
        <w:tc>
          <w:tcPr>
            <w:tcW w:w="5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4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2500" w:type="dxa"/>
            <w:vAlign w:val="bottom"/>
            <w:tcBorders>
              <w:bottom w:val="single" w:sz="8" w:color="004483"/>
            </w:tcBorders>
            <w:gridSpan w:val="6"/>
          </w:tcPr>
          <w:p>
            <w:pPr>
              <w:jc w:val="right"/>
              <w:ind w:right="799"/>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90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380" w:type="dxa"/>
            <w:vAlign w:val="bottom"/>
            <w:tcBorders>
              <w:bottom w:val="single" w:sz="8" w:color="A6A6A6"/>
            </w:tcBorders>
          </w:tcPr>
          <w:p>
            <w:pPr>
              <w:jc w:val="right"/>
              <w:ind w:right="205"/>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119,574</w:t>
            </w:r>
          </w:p>
        </w:tc>
        <w:tc>
          <w:tcPr>
            <w:tcW w:w="120" w:type="dxa"/>
            <w:vAlign w:val="bottom"/>
          </w:tcPr>
          <w:p>
            <w:pPr>
              <w:spacing w:after="0"/>
              <w:rPr>
                <w:sz w:val="16"/>
                <w:szCs w:val="16"/>
                <w:color w:val="auto"/>
              </w:rPr>
            </w:pPr>
          </w:p>
        </w:tc>
        <w:tc>
          <w:tcPr>
            <w:tcW w:w="500" w:type="dxa"/>
            <w:vAlign w:val="bottom"/>
            <w:tcBorders>
              <w:bottom w:val="single" w:sz="8" w:color="A6A6A6"/>
            </w:tcBorders>
            <w:gridSpan w:val="2"/>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129,138</w:t>
            </w:r>
          </w:p>
        </w:tc>
        <w:tc>
          <w:tcPr>
            <w:tcW w:w="120" w:type="dxa"/>
            <w:vAlign w:val="bottom"/>
          </w:tcPr>
          <w:p>
            <w:pPr>
              <w:spacing w:after="0"/>
              <w:rPr>
                <w:sz w:val="16"/>
                <w:szCs w:val="16"/>
                <w:color w:val="auto"/>
              </w:rPr>
            </w:pPr>
          </w:p>
        </w:tc>
        <w:tc>
          <w:tcPr>
            <w:tcW w:w="2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396,936</w:t>
            </w:r>
          </w:p>
        </w:tc>
        <w:tc>
          <w:tcPr>
            <w:tcW w:w="100" w:type="dxa"/>
            <w:vAlign w:val="bottom"/>
          </w:tcPr>
          <w:p>
            <w:pPr>
              <w:spacing w:after="0"/>
              <w:rPr>
                <w:sz w:val="16"/>
                <w:szCs w:val="16"/>
                <w:color w:val="auto"/>
              </w:rPr>
            </w:pPr>
          </w:p>
        </w:tc>
        <w:tc>
          <w:tcPr>
            <w:tcW w:w="520" w:type="dxa"/>
            <w:vAlign w:val="bottom"/>
            <w:tcBorders>
              <w:bottom w:val="single" w:sz="8" w:color="A6A6A6"/>
            </w:tcBorders>
            <w:gridSpan w:val="2"/>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400,540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Net Actuarial Change in Defined Benefit Plans</w:t>
            </w: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Amortization of Net Actuarial Loss</w:t>
            </w: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60</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63</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180</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189</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Tax Expense</w:t>
            </w:r>
          </w:p>
        </w:tc>
        <w:tc>
          <w:tcPr>
            <w:tcW w:w="38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(15</w:t>
            </w:r>
          </w:p>
        </w:tc>
        <w:tc>
          <w:tcPr>
            <w:tcW w:w="120" w:type="dxa"/>
            <w:vAlign w:val="bottom"/>
            <w:vMerge w:val="continue"/>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(15</w:t>
            </w:r>
          </w:p>
        </w:tc>
        <w:tc>
          <w:tcPr>
            <w:tcW w:w="120" w:type="dxa"/>
            <w:vAlign w:val="bottom"/>
            <w:vMerge w:val="continue"/>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1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(45</w:t>
            </w:r>
          </w:p>
        </w:tc>
        <w:tc>
          <w:tcPr>
            <w:tcW w:w="100" w:type="dxa"/>
            <w:vAlign w:val="bottom"/>
            <w:vMerge w:val="continue"/>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9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(45</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Comprehensive Earnings</w:t>
            </w:r>
          </w:p>
        </w:tc>
        <w:tc>
          <w:tcPr>
            <w:tcW w:w="380" w:type="dxa"/>
            <w:vAlign w:val="bottom"/>
            <w:tcBorders>
              <w:bottom w:val="single" w:sz="8" w:color="004483"/>
            </w:tcBorders>
          </w:tcPr>
          <w:p>
            <w:pPr>
              <w:jc w:val="right"/>
              <w:ind w:right="205"/>
              <w:spacing w:after="0" w:line="183"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119,619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004483"/>
            </w:tcBorders>
          </w:tcPr>
          <w:p>
            <w:pPr>
              <w:jc w:val="right"/>
              <w:ind w:right="199"/>
              <w:spacing w:after="0" w:line="183"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129,186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397,071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004483"/>
            </w:tcBorders>
          </w:tcPr>
          <w:p>
            <w:pPr>
              <w:jc w:val="right"/>
              <w:ind w:right="199"/>
              <w:spacing w:after="0" w:line="183" w:lineRule="exact"/>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400,684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EAGLE MATERIALS INC. AND SUBSIDIARIES CONSOLIDATED BALANCE SHEETS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3"/>
                <w:szCs w:val="13"/>
                <w:color w:val="auto"/>
              </w:rPr>
            </w:pPr>
          </w:p>
        </w:tc>
        <w:tc>
          <w:tcPr>
            <w:tcW w:w="2260" w:type="dxa"/>
            <w:vAlign w:val="bottom"/>
            <w:shd w:val="clear" w:color="auto" w:fill="004483"/>
          </w:tcPr>
          <w:p>
            <w:pPr>
              <w:jc w:val="right"/>
              <w:ind w:right="857"/>
              <w:spacing w:after="0"/>
              <w:rPr>
                <w:sz w:val="20"/>
                <w:szCs w:val="20"/>
                <w:color w:val="auto"/>
              </w:rPr>
            </w:pPr>
            <w:r>
              <w:rPr>
                <w:rFonts w:ascii="Arial" w:cs="Arial" w:eastAsia="Arial" w:hAnsi="Arial"/>
                <w:sz w:val="13"/>
                <w:szCs w:val="13"/>
                <w:b w:val="1"/>
                <w:bCs w:val="1"/>
                <w:color w:val="FFFFFF"/>
              </w:rPr>
              <w:t>December 31,</w:t>
            </w:r>
          </w:p>
        </w:tc>
        <w:tc>
          <w:tcPr>
            <w:tcW w:w="860" w:type="dxa"/>
            <w:vAlign w:val="bottom"/>
            <w:gridSpan w:val="2"/>
            <w:shd w:val="clear" w:color="auto" w:fill="004483"/>
          </w:tcPr>
          <w:p>
            <w:pPr>
              <w:jc w:val="right"/>
              <w:ind w:right="140"/>
              <w:spacing w:after="0"/>
              <w:rPr>
                <w:sz w:val="20"/>
                <w:szCs w:val="20"/>
                <w:color w:val="auto"/>
              </w:rPr>
            </w:pPr>
            <w:r>
              <w:rPr>
                <w:rFonts w:ascii="Arial" w:cs="Arial" w:eastAsia="Arial" w:hAnsi="Arial"/>
                <w:sz w:val="13"/>
                <w:szCs w:val="13"/>
                <w:b w:val="1"/>
                <w:bCs w:val="1"/>
                <w:color w:val="FFFFFF"/>
              </w:rPr>
              <w:t>March 31,</w:t>
            </w:r>
          </w:p>
        </w:tc>
      </w:tr>
      <w:tr>
        <w:trPr>
          <w:trHeight w:val="117"/>
        </w:trPr>
        <w:tc>
          <w:tcPr>
            <w:tcW w:w="8120" w:type="dxa"/>
            <w:vAlign w:val="bottom"/>
          </w:tcPr>
          <w:p>
            <w:pPr>
              <w:spacing w:after="0"/>
              <w:rPr>
                <w:sz w:val="10"/>
                <w:szCs w:val="10"/>
                <w:color w:val="auto"/>
              </w:rPr>
            </w:pPr>
          </w:p>
        </w:tc>
        <w:tc>
          <w:tcPr>
            <w:tcW w:w="2260" w:type="dxa"/>
            <w:vAlign w:val="bottom"/>
          </w:tcPr>
          <w:p>
            <w:pPr>
              <w:jc w:val="right"/>
              <w:ind w:right="857"/>
              <w:spacing w:after="0" w:line="117" w:lineRule="exact"/>
              <w:rPr>
                <w:sz w:val="20"/>
                <w:szCs w:val="20"/>
                <w:color w:val="auto"/>
              </w:rPr>
            </w:pPr>
            <w:r>
              <w:rPr>
                <w:rFonts w:ascii="Arial" w:cs="Arial" w:eastAsia="Arial" w:hAnsi="Arial"/>
                <w:sz w:val="13"/>
                <w:szCs w:val="13"/>
                <w:b w:val="1"/>
                <w:bCs w:val="1"/>
                <w:color w:val="auto"/>
              </w:rPr>
              <w:t>2024</w:t>
            </w:r>
          </w:p>
        </w:tc>
        <w:tc>
          <w:tcPr>
            <w:tcW w:w="76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0"/>
                <w:szCs w:val="10"/>
                <w:color w:val="auto"/>
              </w:rPr>
            </w:pPr>
          </w:p>
        </w:tc>
      </w:tr>
      <w:tr>
        <w:trPr>
          <w:trHeight w:val="173"/>
        </w:trPr>
        <w:tc>
          <w:tcPr>
            <w:tcW w:w="8120" w:type="dxa"/>
            <w:vAlign w:val="bottom"/>
            <w:tcBorders>
              <w:bottom w:val="single" w:sz="8" w:color="004483"/>
            </w:tcBorders>
          </w:tcPr>
          <w:p>
            <w:pPr>
              <w:spacing w:after="0"/>
              <w:rPr>
                <w:sz w:val="15"/>
                <w:szCs w:val="15"/>
                <w:color w:val="auto"/>
              </w:rPr>
            </w:pPr>
          </w:p>
        </w:tc>
        <w:tc>
          <w:tcPr>
            <w:tcW w:w="2260" w:type="dxa"/>
            <w:vAlign w:val="bottom"/>
            <w:tcBorders>
              <w:bottom w:val="single" w:sz="8" w:color="004483"/>
            </w:tcBorders>
          </w:tcPr>
          <w:p>
            <w:pPr>
              <w:jc w:val="right"/>
              <w:ind w:right="97"/>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40"/>
          </w:cols>
          <w:pgMar w:left="320" w:top="1025"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60178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004483"/>
        </w:rPr>
        <w:t>Current Assets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80" w:type="dxa"/>
            <w:vAlign w:val="bottom"/>
            <w:tcBorders>
              <w:top w:val="single" w:sz="8" w:color="A6A6A6"/>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Cash and Cash Equivalents</w:t>
            </w:r>
          </w:p>
        </w:tc>
        <w:tc>
          <w:tcPr>
            <w:tcW w:w="3060" w:type="dxa"/>
            <w:vAlign w:val="bottom"/>
            <w:tcBorders>
              <w:top w:val="single" w:sz="8" w:color="A6A6A6"/>
              <w:bottom w:val="single" w:sz="8" w:color="A6A6A6"/>
            </w:tcBorders>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31,173</w:t>
            </w:r>
          </w:p>
        </w:tc>
      </w:tr>
      <w:tr>
        <w:trPr>
          <w:trHeight w:val="183"/>
        </w:trPr>
        <w:tc>
          <w:tcPr>
            <w:tcW w:w="54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Accounts and Notes Receivable, net</w:t>
            </w:r>
          </w:p>
        </w:tc>
        <w:tc>
          <w:tcPr>
            <w:tcW w:w="306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182,379</w:t>
            </w:r>
          </w:p>
        </w:tc>
      </w:tr>
      <w:tr>
        <w:trPr>
          <w:trHeight w:val="183"/>
        </w:trPr>
        <w:tc>
          <w:tcPr>
            <w:tcW w:w="54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Inventories</w:t>
            </w:r>
          </w:p>
        </w:tc>
        <w:tc>
          <w:tcPr>
            <w:tcW w:w="306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392,266</w:t>
            </w:r>
          </w:p>
        </w:tc>
      </w:tr>
      <w:tr>
        <w:trPr>
          <w:trHeight w:val="198"/>
        </w:trPr>
        <w:tc>
          <w:tcPr>
            <w:tcW w:w="5480" w:type="dxa"/>
            <w:vAlign w:val="bottom"/>
          </w:tcPr>
          <w:p>
            <w:pPr>
              <w:ind w:left="200"/>
              <w:spacing w:after="0"/>
              <w:rPr>
                <w:sz w:val="20"/>
                <w:szCs w:val="20"/>
                <w:color w:val="auto"/>
              </w:rPr>
            </w:pPr>
            <w:r>
              <w:rPr>
                <w:rFonts w:ascii="Arial" w:cs="Arial" w:eastAsia="Arial" w:hAnsi="Arial"/>
                <w:sz w:val="16"/>
                <w:szCs w:val="16"/>
                <w:color w:val="004483"/>
              </w:rPr>
              <w:t>Income Tax Receivable</w:t>
            </w:r>
          </w:p>
        </w:tc>
        <w:tc>
          <w:tcPr>
            <w:tcW w:w="30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017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600" w:type="dxa"/>
            <w:vAlign w:val="bottom"/>
            <w:tcBorders>
              <w:top w:val="single" w:sz="8" w:color="A6A6A6"/>
              <w:bottom w:val="single" w:sz="8" w:color="A6A6A6"/>
            </w:tcBorders>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34,925</w:t>
            </w:r>
          </w:p>
        </w:tc>
      </w:tr>
      <w:tr>
        <w:trPr>
          <w:trHeight w:val="183"/>
        </w:trPr>
        <w:tc>
          <w:tcPr>
            <w:tcW w:w="60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202,985</w:t>
            </w:r>
          </w:p>
        </w:tc>
      </w:tr>
      <w:tr>
        <w:trPr>
          <w:trHeight w:val="183"/>
        </w:trPr>
        <w:tc>
          <w:tcPr>
            <w:tcW w:w="60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373,923</w:t>
            </w:r>
          </w:p>
        </w:tc>
      </w:tr>
      <w:tr>
        <w:trPr>
          <w:trHeight w:val="198"/>
        </w:trPr>
        <w:tc>
          <w:tcPr>
            <w:tcW w:w="6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-652145</wp:posOffset>
            </wp:positionV>
            <wp:extent cx="9772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-8890</wp:posOffset>
            </wp:positionV>
            <wp:extent cx="9772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9480" w:space="120"/>
            <w:col w:w="1640"/>
          </w:cols>
          <w:pgMar w:left="320" w:top="1025" w:right="339" w:bottom="1440" w:gutter="0" w:footer="0" w:header="0"/>
          <w:type w:val="continuous"/>
        </w:sectPr>
      </w:pPr>
    </w:p>
    <w:p>
      <w:pPr>
        <w:ind w:left="200"/>
        <w:spacing w:after="0"/>
        <w:rPr>
          <w:sz w:val="20"/>
          <w:szCs w:val="20"/>
          <w:color w:val="auto"/>
        </w:rPr>
      </w:pPr>
      <w:r>
        <w:rPr>
          <w:rFonts w:ascii="Arial" w:cs="Arial" w:eastAsia="Arial" w:hAnsi="Arial"/>
          <w:sz w:val="16"/>
          <w:szCs w:val="16"/>
          <w:color w:val="004483"/>
        </w:rPr>
        <w:t>Prepaid and Other Assets</w:t>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51517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5175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51517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517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60178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Investment in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0178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004483"/>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0178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004483"/>
        </w:rPr>
        <w:t>Goodwill and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017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004483"/>
        </w:rPr>
        <w:t>Other Assets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5151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51517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51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6017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17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auto"/>
        </w:rPr>
        <w:t>10,901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1905</wp:posOffset>
            </wp:positionV>
            <wp:extent cx="86550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5505" cy="26035"/>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618,462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wp:posOffset>
            </wp:positionV>
            <wp:extent cx="86550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5505" cy="2603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1,736,159</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135,672</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34,227</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487,388</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wp:posOffset>
            </wp:positionV>
            <wp:extent cx="86550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5505" cy="25400"/>
                    </a:xfrm>
                    <a:prstGeom prst="rect">
                      <a:avLst/>
                    </a:prstGeom>
                    <a:noFill/>
                  </pic:spPr>
                </pic:pic>
              </a:graphicData>
            </a:graphic>
          </wp:anchor>
        </w:drawing>
      </w:r>
    </w:p>
    <w:p>
      <w:pPr>
        <w:spacing w:after="0" w:line="13" w:lineRule="exact"/>
        <w:rPr>
          <w:sz w:val="20"/>
          <w:szCs w:val="20"/>
          <w:color w:val="auto"/>
        </w:rPr>
      </w:pPr>
    </w:p>
    <w:p>
      <w:pPr>
        <w:ind w:left="605" w:hanging="605"/>
        <w:spacing w:after="0"/>
        <w:tabs>
          <w:tab w:leader="none" w:pos="605"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3,043,670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wp:posOffset>
            </wp:positionV>
            <wp:extent cx="8655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8655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40"/>
        <w:spacing w:after="0"/>
        <w:rPr>
          <w:sz w:val="20"/>
          <w:szCs w:val="20"/>
          <w:color w:val="auto"/>
        </w:rPr>
      </w:pPr>
      <w:r>
        <w:rPr>
          <w:rFonts w:ascii="Arial" w:cs="Arial" w:eastAsia="Arial" w:hAnsi="Arial"/>
          <w:sz w:val="16"/>
          <w:szCs w:val="16"/>
          <w:color w:val="auto"/>
        </w:rPr>
        <w:t>5,950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wp:posOffset>
            </wp:positionV>
            <wp:extent cx="86550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5505" cy="26035"/>
                    </a:xfrm>
                    <a:prstGeom prst="rect">
                      <a:avLst/>
                    </a:prstGeom>
                    <a:noFill/>
                  </pic:spPr>
                </pic:pic>
              </a:graphicData>
            </a:graphic>
          </wp:anchor>
        </w:drawing>
      </w:r>
    </w:p>
    <w:p>
      <w:pPr>
        <w:spacing w:after="0" w:line="10"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627,693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-115570</wp:posOffset>
            </wp:positionV>
            <wp:extent cx="1117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12065</wp:posOffset>
            </wp:positionV>
            <wp:extent cx="86550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65505" cy="26035"/>
                    </a:xfrm>
                    <a:prstGeom prst="rect">
                      <a:avLst/>
                    </a:prstGeom>
                    <a:noFill/>
                  </pic:spPr>
                </pic:pic>
              </a:graphicData>
            </a:graphic>
          </wp:anchor>
        </w:drawing>
      </w:r>
    </w:p>
    <w:p>
      <w:pPr>
        <w:spacing w:after="0" w:line="26"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1,676,217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-115570</wp:posOffset>
            </wp:positionV>
            <wp:extent cx="1117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12065</wp:posOffset>
            </wp:positionV>
            <wp:extent cx="9772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1"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113,478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4445</wp:posOffset>
            </wp:positionV>
            <wp:extent cx="9772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jc w:val="right"/>
        <w:ind w:right="140"/>
        <w:spacing w:after="0"/>
        <w:rPr>
          <w:sz w:val="20"/>
          <w:szCs w:val="20"/>
          <w:color w:val="auto"/>
        </w:rPr>
      </w:pPr>
      <w:r>
        <w:rPr>
          <w:rFonts w:ascii="Arial" w:cs="Arial" w:eastAsia="Arial" w:hAnsi="Arial"/>
          <w:sz w:val="16"/>
          <w:szCs w:val="16"/>
          <w:color w:val="auto"/>
        </w:rPr>
        <w:t>19,373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4445</wp:posOffset>
            </wp:positionV>
            <wp:extent cx="9772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jc w:val="right"/>
        <w:ind w:right="140"/>
        <w:spacing w:after="0"/>
        <w:rPr>
          <w:sz w:val="20"/>
          <w:szCs w:val="20"/>
          <w:color w:val="auto"/>
        </w:rPr>
      </w:pPr>
      <w:r>
        <w:rPr>
          <w:rFonts w:ascii="Arial" w:cs="Arial" w:eastAsia="Arial" w:hAnsi="Arial"/>
          <w:sz w:val="16"/>
          <w:szCs w:val="16"/>
          <w:color w:val="auto"/>
        </w:rPr>
        <w:t>486,117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4445</wp:posOffset>
            </wp:positionV>
            <wp:extent cx="9772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jc w:val="right"/>
        <w:ind w:right="140"/>
        <w:spacing w:after="0"/>
        <w:rPr>
          <w:sz w:val="20"/>
          <w:szCs w:val="20"/>
          <w:color w:val="auto"/>
        </w:rPr>
      </w:pPr>
      <w:r>
        <w:rPr>
          <w:rFonts w:ascii="Arial" w:cs="Arial" w:eastAsia="Arial" w:hAnsi="Arial"/>
          <w:sz w:val="16"/>
          <w:szCs w:val="16"/>
          <w:color w:val="auto"/>
        </w:rPr>
        <w:t>24,141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86550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65505" cy="25400"/>
                    </a:xfrm>
                    <a:prstGeom prst="rect">
                      <a:avLst/>
                    </a:prstGeom>
                    <a:noFill/>
                  </pic:spPr>
                </pic:pic>
              </a:graphicData>
            </a:graphic>
          </wp:anchor>
        </w:drawing>
      </w:r>
    </w:p>
    <w:p>
      <w:pPr>
        <w:spacing w:after="0" w:line="13" w:lineRule="exact"/>
        <w:rPr>
          <w:sz w:val="20"/>
          <w:szCs w:val="20"/>
          <w:color w:val="auto"/>
        </w:rPr>
      </w:pPr>
    </w:p>
    <w:p>
      <w:pPr>
        <w:ind w:left="600" w:hanging="598"/>
        <w:spacing w:after="0"/>
        <w:tabs>
          <w:tab w:leader="none" w:pos="6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2,947,019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-115570</wp:posOffset>
            </wp:positionV>
            <wp:extent cx="1117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12065</wp:posOffset>
            </wp:positionV>
            <wp:extent cx="9772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77265" cy="2603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158115</wp:posOffset>
            </wp:positionV>
            <wp:extent cx="9772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264" w:lineRule="exact"/>
        <w:rPr>
          <w:sz w:val="20"/>
          <w:szCs w:val="20"/>
          <w:color w:val="auto"/>
        </w:rPr>
      </w:pPr>
    </w:p>
    <w:p>
      <w:pPr>
        <w:sectPr>
          <w:pgSz w:w="11900" w:h="16838" w:orient="portrait"/>
          <w:cols w:equalWidth="0" w:num="3">
            <w:col w:w="7415" w:space="720"/>
            <w:col w:w="1325" w:space="320"/>
            <w:col w:w="1460"/>
          </w:cols>
          <w:pgMar w:left="320" w:top="1025" w:right="339" w:bottom="1440" w:gutter="0" w:footer="0" w:header="0"/>
          <w:type w:val="continuous"/>
        </w:sectPr>
      </w:pPr>
    </w:p>
    <w:p>
      <w:pPr>
        <w:ind w:left="20"/>
        <w:spacing w:after="0"/>
        <w:rPr>
          <w:sz w:val="20"/>
          <w:szCs w:val="20"/>
          <w:color w:val="auto"/>
        </w:rPr>
      </w:pPr>
      <w:r>
        <w:rPr>
          <w:rFonts w:ascii="Arial" w:cs="Arial" w:eastAsia="Arial" w:hAnsi="Arial"/>
          <w:sz w:val="16"/>
          <w:szCs w:val="16"/>
          <w:color w:val="004483"/>
        </w:rPr>
        <w:t>Current Liabilities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20" w:type="dxa"/>
            <w:vAlign w:val="bottom"/>
            <w:tcBorders>
              <w:top w:val="single" w:sz="8" w:color="A6A6A6"/>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Accounts Payable</w:t>
            </w:r>
          </w:p>
        </w:tc>
        <w:tc>
          <w:tcPr>
            <w:tcW w:w="360" w:type="dxa"/>
            <w:vAlign w:val="bottom"/>
            <w:tcBorders>
              <w:top w:val="single" w:sz="8" w:color="A6A6A6"/>
              <w:bottom w:val="single" w:sz="8" w:color="A6A6A6"/>
            </w:tcBorders>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118,718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2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Accrued Liabilities</w:t>
            </w:r>
          </w:p>
        </w:tc>
        <w:tc>
          <w:tcPr>
            <w:tcW w:w="36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86,999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2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Income Tax Payable</w:t>
            </w:r>
          </w:p>
        </w:tc>
        <w:tc>
          <w:tcPr>
            <w:tcW w:w="36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3,090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2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Operating Lease Liabilities</w:t>
            </w:r>
          </w:p>
        </w:tc>
        <w:tc>
          <w:tcPr>
            <w:tcW w:w="36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5,074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20" w:type="dxa"/>
            <w:vAlign w:val="bottom"/>
            <w:tcBorders>
              <w:bottom w:val="single" w:sz="8" w:color="A3A3A3"/>
            </w:tcBorders>
            <w:gridSpan w:val="2"/>
          </w:tcPr>
          <w:p>
            <w:pPr>
              <w:ind w:left="200"/>
              <w:spacing w:after="0" w:line="183" w:lineRule="exact"/>
              <w:rPr>
                <w:sz w:val="20"/>
                <w:szCs w:val="20"/>
                <w:color w:val="auto"/>
              </w:rPr>
            </w:pPr>
            <w:r>
              <w:rPr>
                <w:rFonts w:ascii="Arial" w:cs="Arial" w:eastAsia="Arial" w:hAnsi="Arial"/>
                <w:sz w:val="16"/>
                <w:szCs w:val="16"/>
                <w:color w:val="004483"/>
              </w:rPr>
              <w:t>Current Portion of Long-Term Debt</w:t>
            </w:r>
          </w:p>
        </w:tc>
        <w:tc>
          <w:tcPr>
            <w:tcW w:w="360" w:type="dxa"/>
            <w:vAlign w:val="bottom"/>
            <w:tcBorders>
              <w:bottom w:val="single" w:sz="8" w:color="004483"/>
            </w:tcBorders>
          </w:tcPr>
          <w:p>
            <w:pPr>
              <w:spacing w:after="0"/>
              <w:rPr>
                <w:sz w:val="18"/>
                <w:szCs w:val="18"/>
                <w:color w:val="auto"/>
              </w:rPr>
            </w:pP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120" w:type="dxa"/>
            <w:vAlign w:val="bottom"/>
            <w:tcBorders>
              <w:bottom w:val="single" w:sz="8" w:color="A6A6A6"/>
            </w:tcBorders>
            <w:gridSpan w:val="2"/>
          </w:tcPr>
          <w:p>
            <w:pPr>
              <w:ind w:left="380"/>
              <w:spacing w:after="0" w:line="183" w:lineRule="exact"/>
              <w:rPr>
                <w:sz w:val="20"/>
                <w:szCs w:val="20"/>
                <w:color w:val="auto"/>
              </w:rPr>
            </w:pPr>
            <w:r>
              <w:rPr>
                <w:rFonts w:ascii="Arial" w:cs="Arial" w:eastAsia="Arial" w:hAnsi="Arial"/>
                <w:sz w:val="16"/>
                <w:szCs w:val="16"/>
                <w:color w:val="004483"/>
              </w:rPr>
              <w:t>Total Current Liabilities</w:t>
            </w:r>
          </w:p>
        </w:tc>
        <w:tc>
          <w:tcPr>
            <w:tcW w:w="36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223,881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12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Long-Term Debt</w:t>
            </w:r>
          </w:p>
        </w:tc>
        <w:tc>
          <w:tcPr>
            <w:tcW w:w="36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991,749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2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Noncurrent Operating Lease Liabilities</w:t>
            </w:r>
          </w:p>
        </w:tc>
        <w:tc>
          <w:tcPr>
            <w:tcW w:w="36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34,951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2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Other Long-Term Liabilities</w:t>
            </w:r>
          </w:p>
        </w:tc>
        <w:tc>
          <w:tcPr>
            <w:tcW w:w="36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50,696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2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Deferred Income Taxes</w:t>
            </w:r>
          </w:p>
        </w:tc>
        <w:tc>
          <w:tcPr>
            <w:tcW w:w="360" w:type="dxa"/>
            <w:vAlign w:val="bottom"/>
            <w:tcBorders>
              <w:bottom w:val="single" w:sz="8" w:color="004483"/>
            </w:tcBorders>
          </w:tcPr>
          <w:p>
            <w:pPr>
              <w:spacing w:after="0"/>
              <w:rPr>
                <w:sz w:val="18"/>
                <w:szCs w:val="18"/>
                <w:color w:val="auto"/>
              </w:rPr>
            </w:pP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246,254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Borders>
              <w:bottom w:val="single" w:sz="8" w:color="A6A6A6"/>
            </w:tcBorders>
            <w:gridSpan w:val="2"/>
          </w:tcPr>
          <w:p>
            <w:pPr>
              <w:ind w:left="380"/>
              <w:spacing w:after="0" w:line="183" w:lineRule="exact"/>
              <w:rPr>
                <w:sz w:val="20"/>
                <w:szCs w:val="20"/>
                <w:color w:val="auto"/>
              </w:rPr>
            </w:pPr>
            <w:r>
              <w:rPr>
                <w:rFonts w:ascii="Arial" w:cs="Arial" w:eastAsia="Arial" w:hAnsi="Arial"/>
                <w:sz w:val="16"/>
                <w:szCs w:val="16"/>
                <w:color w:val="004483"/>
              </w:rPr>
              <w:t>Total Liabilities</w:t>
            </w:r>
          </w:p>
        </w:tc>
        <w:tc>
          <w:tcPr>
            <w:tcW w:w="360" w:type="dxa"/>
            <w:vAlign w:val="bottom"/>
            <w:tcBorders>
              <w:bottom w:val="single" w:sz="8" w:color="004483"/>
            </w:tcBorders>
          </w:tcPr>
          <w:p>
            <w:pPr>
              <w:spacing w:after="0"/>
              <w:rPr>
                <w:sz w:val="18"/>
                <w:szCs w:val="18"/>
                <w:color w:val="auto"/>
              </w:rPr>
            </w:pP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1,547,531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12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Stockholders’ Equity</w:t>
            </w:r>
          </w:p>
        </w:tc>
        <w:tc>
          <w:tcPr>
            <w:tcW w:w="36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2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Preferred Stock, Par Value $0.01; Authorized 5,000,000 Shares; None Issued</w:t>
            </w:r>
          </w:p>
        </w:tc>
        <w:tc>
          <w:tcPr>
            <w:tcW w:w="36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120" w:type="dxa"/>
            <w:vAlign w:val="bottom"/>
            <w:gridSpan w:val="2"/>
          </w:tcPr>
          <w:p>
            <w:pPr>
              <w:ind w:left="200"/>
              <w:spacing w:after="0" w:line="168" w:lineRule="exact"/>
              <w:rPr>
                <w:sz w:val="20"/>
                <w:szCs w:val="20"/>
                <w:color w:val="auto"/>
              </w:rPr>
            </w:pPr>
            <w:r>
              <w:rPr>
                <w:rFonts w:ascii="Arial" w:cs="Arial" w:eastAsia="Arial" w:hAnsi="Arial"/>
                <w:sz w:val="16"/>
                <w:szCs w:val="16"/>
                <w:color w:val="004483"/>
              </w:rPr>
              <w:t>Common Stock, Par Value $0.01; Authorized 100,000,000 Shares;</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20" w:type="dxa"/>
            <w:vAlign w:val="bottom"/>
            <w:tcBorders>
              <w:bottom w:val="single" w:sz="8" w:color="A6A6A6"/>
            </w:tcBorders>
            <w:gridSpan w:val="2"/>
          </w:tcPr>
          <w:p>
            <w:pPr>
              <w:ind w:left="340"/>
              <w:spacing w:after="0"/>
              <w:rPr>
                <w:sz w:val="20"/>
                <w:szCs w:val="20"/>
                <w:color w:val="auto"/>
              </w:rPr>
            </w:pPr>
            <w:r>
              <w:rPr>
                <w:rFonts w:ascii="Arial" w:cs="Arial" w:eastAsia="Arial" w:hAnsi="Arial"/>
                <w:sz w:val="16"/>
                <w:szCs w:val="16"/>
                <w:color w:val="004483"/>
              </w:rPr>
              <w:t>Issued and Outstanding 33,391,155 and 34,143,945 Shares, respectively</w:t>
            </w:r>
          </w:p>
        </w:tc>
        <w:tc>
          <w:tcPr>
            <w:tcW w:w="3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12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Capital in Excess of Par Value</w:t>
            </w:r>
          </w:p>
        </w:tc>
        <w:tc>
          <w:tcPr>
            <w:tcW w:w="36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812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Accumulated Other Comprehensive Losses</w:t>
            </w:r>
          </w:p>
        </w:tc>
        <w:tc>
          <w:tcPr>
            <w:tcW w:w="36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(3,238</w:t>
            </w: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2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Retained Earnings</w:t>
            </w:r>
          </w:p>
        </w:tc>
        <w:tc>
          <w:tcPr>
            <w:tcW w:w="360" w:type="dxa"/>
            <w:vAlign w:val="bottom"/>
            <w:tcBorders>
              <w:bottom w:val="single" w:sz="8" w:color="004483"/>
            </w:tcBorders>
          </w:tcPr>
          <w:p>
            <w:pPr>
              <w:spacing w:after="0"/>
              <w:rPr>
                <w:sz w:val="18"/>
                <w:szCs w:val="18"/>
                <w:color w:val="auto"/>
              </w:rPr>
            </w:pP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1,499,043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120" w:type="dxa"/>
            <w:vAlign w:val="bottom"/>
            <w:gridSpan w:val="2"/>
          </w:tcPr>
          <w:p>
            <w:pPr>
              <w:ind w:left="380"/>
              <w:spacing w:after="0" w:line="183" w:lineRule="exact"/>
              <w:rPr>
                <w:sz w:val="20"/>
                <w:szCs w:val="20"/>
                <w:color w:val="auto"/>
              </w:rPr>
            </w:pPr>
            <w:r>
              <w:rPr>
                <w:rFonts w:ascii="Arial" w:cs="Arial" w:eastAsia="Arial" w:hAnsi="Arial"/>
                <w:sz w:val="16"/>
                <w:szCs w:val="16"/>
                <w:color w:val="004483"/>
              </w:rPr>
              <w:t>Total Stockholders’ Equity</w:t>
            </w:r>
          </w:p>
        </w:tc>
        <w:tc>
          <w:tcPr>
            <w:tcW w:w="36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1,496,139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940" w:type="dxa"/>
            <w:vAlign w:val="bottom"/>
            <w:tcBorders>
              <w:bottom w:val="single" w:sz="8" w:color="A6A6A6"/>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360" w:type="dxa"/>
            <w:vAlign w:val="bottom"/>
            <w:tcBorders>
              <w:bottom w:val="single" w:sz="8" w:color="004483"/>
            </w:tcBorders>
            <w:shd w:val="clear" w:color="auto" w:fill="004483"/>
          </w:tcPr>
          <w:p>
            <w:pPr>
              <w:spacing w:after="0"/>
              <w:rPr>
                <w:sz w:val="2"/>
                <w:szCs w:val="2"/>
                <w:color w:val="auto"/>
              </w:rPr>
            </w:pPr>
          </w:p>
        </w:tc>
        <w:tc>
          <w:tcPr>
            <w:tcW w:w="1000" w:type="dxa"/>
            <w:vAlign w:val="bottom"/>
            <w:tcBorders>
              <w:bottom w:val="single" w:sz="8" w:color="004483"/>
            </w:tcBorders>
            <w:shd w:val="clear" w:color="auto" w:fill="004483"/>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940" w:type="dxa"/>
            <w:vAlign w:val="bottom"/>
          </w:tcPr>
          <w:p>
            <w:pPr>
              <w:ind w:left="380"/>
              <w:spacing w:after="0" w:line="183" w:lineRule="exact"/>
              <w:rPr>
                <w:sz w:val="20"/>
                <w:szCs w:val="20"/>
                <w:color w:val="auto"/>
              </w:rPr>
            </w:pPr>
            <w:r>
              <w:rPr>
                <w:rFonts w:ascii="Arial" w:cs="Arial" w:eastAsia="Arial" w:hAnsi="Arial"/>
                <w:sz w:val="16"/>
                <w:szCs w:val="16"/>
                <w:color w:val="004483"/>
              </w:rPr>
              <w:t>Total Liabilities and Stockholders’ Equity</w:t>
            </w:r>
          </w:p>
        </w:tc>
        <w:tc>
          <w:tcPr>
            <w:tcW w:w="180" w:type="dxa"/>
            <w:vAlign w:val="bottom"/>
            <w:vMerge w:val="continue"/>
          </w:tcPr>
          <w:p>
            <w:pPr>
              <w:spacing w:after="0"/>
              <w:rPr>
                <w:sz w:val="15"/>
                <w:szCs w:val="15"/>
                <w:color w:val="auto"/>
              </w:rPr>
            </w:pPr>
          </w:p>
        </w:tc>
        <w:tc>
          <w:tcPr>
            <w:tcW w:w="360" w:type="dxa"/>
            <w:vAlign w:val="bottom"/>
            <w:tcBorders>
              <w:bottom w:val="single" w:sz="8" w:color="004483"/>
            </w:tcBorders>
          </w:tcPr>
          <w:p>
            <w:pPr>
              <w:jc w:val="right"/>
              <w:ind w:right="179"/>
              <w:spacing w:after="0" w:line="183" w:lineRule="exact"/>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3,043,670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740" w:hanging="738"/>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127,183</w:t>
      </w:r>
    </w:p>
    <w:p>
      <w:pPr>
        <w:spacing w:after="0" w:line="30"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color w:val="auto"/>
        </w:rPr>
        <w:t>94,327</w:t>
      </w:r>
    </w:p>
    <w:p>
      <w:pPr>
        <w:spacing w:after="0" w:line="18"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1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7,899</w:t>
      </w:r>
    </w:p>
    <w:p>
      <w:pPr>
        <w:spacing w:after="0" w:line="18"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color w:val="auto"/>
        </w:rPr>
        <w:t>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-637540</wp:posOffset>
            </wp:positionV>
            <wp:extent cx="9772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77265"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-509270</wp:posOffset>
            </wp:positionV>
            <wp:extent cx="9772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77265"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-380365</wp:posOffset>
            </wp:positionV>
            <wp:extent cx="9772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77265"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-252095</wp:posOffset>
            </wp:positionV>
            <wp:extent cx="9772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-123190</wp:posOffset>
            </wp:positionV>
            <wp:extent cx="9772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4445</wp:posOffset>
            </wp:positionV>
            <wp:extent cx="86550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65505" cy="26035"/>
                    </a:xfrm>
                    <a:prstGeom prst="rect">
                      <a:avLst/>
                    </a:prstGeom>
                    <a:noFill/>
                  </pic:spPr>
                </pic:pic>
              </a:graphicData>
            </a:graphic>
          </wp:anchor>
        </w:drawing>
      </w:r>
    </w:p>
    <w:p>
      <w:pPr>
        <w:spacing w:after="0" w:line="13"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239,409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-115570</wp:posOffset>
            </wp:positionV>
            <wp:extent cx="1117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12065</wp:posOffset>
            </wp:positionV>
            <wp:extent cx="9772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1"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1,083,299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4445</wp:posOffset>
            </wp:positionV>
            <wp:extent cx="9772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jc w:val="right"/>
        <w:ind w:right="140"/>
        <w:spacing w:after="0"/>
        <w:rPr>
          <w:sz w:val="20"/>
          <w:szCs w:val="20"/>
          <w:color w:val="auto"/>
        </w:rPr>
      </w:pPr>
      <w:r>
        <w:rPr>
          <w:rFonts w:ascii="Arial" w:cs="Arial" w:eastAsia="Arial" w:hAnsi="Arial"/>
          <w:sz w:val="16"/>
          <w:szCs w:val="16"/>
          <w:color w:val="auto"/>
        </w:rPr>
        <w:t>19,037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4445</wp:posOffset>
            </wp:positionV>
            <wp:extent cx="9772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jc w:val="right"/>
        <w:ind w:right="140"/>
        <w:spacing w:after="0"/>
        <w:rPr>
          <w:sz w:val="20"/>
          <w:szCs w:val="20"/>
          <w:color w:val="auto"/>
        </w:rPr>
      </w:pPr>
      <w:r>
        <w:rPr>
          <w:rFonts w:ascii="Arial" w:cs="Arial" w:eastAsia="Arial" w:hAnsi="Arial"/>
          <w:sz w:val="16"/>
          <w:szCs w:val="16"/>
          <w:color w:val="auto"/>
        </w:rPr>
        <w:t>51,942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4445</wp:posOffset>
            </wp:positionV>
            <wp:extent cx="9772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jc w:val="right"/>
        <w:ind w:right="140"/>
        <w:spacing w:after="0"/>
        <w:rPr>
          <w:sz w:val="20"/>
          <w:szCs w:val="20"/>
          <w:color w:val="auto"/>
        </w:rPr>
      </w:pPr>
      <w:r>
        <w:rPr>
          <w:rFonts w:ascii="Arial" w:cs="Arial" w:eastAsia="Arial" w:hAnsi="Arial"/>
          <w:sz w:val="16"/>
          <w:szCs w:val="16"/>
          <w:color w:val="auto"/>
        </w:rPr>
        <w:t>244,797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86550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65505" cy="25400"/>
                    </a:xfrm>
                    <a:prstGeom prst="rect">
                      <a:avLst/>
                    </a:prstGeom>
                    <a:noFill/>
                  </pic:spPr>
                </pic:pic>
              </a:graphicData>
            </a:graphic>
          </wp:anchor>
        </w:drawing>
      </w:r>
    </w:p>
    <w:p>
      <w:pPr>
        <w:spacing w:after="0" w:line="1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1,638,484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-115570</wp:posOffset>
            </wp:positionV>
            <wp:extent cx="1117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12065</wp:posOffset>
            </wp:positionV>
            <wp:extent cx="9772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77265" cy="25400"/>
                    </a:xfrm>
                    <a:prstGeom prst="rect">
                      <a:avLst/>
                    </a:prstGeom>
                    <a:noFill/>
                  </pic:spPr>
                </pic:pic>
              </a:graphicData>
            </a:graphic>
          </wp:anchor>
        </w:drawing>
      </w:r>
    </w:p>
    <w:p>
      <w:pPr>
        <w:spacing w:after="0" w:line="22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-115570</wp:posOffset>
            </wp:positionV>
            <wp:extent cx="9772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12065</wp:posOffset>
            </wp:positionV>
            <wp:extent cx="9772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88"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12065</wp:posOffset>
            </wp:positionV>
            <wp:extent cx="9772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4445</wp:posOffset>
            </wp:positionV>
            <wp:extent cx="9772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jc w:val="right"/>
        <w:ind w:right="40"/>
        <w:spacing w:after="0"/>
        <w:rPr>
          <w:sz w:val="20"/>
          <w:szCs w:val="20"/>
          <w:color w:val="auto"/>
        </w:rPr>
      </w:pPr>
      <w:r>
        <w:rPr>
          <w:rFonts w:ascii="Arial" w:cs="Arial" w:eastAsia="Arial" w:hAnsi="Arial"/>
          <w:sz w:val="16"/>
          <w:szCs w:val="16"/>
          <w:color w:val="auto"/>
        </w:rPr>
        <w:t>(3,373 )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4445</wp:posOffset>
            </wp:positionV>
            <wp:extent cx="9772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6"/>
          <w:szCs w:val="16"/>
          <w:color w:val="auto"/>
        </w:rPr>
        <w:t>1,311,567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86550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65505" cy="25400"/>
                    </a:xfrm>
                    <a:prstGeom prst="rect">
                      <a:avLst/>
                    </a:prstGeom>
                    <a:noFill/>
                  </pic:spPr>
                </pic:pic>
              </a:graphicData>
            </a:graphic>
          </wp:anchor>
        </w:drawing>
      </w:r>
    </w:p>
    <w:p>
      <w:pPr>
        <w:spacing w:after="0" w:line="1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1,308,535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-115570</wp:posOffset>
            </wp:positionV>
            <wp:extent cx="1117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12065</wp:posOffset>
            </wp:positionV>
            <wp:extent cx="86550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65505" cy="25400"/>
                    </a:xfrm>
                    <a:prstGeom prst="rect">
                      <a:avLst/>
                    </a:prstGeom>
                    <a:noFill/>
                  </pic:spPr>
                </pic:pic>
              </a:graphicData>
            </a:graphic>
          </wp:anchor>
        </w:drawing>
      </w:r>
    </w:p>
    <w:p>
      <w:pPr>
        <w:spacing w:after="0" w:line="26" w:lineRule="exact"/>
        <w:rPr>
          <w:sz w:val="20"/>
          <w:szCs w:val="20"/>
          <w:color w:val="auto"/>
        </w:rPr>
      </w:pPr>
    </w:p>
    <w:p>
      <w:pPr>
        <w:ind w:left="600" w:hanging="598"/>
        <w:spacing w:after="0"/>
        <w:tabs>
          <w:tab w:leader="none" w:pos="6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2,947,019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wp:posOffset>
            </wp:positionV>
            <wp:extent cx="8655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8655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150" w:lineRule="exact"/>
        <w:rPr>
          <w:sz w:val="20"/>
          <w:szCs w:val="20"/>
          <w:color w:val="auto"/>
        </w:rPr>
      </w:pPr>
    </w:p>
    <w:p>
      <w:pPr>
        <w:sectPr>
          <w:pgSz w:w="11900" w:h="16838" w:orient="portrait"/>
          <w:cols w:equalWidth="0" w:num="2">
            <w:col w:w="9560" w:space="220"/>
            <w:col w:w="1460"/>
          </w:cols>
          <w:pgMar w:left="320" w:top="1025"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500380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EAGLE MATERIALS INC. AND SUBSIDIARIES CONSOLIDATED STATEMENTS OF CASH FLOWS (unaudited)</w:t>
      </w:r>
    </w:p>
    <w:p>
      <w:pPr>
        <w:spacing w:after="0" w:line="196" w:lineRule="exact"/>
        <w:rPr>
          <w:sz w:val="20"/>
          <w:szCs w:val="20"/>
          <w:color w:val="auto"/>
        </w:rPr>
      </w:pPr>
    </w:p>
    <w:p>
      <w:pPr>
        <w:ind w:left="8060"/>
        <w:spacing w:after="0"/>
        <w:rPr>
          <w:sz w:val="20"/>
          <w:szCs w:val="20"/>
          <w:color w:val="auto"/>
        </w:rPr>
      </w:pPr>
      <w:r>
        <w:rPr>
          <w:rFonts w:ascii="Arial" w:cs="Arial" w:eastAsia="Arial" w:hAnsi="Arial"/>
          <w:sz w:val="13"/>
          <w:szCs w:val="13"/>
          <w:b w:val="1"/>
          <w:bCs w:val="1"/>
          <w:color w:val="FFFFFF"/>
        </w:rPr>
        <w:t>For the Nine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-81280</wp:posOffset>
            </wp:positionV>
            <wp:extent cx="2374265" cy="857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74265" cy="85725"/>
                    </a:xfrm>
                    <a:prstGeom prst="rect">
                      <a:avLst/>
                    </a:prstGeom>
                    <a:noFill/>
                  </pic:spPr>
                </pic:pic>
              </a:graphicData>
            </a:graphic>
          </wp:anchor>
        </w:drawing>
      </w:r>
    </w:p>
    <w:p>
      <w:pPr>
        <w:ind w:left="8860"/>
        <w:spacing w:after="0" w:line="234" w:lineRule="auto"/>
        <w:tabs>
          <w:tab w:leader="none" w:pos="10800" w:val="left"/>
        </w:tabs>
        <w:rPr>
          <w:sz w:val="20"/>
          <w:szCs w:val="20"/>
          <w:color w:val="auto"/>
        </w:rPr>
      </w:pPr>
      <w:r>
        <w:rPr>
          <w:rFonts w:ascii="Arial" w:cs="Arial" w:eastAsia="Arial" w:hAnsi="Arial"/>
          <w:sz w:val="12"/>
          <w:szCs w:val="12"/>
          <w:b w:val="1"/>
          <w:bCs w:val="1"/>
          <w:color w:val="auto"/>
        </w:rPr>
        <w:t>2024</w:t>
      </w:r>
      <w:r>
        <w:rPr>
          <w:sz w:val="20"/>
          <w:szCs w:val="20"/>
          <w:color w:val="auto"/>
        </w:rPr>
        <w:tab/>
      </w:r>
      <w:r>
        <w:rPr>
          <w:rFonts w:ascii="Arial" w:cs="Arial" w:eastAsia="Arial" w:hAnsi="Arial"/>
          <w:sz w:val="12"/>
          <w:szCs w:val="12"/>
          <w:b w:val="1"/>
          <w:bCs w:val="1"/>
          <w:color w:val="auto"/>
        </w:rPr>
        <w:t>2023</w:t>
      </w:r>
    </w:p>
    <w:p>
      <w:pPr>
        <w:ind w:left="870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06374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63740" cy="25400"/>
                    </a:xfrm>
                    <a:prstGeom prst="rect">
                      <a:avLst/>
                    </a:prstGeom>
                    <a:noFill/>
                  </pic:spPr>
                </pic:pic>
              </a:graphicData>
            </a:graphic>
          </wp:anchor>
        </w:drawing>
      </w:r>
    </w:p>
    <w:p>
      <w:pPr>
        <w:sectPr>
          <w:pgSz w:w="11900" w:h="16838" w:orient="portrait"/>
          <w:cols w:equalWidth="0" w:num="1">
            <w:col w:w="11200"/>
          </w:cols>
          <w:pgMar w:left="320" w:top="1025" w:right="379" w:bottom="1440" w:gutter="0" w:footer="0" w:header="0"/>
        </w:sectPr>
      </w:pP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0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Net Earnings</w:t>
            </w:r>
          </w:p>
        </w:tc>
        <w:tc>
          <w:tcPr>
            <w:tcW w:w="560" w:type="dxa"/>
            <w:vAlign w:val="bottom"/>
            <w:tcBorders>
              <w:top w:val="single" w:sz="8" w:color="A6A6A6"/>
              <w:bottom w:val="single" w:sz="8" w:color="A6A6A6"/>
            </w:tcBorders>
          </w:tcPr>
          <w:p>
            <w:pPr>
              <w:jc w:val="right"/>
              <w:ind w:right="37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396,936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500" w:type="dxa"/>
            <w:vAlign w:val="bottom"/>
          </w:tcPr>
          <w:p>
            <w:pPr>
              <w:ind w:left="20"/>
              <w:spacing w:after="0" w:line="168" w:lineRule="exact"/>
              <w:rPr>
                <w:sz w:val="20"/>
                <w:szCs w:val="20"/>
                <w:color w:val="auto"/>
              </w:rPr>
            </w:pPr>
            <w:r>
              <w:rPr>
                <w:rFonts w:ascii="Arial" w:cs="Arial" w:eastAsia="Arial" w:hAnsi="Arial"/>
                <w:sz w:val="16"/>
                <w:szCs w:val="16"/>
                <w:color w:val="004483"/>
              </w:rPr>
              <w:t>Adjustments to Reconcile Net Earnings to Net Cash Provided</w:t>
            </w: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5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by Operating Activities, Net of Effect of Non-Cash Activity</w:t>
            </w:r>
          </w:p>
        </w:tc>
        <w:tc>
          <w:tcPr>
            <w:tcW w:w="56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5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Depreciation, Depletion, and Amortization</w:t>
            </w:r>
          </w:p>
        </w:tc>
        <w:tc>
          <w:tcPr>
            <w:tcW w:w="5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116,661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Deferred Income Tax Provision</w:t>
            </w:r>
          </w:p>
        </w:tc>
        <w:tc>
          <w:tcPr>
            <w:tcW w:w="5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1,457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Stock Compensation Expense</w:t>
            </w:r>
          </w:p>
        </w:tc>
        <w:tc>
          <w:tcPr>
            <w:tcW w:w="5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14,221</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5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Equity in Earnings of Unconsolidated Joint Venture</w:t>
            </w:r>
          </w:p>
        </w:tc>
        <w:tc>
          <w:tcPr>
            <w:tcW w:w="5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(21,979</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Distributions from Joint Venture</w:t>
            </w:r>
          </w:p>
        </w:tc>
        <w:tc>
          <w:tcPr>
            <w:tcW w:w="5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Changes in Operating Assets and Liabilities</w:t>
            </w:r>
          </w:p>
        </w:tc>
        <w:tc>
          <w:tcPr>
            <w:tcW w:w="5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Accounts and Notes Receivable</w:t>
            </w:r>
          </w:p>
        </w:tc>
        <w:tc>
          <w:tcPr>
            <w:tcW w:w="5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20,606</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5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Inventories</w:t>
            </w:r>
          </w:p>
        </w:tc>
        <w:tc>
          <w:tcPr>
            <w:tcW w:w="5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(17,277</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Accounts Payable and Accrued Liabilities</w:t>
            </w:r>
          </w:p>
        </w:tc>
        <w:tc>
          <w:tcPr>
            <w:tcW w:w="5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(15,175</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5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Other Assets</w:t>
            </w:r>
          </w:p>
        </w:tc>
        <w:tc>
          <w:tcPr>
            <w:tcW w:w="5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(18,041</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Income Taxes Payable (Receivable)</w:t>
            </w:r>
          </w:p>
        </w:tc>
        <w:tc>
          <w:tcPr>
            <w:tcW w:w="56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8,371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0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Net Cash Provided by Operating Activities</w:t>
            </w:r>
          </w:p>
        </w:tc>
        <w:tc>
          <w:tcPr>
            <w:tcW w:w="56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485,780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5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5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spacing w:after="0"/>
              <w:rPr>
                <w:sz w:val="15"/>
                <w:szCs w:val="15"/>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5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Additions to Property, Plant, and Equipment</w:t>
            </w:r>
          </w:p>
        </w:tc>
        <w:tc>
          <w:tcPr>
            <w:tcW w:w="5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(146,975</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Acquisition Spending</w:t>
            </w:r>
          </w:p>
        </w:tc>
        <w:tc>
          <w:tcPr>
            <w:tcW w:w="56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(24,881</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Net Cash Used in Investing Activities</w:t>
            </w:r>
          </w:p>
        </w:tc>
        <w:tc>
          <w:tcPr>
            <w:tcW w:w="56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(171,856</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5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5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Borrowings Under Revolving Credit Facility</w:t>
            </w:r>
          </w:p>
        </w:tc>
        <w:tc>
          <w:tcPr>
            <w:tcW w:w="5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100,000</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5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Repayment of Borrowings Under Revolving Credit Facility</w:t>
            </w:r>
          </w:p>
        </w:tc>
        <w:tc>
          <w:tcPr>
            <w:tcW w:w="5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(185,000</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Repayment of Term Loan</w:t>
            </w:r>
          </w:p>
        </w:tc>
        <w:tc>
          <w:tcPr>
            <w:tcW w:w="5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(7,500</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5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Dividends Paid to Stockholders</w:t>
            </w:r>
          </w:p>
        </w:tc>
        <w:tc>
          <w:tcPr>
            <w:tcW w:w="5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(25,373</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5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Purchase and Retirement of Common Stock</w:t>
            </w:r>
          </w:p>
        </w:tc>
        <w:tc>
          <w:tcPr>
            <w:tcW w:w="5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(201,276</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5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Payment of Excise Tax on Purchases and Retirements of Common Stock</w:t>
            </w:r>
          </w:p>
        </w:tc>
        <w:tc>
          <w:tcPr>
            <w:tcW w:w="5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(3,331</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5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Proceeds from Stock Option Exercises</w:t>
            </w:r>
          </w:p>
        </w:tc>
        <w:tc>
          <w:tcPr>
            <w:tcW w:w="5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6,260</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5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Shares Redeemed to Settle Employee Taxes on Stock Compensation</w:t>
            </w:r>
          </w:p>
        </w:tc>
        <w:tc>
          <w:tcPr>
            <w:tcW w:w="56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(1,456</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0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Net Cash Used in Financing Activities</w:t>
            </w:r>
          </w:p>
        </w:tc>
        <w:tc>
          <w:tcPr>
            <w:tcW w:w="56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(317,676</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5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NET INCREASE IN CASH AND CASH EQUIVALENTS</w:t>
            </w:r>
          </w:p>
        </w:tc>
        <w:tc>
          <w:tcPr>
            <w:tcW w:w="5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(3,752</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5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CASH AND CASH EQUIVALENTS AT BEGINNING OF PERIOD</w:t>
            </w:r>
          </w:p>
        </w:tc>
        <w:tc>
          <w:tcPr>
            <w:tcW w:w="56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34,925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500" w:type="dxa"/>
            <w:vAlign w:val="bottom"/>
            <w:tcBorders>
              <w:bottom w:val="single" w:sz="8" w:color="A6A6A6"/>
            </w:tcBorders>
          </w:tcPr>
          <w:p>
            <w:pPr>
              <w:spacing w:after="0"/>
              <w:rPr>
                <w:sz w:val="2"/>
                <w:szCs w:val="2"/>
                <w:color w:val="auto"/>
              </w:rPr>
            </w:pPr>
          </w:p>
        </w:tc>
        <w:tc>
          <w:tcPr>
            <w:tcW w:w="560" w:type="dxa"/>
            <w:vAlign w:val="bottom"/>
            <w:tcBorders>
              <w:bottom w:val="single" w:sz="8" w:color="004483"/>
            </w:tcBorders>
            <w:shd w:val="clear" w:color="auto" w:fill="004483"/>
          </w:tcPr>
          <w:p>
            <w:pPr>
              <w:spacing w:after="0"/>
              <w:rPr>
                <w:sz w:val="2"/>
                <w:szCs w:val="2"/>
                <w:color w:val="auto"/>
              </w:rPr>
            </w:pPr>
          </w:p>
        </w:tc>
        <w:tc>
          <w:tcPr>
            <w:tcW w:w="1120" w:type="dxa"/>
            <w:vAlign w:val="bottom"/>
            <w:tcBorders>
              <w:bottom w:val="single" w:sz="8" w:color="004483"/>
            </w:tcBorders>
            <w:shd w:val="clear" w:color="auto" w:fill="004483"/>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5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CASH AND CASH EQUIVALENTS AT END OF PERIOD</w:t>
            </w:r>
          </w:p>
        </w:tc>
        <w:tc>
          <w:tcPr>
            <w:tcW w:w="560" w:type="dxa"/>
            <w:vAlign w:val="bottom"/>
            <w:tcBorders>
              <w:bottom w:val="single" w:sz="8" w:color="004483"/>
            </w:tcBorders>
          </w:tcPr>
          <w:p>
            <w:pPr>
              <w:jc w:val="right"/>
              <w:ind w:right="379"/>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31,173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56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1049" w:hanging="1049"/>
        <w:spacing w:after="0"/>
        <w:tabs>
          <w:tab w:leader="none" w:pos="1049" w:val="left"/>
        </w:tabs>
        <w:numPr>
          <w:ilvl w:val="0"/>
          <w:numId w:val="6"/>
        </w:numPr>
        <w:rPr>
          <w:rFonts w:ascii="Arial" w:cs="Arial" w:eastAsia="Arial" w:hAnsi="Arial"/>
          <w:sz w:val="16"/>
          <w:szCs w:val="16"/>
          <w:color w:val="auto"/>
        </w:rPr>
      </w:pPr>
      <w:r>
        <w:rPr>
          <w:rFonts w:ascii="Arial" w:cs="Arial" w:eastAsia="Arial" w:hAnsi="Arial"/>
          <w:sz w:val="16"/>
          <w:szCs w:val="16"/>
          <w:color w:val="auto"/>
        </w:rPr>
        <w:t>400,540</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1049"/>
        <w:spacing w:after="0"/>
        <w:rPr>
          <w:rFonts w:ascii="Arial" w:cs="Arial" w:eastAsia="Arial" w:hAnsi="Arial"/>
          <w:sz w:val="16"/>
          <w:szCs w:val="16"/>
          <w:color w:val="auto"/>
        </w:rPr>
      </w:pPr>
      <w:r>
        <w:rPr>
          <w:rFonts w:ascii="Arial" w:cs="Arial" w:eastAsia="Arial" w:hAnsi="Arial"/>
          <w:sz w:val="16"/>
          <w:szCs w:val="16"/>
          <w:color w:val="auto"/>
        </w:rPr>
        <w:t>111,347</w:t>
      </w:r>
    </w:p>
    <w:p>
      <w:pPr>
        <w:spacing w:after="0" w:line="30" w:lineRule="exact"/>
        <w:rPr>
          <w:rFonts w:ascii="Arial" w:cs="Arial" w:eastAsia="Arial" w:hAnsi="Arial"/>
          <w:sz w:val="16"/>
          <w:szCs w:val="16"/>
          <w:color w:val="auto"/>
        </w:rPr>
      </w:pPr>
    </w:p>
    <w:p>
      <w:pPr>
        <w:ind w:left="1229"/>
        <w:spacing w:after="0"/>
        <w:rPr>
          <w:rFonts w:ascii="Arial" w:cs="Arial" w:eastAsia="Arial" w:hAnsi="Arial"/>
          <w:sz w:val="16"/>
          <w:szCs w:val="16"/>
          <w:color w:val="auto"/>
        </w:rPr>
      </w:pPr>
      <w:r>
        <w:rPr>
          <w:rFonts w:ascii="Arial" w:cs="Arial" w:eastAsia="Arial" w:hAnsi="Arial"/>
          <w:sz w:val="16"/>
          <w:szCs w:val="16"/>
          <w:color w:val="auto"/>
        </w:rPr>
        <w:t>9,324</w:t>
      </w:r>
    </w:p>
    <w:p>
      <w:pPr>
        <w:spacing w:after="0" w:line="18" w:lineRule="exact"/>
        <w:rPr>
          <w:rFonts w:ascii="Arial" w:cs="Arial" w:eastAsia="Arial" w:hAnsi="Arial"/>
          <w:sz w:val="16"/>
          <w:szCs w:val="16"/>
          <w:color w:val="auto"/>
        </w:rPr>
      </w:pPr>
    </w:p>
    <w:p>
      <w:pPr>
        <w:ind w:left="1149"/>
        <w:spacing w:after="0"/>
        <w:rPr>
          <w:rFonts w:ascii="Arial" w:cs="Arial" w:eastAsia="Arial" w:hAnsi="Arial"/>
          <w:sz w:val="16"/>
          <w:szCs w:val="16"/>
          <w:color w:val="auto"/>
        </w:rPr>
      </w:pPr>
      <w:r>
        <w:rPr>
          <w:rFonts w:ascii="Arial" w:cs="Arial" w:eastAsia="Arial" w:hAnsi="Arial"/>
          <w:sz w:val="16"/>
          <w:szCs w:val="16"/>
          <w:color w:val="auto"/>
        </w:rPr>
        <w:t>15,356</w:t>
      </w:r>
    </w:p>
    <w:p>
      <w:pPr>
        <w:spacing w:after="0" w:line="18" w:lineRule="exact"/>
        <w:rPr>
          <w:rFonts w:ascii="Arial" w:cs="Arial" w:eastAsia="Arial" w:hAnsi="Arial"/>
          <w:sz w:val="16"/>
          <w:szCs w:val="16"/>
          <w:color w:val="auto"/>
        </w:rPr>
      </w:pPr>
    </w:p>
    <w:p>
      <w:pPr>
        <w:ind w:left="1089"/>
        <w:spacing w:after="0"/>
        <w:rPr>
          <w:rFonts w:ascii="Arial" w:cs="Arial" w:eastAsia="Arial" w:hAnsi="Arial"/>
          <w:sz w:val="16"/>
          <w:szCs w:val="16"/>
          <w:color w:val="auto"/>
        </w:rPr>
      </w:pPr>
      <w:r>
        <w:rPr>
          <w:rFonts w:ascii="Arial" w:cs="Arial" w:eastAsia="Arial" w:hAnsi="Arial"/>
          <w:sz w:val="15"/>
          <w:szCs w:val="15"/>
          <w:color w:val="auto"/>
        </w:rPr>
        <w:t>(22,790 )</w:t>
      </w:r>
    </w:p>
    <w:p>
      <w:pPr>
        <w:spacing w:after="0" w:line="30" w:lineRule="exact"/>
        <w:rPr>
          <w:rFonts w:ascii="Arial" w:cs="Arial" w:eastAsia="Arial" w:hAnsi="Arial"/>
          <w:sz w:val="16"/>
          <w:szCs w:val="16"/>
          <w:color w:val="auto"/>
        </w:rPr>
      </w:pPr>
    </w:p>
    <w:p>
      <w:pPr>
        <w:ind w:left="1229"/>
        <w:spacing w:after="0"/>
        <w:rPr>
          <w:rFonts w:ascii="Arial" w:cs="Arial" w:eastAsia="Arial" w:hAnsi="Arial"/>
          <w:sz w:val="16"/>
          <w:szCs w:val="16"/>
          <w:color w:val="auto"/>
        </w:rPr>
      </w:pPr>
      <w:r>
        <w:rPr>
          <w:rFonts w:ascii="Arial" w:cs="Arial" w:eastAsia="Arial" w:hAnsi="Arial"/>
          <w:sz w:val="16"/>
          <w:szCs w:val="16"/>
          <w:color w:val="auto"/>
        </w:rPr>
        <w:t>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-1014730</wp:posOffset>
            </wp:positionV>
            <wp:extent cx="11741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-886460</wp:posOffset>
            </wp:positionV>
            <wp:extent cx="11741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-637540</wp:posOffset>
            </wp:positionV>
            <wp:extent cx="11741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-509270</wp:posOffset>
            </wp:positionV>
            <wp:extent cx="11741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-380365</wp:posOffset>
            </wp:positionV>
            <wp:extent cx="11741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-252095</wp:posOffset>
            </wp:positionV>
            <wp:extent cx="11741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-123190</wp:posOffset>
            </wp:positionV>
            <wp:extent cx="11741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4445</wp:posOffset>
            </wp:positionV>
            <wp:extent cx="11741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89" w:lineRule="exact"/>
        <w:rPr>
          <w:sz w:val="20"/>
          <w:szCs w:val="20"/>
          <w:color w:val="auto"/>
        </w:rPr>
      </w:pPr>
    </w:p>
    <w:p>
      <w:pPr>
        <w:ind w:left="1229"/>
        <w:spacing w:after="0"/>
        <w:rPr>
          <w:sz w:val="20"/>
          <w:szCs w:val="20"/>
          <w:color w:val="auto"/>
        </w:rPr>
      </w:pPr>
      <w:r>
        <w:rPr>
          <w:rFonts w:ascii="Arial" w:cs="Arial" w:eastAsia="Arial" w:hAnsi="Arial"/>
          <w:sz w:val="16"/>
          <w:szCs w:val="16"/>
          <w:color w:val="auto"/>
        </w:rPr>
        <w:t>9,452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-115570</wp:posOffset>
            </wp:positionV>
            <wp:extent cx="11741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12065</wp:posOffset>
            </wp:positionV>
            <wp:extent cx="11741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(27,137 )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4445</wp:posOffset>
            </wp:positionV>
            <wp:extent cx="11741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ind w:left="1229"/>
        <w:spacing w:after="0"/>
        <w:rPr>
          <w:sz w:val="20"/>
          <w:szCs w:val="20"/>
          <w:color w:val="auto"/>
        </w:rPr>
      </w:pPr>
      <w:r>
        <w:rPr>
          <w:rFonts w:ascii="Arial" w:cs="Arial" w:eastAsia="Arial" w:hAnsi="Arial"/>
          <w:sz w:val="16"/>
          <w:szCs w:val="16"/>
          <w:color w:val="auto"/>
        </w:rPr>
        <w:t>3,278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4445</wp:posOffset>
            </wp:positionV>
            <wp:extent cx="11741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color w:val="auto"/>
        </w:rPr>
        <w:t>(19,428 )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4445</wp:posOffset>
            </wp:positionV>
            <wp:extent cx="11741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ind w:left="1149"/>
        <w:spacing w:after="0"/>
        <w:rPr>
          <w:sz w:val="20"/>
          <w:szCs w:val="20"/>
          <w:color w:val="auto"/>
        </w:rPr>
      </w:pPr>
      <w:r>
        <w:rPr>
          <w:rFonts w:ascii="Arial" w:cs="Arial" w:eastAsia="Arial" w:hAnsi="Arial"/>
          <w:sz w:val="16"/>
          <w:szCs w:val="16"/>
          <w:color w:val="auto"/>
        </w:rPr>
        <w:t>13,607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4445</wp:posOffset>
            </wp:positionV>
            <wp:extent cx="106299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62990" cy="25400"/>
                    </a:xfrm>
                    <a:prstGeom prst="rect">
                      <a:avLst/>
                    </a:prstGeom>
                    <a:noFill/>
                  </pic:spPr>
                </pic:pic>
              </a:graphicData>
            </a:graphic>
          </wp:anchor>
        </w:drawing>
      </w:r>
    </w:p>
    <w:p>
      <w:pPr>
        <w:spacing w:after="0" w:line="13" w:lineRule="exact"/>
        <w:rPr>
          <w:sz w:val="20"/>
          <w:szCs w:val="20"/>
          <w:color w:val="auto"/>
        </w:rPr>
      </w:pPr>
    </w:p>
    <w:p>
      <w:pPr>
        <w:ind w:left="1049"/>
        <w:spacing w:after="0"/>
        <w:rPr>
          <w:sz w:val="20"/>
          <w:szCs w:val="20"/>
          <w:color w:val="auto"/>
        </w:rPr>
      </w:pPr>
      <w:r>
        <w:rPr>
          <w:rFonts w:ascii="Arial" w:cs="Arial" w:eastAsia="Arial" w:hAnsi="Arial"/>
          <w:sz w:val="16"/>
          <w:szCs w:val="16"/>
          <w:color w:val="auto"/>
        </w:rPr>
        <w:t>500,549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-115570</wp:posOffset>
            </wp:positionV>
            <wp:extent cx="1111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12065</wp:posOffset>
            </wp:positionV>
            <wp:extent cx="11741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74115" cy="26035"/>
                    </a:xfrm>
                    <a:prstGeom prst="rect">
                      <a:avLst/>
                    </a:prstGeom>
                    <a:noFill/>
                  </pic:spPr>
                </pic:pic>
              </a:graphicData>
            </a:graphic>
          </wp:anchor>
        </w:drawing>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(87,848 )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-115570</wp:posOffset>
            </wp:positionV>
            <wp:extent cx="11741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74115" cy="889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12065</wp:posOffset>
            </wp:positionV>
            <wp:extent cx="11741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(55,053 )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4445</wp:posOffset>
            </wp:positionV>
            <wp:extent cx="106299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62990" cy="26035"/>
                    </a:xfrm>
                    <a:prstGeom prst="rect">
                      <a:avLst/>
                    </a:prstGeom>
                    <a:noFill/>
                  </pic:spPr>
                </pic:pic>
              </a:graphicData>
            </a:graphic>
          </wp:anchor>
        </w:drawing>
      </w:r>
    </w:p>
    <w:p>
      <w:pPr>
        <w:spacing w:after="0" w:line="13" w:lineRule="exact"/>
        <w:rPr>
          <w:sz w:val="20"/>
          <w:szCs w:val="20"/>
          <w:color w:val="auto"/>
        </w:rPr>
      </w:pPr>
    </w:p>
    <w:p>
      <w:pPr>
        <w:ind w:left="989"/>
        <w:spacing w:after="0"/>
        <w:rPr>
          <w:sz w:val="20"/>
          <w:szCs w:val="20"/>
          <w:color w:val="auto"/>
        </w:rPr>
      </w:pPr>
      <w:r>
        <w:rPr>
          <w:rFonts w:ascii="Arial" w:cs="Arial" w:eastAsia="Arial" w:hAnsi="Arial"/>
          <w:sz w:val="16"/>
          <w:szCs w:val="16"/>
          <w:color w:val="auto"/>
        </w:rPr>
        <w:t>(142,901 )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-115570</wp:posOffset>
            </wp:positionV>
            <wp:extent cx="1111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12065</wp:posOffset>
            </wp:positionV>
            <wp:extent cx="11741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74115" cy="25400"/>
                    </a:xfrm>
                    <a:prstGeom prst="rect">
                      <a:avLst/>
                    </a:prstGeom>
                    <a:noFill/>
                  </pic:spPr>
                </pic:pic>
              </a:graphicData>
            </a:graphic>
          </wp:anchor>
        </w:drawing>
      </w:r>
    </w:p>
    <w:p>
      <w:pPr>
        <w:spacing w:after="0" w:line="228" w:lineRule="exact"/>
        <w:rPr>
          <w:sz w:val="20"/>
          <w:szCs w:val="20"/>
          <w:color w:val="auto"/>
        </w:rPr>
      </w:pPr>
    </w:p>
    <w:p>
      <w:pPr>
        <w:ind w:left="1049"/>
        <w:spacing w:after="0"/>
        <w:rPr>
          <w:sz w:val="20"/>
          <w:szCs w:val="20"/>
          <w:color w:val="auto"/>
        </w:rPr>
      </w:pPr>
      <w:r>
        <w:rPr>
          <w:rFonts w:ascii="Arial" w:cs="Arial" w:eastAsia="Arial" w:hAnsi="Arial"/>
          <w:sz w:val="16"/>
          <w:szCs w:val="16"/>
          <w:color w:val="auto"/>
        </w:rPr>
        <w:t>222,000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-115570</wp:posOffset>
            </wp:positionV>
            <wp:extent cx="11741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12065</wp:posOffset>
            </wp:positionV>
            <wp:extent cx="11741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(272,000 )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4445</wp:posOffset>
            </wp:positionV>
            <wp:extent cx="11741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color w:val="auto"/>
        </w:rPr>
        <w:t>(7,500 )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4445</wp:posOffset>
            </wp:positionV>
            <wp:extent cx="11741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color w:val="auto"/>
        </w:rPr>
        <w:t>(26,692 )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4445</wp:posOffset>
            </wp:positionV>
            <wp:extent cx="11741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color w:val="auto"/>
        </w:rPr>
        <w:t>(248,852 )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4445</wp:posOffset>
            </wp:positionV>
            <wp:extent cx="11741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ind w:left="1469"/>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4445</wp:posOffset>
            </wp:positionV>
            <wp:extent cx="11741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ind w:left="1149"/>
        <w:spacing w:after="0"/>
        <w:rPr>
          <w:sz w:val="20"/>
          <w:szCs w:val="20"/>
          <w:color w:val="auto"/>
        </w:rPr>
      </w:pPr>
      <w:r>
        <w:rPr>
          <w:rFonts w:ascii="Arial" w:cs="Arial" w:eastAsia="Arial" w:hAnsi="Arial"/>
          <w:sz w:val="16"/>
          <w:szCs w:val="16"/>
          <w:color w:val="auto"/>
        </w:rPr>
        <w:t>11,560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4445</wp:posOffset>
            </wp:positionV>
            <wp:extent cx="11741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color w:val="auto"/>
        </w:rPr>
        <w:t>(2,494 )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4445</wp:posOffset>
            </wp:positionV>
            <wp:extent cx="106299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62990" cy="25400"/>
                    </a:xfrm>
                    <a:prstGeom prst="rect">
                      <a:avLst/>
                    </a:prstGeom>
                    <a:noFill/>
                  </pic:spPr>
                </pic:pic>
              </a:graphicData>
            </a:graphic>
          </wp:anchor>
        </w:drawing>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(323,978 )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-115570</wp:posOffset>
            </wp:positionV>
            <wp:extent cx="1111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12065</wp:posOffset>
            </wp:positionV>
            <wp:extent cx="106299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62990" cy="25400"/>
                    </a:xfrm>
                    <a:prstGeom prst="rect">
                      <a:avLst/>
                    </a:prstGeom>
                    <a:noFill/>
                  </pic:spPr>
                </pic:pic>
              </a:graphicData>
            </a:graphic>
          </wp:anchor>
        </w:drawing>
      </w:r>
    </w:p>
    <w:p>
      <w:pPr>
        <w:spacing w:after="0" w:line="26" w:lineRule="exact"/>
        <w:rPr>
          <w:sz w:val="20"/>
          <w:szCs w:val="20"/>
          <w:color w:val="auto"/>
        </w:rPr>
      </w:pPr>
    </w:p>
    <w:p>
      <w:pPr>
        <w:ind w:left="1149"/>
        <w:spacing w:after="0"/>
        <w:rPr>
          <w:sz w:val="20"/>
          <w:szCs w:val="20"/>
          <w:color w:val="auto"/>
        </w:rPr>
      </w:pPr>
      <w:r>
        <w:rPr>
          <w:rFonts w:ascii="Arial" w:cs="Arial" w:eastAsia="Arial" w:hAnsi="Arial"/>
          <w:sz w:val="16"/>
          <w:szCs w:val="16"/>
          <w:color w:val="auto"/>
        </w:rPr>
        <w:t>33,670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-115570</wp:posOffset>
            </wp:positionV>
            <wp:extent cx="1111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12065</wp:posOffset>
            </wp:positionV>
            <wp:extent cx="11741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11" w:lineRule="exact"/>
        <w:rPr>
          <w:sz w:val="20"/>
          <w:szCs w:val="20"/>
          <w:color w:val="auto"/>
        </w:rPr>
      </w:pPr>
    </w:p>
    <w:p>
      <w:pPr>
        <w:ind w:left="1149"/>
        <w:spacing w:after="0"/>
        <w:rPr>
          <w:sz w:val="20"/>
          <w:szCs w:val="20"/>
          <w:color w:val="auto"/>
        </w:rPr>
      </w:pPr>
      <w:r>
        <w:rPr>
          <w:rFonts w:ascii="Arial" w:cs="Arial" w:eastAsia="Arial" w:hAnsi="Arial"/>
          <w:sz w:val="16"/>
          <w:szCs w:val="16"/>
          <w:color w:val="auto"/>
        </w:rPr>
        <w:t>15,242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4445</wp:posOffset>
            </wp:positionV>
            <wp:extent cx="106299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62990" cy="26035"/>
                    </a:xfrm>
                    <a:prstGeom prst="rect">
                      <a:avLst/>
                    </a:prstGeom>
                    <a:noFill/>
                  </pic:spPr>
                </pic:pic>
              </a:graphicData>
            </a:graphic>
          </wp:anchor>
        </w:drawing>
      </w:r>
    </w:p>
    <w:p>
      <w:pPr>
        <w:spacing w:after="0" w:line="13" w:lineRule="exact"/>
        <w:rPr>
          <w:sz w:val="20"/>
          <w:szCs w:val="20"/>
          <w:color w:val="auto"/>
        </w:rPr>
      </w:pPr>
    </w:p>
    <w:p>
      <w:pPr>
        <w:ind w:left="1149" w:hanging="1149"/>
        <w:spacing w:after="0"/>
        <w:tabs>
          <w:tab w:leader="none" w:pos="1149"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48,912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-115570</wp:posOffset>
            </wp:positionV>
            <wp:extent cx="1111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12065</wp:posOffset>
            </wp:positionV>
            <wp:extent cx="10629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10629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50" w:lineRule="exact"/>
        <w:rPr>
          <w:sz w:val="20"/>
          <w:szCs w:val="20"/>
          <w:color w:val="auto"/>
        </w:rPr>
      </w:pPr>
    </w:p>
    <w:p>
      <w:pPr>
        <w:sectPr>
          <w:pgSz w:w="11900" w:h="16838" w:orient="portrait"/>
          <w:cols w:equalWidth="0" w:num="2">
            <w:col w:w="9240" w:space="231"/>
            <w:col w:w="1729"/>
          </w:cols>
          <w:pgMar w:left="320" w:top="1025" w:right="37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500380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5" w:right="3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EAGLE MATERIALS INC. AND SUBSIDIARIES CONSOLIDATED STATEMENTS OF STOCKHOLDERS’ EQUITY (unaudited)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Excess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3"/>
        </w:trPr>
        <w:tc>
          <w:tcPr>
            <w:tcW w:w="5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68"/>
              <w:spacing w:after="0" w:line="153"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48"/>
              <w:spacing w:after="0" w:line="153" w:lineRule="exact"/>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1080" w:type="dxa"/>
            <w:vAlign w:val="bottom"/>
            <w:gridSpan w:val="2"/>
          </w:tcPr>
          <w:p>
            <w:pPr>
              <w:jc w:val="right"/>
              <w:ind w:right="48"/>
              <w:spacing w:after="0" w:line="153" w:lineRule="exact"/>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right"/>
              <w:ind w:right="8"/>
              <w:spacing w:after="0" w:line="153" w:lineRule="exact"/>
              <w:rPr>
                <w:sz w:val="20"/>
                <w:szCs w:val="20"/>
                <w:color w:val="auto"/>
              </w:rPr>
            </w:pPr>
            <w:r>
              <w:rPr>
                <w:rFonts w:ascii="Arial" w:cs="Arial" w:eastAsia="Arial" w:hAnsi="Arial"/>
                <w:sz w:val="14"/>
                <w:szCs w:val="14"/>
                <w:b w:val="1"/>
                <w:bCs w:val="1"/>
                <w:color w:val="auto"/>
              </w:rPr>
              <w:t>Total</w:t>
            </w:r>
          </w:p>
        </w:tc>
      </w:tr>
      <w:tr>
        <w:trPr>
          <w:trHeight w:val="173"/>
        </w:trPr>
        <w:tc>
          <w:tcPr>
            <w:tcW w:w="5100" w:type="dxa"/>
            <w:vAlign w:val="bottom"/>
            <w:tcBorders>
              <w:bottom w:val="single" w:sz="8" w:color="004483"/>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76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340" w:type="dxa"/>
            <w:vAlign w:val="bottom"/>
            <w:tcBorders>
              <w:bottom w:val="single" w:sz="8" w:color="004483"/>
            </w:tcBorders>
            <w:gridSpan w:val="5"/>
          </w:tcPr>
          <w:p>
            <w:pPr>
              <w:ind w:left="100"/>
              <w:spacing w:after="0"/>
              <w:rPr>
                <w:sz w:val="20"/>
                <w:szCs w:val="20"/>
                <w:color w:val="auto"/>
              </w:rPr>
            </w:pPr>
            <w:r>
              <w:rPr>
                <w:rFonts w:ascii="Arial" w:cs="Arial" w:eastAsia="Arial" w:hAnsi="Arial"/>
                <w:sz w:val="13"/>
                <w:szCs w:val="13"/>
                <w:color w:val="auto"/>
                <w:w w:val="98"/>
              </w:rPr>
              <w:t>(dollars in thousands)</w:t>
            </w:r>
          </w:p>
        </w:tc>
        <w:tc>
          <w:tcPr>
            <w:tcW w:w="16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14"/>
                <w:szCs w:val="14"/>
                <w:color w:val="auto"/>
              </w:rPr>
            </w:pP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1,188,883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(3,547 )</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1,185,694</w:t>
            </w:r>
          </w:p>
        </w:tc>
        <w:tc>
          <w:tcPr>
            <w:tcW w:w="60" w:type="dxa"/>
            <w:vAlign w:val="bottom"/>
          </w:tcPr>
          <w:p>
            <w:pPr>
              <w:spacing w:after="0"/>
              <w:rPr>
                <w:sz w:val="14"/>
                <w:szCs w:val="14"/>
                <w:color w:val="auto"/>
              </w:rPr>
            </w:pPr>
          </w:p>
        </w:tc>
      </w:tr>
      <w:tr>
        <w:trPr>
          <w:trHeight w:val="156"/>
        </w:trPr>
        <w:tc>
          <w:tcPr>
            <w:tcW w:w="5100" w:type="dxa"/>
            <w:vAlign w:val="bottom"/>
            <w:tcBorders>
              <w:top w:val="single" w:sz="8" w:color="A6A6A6"/>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Net Earnings</w:t>
            </w:r>
          </w:p>
        </w:tc>
        <w:tc>
          <w:tcPr>
            <w:tcW w:w="220" w:type="dxa"/>
            <w:vAlign w:val="bottom"/>
            <w:tcBorders>
              <w:top w:val="single" w:sz="8" w:color="A6A6A6"/>
              <w:bottom w:val="single" w:sz="8" w:color="A6A6A6"/>
            </w:tcBorders>
          </w:tcPr>
          <w:p>
            <w:pPr>
              <w:spacing w:after="0"/>
              <w:rPr>
                <w:sz w:val="13"/>
                <w:szCs w:val="13"/>
                <w:color w:val="auto"/>
              </w:rPr>
            </w:pPr>
          </w:p>
        </w:tc>
        <w:tc>
          <w:tcPr>
            <w:tcW w:w="760" w:type="dxa"/>
            <w:vAlign w:val="bottom"/>
            <w:tcBorders>
              <w:top w:val="single" w:sz="8" w:color="A6A6A6"/>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top w:val="single" w:sz="8" w:color="A6A6A6"/>
              <w:bottom w:val="single" w:sz="8" w:color="A6A6A6"/>
            </w:tcBorders>
          </w:tcPr>
          <w:p>
            <w:pPr>
              <w:spacing w:after="0"/>
              <w:rPr>
                <w:sz w:val="13"/>
                <w:szCs w:val="13"/>
                <w:color w:val="auto"/>
              </w:rPr>
            </w:pPr>
          </w:p>
        </w:tc>
        <w:tc>
          <w:tcPr>
            <w:tcW w:w="180" w:type="dxa"/>
            <w:vAlign w:val="bottom"/>
            <w:tcBorders>
              <w:top w:val="single" w:sz="8" w:color="A6A6A6"/>
              <w:bottom w:val="single" w:sz="8" w:color="A6A6A6"/>
            </w:tcBorders>
          </w:tcPr>
          <w:p>
            <w:pPr>
              <w:spacing w:after="0"/>
              <w:rPr>
                <w:sz w:val="13"/>
                <w:szCs w:val="13"/>
                <w:color w:val="auto"/>
              </w:rPr>
            </w:pPr>
          </w:p>
        </w:tc>
        <w:tc>
          <w:tcPr>
            <w:tcW w:w="800" w:type="dxa"/>
            <w:vAlign w:val="bottom"/>
            <w:tcBorders>
              <w:top w:val="single" w:sz="8" w:color="A6A6A6"/>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top w:val="single" w:sz="8" w:color="A6A6A6"/>
              <w:bottom w:val="single" w:sz="8" w:color="A6A6A6"/>
            </w:tcBorders>
          </w:tcPr>
          <w:p>
            <w:pPr>
              <w:spacing w:after="0"/>
              <w:rPr>
                <w:sz w:val="13"/>
                <w:szCs w:val="13"/>
                <w:color w:val="auto"/>
              </w:rPr>
            </w:pPr>
          </w:p>
        </w:tc>
        <w:tc>
          <w:tcPr>
            <w:tcW w:w="220" w:type="dxa"/>
            <w:vAlign w:val="bottom"/>
            <w:tcBorders>
              <w:top w:val="single" w:sz="8" w:color="A6A6A6"/>
              <w:bottom w:val="single" w:sz="8" w:color="A6A6A6"/>
            </w:tcBorders>
          </w:tcPr>
          <w:p>
            <w:pPr>
              <w:spacing w:after="0"/>
              <w:rPr>
                <w:sz w:val="13"/>
                <w:szCs w:val="13"/>
                <w:color w:val="auto"/>
              </w:rPr>
            </w:pPr>
          </w:p>
        </w:tc>
        <w:tc>
          <w:tcPr>
            <w:tcW w:w="780" w:type="dxa"/>
            <w:vAlign w:val="bottom"/>
            <w:tcBorders>
              <w:top w:val="single" w:sz="8" w:color="A6A6A6"/>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120,849</w:t>
            </w:r>
          </w:p>
        </w:tc>
        <w:tc>
          <w:tcPr>
            <w:tcW w:w="100" w:type="dxa"/>
            <w:vAlign w:val="bottom"/>
          </w:tcPr>
          <w:p>
            <w:pPr>
              <w:spacing w:after="0"/>
              <w:rPr>
                <w:sz w:val="13"/>
                <w:szCs w:val="13"/>
                <w:color w:val="auto"/>
              </w:rPr>
            </w:pPr>
          </w:p>
        </w:tc>
        <w:tc>
          <w:tcPr>
            <w:tcW w:w="120" w:type="dxa"/>
            <w:vAlign w:val="bottom"/>
            <w:tcBorders>
              <w:top w:val="single" w:sz="8" w:color="A6A6A6"/>
              <w:bottom w:val="single" w:sz="8" w:color="A6A6A6"/>
            </w:tcBorders>
          </w:tcPr>
          <w:p>
            <w:pPr>
              <w:spacing w:after="0"/>
              <w:rPr>
                <w:sz w:val="13"/>
                <w:szCs w:val="13"/>
                <w:color w:val="auto"/>
              </w:rPr>
            </w:pPr>
          </w:p>
        </w:tc>
        <w:tc>
          <w:tcPr>
            <w:tcW w:w="160" w:type="dxa"/>
            <w:vAlign w:val="bottom"/>
            <w:tcBorders>
              <w:top w:val="single" w:sz="8" w:color="A6A6A6"/>
              <w:bottom w:val="single" w:sz="8" w:color="A6A6A6"/>
            </w:tcBorders>
          </w:tcPr>
          <w:p>
            <w:pPr>
              <w:spacing w:after="0"/>
              <w:rPr>
                <w:sz w:val="13"/>
                <w:szCs w:val="13"/>
                <w:color w:val="auto"/>
              </w:rPr>
            </w:pPr>
          </w:p>
        </w:tc>
        <w:tc>
          <w:tcPr>
            <w:tcW w:w="980" w:type="dxa"/>
            <w:vAlign w:val="bottom"/>
            <w:tcBorders>
              <w:top w:val="single" w:sz="8" w:color="A6A6A6"/>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top w:val="single" w:sz="8" w:color="A6A6A6"/>
              <w:bottom w:val="single" w:sz="8" w:color="A6A6A6"/>
            </w:tcBorders>
          </w:tcPr>
          <w:p>
            <w:pPr>
              <w:spacing w:after="0"/>
              <w:rPr>
                <w:sz w:val="13"/>
                <w:szCs w:val="13"/>
                <w:color w:val="auto"/>
              </w:rPr>
            </w:pPr>
          </w:p>
        </w:tc>
        <w:tc>
          <w:tcPr>
            <w:tcW w:w="220" w:type="dxa"/>
            <w:vAlign w:val="bottom"/>
            <w:tcBorders>
              <w:top w:val="single" w:sz="8" w:color="A6A6A6"/>
              <w:bottom w:val="single" w:sz="8" w:color="A6A6A6"/>
            </w:tcBorders>
          </w:tcPr>
          <w:p>
            <w:pPr>
              <w:spacing w:after="0"/>
              <w:rPr>
                <w:sz w:val="13"/>
                <w:szCs w:val="13"/>
                <w:color w:val="auto"/>
              </w:rPr>
            </w:pPr>
          </w:p>
        </w:tc>
        <w:tc>
          <w:tcPr>
            <w:tcW w:w="800" w:type="dxa"/>
            <w:vAlign w:val="bottom"/>
            <w:tcBorders>
              <w:top w:val="single" w:sz="8" w:color="A6A6A6"/>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120,849</w:t>
            </w:r>
          </w:p>
        </w:tc>
        <w:tc>
          <w:tcPr>
            <w:tcW w:w="60" w:type="dxa"/>
            <w:vAlign w:val="bottom"/>
          </w:tcPr>
          <w:p>
            <w:pPr>
              <w:spacing w:after="0"/>
              <w:rPr>
                <w:sz w:val="13"/>
                <w:szCs w:val="13"/>
                <w:color w:val="auto"/>
              </w:rPr>
            </w:pPr>
          </w:p>
        </w:tc>
      </w:tr>
      <w:tr>
        <w:trPr>
          <w:trHeight w:val="155"/>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Stock Compensation Expense</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6,457</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6,457</w:t>
            </w:r>
          </w:p>
        </w:tc>
        <w:tc>
          <w:tcPr>
            <w:tcW w:w="60" w:type="dxa"/>
            <w:vAlign w:val="bottom"/>
          </w:tcPr>
          <w:p>
            <w:pPr>
              <w:spacing w:after="0"/>
              <w:rPr>
                <w:sz w:val="13"/>
                <w:szCs w:val="13"/>
                <w:color w:val="auto"/>
              </w:rPr>
            </w:pPr>
          </w:p>
        </w:tc>
      </w:tr>
      <w:tr>
        <w:trPr>
          <w:trHeight w:val="156"/>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Stock Option Exercises and Restricted Share Issuances</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10,383</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10,385</w:t>
            </w:r>
          </w:p>
        </w:tc>
        <w:tc>
          <w:tcPr>
            <w:tcW w:w="60" w:type="dxa"/>
            <w:vAlign w:val="bottom"/>
          </w:tcPr>
          <w:p>
            <w:pPr>
              <w:spacing w:after="0"/>
              <w:rPr>
                <w:sz w:val="13"/>
                <w:szCs w:val="13"/>
                <w:color w:val="auto"/>
              </w:rPr>
            </w:pPr>
          </w:p>
        </w:tc>
      </w:tr>
      <w:tr>
        <w:trPr>
          <w:trHeight w:val="156"/>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Shares Redeemed to Settle Employee Taxes</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(1</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(1,359</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(1,360</w:t>
            </w:r>
          </w:p>
        </w:tc>
        <w:tc>
          <w:tcPr>
            <w:tcW w:w="6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r>
      <w:tr>
        <w:trPr>
          <w:trHeight w:val="155"/>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Purchase and Retirement of Common Stock</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(5</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(15,481</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(59,313</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(74,799</w:t>
            </w:r>
          </w:p>
        </w:tc>
        <w:tc>
          <w:tcPr>
            <w:tcW w:w="6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r>
      <w:tr>
        <w:trPr>
          <w:trHeight w:val="156"/>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Dividends to Shareholders</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(8,863</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(8,863</w:t>
            </w:r>
          </w:p>
        </w:tc>
        <w:tc>
          <w:tcPr>
            <w:tcW w:w="6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r>
      <w:tr>
        <w:trPr>
          <w:trHeight w:val="183"/>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Unfunded Pension Liability, net of tax</w:t>
            </w:r>
          </w:p>
        </w:tc>
        <w:tc>
          <w:tcPr>
            <w:tcW w:w="220" w:type="dxa"/>
            <w:vAlign w:val="bottom"/>
            <w:tcBorders>
              <w:bottom w:val="single" w:sz="8" w:color="004483"/>
            </w:tcBorders>
          </w:tcPr>
          <w:p>
            <w:pPr>
              <w:spacing w:after="0"/>
              <w:rPr>
                <w:sz w:val="15"/>
                <w:szCs w:val="15"/>
                <w:color w:val="auto"/>
              </w:rPr>
            </w:pPr>
          </w:p>
        </w:tc>
        <w:tc>
          <w:tcPr>
            <w:tcW w:w="76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7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48</w:t>
            </w:r>
          </w:p>
        </w:tc>
        <w:tc>
          <w:tcPr>
            <w:tcW w:w="60" w:type="dxa"/>
            <w:vAlign w:val="bottom"/>
          </w:tcPr>
          <w:p>
            <w:pPr>
              <w:spacing w:after="0"/>
              <w:rPr>
                <w:sz w:val="15"/>
                <w:szCs w:val="15"/>
                <w:color w:val="auto"/>
              </w:rPr>
            </w:pPr>
          </w:p>
        </w:tc>
      </w:tr>
      <w:tr>
        <w:trPr>
          <w:trHeight w:val="155"/>
        </w:trPr>
        <w:tc>
          <w:tcPr>
            <w:tcW w:w="510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Balance at June 30, 2023</w:t>
            </w:r>
          </w:p>
        </w:tc>
        <w:tc>
          <w:tcPr>
            <w:tcW w:w="220" w:type="dxa"/>
            <w:vAlign w:val="bottom"/>
            <w:tcBorders>
              <w:bottom w:val="single" w:sz="8" w:color="004483"/>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354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004483"/>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004483"/>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1,241,556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004483"/>
            </w:tcBorders>
          </w:tcPr>
          <w:p>
            <w:pPr>
              <w:ind w:left="20"/>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(3,499</w:t>
            </w:r>
          </w:p>
        </w:tc>
        <w:tc>
          <w:tcPr>
            <w:tcW w:w="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4"/>
              </w:rPr>
              <w:t>)</w:t>
            </w:r>
          </w:p>
        </w:tc>
        <w:tc>
          <w:tcPr>
            <w:tcW w:w="120" w:type="dxa"/>
            <w:vAlign w:val="bottom"/>
          </w:tcPr>
          <w:p>
            <w:pPr>
              <w:spacing w:after="0"/>
              <w:rPr>
                <w:sz w:val="13"/>
                <w:szCs w:val="13"/>
                <w:color w:val="auto"/>
              </w:rPr>
            </w:pPr>
          </w:p>
        </w:tc>
        <w:tc>
          <w:tcPr>
            <w:tcW w:w="220" w:type="dxa"/>
            <w:vAlign w:val="bottom"/>
            <w:tcBorders>
              <w:bottom w:val="single" w:sz="8" w:color="004483"/>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1,238,411</w:t>
            </w:r>
          </w:p>
        </w:tc>
        <w:tc>
          <w:tcPr>
            <w:tcW w:w="60" w:type="dxa"/>
            <w:vAlign w:val="bottom"/>
          </w:tcPr>
          <w:p>
            <w:pPr>
              <w:spacing w:after="0"/>
              <w:rPr>
                <w:sz w:val="13"/>
                <w:szCs w:val="13"/>
                <w:color w:val="auto"/>
              </w:rPr>
            </w:pPr>
          </w:p>
        </w:tc>
      </w:tr>
      <w:tr>
        <w:trPr>
          <w:trHeight w:val="20"/>
        </w:trPr>
        <w:tc>
          <w:tcPr>
            <w:tcW w:w="510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3"/>
        </w:trPr>
        <w:tc>
          <w:tcPr>
            <w:tcW w:w="5100" w:type="dxa"/>
            <w:vAlign w:val="bottom"/>
            <w:tcBorders>
              <w:bottom w:val="single" w:sz="8" w:color="A6A6A6"/>
            </w:tcBorders>
          </w:tcPr>
          <w:p>
            <w:pPr>
              <w:ind w:left="20"/>
              <w:spacing w:after="0" w:line="143" w:lineRule="exact"/>
              <w:rPr>
                <w:sz w:val="20"/>
                <w:szCs w:val="20"/>
                <w:color w:val="auto"/>
              </w:rPr>
            </w:pPr>
            <w:r>
              <w:rPr>
                <w:rFonts w:ascii="Arial" w:cs="Arial" w:eastAsia="Arial" w:hAnsi="Arial"/>
                <w:sz w:val="14"/>
                <w:szCs w:val="14"/>
                <w:color w:val="004483"/>
              </w:rPr>
              <w:t>Net Earnings</w:t>
            </w:r>
          </w:p>
        </w:tc>
        <w:tc>
          <w:tcPr>
            <w:tcW w:w="220" w:type="dxa"/>
            <w:vAlign w:val="bottom"/>
            <w:tcBorders>
              <w:bottom w:val="single" w:sz="8" w:color="A6A6A6"/>
            </w:tcBorders>
          </w:tcPr>
          <w:p>
            <w:pPr>
              <w:spacing w:after="0"/>
              <w:rPr>
                <w:sz w:val="12"/>
                <w:szCs w:val="12"/>
                <w:color w:val="auto"/>
              </w:rPr>
            </w:pPr>
          </w:p>
        </w:tc>
        <w:tc>
          <w:tcPr>
            <w:tcW w:w="760" w:type="dxa"/>
            <w:vAlign w:val="bottom"/>
            <w:tcBorders>
              <w:bottom w:val="single" w:sz="8" w:color="A6A6A6"/>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180" w:type="dxa"/>
            <w:vAlign w:val="bottom"/>
            <w:tcBorders>
              <w:bottom w:val="single" w:sz="8" w:color="A6A6A6"/>
            </w:tcBorders>
          </w:tcPr>
          <w:p>
            <w:pPr>
              <w:spacing w:after="0"/>
              <w:rPr>
                <w:sz w:val="12"/>
                <w:szCs w:val="12"/>
                <w:color w:val="auto"/>
              </w:rPr>
            </w:pPr>
          </w:p>
        </w:tc>
        <w:tc>
          <w:tcPr>
            <w:tcW w:w="800" w:type="dxa"/>
            <w:vAlign w:val="bottom"/>
            <w:tcBorders>
              <w:bottom w:val="single" w:sz="8" w:color="A6A6A6"/>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220" w:type="dxa"/>
            <w:vAlign w:val="bottom"/>
            <w:tcBorders>
              <w:bottom w:val="single" w:sz="8" w:color="A6A6A6"/>
            </w:tcBorders>
          </w:tcPr>
          <w:p>
            <w:pPr>
              <w:spacing w:after="0"/>
              <w:rPr>
                <w:sz w:val="12"/>
                <w:szCs w:val="12"/>
                <w:color w:val="auto"/>
              </w:rPr>
            </w:pPr>
          </w:p>
        </w:tc>
        <w:tc>
          <w:tcPr>
            <w:tcW w:w="780" w:type="dxa"/>
            <w:vAlign w:val="bottom"/>
            <w:tcBorders>
              <w:bottom w:val="single" w:sz="8" w:color="A6A6A6"/>
            </w:tcBorders>
          </w:tcPr>
          <w:p>
            <w:pPr>
              <w:jc w:val="right"/>
              <w:spacing w:after="0" w:line="143" w:lineRule="exact"/>
              <w:rPr>
                <w:sz w:val="20"/>
                <w:szCs w:val="20"/>
                <w:color w:val="auto"/>
              </w:rPr>
            </w:pPr>
            <w:r>
              <w:rPr>
                <w:rFonts w:ascii="Arial" w:cs="Arial" w:eastAsia="Arial" w:hAnsi="Arial"/>
                <w:sz w:val="14"/>
                <w:szCs w:val="14"/>
                <w:color w:val="auto"/>
              </w:rPr>
              <w:t>150,553</w:t>
            </w:r>
          </w:p>
        </w:tc>
        <w:tc>
          <w:tcPr>
            <w:tcW w:w="100" w:type="dxa"/>
            <w:vAlign w:val="bottom"/>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160" w:type="dxa"/>
            <w:vAlign w:val="bottom"/>
            <w:tcBorders>
              <w:bottom w:val="single" w:sz="8" w:color="A6A6A6"/>
            </w:tcBorders>
          </w:tcPr>
          <w:p>
            <w:pPr>
              <w:spacing w:after="0"/>
              <w:rPr>
                <w:sz w:val="12"/>
                <w:szCs w:val="12"/>
                <w:color w:val="auto"/>
              </w:rPr>
            </w:pPr>
          </w:p>
        </w:tc>
        <w:tc>
          <w:tcPr>
            <w:tcW w:w="980" w:type="dxa"/>
            <w:vAlign w:val="bottom"/>
            <w:tcBorders>
              <w:bottom w:val="single" w:sz="8" w:color="A6A6A6"/>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220" w:type="dxa"/>
            <w:vAlign w:val="bottom"/>
            <w:tcBorders>
              <w:bottom w:val="single" w:sz="8" w:color="A6A6A6"/>
            </w:tcBorders>
          </w:tcPr>
          <w:p>
            <w:pPr>
              <w:spacing w:after="0"/>
              <w:rPr>
                <w:sz w:val="12"/>
                <w:szCs w:val="12"/>
                <w:color w:val="auto"/>
              </w:rPr>
            </w:pPr>
          </w:p>
        </w:tc>
        <w:tc>
          <w:tcPr>
            <w:tcW w:w="800" w:type="dxa"/>
            <w:vAlign w:val="bottom"/>
            <w:tcBorders>
              <w:bottom w:val="single" w:sz="8" w:color="A6A6A6"/>
            </w:tcBorders>
          </w:tcPr>
          <w:p>
            <w:pPr>
              <w:jc w:val="right"/>
              <w:spacing w:after="0" w:line="143" w:lineRule="exact"/>
              <w:rPr>
                <w:sz w:val="20"/>
                <w:szCs w:val="20"/>
                <w:color w:val="auto"/>
              </w:rPr>
            </w:pPr>
            <w:r>
              <w:rPr>
                <w:rFonts w:ascii="Arial" w:cs="Arial" w:eastAsia="Arial" w:hAnsi="Arial"/>
                <w:sz w:val="14"/>
                <w:szCs w:val="14"/>
                <w:color w:val="auto"/>
              </w:rPr>
              <w:t>150,553</w:t>
            </w:r>
          </w:p>
        </w:tc>
        <w:tc>
          <w:tcPr>
            <w:tcW w:w="60" w:type="dxa"/>
            <w:vAlign w:val="bottom"/>
          </w:tcPr>
          <w:p>
            <w:pPr>
              <w:spacing w:after="0"/>
              <w:rPr>
                <w:sz w:val="12"/>
                <w:szCs w:val="12"/>
                <w:color w:val="auto"/>
              </w:rPr>
            </w:pPr>
          </w:p>
        </w:tc>
      </w:tr>
      <w:tr>
        <w:trPr>
          <w:trHeight w:val="156"/>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Stock Compensation Expense</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4,542</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4,542</w:t>
            </w:r>
          </w:p>
        </w:tc>
        <w:tc>
          <w:tcPr>
            <w:tcW w:w="60" w:type="dxa"/>
            <w:vAlign w:val="bottom"/>
          </w:tcPr>
          <w:p>
            <w:pPr>
              <w:spacing w:after="0"/>
              <w:rPr>
                <w:sz w:val="13"/>
                <w:szCs w:val="13"/>
                <w:color w:val="auto"/>
              </w:rPr>
            </w:pPr>
          </w:p>
        </w:tc>
      </w:tr>
      <w:tr>
        <w:trPr>
          <w:trHeight w:val="156"/>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Stock Option Exercise and Restricted Share Issuances</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1,084</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1,084</w:t>
            </w:r>
          </w:p>
        </w:tc>
        <w:tc>
          <w:tcPr>
            <w:tcW w:w="60" w:type="dxa"/>
            <w:vAlign w:val="bottom"/>
          </w:tcPr>
          <w:p>
            <w:pPr>
              <w:spacing w:after="0"/>
              <w:rPr>
                <w:sz w:val="13"/>
                <w:szCs w:val="13"/>
                <w:color w:val="auto"/>
              </w:rPr>
            </w:pPr>
          </w:p>
        </w:tc>
      </w:tr>
      <w:tr>
        <w:trPr>
          <w:trHeight w:val="155"/>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Shares Redeemed to Settle Employee Taxes</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(1,134</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(1,134</w:t>
            </w:r>
          </w:p>
        </w:tc>
        <w:tc>
          <w:tcPr>
            <w:tcW w:w="6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r>
      <w:tr>
        <w:trPr>
          <w:trHeight w:val="156"/>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Purchase and Retirement of Common Stock</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(4</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(4,492</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(73,541</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(78,037</w:t>
            </w:r>
          </w:p>
        </w:tc>
        <w:tc>
          <w:tcPr>
            <w:tcW w:w="6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r>
      <w:tr>
        <w:trPr>
          <w:trHeight w:val="155"/>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Dividends to Shareholders</w:t>
            </w:r>
          </w:p>
        </w:tc>
        <w:tc>
          <w:tcPr>
            <w:tcW w:w="220" w:type="dxa"/>
            <w:vAlign w:val="bottom"/>
            <w:tcBorders>
              <w:bottom w:val="single" w:sz="8" w:color="A3A3A3"/>
            </w:tcBorders>
          </w:tcPr>
          <w:p>
            <w:pPr>
              <w:spacing w:after="0"/>
              <w:rPr>
                <w:sz w:val="13"/>
                <w:szCs w:val="13"/>
                <w:color w:val="auto"/>
              </w:rPr>
            </w:pPr>
          </w:p>
        </w:tc>
        <w:tc>
          <w:tcPr>
            <w:tcW w:w="760" w:type="dxa"/>
            <w:vAlign w:val="bottom"/>
            <w:tcBorders>
              <w:bottom w:val="single" w:sz="8" w:color="A3A3A3"/>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3A3A3"/>
            </w:tcBorders>
          </w:tcPr>
          <w:p>
            <w:pPr>
              <w:spacing w:after="0"/>
              <w:rPr>
                <w:sz w:val="13"/>
                <w:szCs w:val="13"/>
                <w:color w:val="auto"/>
              </w:rPr>
            </w:pPr>
          </w:p>
        </w:tc>
        <w:tc>
          <w:tcPr>
            <w:tcW w:w="800" w:type="dxa"/>
            <w:vAlign w:val="bottom"/>
            <w:tcBorders>
              <w:bottom w:val="single" w:sz="8" w:color="A3A3A3"/>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3A3A3"/>
            </w:tcBorders>
          </w:tcPr>
          <w:p>
            <w:pPr>
              <w:spacing w:after="0"/>
              <w:rPr>
                <w:sz w:val="13"/>
                <w:szCs w:val="13"/>
                <w:color w:val="auto"/>
              </w:rPr>
            </w:pPr>
          </w:p>
        </w:tc>
        <w:tc>
          <w:tcPr>
            <w:tcW w:w="780" w:type="dxa"/>
            <w:vAlign w:val="bottom"/>
            <w:tcBorders>
              <w:bottom w:val="single" w:sz="8" w:color="A3A3A3"/>
            </w:tcBorders>
          </w:tcPr>
          <w:p>
            <w:pPr>
              <w:jc w:val="right"/>
              <w:spacing w:after="0" w:line="155" w:lineRule="exact"/>
              <w:rPr>
                <w:sz w:val="20"/>
                <w:szCs w:val="20"/>
                <w:color w:val="auto"/>
              </w:rPr>
            </w:pPr>
            <w:r>
              <w:rPr>
                <w:rFonts w:ascii="Arial" w:cs="Arial" w:eastAsia="Arial" w:hAnsi="Arial"/>
                <w:sz w:val="14"/>
                <w:szCs w:val="14"/>
                <w:color w:val="auto"/>
              </w:rPr>
              <w:t>(8,833</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3A3A3"/>
            </w:tcBorders>
          </w:tcPr>
          <w:p>
            <w:pPr>
              <w:spacing w:after="0"/>
              <w:rPr>
                <w:sz w:val="13"/>
                <w:szCs w:val="13"/>
                <w:color w:val="auto"/>
              </w:rPr>
            </w:pPr>
          </w:p>
        </w:tc>
        <w:tc>
          <w:tcPr>
            <w:tcW w:w="980" w:type="dxa"/>
            <w:vAlign w:val="bottom"/>
            <w:tcBorders>
              <w:bottom w:val="single" w:sz="8" w:color="A3A3A3"/>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3A3A3"/>
            </w:tcBorders>
          </w:tcPr>
          <w:p>
            <w:pPr>
              <w:spacing w:after="0"/>
              <w:rPr>
                <w:sz w:val="13"/>
                <w:szCs w:val="13"/>
                <w:color w:val="auto"/>
              </w:rPr>
            </w:pPr>
          </w:p>
        </w:tc>
        <w:tc>
          <w:tcPr>
            <w:tcW w:w="800" w:type="dxa"/>
            <w:vAlign w:val="bottom"/>
            <w:tcBorders>
              <w:bottom w:val="single" w:sz="8" w:color="A3A3A3"/>
            </w:tcBorders>
          </w:tcPr>
          <w:p>
            <w:pPr>
              <w:jc w:val="right"/>
              <w:spacing w:after="0" w:line="155" w:lineRule="exact"/>
              <w:rPr>
                <w:sz w:val="20"/>
                <w:szCs w:val="20"/>
                <w:color w:val="auto"/>
              </w:rPr>
            </w:pPr>
            <w:r>
              <w:rPr>
                <w:rFonts w:ascii="Arial" w:cs="Arial" w:eastAsia="Arial" w:hAnsi="Arial"/>
                <w:sz w:val="14"/>
                <w:szCs w:val="14"/>
                <w:color w:val="auto"/>
              </w:rPr>
              <w:t>(8,833</w:t>
            </w:r>
          </w:p>
        </w:tc>
        <w:tc>
          <w:tcPr>
            <w:tcW w:w="6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r>
      <w:tr>
        <w:trPr>
          <w:trHeight w:val="183"/>
        </w:trPr>
        <w:tc>
          <w:tcPr>
            <w:tcW w:w="5100" w:type="dxa"/>
            <w:vAlign w:val="bottom"/>
            <w:tcBorders>
              <w:bottom w:val="single" w:sz="8" w:color="A3A3A3"/>
            </w:tcBorders>
          </w:tcPr>
          <w:p>
            <w:pPr>
              <w:ind w:left="20"/>
              <w:spacing w:after="0" w:line="155" w:lineRule="exact"/>
              <w:rPr>
                <w:sz w:val="20"/>
                <w:szCs w:val="20"/>
                <w:color w:val="auto"/>
              </w:rPr>
            </w:pPr>
            <w:r>
              <w:rPr>
                <w:rFonts w:ascii="Arial" w:cs="Arial" w:eastAsia="Arial" w:hAnsi="Arial"/>
                <w:sz w:val="14"/>
                <w:szCs w:val="14"/>
                <w:color w:val="004483"/>
              </w:rPr>
              <w:t>Unfunded Pension Liability, net of tax</w:t>
            </w:r>
          </w:p>
        </w:tc>
        <w:tc>
          <w:tcPr>
            <w:tcW w:w="220" w:type="dxa"/>
            <w:vAlign w:val="bottom"/>
            <w:tcBorders>
              <w:bottom w:val="single" w:sz="8" w:color="004483"/>
            </w:tcBorders>
          </w:tcPr>
          <w:p>
            <w:pPr>
              <w:spacing w:after="0"/>
              <w:rPr>
                <w:sz w:val="15"/>
                <w:szCs w:val="15"/>
                <w:color w:val="auto"/>
              </w:rPr>
            </w:pPr>
          </w:p>
        </w:tc>
        <w:tc>
          <w:tcPr>
            <w:tcW w:w="76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Borders>
              <w:bottom w:val="single" w:sz="8" w:color="A3A3A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3A3A3"/>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7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3A3A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120" w:type="dxa"/>
            <w:vAlign w:val="bottom"/>
            <w:tcBorders>
              <w:bottom w:val="single" w:sz="8" w:color="A3A3A3"/>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48</w:t>
            </w:r>
          </w:p>
        </w:tc>
        <w:tc>
          <w:tcPr>
            <w:tcW w:w="60" w:type="dxa"/>
            <w:vAlign w:val="bottom"/>
          </w:tcPr>
          <w:p>
            <w:pPr>
              <w:spacing w:after="0"/>
              <w:rPr>
                <w:sz w:val="15"/>
                <w:szCs w:val="15"/>
                <w:color w:val="auto"/>
              </w:rPr>
            </w:pPr>
          </w:p>
        </w:tc>
      </w:tr>
      <w:tr>
        <w:trPr>
          <w:trHeight w:val="156"/>
        </w:trPr>
        <w:tc>
          <w:tcPr>
            <w:tcW w:w="510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Balance at September 30, 2023</w:t>
            </w:r>
          </w:p>
        </w:tc>
        <w:tc>
          <w:tcPr>
            <w:tcW w:w="220" w:type="dxa"/>
            <w:vAlign w:val="bottom"/>
            <w:tcBorders>
              <w:bottom w:val="single" w:sz="8" w:color="004483"/>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350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004483"/>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004483"/>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1,309,735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004483"/>
            </w:tcBorders>
          </w:tcPr>
          <w:p>
            <w:pPr>
              <w:ind w:left="20"/>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(3,451</w:t>
            </w:r>
          </w:p>
        </w:tc>
        <w:tc>
          <w:tcPr>
            <w:tcW w:w="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4"/>
              </w:rPr>
              <w:t>)</w:t>
            </w:r>
          </w:p>
        </w:tc>
        <w:tc>
          <w:tcPr>
            <w:tcW w:w="120" w:type="dxa"/>
            <w:vAlign w:val="bottom"/>
          </w:tcPr>
          <w:p>
            <w:pPr>
              <w:spacing w:after="0"/>
              <w:rPr>
                <w:sz w:val="13"/>
                <w:szCs w:val="13"/>
                <w:color w:val="auto"/>
              </w:rPr>
            </w:pPr>
          </w:p>
        </w:tc>
        <w:tc>
          <w:tcPr>
            <w:tcW w:w="220" w:type="dxa"/>
            <w:vAlign w:val="bottom"/>
            <w:tcBorders>
              <w:bottom w:val="single" w:sz="8" w:color="004483"/>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1,306,634</w:t>
            </w:r>
          </w:p>
        </w:tc>
        <w:tc>
          <w:tcPr>
            <w:tcW w:w="60" w:type="dxa"/>
            <w:vAlign w:val="bottom"/>
          </w:tcPr>
          <w:p>
            <w:pPr>
              <w:spacing w:after="0"/>
              <w:rPr>
                <w:sz w:val="13"/>
                <w:szCs w:val="13"/>
                <w:color w:val="auto"/>
              </w:rPr>
            </w:pPr>
          </w:p>
        </w:tc>
      </w:tr>
      <w:tr>
        <w:trPr>
          <w:trHeight w:val="20"/>
        </w:trPr>
        <w:tc>
          <w:tcPr>
            <w:tcW w:w="5100" w:type="dxa"/>
            <w:vAlign w:val="bottom"/>
            <w:tcBorders>
              <w:bottom w:val="single" w:sz="8" w:color="A3A3A3"/>
            </w:tcBorders>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3A3A3"/>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3A3A3"/>
            </w:tcBorders>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3A3A3"/>
            </w:tcBorders>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3A3A3"/>
            </w:tcBorders>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3"/>
        </w:trPr>
        <w:tc>
          <w:tcPr>
            <w:tcW w:w="5100" w:type="dxa"/>
            <w:vAlign w:val="bottom"/>
            <w:tcBorders>
              <w:bottom w:val="single" w:sz="8" w:color="A6A6A6"/>
            </w:tcBorders>
          </w:tcPr>
          <w:p>
            <w:pPr>
              <w:ind w:left="20"/>
              <w:spacing w:after="0" w:line="143" w:lineRule="exact"/>
              <w:rPr>
                <w:sz w:val="20"/>
                <w:szCs w:val="20"/>
                <w:color w:val="auto"/>
              </w:rPr>
            </w:pPr>
            <w:r>
              <w:rPr>
                <w:rFonts w:ascii="Arial" w:cs="Arial" w:eastAsia="Arial" w:hAnsi="Arial"/>
                <w:sz w:val="14"/>
                <w:szCs w:val="14"/>
                <w:color w:val="004483"/>
              </w:rPr>
              <w:t>Net Earnings</w:t>
            </w:r>
          </w:p>
        </w:tc>
        <w:tc>
          <w:tcPr>
            <w:tcW w:w="220" w:type="dxa"/>
            <w:vAlign w:val="bottom"/>
            <w:tcBorders>
              <w:bottom w:val="single" w:sz="8" w:color="A6A6A6"/>
            </w:tcBorders>
          </w:tcPr>
          <w:p>
            <w:pPr>
              <w:spacing w:after="0"/>
              <w:rPr>
                <w:sz w:val="12"/>
                <w:szCs w:val="12"/>
                <w:color w:val="auto"/>
              </w:rPr>
            </w:pPr>
          </w:p>
        </w:tc>
        <w:tc>
          <w:tcPr>
            <w:tcW w:w="760" w:type="dxa"/>
            <w:vAlign w:val="bottom"/>
            <w:tcBorders>
              <w:bottom w:val="single" w:sz="8" w:color="A6A6A6"/>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180" w:type="dxa"/>
            <w:vAlign w:val="bottom"/>
            <w:tcBorders>
              <w:bottom w:val="single" w:sz="8" w:color="A6A6A6"/>
            </w:tcBorders>
          </w:tcPr>
          <w:p>
            <w:pPr>
              <w:spacing w:after="0"/>
              <w:rPr>
                <w:sz w:val="12"/>
                <w:szCs w:val="12"/>
                <w:color w:val="auto"/>
              </w:rPr>
            </w:pPr>
          </w:p>
        </w:tc>
        <w:tc>
          <w:tcPr>
            <w:tcW w:w="800" w:type="dxa"/>
            <w:vAlign w:val="bottom"/>
            <w:tcBorders>
              <w:bottom w:val="single" w:sz="8" w:color="A6A6A6"/>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220" w:type="dxa"/>
            <w:vAlign w:val="bottom"/>
            <w:tcBorders>
              <w:bottom w:val="single" w:sz="8" w:color="A6A6A6"/>
            </w:tcBorders>
          </w:tcPr>
          <w:p>
            <w:pPr>
              <w:spacing w:after="0"/>
              <w:rPr>
                <w:sz w:val="12"/>
                <w:szCs w:val="12"/>
                <w:color w:val="auto"/>
              </w:rPr>
            </w:pPr>
          </w:p>
        </w:tc>
        <w:tc>
          <w:tcPr>
            <w:tcW w:w="780" w:type="dxa"/>
            <w:vAlign w:val="bottom"/>
            <w:tcBorders>
              <w:bottom w:val="single" w:sz="8" w:color="A6A6A6"/>
            </w:tcBorders>
          </w:tcPr>
          <w:p>
            <w:pPr>
              <w:jc w:val="right"/>
              <w:spacing w:after="0" w:line="143" w:lineRule="exact"/>
              <w:rPr>
                <w:sz w:val="20"/>
                <w:szCs w:val="20"/>
                <w:color w:val="auto"/>
              </w:rPr>
            </w:pPr>
            <w:r>
              <w:rPr>
                <w:rFonts w:ascii="Arial" w:cs="Arial" w:eastAsia="Arial" w:hAnsi="Arial"/>
                <w:sz w:val="14"/>
                <w:szCs w:val="14"/>
                <w:color w:val="auto"/>
              </w:rPr>
              <w:t>129,138</w:t>
            </w:r>
          </w:p>
        </w:tc>
        <w:tc>
          <w:tcPr>
            <w:tcW w:w="100" w:type="dxa"/>
            <w:vAlign w:val="bottom"/>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160" w:type="dxa"/>
            <w:vAlign w:val="bottom"/>
            <w:tcBorders>
              <w:bottom w:val="single" w:sz="8" w:color="A6A6A6"/>
            </w:tcBorders>
          </w:tcPr>
          <w:p>
            <w:pPr>
              <w:spacing w:after="0"/>
              <w:rPr>
                <w:sz w:val="12"/>
                <w:szCs w:val="12"/>
                <w:color w:val="auto"/>
              </w:rPr>
            </w:pPr>
          </w:p>
        </w:tc>
        <w:tc>
          <w:tcPr>
            <w:tcW w:w="980" w:type="dxa"/>
            <w:vAlign w:val="bottom"/>
            <w:tcBorders>
              <w:bottom w:val="single" w:sz="8" w:color="A6A6A6"/>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220" w:type="dxa"/>
            <w:vAlign w:val="bottom"/>
            <w:tcBorders>
              <w:bottom w:val="single" w:sz="8" w:color="A6A6A6"/>
            </w:tcBorders>
          </w:tcPr>
          <w:p>
            <w:pPr>
              <w:spacing w:after="0"/>
              <w:rPr>
                <w:sz w:val="12"/>
                <w:szCs w:val="12"/>
                <w:color w:val="auto"/>
              </w:rPr>
            </w:pPr>
          </w:p>
        </w:tc>
        <w:tc>
          <w:tcPr>
            <w:tcW w:w="800" w:type="dxa"/>
            <w:vAlign w:val="bottom"/>
            <w:tcBorders>
              <w:bottom w:val="single" w:sz="8" w:color="A6A6A6"/>
            </w:tcBorders>
          </w:tcPr>
          <w:p>
            <w:pPr>
              <w:jc w:val="right"/>
              <w:spacing w:after="0" w:line="143" w:lineRule="exact"/>
              <w:rPr>
                <w:sz w:val="20"/>
                <w:szCs w:val="20"/>
                <w:color w:val="auto"/>
              </w:rPr>
            </w:pPr>
            <w:r>
              <w:rPr>
                <w:rFonts w:ascii="Arial" w:cs="Arial" w:eastAsia="Arial" w:hAnsi="Arial"/>
                <w:sz w:val="14"/>
                <w:szCs w:val="14"/>
                <w:color w:val="auto"/>
              </w:rPr>
              <w:t>129,138</w:t>
            </w:r>
          </w:p>
        </w:tc>
        <w:tc>
          <w:tcPr>
            <w:tcW w:w="60" w:type="dxa"/>
            <w:vAlign w:val="bottom"/>
          </w:tcPr>
          <w:p>
            <w:pPr>
              <w:spacing w:after="0"/>
              <w:rPr>
                <w:sz w:val="12"/>
                <w:szCs w:val="12"/>
                <w:color w:val="auto"/>
              </w:rPr>
            </w:pPr>
          </w:p>
        </w:tc>
      </w:tr>
      <w:tr>
        <w:trPr>
          <w:trHeight w:val="155"/>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Stock Compensation Expense</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4,357</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4,357</w:t>
            </w:r>
          </w:p>
        </w:tc>
        <w:tc>
          <w:tcPr>
            <w:tcW w:w="60" w:type="dxa"/>
            <w:vAlign w:val="bottom"/>
          </w:tcPr>
          <w:p>
            <w:pPr>
              <w:spacing w:after="0"/>
              <w:rPr>
                <w:sz w:val="13"/>
                <w:szCs w:val="13"/>
                <w:color w:val="auto"/>
              </w:rPr>
            </w:pPr>
          </w:p>
        </w:tc>
      </w:tr>
      <w:tr>
        <w:trPr>
          <w:trHeight w:val="156"/>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Stock Option Exercise and Restricted Share Issuances</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91</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91</w:t>
            </w:r>
          </w:p>
        </w:tc>
        <w:tc>
          <w:tcPr>
            <w:tcW w:w="60" w:type="dxa"/>
            <w:vAlign w:val="bottom"/>
          </w:tcPr>
          <w:p>
            <w:pPr>
              <w:spacing w:after="0"/>
              <w:rPr>
                <w:sz w:val="13"/>
                <w:szCs w:val="13"/>
                <w:color w:val="auto"/>
              </w:rPr>
            </w:pPr>
          </w:p>
        </w:tc>
      </w:tr>
      <w:tr>
        <w:trPr>
          <w:trHeight w:val="156"/>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Purchase and Retirement of Common Stock</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(5</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(4,448</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(94,051</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(98,504</w:t>
            </w:r>
          </w:p>
        </w:tc>
        <w:tc>
          <w:tcPr>
            <w:tcW w:w="6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r>
      <w:tr>
        <w:trPr>
          <w:trHeight w:val="155"/>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Dividends to Shareholders</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(8,603</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(8,603</w:t>
            </w:r>
          </w:p>
        </w:tc>
        <w:tc>
          <w:tcPr>
            <w:tcW w:w="6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r>
      <w:tr>
        <w:trPr>
          <w:trHeight w:val="183"/>
        </w:trPr>
        <w:tc>
          <w:tcPr>
            <w:tcW w:w="5100" w:type="dxa"/>
            <w:vAlign w:val="bottom"/>
            <w:tcBorders>
              <w:bottom w:val="single" w:sz="8" w:color="A3A3A3"/>
            </w:tcBorders>
          </w:tcPr>
          <w:p>
            <w:pPr>
              <w:ind w:left="20"/>
              <w:spacing w:after="0" w:line="155" w:lineRule="exact"/>
              <w:rPr>
                <w:sz w:val="20"/>
                <w:szCs w:val="20"/>
                <w:color w:val="auto"/>
              </w:rPr>
            </w:pPr>
            <w:r>
              <w:rPr>
                <w:rFonts w:ascii="Arial" w:cs="Arial" w:eastAsia="Arial" w:hAnsi="Arial"/>
                <w:sz w:val="14"/>
                <w:szCs w:val="14"/>
                <w:color w:val="004483"/>
              </w:rPr>
              <w:t>Unfunded Pension Liability, net of tax</w:t>
            </w:r>
          </w:p>
        </w:tc>
        <w:tc>
          <w:tcPr>
            <w:tcW w:w="220" w:type="dxa"/>
            <w:vAlign w:val="bottom"/>
            <w:tcBorders>
              <w:bottom w:val="single" w:sz="8" w:color="004483"/>
            </w:tcBorders>
          </w:tcPr>
          <w:p>
            <w:pPr>
              <w:spacing w:after="0"/>
              <w:rPr>
                <w:sz w:val="15"/>
                <w:szCs w:val="15"/>
                <w:color w:val="auto"/>
              </w:rPr>
            </w:pPr>
          </w:p>
        </w:tc>
        <w:tc>
          <w:tcPr>
            <w:tcW w:w="76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Borders>
              <w:bottom w:val="single" w:sz="8" w:color="A3A3A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3A3A3"/>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7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3A3A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120" w:type="dxa"/>
            <w:vAlign w:val="bottom"/>
            <w:tcBorders>
              <w:bottom w:val="single" w:sz="8" w:color="A3A3A3"/>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48</w:t>
            </w:r>
          </w:p>
        </w:tc>
        <w:tc>
          <w:tcPr>
            <w:tcW w:w="60" w:type="dxa"/>
            <w:vAlign w:val="bottom"/>
          </w:tcPr>
          <w:p>
            <w:pPr>
              <w:spacing w:after="0"/>
              <w:rPr>
                <w:sz w:val="15"/>
                <w:szCs w:val="15"/>
                <w:color w:val="auto"/>
              </w:rPr>
            </w:pPr>
          </w:p>
        </w:tc>
      </w:tr>
      <w:tr>
        <w:trPr>
          <w:trHeight w:val="156"/>
        </w:trPr>
        <w:tc>
          <w:tcPr>
            <w:tcW w:w="510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Balance at December 31, 2023</w:t>
            </w:r>
          </w:p>
        </w:tc>
        <w:tc>
          <w:tcPr>
            <w:tcW w:w="220" w:type="dxa"/>
            <w:vAlign w:val="bottom"/>
            <w:tcBorders>
              <w:bottom w:val="single" w:sz="8" w:color="004483"/>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345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004483"/>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004483"/>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1,336,219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004483"/>
            </w:tcBorders>
          </w:tcPr>
          <w:p>
            <w:pPr>
              <w:ind w:left="20"/>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(3,403</w:t>
            </w:r>
          </w:p>
        </w:tc>
        <w:tc>
          <w:tcPr>
            <w:tcW w:w="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4"/>
              </w:rPr>
              <w:t>)</w:t>
            </w:r>
          </w:p>
        </w:tc>
        <w:tc>
          <w:tcPr>
            <w:tcW w:w="120" w:type="dxa"/>
            <w:vAlign w:val="bottom"/>
          </w:tcPr>
          <w:p>
            <w:pPr>
              <w:spacing w:after="0"/>
              <w:rPr>
                <w:sz w:val="13"/>
                <w:szCs w:val="13"/>
                <w:color w:val="auto"/>
              </w:rPr>
            </w:pPr>
          </w:p>
        </w:tc>
        <w:tc>
          <w:tcPr>
            <w:tcW w:w="220" w:type="dxa"/>
            <w:vAlign w:val="bottom"/>
            <w:tcBorders>
              <w:bottom w:val="single" w:sz="8" w:color="004483"/>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1,333,161</w:t>
            </w:r>
          </w:p>
        </w:tc>
        <w:tc>
          <w:tcPr>
            <w:tcW w:w="60" w:type="dxa"/>
            <w:vAlign w:val="bottom"/>
          </w:tcPr>
          <w:p>
            <w:pPr>
              <w:spacing w:after="0"/>
              <w:rPr>
                <w:sz w:val="13"/>
                <w:szCs w:val="13"/>
                <w:color w:val="auto"/>
              </w:rPr>
            </w:pPr>
          </w:p>
        </w:tc>
      </w:tr>
      <w:tr>
        <w:trPr>
          <w:trHeight w:val="20"/>
        </w:trPr>
        <w:tc>
          <w:tcPr>
            <w:tcW w:w="5100" w:type="dxa"/>
            <w:vAlign w:val="bottom"/>
            <w:tcBorders>
              <w:bottom w:val="single" w:sz="8" w:color="A3A3A3"/>
            </w:tcBorders>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3A3A3"/>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3A3A3"/>
            </w:tcBorders>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3A3A3"/>
            </w:tcBorders>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3A3A3"/>
            </w:tcBorders>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5"/>
        </w:trPr>
        <w:tc>
          <w:tcPr>
            <w:tcW w:w="5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2"/>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Excess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3"/>
        </w:trPr>
        <w:tc>
          <w:tcPr>
            <w:tcW w:w="5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68"/>
              <w:spacing w:after="0" w:line="153"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48"/>
              <w:spacing w:after="0" w:line="153" w:lineRule="exact"/>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1080" w:type="dxa"/>
            <w:vAlign w:val="bottom"/>
            <w:gridSpan w:val="2"/>
          </w:tcPr>
          <w:p>
            <w:pPr>
              <w:jc w:val="right"/>
              <w:ind w:right="48"/>
              <w:spacing w:after="0" w:line="153" w:lineRule="exact"/>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right"/>
              <w:ind w:right="8"/>
              <w:spacing w:after="0" w:line="153" w:lineRule="exact"/>
              <w:rPr>
                <w:sz w:val="20"/>
                <w:szCs w:val="20"/>
                <w:color w:val="auto"/>
              </w:rPr>
            </w:pPr>
            <w:r>
              <w:rPr>
                <w:rFonts w:ascii="Arial" w:cs="Arial" w:eastAsia="Arial" w:hAnsi="Arial"/>
                <w:sz w:val="14"/>
                <w:szCs w:val="14"/>
                <w:b w:val="1"/>
                <w:bCs w:val="1"/>
                <w:color w:val="auto"/>
              </w:rPr>
              <w:t>Total</w:t>
            </w:r>
          </w:p>
        </w:tc>
      </w:tr>
      <w:tr>
        <w:trPr>
          <w:trHeight w:val="173"/>
        </w:trPr>
        <w:tc>
          <w:tcPr>
            <w:tcW w:w="5100" w:type="dxa"/>
            <w:vAlign w:val="bottom"/>
            <w:tcBorders>
              <w:bottom w:val="single" w:sz="8" w:color="004483"/>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76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340" w:type="dxa"/>
            <w:vAlign w:val="bottom"/>
            <w:tcBorders>
              <w:bottom w:val="single" w:sz="8" w:color="004483"/>
            </w:tcBorders>
            <w:gridSpan w:val="5"/>
          </w:tcPr>
          <w:p>
            <w:pPr>
              <w:ind w:left="100"/>
              <w:spacing w:after="0"/>
              <w:rPr>
                <w:sz w:val="20"/>
                <w:szCs w:val="20"/>
                <w:color w:val="auto"/>
              </w:rPr>
            </w:pPr>
            <w:r>
              <w:rPr>
                <w:rFonts w:ascii="Arial" w:cs="Arial" w:eastAsia="Arial" w:hAnsi="Arial"/>
                <w:sz w:val="13"/>
                <w:szCs w:val="13"/>
                <w:color w:val="auto"/>
                <w:w w:val="98"/>
              </w:rPr>
              <w:t>(dollars in thousands)</w:t>
            </w:r>
          </w:p>
        </w:tc>
        <w:tc>
          <w:tcPr>
            <w:tcW w:w="16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2024</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14"/>
                <w:szCs w:val="14"/>
                <w:color w:val="auto"/>
              </w:rPr>
            </w:pP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1,311,567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(3,373 )</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1,308,535</w:t>
            </w:r>
          </w:p>
        </w:tc>
        <w:tc>
          <w:tcPr>
            <w:tcW w:w="60" w:type="dxa"/>
            <w:vAlign w:val="bottom"/>
          </w:tcPr>
          <w:p>
            <w:pPr>
              <w:spacing w:after="0"/>
              <w:rPr>
                <w:sz w:val="14"/>
                <w:szCs w:val="14"/>
                <w:color w:val="auto"/>
              </w:rPr>
            </w:pPr>
          </w:p>
        </w:tc>
      </w:tr>
      <w:tr>
        <w:trPr>
          <w:trHeight w:val="156"/>
        </w:trPr>
        <w:tc>
          <w:tcPr>
            <w:tcW w:w="5100" w:type="dxa"/>
            <w:vAlign w:val="bottom"/>
            <w:tcBorders>
              <w:top w:val="single" w:sz="8" w:color="A6A6A6"/>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Net Earnings</w:t>
            </w:r>
          </w:p>
        </w:tc>
        <w:tc>
          <w:tcPr>
            <w:tcW w:w="220" w:type="dxa"/>
            <w:vAlign w:val="bottom"/>
            <w:tcBorders>
              <w:top w:val="single" w:sz="8" w:color="A6A6A6"/>
              <w:bottom w:val="single" w:sz="8" w:color="A6A6A6"/>
            </w:tcBorders>
          </w:tcPr>
          <w:p>
            <w:pPr>
              <w:spacing w:after="0"/>
              <w:rPr>
                <w:sz w:val="13"/>
                <w:szCs w:val="13"/>
                <w:color w:val="auto"/>
              </w:rPr>
            </w:pPr>
          </w:p>
        </w:tc>
        <w:tc>
          <w:tcPr>
            <w:tcW w:w="760" w:type="dxa"/>
            <w:vAlign w:val="bottom"/>
            <w:tcBorders>
              <w:top w:val="single" w:sz="8" w:color="A6A6A6"/>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top w:val="single" w:sz="8" w:color="A6A6A6"/>
              <w:bottom w:val="single" w:sz="8" w:color="A6A6A6"/>
            </w:tcBorders>
          </w:tcPr>
          <w:p>
            <w:pPr>
              <w:spacing w:after="0"/>
              <w:rPr>
                <w:sz w:val="13"/>
                <w:szCs w:val="13"/>
                <w:color w:val="auto"/>
              </w:rPr>
            </w:pPr>
          </w:p>
        </w:tc>
        <w:tc>
          <w:tcPr>
            <w:tcW w:w="180" w:type="dxa"/>
            <w:vAlign w:val="bottom"/>
            <w:tcBorders>
              <w:top w:val="single" w:sz="8" w:color="A6A6A6"/>
              <w:bottom w:val="single" w:sz="8" w:color="A6A6A6"/>
            </w:tcBorders>
          </w:tcPr>
          <w:p>
            <w:pPr>
              <w:spacing w:after="0"/>
              <w:rPr>
                <w:sz w:val="13"/>
                <w:szCs w:val="13"/>
                <w:color w:val="auto"/>
              </w:rPr>
            </w:pPr>
          </w:p>
        </w:tc>
        <w:tc>
          <w:tcPr>
            <w:tcW w:w="800" w:type="dxa"/>
            <w:vAlign w:val="bottom"/>
            <w:tcBorders>
              <w:top w:val="single" w:sz="8" w:color="A6A6A6"/>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top w:val="single" w:sz="8" w:color="A6A6A6"/>
              <w:bottom w:val="single" w:sz="8" w:color="A6A6A6"/>
            </w:tcBorders>
          </w:tcPr>
          <w:p>
            <w:pPr>
              <w:spacing w:after="0"/>
              <w:rPr>
                <w:sz w:val="13"/>
                <w:szCs w:val="13"/>
                <w:color w:val="auto"/>
              </w:rPr>
            </w:pPr>
          </w:p>
        </w:tc>
        <w:tc>
          <w:tcPr>
            <w:tcW w:w="220" w:type="dxa"/>
            <w:vAlign w:val="bottom"/>
            <w:tcBorders>
              <w:top w:val="single" w:sz="8" w:color="A6A6A6"/>
              <w:bottom w:val="single" w:sz="8" w:color="A6A6A6"/>
            </w:tcBorders>
          </w:tcPr>
          <w:p>
            <w:pPr>
              <w:spacing w:after="0"/>
              <w:rPr>
                <w:sz w:val="13"/>
                <w:szCs w:val="13"/>
                <w:color w:val="auto"/>
              </w:rPr>
            </w:pPr>
          </w:p>
        </w:tc>
        <w:tc>
          <w:tcPr>
            <w:tcW w:w="780" w:type="dxa"/>
            <w:vAlign w:val="bottom"/>
            <w:tcBorders>
              <w:top w:val="single" w:sz="8" w:color="A6A6A6"/>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133,842</w:t>
            </w:r>
          </w:p>
        </w:tc>
        <w:tc>
          <w:tcPr>
            <w:tcW w:w="100" w:type="dxa"/>
            <w:vAlign w:val="bottom"/>
          </w:tcPr>
          <w:p>
            <w:pPr>
              <w:spacing w:after="0"/>
              <w:rPr>
                <w:sz w:val="13"/>
                <w:szCs w:val="13"/>
                <w:color w:val="auto"/>
              </w:rPr>
            </w:pPr>
          </w:p>
        </w:tc>
        <w:tc>
          <w:tcPr>
            <w:tcW w:w="120" w:type="dxa"/>
            <w:vAlign w:val="bottom"/>
            <w:tcBorders>
              <w:top w:val="single" w:sz="8" w:color="A6A6A6"/>
              <w:bottom w:val="single" w:sz="8" w:color="A6A6A6"/>
            </w:tcBorders>
          </w:tcPr>
          <w:p>
            <w:pPr>
              <w:spacing w:after="0"/>
              <w:rPr>
                <w:sz w:val="13"/>
                <w:szCs w:val="13"/>
                <w:color w:val="auto"/>
              </w:rPr>
            </w:pPr>
          </w:p>
        </w:tc>
        <w:tc>
          <w:tcPr>
            <w:tcW w:w="160" w:type="dxa"/>
            <w:vAlign w:val="bottom"/>
            <w:tcBorders>
              <w:top w:val="single" w:sz="8" w:color="A6A6A6"/>
              <w:bottom w:val="single" w:sz="8" w:color="A6A6A6"/>
            </w:tcBorders>
          </w:tcPr>
          <w:p>
            <w:pPr>
              <w:spacing w:after="0"/>
              <w:rPr>
                <w:sz w:val="13"/>
                <w:szCs w:val="13"/>
                <w:color w:val="auto"/>
              </w:rPr>
            </w:pPr>
          </w:p>
        </w:tc>
        <w:tc>
          <w:tcPr>
            <w:tcW w:w="980" w:type="dxa"/>
            <w:vAlign w:val="bottom"/>
            <w:tcBorders>
              <w:top w:val="single" w:sz="8" w:color="A6A6A6"/>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top w:val="single" w:sz="8" w:color="A6A6A6"/>
              <w:bottom w:val="single" w:sz="8" w:color="A6A6A6"/>
            </w:tcBorders>
          </w:tcPr>
          <w:p>
            <w:pPr>
              <w:spacing w:after="0"/>
              <w:rPr>
                <w:sz w:val="13"/>
                <w:szCs w:val="13"/>
                <w:color w:val="auto"/>
              </w:rPr>
            </w:pPr>
          </w:p>
        </w:tc>
        <w:tc>
          <w:tcPr>
            <w:tcW w:w="220" w:type="dxa"/>
            <w:vAlign w:val="bottom"/>
            <w:tcBorders>
              <w:top w:val="single" w:sz="8" w:color="A6A6A6"/>
              <w:bottom w:val="single" w:sz="8" w:color="A6A6A6"/>
            </w:tcBorders>
          </w:tcPr>
          <w:p>
            <w:pPr>
              <w:spacing w:after="0"/>
              <w:rPr>
                <w:sz w:val="13"/>
                <w:szCs w:val="13"/>
                <w:color w:val="auto"/>
              </w:rPr>
            </w:pPr>
          </w:p>
        </w:tc>
        <w:tc>
          <w:tcPr>
            <w:tcW w:w="800" w:type="dxa"/>
            <w:vAlign w:val="bottom"/>
            <w:tcBorders>
              <w:top w:val="single" w:sz="8" w:color="A6A6A6"/>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133,842</w:t>
            </w:r>
          </w:p>
        </w:tc>
        <w:tc>
          <w:tcPr>
            <w:tcW w:w="60" w:type="dxa"/>
            <w:vAlign w:val="bottom"/>
          </w:tcPr>
          <w:p>
            <w:pPr>
              <w:spacing w:after="0"/>
              <w:rPr>
                <w:sz w:val="13"/>
                <w:szCs w:val="13"/>
                <w:color w:val="auto"/>
              </w:rPr>
            </w:pPr>
          </w:p>
        </w:tc>
      </w:tr>
      <w:tr>
        <w:trPr>
          <w:trHeight w:val="155"/>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Stock Compensation Expense</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4,539</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4,539</w:t>
            </w:r>
          </w:p>
        </w:tc>
        <w:tc>
          <w:tcPr>
            <w:tcW w:w="60" w:type="dxa"/>
            <w:vAlign w:val="bottom"/>
          </w:tcPr>
          <w:p>
            <w:pPr>
              <w:spacing w:after="0"/>
              <w:rPr>
                <w:sz w:val="13"/>
                <w:szCs w:val="13"/>
                <w:color w:val="auto"/>
              </w:rPr>
            </w:pPr>
          </w:p>
        </w:tc>
      </w:tr>
      <w:tr>
        <w:trPr>
          <w:trHeight w:val="155"/>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Stock Option Exercises and Restricted Share Issuances</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56</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56</w:t>
            </w:r>
          </w:p>
        </w:tc>
        <w:tc>
          <w:tcPr>
            <w:tcW w:w="60" w:type="dxa"/>
            <w:vAlign w:val="bottom"/>
          </w:tcPr>
          <w:p>
            <w:pPr>
              <w:spacing w:after="0"/>
              <w:rPr>
                <w:sz w:val="13"/>
                <w:szCs w:val="13"/>
                <w:color w:val="auto"/>
              </w:rPr>
            </w:pPr>
          </w:p>
        </w:tc>
      </w:tr>
      <w:tr>
        <w:trPr>
          <w:trHeight w:val="155"/>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Shares Redeemed to Settle Employee Taxes</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(1,421</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(1,421</w:t>
            </w:r>
          </w:p>
        </w:tc>
        <w:tc>
          <w:tcPr>
            <w:tcW w:w="6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r>
      <w:tr>
        <w:trPr>
          <w:trHeight w:val="155"/>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Purchase and Retirement of Common Stock</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(3</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(3,174</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(83,168</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(86,345</w:t>
            </w:r>
          </w:p>
        </w:tc>
        <w:tc>
          <w:tcPr>
            <w:tcW w:w="6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r>
      <w:tr>
        <w:trPr>
          <w:trHeight w:val="155"/>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Dividends to Shareholders</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(8,453</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(8,453</w:t>
            </w:r>
          </w:p>
        </w:tc>
        <w:tc>
          <w:tcPr>
            <w:tcW w:w="6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r>
      <w:tr>
        <w:trPr>
          <w:trHeight w:val="183"/>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Unfunded Pension Liability, net of tax</w:t>
            </w:r>
          </w:p>
        </w:tc>
        <w:tc>
          <w:tcPr>
            <w:tcW w:w="220" w:type="dxa"/>
            <w:vAlign w:val="bottom"/>
            <w:tcBorders>
              <w:bottom w:val="single" w:sz="8" w:color="004483"/>
            </w:tcBorders>
          </w:tcPr>
          <w:p>
            <w:pPr>
              <w:spacing w:after="0"/>
              <w:rPr>
                <w:sz w:val="15"/>
                <w:szCs w:val="15"/>
                <w:color w:val="auto"/>
              </w:rPr>
            </w:pPr>
          </w:p>
        </w:tc>
        <w:tc>
          <w:tcPr>
            <w:tcW w:w="76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7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45</w:t>
            </w:r>
          </w:p>
        </w:tc>
        <w:tc>
          <w:tcPr>
            <w:tcW w:w="60" w:type="dxa"/>
            <w:vAlign w:val="bottom"/>
          </w:tcPr>
          <w:p>
            <w:pPr>
              <w:spacing w:after="0"/>
              <w:rPr>
                <w:sz w:val="15"/>
                <w:szCs w:val="15"/>
                <w:color w:val="auto"/>
              </w:rPr>
            </w:pPr>
          </w:p>
        </w:tc>
      </w:tr>
      <w:tr>
        <w:trPr>
          <w:trHeight w:val="156"/>
        </w:trPr>
        <w:tc>
          <w:tcPr>
            <w:tcW w:w="510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Balance at June 30, 2024</w:t>
            </w:r>
          </w:p>
        </w:tc>
        <w:tc>
          <w:tcPr>
            <w:tcW w:w="220" w:type="dxa"/>
            <w:vAlign w:val="bottom"/>
            <w:tcBorders>
              <w:bottom w:val="single" w:sz="8" w:color="004483"/>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338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004483"/>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004483"/>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1,353,788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004483"/>
            </w:tcBorders>
          </w:tcPr>
          <w:p>
            <w:pPr>
              <w:ind w:left="20"/>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(3,328</w:t>
            </w:r>
          </w:p>
        </w:tc>
        <w:tc>
          <w:tcPr>
            <w:tcW w:w="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4"/>
              </w:rPr>
              <w:t>)</w:t>
            </w:r>
          </w:p>
        </w:tc>
        <w:tc>
          <w:tcPr>
            <w:tcW w:w="120" w:type="dxa"/>
            <w:vAlign w:val="bottom"/>
          </w:tcPr>
          <w:p>
            <w:pPr>
              <w:spacing w:after="0"/>
              <w:rPr>
                <w:sz w:val="13"/>
                <w:szCs w:val="13"/>
                <w:color w:val="auto"/>
              </w:rPr>
            </w:pPr>
          </w:p>
        </w:tc>
        <w:tc>
          <w:tcPr>
            <w:tcW w:w="220" w:type="dxa"/>
            <w:vAlign w:val="bottom"/>
            <w:tcBorders>
              <w:bottom w:val="single" w:sz="8" w:color="004483"/>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1,350,798</w:t>
            </w:r>
          </w:p>
        </w:tc>
        <w:tc>
          <w:tcPr>
            <w:tcW w:w="60" w:type="dxa"/>
            <w:vAlign w:val="bottom"/>
          </w:tcPr>
          <w:p>
            <w:pPr>
              <w:spacing w:after="0"/>
              <w:rPr>
                <w:sz w:val="13"/>
                <w:szCs w:val="13"/>
                <w:color w:val="auto"/>
              </w:rPr>
            </w:pPr>
          </w:p>
        </w:tc>
      </w:tr>
      <w:tr>
        <w:trPr>
          <w:trHeight w:val="20"/>
        </w:trPr>
        <w:tc>
          <w:tcPr>
            <w:tcW w:w="510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3"/>
        </w:trPr>
        <w:tc>
          <w:tcPr>
            <w:tcW w:w="5100" w:type="dxa"/>
            <w:vAlign w:val="bottom"/>
            <w:tcBorders>
              <w:bottom w:val="single" w:sz="8" w:color="A6A6A6"/>
            </w:tcBorders>
          </w:tcPr>
          <w:p>
            <w:pPr>
              <w:ind w:left="20"/>
              <w:spacing w:after="0" w:line="143" w:lineRule="exact"/>
              <w:rPr>
                <w:sz w:val="20"/>
                <w:szCs w:val="20"/>
                <w:color w:val="auto"/>
              </w:rPr>
            </w:pPr>
            <w:r>
              <w:rPr>
                <w:rFonts w:ascii="Arial" w:cs="Arial" w:eastAsia="Arial" w:hAnsi="Arial"/>
                <w:sz w:val="14"/>
                <w:szCs w:val="14"/>
                <w:color w:val="004483"/>
              </w:rPr>
              <w:t>Net Earnings</w:t>
            </w:r>
          </w:p>
        </w:tc>
        <w:tc>
          <w:tcPr>
            <w:tcW w:w="220" w:type="dxa"/>
            <w:vAlign w:val="bottom"/>
            <w:tcBorders>
              <w:bottom w:val="single" w:sz="8" w:color="A6A6A6"/>
            </w:tcBorders>
          </w:tcPr>
          <w:p>
            <w:pPr>
              <w:spacing w:after="0"/>
              <w:rPr>
                <w:sz w:val="12"/>
                <w:szCs w:val="12"/>
                <w:color w:val="auto"/>
              </w:rPr>
            </w:pPr>
          </w:p>
        </w:tc>
        <w:tc>
          <w:tcPr>
            <w:tcW w:w="760" w:type="dxa"/>
            <w:vAlign w:val="bottom"/>
            <w:tcBorders>
              <w:bottom w:val="single" w:sz="8" w:color="A6A6A6"/>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180" w:type="dxa"/>
            <w:vAlign w:val="bottom"/>
            <w:tcBorders>
              <w:bottom w:val="single" w:sz="8" w:color="A6A6A6"/>
            </w:tcBorders>
          </w:tcPr>
          <w:p>
            <w:pPr>
              <w:spacing w:after="0"/>
              <w:rPr>
                <w:sz w:val="12"/>
                <w:szCs w:val="12"/>
                <w:color w:val="auto"/>
              </w:rPr>
            </w:pPr>
          </w:p>
        </w:tc>
        <w:tc>
          <w:tcPr>
            <w:tcW w:w="800" w:type="dxa"/>
            <w:vAlign w:val="bottom"/>
            <w:tcBorders>
              <w:bottom w:val="single" w:sz="8" w:color="A6A6A6"/>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220" w:type="dxa"/>
            <w:vAlign w:val="bottom"/>
            <w:tcBorders>
              <w:bottom w:val="single" w:sz="8" w:color="A6A6A6"/>
            </w:tcBorders>
          </w:tcPr>
          <w:p>
            <w:pPr>
              <w:spacing w:after="0"/>
              <w:rPr>
                <w:sz w:val="12"/>
                <w:szCs w:val="12"/>
                <w:color w:val="auto"/>
              </w:rPr>
            </w:pPr>
          </w:p>
        </w:tc>
        <w:tc>
          <w:tcPr>
            <w:tcW w:w="780" w:type="dxa"/>
            <w:vAlign w:val="bottom"/>
            <w:tcBorders>
              <w:bottom w:val="single" w:sz="8" w:color="A6A6A6"/>
            </w:tcBorders>
          </w:tcPr>
          <w:p>
            <w:pPr>
              <w:jc w:val="right"/>
              <w:spacing w:after="0" w:line="143" w:lineRule="exact"/>
              <w:rPr>
                <w:sz w:val="20"/>
                <w:szCs w:val="20"/>
                <w:color w:val="auto"/>
              </w:rPr>
            </w:pPr>
            <w:r>
              <w:rPr>
                <w:rFonts w:ascii="Arial" w:cs="Arial" w:eastAsia="Arial" w:hAnsi="Arial"/>
                <w:sz w:val="14"/>
                <w:szCs w:val="14"/>
                <w:color w:val="auto"/>
              </w:rPr>
              <w:t>143,520</w:t>
            </w:r>
          </w:p>
        </w:tc>
        <w:tc>
          <w:tcPr>
            <w:tcW w:w="100" w:type="dxa"/>
            <w:vAlign w:val="bottom"/>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160" w:type="dxa"/>
            <w:vAlign w:val="bottom"/>
            <w:tcBorders>
              <w:bottom w:val="single" w:sz="8" w:color="A6A6A6"/>
            </w:tcBorders>
          </w:tcPr>
          <w:p>
            <w:pPr>
              <w:spacing w:after="0"/>
              <w:rPr>
                <w:sz w:val="12"/>
                <w:szCs w:val="12"/>
                <w:color w:val="auto"/>
              </w:rPr>
            </w:pPr>
          </w:p>
        </w:tc>
        <w:tc>
          <w:tcPr>
            <w:tcW w:w="980" w:type="dxa"/>
            <w:vAlign w:val="bottom"/>
            <w:tcBorders>
              <w:bottom w:val="single" w:sz="8" w:color="A6A6A6"/>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220" w:type="dxa"/>
            <w:vAlign w:val="bottom"/>
            <w:tcBorders>
              <w:bottom w:val="single" w:sz="8" w:color="A6A6A6"/>
            </w:tcBorders>
          </w:tcPr>
          <w:p>
            <w:pPr>
              <w:spacing w:after="0"/>
              <w:rPr>
                <w:sz w:val="12"/>
                <w:szCs w:val="12"/>
                <w:color w:val="auto"/>
              </w:rPr>
            </w:pPr>
          </w:p>
        </w:tc>
        <w:tc>
          <w:tcPr>
            <w:tcW w:w="800" w:type="dxa"/>
            <w:vAlign w:val="bottom"/>
            <w:tcBorders>
              <w:bottom w:val="single" w:sz="8" w:color="A6A6A6"/>
            </w:tcBorders>
          </w:tcPr>
          <w:p>
            <w:pPr>
              <w:jc w:val="right"/>
              <w:spacing w:after="0" w:line="143" w:lineRule="exact"/>
              <w:rPr>
                <w:sz w:val="20"/>
                <w:szCs w:val="20"/>
                <w:color w:val="auto"/>
              </w:rPr>
            </w:pPr>
            <w:r>
              <w:rPr>
                <w:rFonts w:ascii="Arial" w:cs="Arial" w:eastAsia="Arial" w:hAnsi="Arial"/>
                <w:sz w:val="14"/>
                <w:szCs w:val="14"/>
                <w:color w:val="auto"/>
              </w:rPr>
              <w:t>143,520</w:t>
            </w:r>
          </w:p>
        </w:tc>
        <w:tc>
          <w:tcPr>
            <w:tcW w:w="60" w:type="dxa"/>
            <w:vAlign w:val="bottom"/>
          </w:tcPr>
          <w:p>
            <w:pPr>
              <w:spacing w:after="0"/>
              <w:rPr>
                <w:sz w:val="12"/>
                <w:szCs w:val="12"/>
                <w:color w:val="auto"/>
              </w:rPr>
            </w:pPr>
          </w:p>
        </w:tc>
      </w:tr>
      <w:tr>
        <w:trPr>
          <w:trHeight w:val="155"/>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Stock Compensation Expense</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4,864</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4,864</w:t>
            </w:r>
          </w:p>
        </w:tc>
        <w:tc>
          <w:tcPr>
            <w:tcW w:w="60" w:type="dxa"/>
            <w:vAlign w:val="bottom"/>
          </w:tcPr>
          <w:p>
            <w:pPr>
              <w:spacing w:after="0"/>
              <w:rPr>
                <w:sz w:val="13"/>
                <w:szCs w:val="13"/>
                <w:color w:val="auto"/>
              </w:rPr>
            </w:pPr>
          </w:p>
        </w:tc>
      </w:tr>
      <w:tr>
        <w:trPr>
          <w:trHeight w:val="155"/>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Stock Option Exercise and Restricted Share Issuances</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2,149</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2,149</w:t>
            </w:r>
          </w:p>
        </w:tc>
        <w:tc>
          <w:tcPr>
            <w:tcW w:w="60" w:type="dxa"/>
            <w:vAlign w:val="bottom"/>
          </w:tcPr>
          <w:p>
            <w:pPr>
              <w:spacing w:after="0"/>
              <w:rPr>
                <w:sz w:val="13"/>
                <w:szCs w:val="13"/>
                <w:color w:val="auto"/>
              </w:rPr>
            </w:pPr>
          </w:p>
        </w:tc>
      </w:tr>
      <w:tr>
        <w:trPr>
          <w:trHeight w:val="155"/>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Shares Redeemed to Settle Employee Taxes</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(35</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(35</w:t>
            </w:r>
          </w:p>
        </w:tc>
        <w:tc>
          <w:tcPr>
            <w:tcW w:w="6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r>
      <w:tr>
        <w:trPr>
          <w:trHeight w:val="155"/>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Purchase and Retirement of Common Stock</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(3</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(6,978</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(54,312</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(61,293</w:t>
            </w:r>
          </w:p>
        </w:tc>
        <w:tc>
          <w:tcPr>
            <w:tcW w:w="6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r>
      <w:tr>
        <w:trPr>
          <w:trHeight w:val="155"/>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Dividends to Shareholders</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(8,399</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(8,399</w:t>
            </w:r>
          </w:p>
        </w:tc>
        <w:tc>
          <w:tcPr>
            <w:tcW w:w="6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r>
      <w:tr>
        <w:trPr>
          <w:trHeight w:val="183"/>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Unfunded Pension Liability, net of tax</w:t>
            </w:r>
          </w:p>
        </w:tc>
        <w:tc>
          <w:tcPr>
            <w:tcW w:w="220" w:type="dxa"/>
            <w:vAlign w:val="bottom"/>
            <w:tcBorders>
              <w:bottom w:val="single" w:sz="8" w:color="004483"/>
            </w:tcBorders>
          </w:tcPr>
          <w:p>
            <w:pPr>
              <w:spacing w:after="0"/>
              <w:rPr>
                <w:sz w:val="15"/>
                <w:szCs w:val="15"/>
                <w:color w:val="auto"/>
              </w:rPr>
            </w:pPr>
          </w:p>
        </w:tc>
        <w:tc>
          <w:tcPr>
            <w:tcW w:w="76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7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45</w:t>
            </w:r>
          </w:p>
        </w:tc>
        <w:tc>
          <w:tcPr>
            <w:tcW w:w="60" w:type="dxa"/>
            <w:vAlign w:val="bottom"/>
          </w:tcPr>
          <w:p>
            <w:pPr>
              <w:spacing w:after="0"/>
              <w:rPr>
                <w:sz w:val="15"/>
                <w:szCs w:val="15"/>
                <w:color w:val="auto"/>
              </w:rPr>
            </w:pPr>
          </w:p>
        </w:tc>
      </w:tr>
      <w:tr>
        <w:trPr>
          <w:trHeight w:val="155"/>
        </w:trPr>
        <w:tc>
          <w:tcPr>
            <w:tcW w:w="510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Balance at September 30, 2024</w:t>
            </w:r>
          </w:p>
        </w:tc>
        <w:tc>
          <w:tcPr>
            <w:tcW w:w="220" w:type="dxa"/>
            <w:vAlign w:val="bottom"/>
            <w:tcBorders>
              <w:bottom w:val="single" w:sz="8" w:color="004483"/>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335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004483"/>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004483"/>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1,434,597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004483"/>
            </w:tcBorders>
          </w:tcPr>
          <w:p>
            <w:pPr>
              <w:ind w:left="20"/>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(3,283</w:t>
            </w:r>
          </w:p>
        </w:tc>
        <w:tc>
          <w:tcPr>
            <w:tcW w:w="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4"/>
              </w:rPr>
              <w:t>)</w:t>
            </w:r>
          </w:p>
        </w:tc>
        <w:tc>
          <w:tcPr>
            <w:tcW w:w="120" w:type="dxa"/>
            <w:vAlign w:val="bottom"/>
          </w:tcPr>
          <w:p>
            <w:pPr>
              <w:spacing w:after="0"/>
              <w:rPr>
                <w:sz w:val="13"/>
                <w:szCs w:val="13"/>
                <w:color w:val="auto"/>
              </w:rPr>
            </w:pPr>
          </w:p>
        </w:tc>
        <w:tc>
          <w:tcPr>
            <w:tcW w:w="220" w:type="dxa"/>
            <w:vAlign w:val="bottom"/>
            <w:tcBorders>
              <w:bottom w:val="single" w:sz="8" w:color="004483"/>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1,431,649</w:t>
            </w:r>
          </w:p>
        </w:tc>
        <w:tc>
          <w:tcPr>
            <w:tcW w:w="60" w:type="dxa"/>
            <w:vAlign w:val="bottom"/>
          </w:tcPr>
          <w:p>
            <w:pPr>
              <w:spacing w:after="0"/>
              <w:rPr>
                <w:sz w:val="13"/>
                <w:szCs w:val="13"/>
                <w:color w:val="auto"/>
              </w:rPr>
            </w:pPr>
          </w:p>
        </w:tc>
      </w:tr>
      <w:tr>
        <w:trPr>
          <w:trHeight w:val="20"/>
        </w:trPr>
        <w:tc>
          <w:tcPr>
            <w:tcW w:w="510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3"/>
        </w:trPr>
        <w:tc>
          <w:tcPr>
            <w:tcW w:w="5100" w:type="dxa"/>
            <w:vAlign w:val="bottom"/>
            <w:tcBorders>
              <w:bottom w:val="single" w:sz="8" w:color="A6A6A6"/>
            </w:tcBorders>
          </w:tcPr>
          <w:p>
            <w:pPr>
              <w:ind w:left="20"/>
              <w:spacing w:after="0" w:line="143" w:lineRule="exact"/>
              <w:rPr>
                <w:sz w:val="20"/>
                <w:szCs w:val="20"/>
                <w:color w:val="auto"/>
              </w:rPr>
            </w:pPr>
            <w:r>
              <w:rPr>
                <w:rFonts w:ascii="Arial" w:cs="Arial" w:eastAsia="Arial" w:hAnsi="Arial"/>
                <w:sz w:val="14"/>
                <w:szCs w:val="14"/>
                <w:color w:val="004483"/>
              </w:rPr>
              <w:t>Net Earnings</w:t>
            </w:r>
          </w:p>
        </w:tc>
        <w:tc>
          <w:tcPr>
            <w:tcW w:w="220" w:type="dxa"/>
            <w:vAlign w:val="bottom"/>
            <w:tcBorders>
              <w:bottom w:val="single" w:sz="8" w:color="A6A6A6"/>
            </w:tcBorders>
          </w:tcPr>
          <w:p>
            <w:pPr>
              <w:spacing w:after="0"/>
              <w:rPr>
                <w:sz w:val="12"/>
                <w:szCs w:val="12"/>
                <w:color w:val="auto"/>
              </w:rPr>
            </w:pPr>
          </w:p>
        </w:tc>
        <w:tc>
          <w:tcPr>
            <w:tcW w:w="760" w:type="dxa"/>
            <w:vAlign w:val="bottom"/>
            <w:tcBorders>
              <w:bottom w:val="single" w:sz="8" w:color="A6A6A6"/>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180" w:type="dxa"/>
            <w:vAlign w:val="bottom"/>
            <w:tcBorders>
              <w:bottom w:val="single" w:sz="8" w:color="A6A6A6"/>
            </w:tcBorders>
          </w:tcPr>
          <w:p>
            <w:pPr>
              <w:spacing w:after="0"/>
              <w:rPr>
                <w:sz w:val="12"/>
                <w:szCs w:val="12"/>
                <w:color w:val="auto"/>
              </w:rPr>
            </w:pPr>
          </w:p>
        </w:tc>
        <w:tc>
          <w:tcPr>
            <w:tcW w:w="800" w:type="dxa"/>
            <w:vAlign w:val="bottom"/>
            <w:tcBorders>
              <w:bottom w:val="single" w:sz="8" w:color="A6A6A6"/>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220" w:type="dxa"/>
            <w:vAlign w:val="bottom"/>
            <w:tcBorders>
              <w:bottom w:val="single" w:sz="8" w:color="A6A6A6"/>
            </w:tcBorders>
          </w:tcPr>
          <w:p>
            <w:pPr>
              <w:spacing w:after="0"/>
              <w:rPr>
                <w:sz w:val="12"/>
                <w:szCs w:val="12"/>
                <w:color w:val="auto"/>
              </w:rPr>
            </w:pPr>
          </w:p>
        </w:tc>
        <w:tc>
          <w:tcPr>
            <w:tcW w:w="780" w:type="dxa"/>
            <w:vAlign w:val="bottom"/>
            <w:tcBorders>
              <w:bottom w:val="single" w:sz="8" w:color="A6A6A6"/>
            </w:tcBorders>
          </w:tcPr>
          <w:p>
            <w:pPr>
              <w:jc w:val="right"/>
              <w:spacing w:after="0" w:line="143" w:lineRule="exact"/>
              <w:rPr>
                <w:sz w:val="20"/>
                <w:szCs w:val="20"/>
                <w:color w:val="auto"/>
              </w:rPr>
            </w:pPr>
            <w:r>
              <w:rPr>
                <w:rFonts w:ascii="Arial" w:cs="Arial" w:eastAsia="Arial" w:hAnsi="Arial"/>
                <w:sz w:val="14"/>
                <w:szCs w:val="14"/>
                <w:color w:val="auto"/>
              </w:rPr>
              <w:t>119,574</w:t>
            </w:r>
          </w:p>
        </w:tc>
        <w:tc>
          <w:tcPr>
            <w:tcW w:w="100" w:type="dxa"/>
            <w:vAlign w:val="bottom"/>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160" w:type="dxa"/>
            <w:vAlign w:val="bottom"/>
            <w:tcBorders>
              <w:bottom w:val="single" w:sz="8" w:color="A6A6A6"/>
            </w:tcBorders>
          </w:tcPr>
          <w:p>
            <w:pPr>
              <w:spacing w:after="0"/>
              <w:rPr>
                <w:sz w:val="12"/>
                <w:szCs w:val="12"/>
                <w:color w:val="auto"/>
              </w:rPr>
            </w:pPr>
          </w:p>
        </w:tc>
        <w:tc>
          <w:tcPr>
            <w:tcW w:w="980" w:type="dxa"/>
            <w:vAlign w:val="bottom"/>
            <w:tcBorders>
              <w:bottom w:val="single" w:sz="8" w:color="A6A6A6"/>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220" w:type="dxa"/>
            <w:vAlign w:val="bottom"/>
            <w:tcBorders>
              <w:bottom w:val="single" w:sz="8" w:color="A6A6A6"/>
            </w:tcBorders>
          </w:tcPr>
          <w:p>
            <w:pPr>
              <w:spacing w:after="0"/>
              <w:rPr>
                <w:sz w:val="12"/>
                <w:szCs w:val="12"/>
                <w:color w:val="auto"/>
              </w:rPr>
            </w:pPr>
          </w:p>
        </w:tc>
        <w:tc>
          <w:tcPr>
            <w:tcW w:w="800" w:type="dxa"/>
            <w:vAlign w:val="bottom"/>
            <w:tcBorders>
              <w:bottom w:val="single" w:sz="8" w:color="A6A6A6"/>
            </w:tcBorders>
          </w:tcPr>
          <w:p>
            <w:pPr>
              <w:jc w:val="right"/>
              <w:spacing w:after="0" w:line="143" w:lineRule="exact"/>
              <w:rPr>
                <w:sz w:val="20"/>
                <w:szCs w:val="20"/>
                <w:color w:val="auto"/>
              </w:rPr>
            </w:pPr>
            <w:r>
              <w:rPr>
                <w:rFonts w:ascii="Arial" w:cs="Arial" w:eastAsia="Arial" w:hAnsi="Arial"/>
                <w:sz w:val="14"/>
                <w:szCs w:val="14"/>
                <w:color w:val="auto"/>
              </w:rPr>
              <w:t>119,574</w:t>
            </w:r>
          </w:p>
        </w:tc>
        <w:tc>
          <w:tcPr>
            <w:tcW w:w="60" w:type="dxa"/>
            <w:vAlign w:val="bottom"/>
          </w:tcPr>
          <w:p>
            <w:pPr>
              <w:spacing w:after="0"/>
              <w:rPr>
                <w:sz w:val="12"/>
                <w:szCs w:val="12"/>
                <w:color w:val="auto"/>
              </w:rPr>
            </w:pPr>
          </w:p>
        </w:tc>
      </w:tr>
      <w:tr>
        <w:trPr>
          <w:trHeight w:val="156"/>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Stock Compensation Expense</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4,818</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4,818</w:t>
            </w:r>
          </w:p>
        </w:tc>
        <w:tc>
          <w:tcPr>
            <w:tcW w:w="60" w:type="dxa"/>
            <w:vAlign w:val="bottom"/>
          </w:tcPr>
          <w:p>
            <w:pPr>
              <w:spacing w:after="0"/>
              <w:rPr>
                <w:sz w:val="13"/>
                <w:szCs w:val="13"/>
                <w:color w:val="auto"/>
              </w:rPr>
            </w:pPr>
          </w:p>
        </w:tc>
      </w:tr>
      <w:tr>
        <w:trPr>
          <w:trHeight w:val="155"/>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Stock Option Exercise and Restricted Share Issuances</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4,054</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4,055</w:t>
            </w:r>
          </w:p>
        </w:tc>
        <w:tc>
          <w:tcPr>
            <w:tcW w:w="60" w:type="dxa"/>
            <w:vAlign w:val="bottom"/>
          </w:tcPr>
          <w:p>
            <w:pPr>
              <w:spacing w:after="0"/>
              <w:rPr>
                <w:sz w:val="13"/>
                <w:szCs w:val="13"/>
                <w:color w:val="auto"/>
              </w:rPr>
            </w:pPr>
          </w:p>
        </w:tc>
      </w:tr>
      <w:tr>
        <w:trPr>
          <w:trHeight w:val="155"/>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Purchase and Retirement of Common Stock</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(2</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(8,872</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(46,777</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(55,651</w:t>
            </w:r>
          </w:p>
        </w:tc>
        <w:tc>
          <w:tcPr>
            <w:tcW w:w="6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r>
      <w:tr>
        <w:trPr>
          <w:trHeight w:val="155"/>
        </w:trPr>
        <w:tc>
          <w:tcPr>
            <w:tcW w:w="5100" w:type="dxa"/>
            <w:vAlign w:val="bottom"/>
            <w:tcBorders>
              <w:bottom w:val="single" w:sz="8" w:color="A6A6A6"/>
            </w:tcBorders>
          </w:tcPr>
          <w:p>
            <w:pPr>
              <w:ind w:left="20"/>
              <w:spacing w:after="0" w:line="155" w:lineRule="exact"/>
              <w:rPr>
                <w:sz w:val="20"/>
                <w:szCs w:val="20"/>
                <w:color w:val="auto"/>
              </w:rPr>
            </w:pPr>
            <w:r>
              <w:rPr>
                <w:rFonts w:ascii="Arial" w:cs="Arial" w:eastAsia="Arial" w:hAnsi="Arial"/>
                <w:sz w:val="14"/>
                <w:szCs w:val="14"/>
                <w:color w:val="004483"/>
              </w:rPr>
              <w:t>Dividends to Shareholders</w:t>
            </w:r>
          </w:p>
        </w:tc>
        <w:tc>
          <w:tcPr>
            <w:tcW w:w="220" w:type="dxa"/>
            <w:vAlign w:val="bottom"/>
            <w:tcBorders>
              <w:bottom w:val="single" w:sz="8" w:color="A6A6A6"/>
            </w:tcBorders>
          </w:tcPr>
          <w:p>
            <w:pPr>
              <w:spacing w:after="0"/>
              <w:rPr>
                <w:sz w:val="13"/>
                <w:szCs w:val="13"/>
                <w:color w:val="auto"/>
              </w:rPr>
            </w:pPr>
          </w:p>
        </w:tc>
        <w:tc>
          <w:tcPr>
            <w:tcW w:w="76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7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(8,351</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220" w:type="dxa"/>
            <w:vAlign w:val="bottom"/>
            <w:tcBorders>
              <w:bottom w:val="single" w:sz="8" w:color="A6A6A6"/>
            </w:tcBorders>
          </w:tcPr>
          <w:p>
            <w:pPr>
              <w:spacing w:after="0"/>
              <w:rPr>
                <w:sz w:val="13"/>
                <w:szCs w:val="13"/>
                <w:color w:val="auto"/>
              </w:rPr>
            </w:pPr>
          </w:p>
        </w:tc>
        <w:tc>
          <w:tcPr>
            <w:tcW w:w="800" w:type="dxa"/>
            <w:vAlign w:val="bottom"/>
            <w:tcBorders>
              <w:bottom w:val="single" w:sz="8" w:color="A6A6A6"/>
            </w:tcBorders>
          </w:tcPr>
          <w:p>
            <w:pPr>
              <w:jc w:val="right"/>
              <w:spacing w:after="0" w:line="155" w:lineRule="exact"/>
              <w:rPr>
                <w:sz w:val="20"/>
                <w:szCs w:val="20"/>
                <w:color w:val="auto"/>
              </w:rPr>
            </w:pPr>
            <w:r>
              <w:rPr>
                <w:rFonts w:ascii="Arial" w:cs="Arial" w:eastAsia="Arial" w:hAnsi="Arial"/>
                <w:sz w:val="14"/>
                <w:szCs w:val="14"/>
                <w:color w:val="auto"/>
              </w:rPr>
              <w:t>(8,351</w:t>
            </w:r>
          </w:p>
        </w:tc>
        <w:tc>
          <w:tcPr>
            <w:tcW w:w="6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r>
      <w:tr>
        <w:trPr>
          <w:trHeight w:val="183"/>
        </w:trPr>
        <w:tc>
          <w:tcPr>
            <w:tcW w:w="5100" w:type="dxa"/>
            <w:vAlign w:val="bottom"/>
            <w:tcBorders>
              <w:bottom w:val="single" w:sz="8" w:color="A3A3A3"/>
            </w:tcBorders>
          </w:tcPr>
          <w:p>
            <w:pPr>
              <w:ind w:left="20"/>
              <w:spacing w:after="0" w:line="155" w:lineRule="exact"/>
              <w:rPr>
                <w:sz w:val="20"/>
                <w:szCs w:val="20"/>
                <w:color w:val="auto"/>
              </w:rPr>
            </w:pPr>
            <w:r>
              <w:rPr>
                <w:rFonts w:ascii="Arial" w:cs="Arial" w:eastAsia="Arial" w:hAnsi="Arial"/>
                <w:sz w:val="14"/>
                <w:szCs w:val="14"/>
                <w:color w:val="004483"/>
              </w:rPr>
              <w:t>Unfunded Pension Liability, net of tax</w:t>
            </w:r>
          </w:p>
        </w:tc>
        <w:tc>
          <w:tcPr>
            <w:tcW w:w="220" w:type="dxa"/>
            <w:vAlign w:val="bottom"/>
            <w:tcBorders>
              <w:bottom w:val="single" w:sz="8" w:color="004483"/>
            </w:tcBorders>
          </w:tcPr>
          <w:p>
            <w:pPr>
              <w:spacing w:after="0"/>
              <w:rPr>
                <w:sz w:val="15"/>
                <w:szCs w:val="15"/>
                <w:color w:val="auto"/>
              </w:rPr>
            </w:pPr>
          </w:p>
        </w:tc>
        <w:tc>
          <w:tcPr>
            <w:tcW w:w="76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Borders>
              <w:bottom w:val="single" w:sz="8" w:color="A3A3A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3A3A3"/>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7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3A3A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120" w:type="dxa"/>
            <w:vAlign w:val="bottom"/>
            <w:tcBorders>
              <w:bottom w:val="single" w:sz="8" w:color="A3A3A3"/>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color w:val="auto"/>
              </w:rPr>
              <w:t>45</w:t>
            </w:r>
          </w:p>
        </w:tc>
        <w:tc>
          <w:tcPr>
            <w:tcW w:w="60" w:type="dxa"/>
            <w:vAlign w:val="bottom"/>
          </w:tcPr>
          <w:p>
            <w:pPr>
              <w:spacing w:after="0"/>
              <w:rPr>
                <w:sz w:val="15"/>
                <w:szCs w:val="15"/>
                <w:color w:val="auto"/>
              </w:rPr>
            </w:pPr>
          </w:p>
        </w:tc>
      </w:tr>
      <w:tr>
        <w:trPr>
          <w:trHeight w:val="155"/>
        </w:trPr>
        <w:tc>
          <w:tcPr>
            <w:tcW w:w="510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Balance at December 31, 2024</w:t>
            </w:r>
          </w:p>
        </w:tc>
        <w:tc>
          <w:tcPr>
            <w:tcW w:w="220" w:type="dxa"/>
            <w:vAlign w:val="bottom"/>
            <w:tcBorders>
              <w:bottom w:val="single" w:sz="8" w:color="004483"/>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334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004483"/>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004483"/>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1,499,043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004483"/>
            </w:tcBorders>
          </w:tcPr>
          <w:p>
            <w:pPr>
              <w:ind w:left="20"/>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(3,238</w:t>
            </w:r>
          </w:p>
        </w:tc>
        <w:tc>
          <w:tcPr>
            <w:tcW w:w="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4"/>
              </w:rPr>
              <w:t>)</w:t>
            </w:r>
          </w:p>
        </w:tc>
        <w:tc>
          <w:tcPr>
            <w:tcW w:w="120" w:type="dxa"/>
            <w:vAlign w:val="bottom"/>
          </w:tcPr>
          <w:p>
            <w:pPr>
              <w:spacing w:after="0"/>
              <w:rPr>
                <w:sz w:val="13"/>
                <w:szCs w:val="13"/>
                <w:color w:val="auto"/>
              </w:rPr>
            </w:pPr>
          </w:p>
        </w:tc>
        <w:tc>
          <w:tcPr>
            <w:tcW w:w="220" w:type="dxa"/>
            <w:vAlign w:val="bottom"/>
            <w:tcBorders>
              <w:bottom w:val="single" w:sz="8" w:color="004483"/>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04483"/>
            </w:tcBorders>
          </w:tcPr>
          <w:p>
            <w:pPr>
              <w:jc w:val="right"/>
              <w:spacing w:after="0" w:line="155" w:lineRule="exact"/>
              <w:rPr>
                <w:sz w:val="20"/>
                <w:szCs w:val="20"/>
                <w:color w:val="auto"/>
              </w:rPr>
            </w:pPr>
            <w:r>
              <w:rPr>
                <w:rFonts w:ascii="Arial" w:cs="Arial" w:eastAsia="Arial" w:hAnsi="Arial"/>
                <w:sz w:val="14"/>
                <w:szCs w:val="14"/>
                <w:b w:val="1"/>
                <w:bCs w:val="1"/>
                <w:color w:val="auto"/>
              </w:rPr>
              <w:t>1,496,139</w:t>
            </w:r>
          </w:p>
        </w:tc>
        <w:tc>
          <w:tcPr>
            <w:tcW w:w="60" w:type="dxa"/>
            <w:vAlign w:val="bottom"/>
          </w:tcPr>
          <w:p>
            <w:pPr>
              <w:spacing w:after="0"/>
              <w:rPr>
                <w:sz w:val="13"/>
                <w:szCs w:val="13"/>
                <w:color w:val="auto"/>
              </w:rPr>
            </w:pPr>
          </w:p>
        </w:tc>
      </w:tr>
      <w:tr>
        <w:trPr>
          <w:trHeight w:val="20"/>
        </w:trPr>
        <w:tc>
          <w:tcPr>
            <w:tcW w:w="5100" w:type="dxa"/>
            <w:vAlign w:val="bottom"/>
            <w:tcBorders>
              <w:bottom w:val="single" w:sz="8" w:color="A3A3A3"/>
            </w:tcBorders>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3A3A3"/>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3A3A3"/>
            </w:tcBorders>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3A3A3"/>
            </w:tcBorders>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3A3A3"/>
            </w:tcBorders>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Notes to Unaudited Consolidated Financial Statements.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25" w:right="399" w:bottom="1440" w:gutter="0" w:footer="0" w:header="0"/>
        </w:sectPr>
      </w:pPr>
    </w:p>
    <w:bookmarkStart w:id="7" w:name="page8"/>
    <w:bookmarkEnd w:id="7"/>
    <w:p>
      <w:pPr>
        <w:spacing w:after="0" w:line="31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Eagle Materials Inc. and Subsidiaries</w:t>
      </w:r>
    </w:p>
    <w:p>
      <w:pPr>
        <w:spacing w:after="0" w:line="4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BASIS OF PRESENTATION</w:t>
      </w:r>
    </w:p>
    <w:p>
      <w:pPr>
        <w:spacing w:after="0" w:line="99" w:lineRule="exact"/>
        <w:rPr>
          <w:sz w:val="20"/>
          <w:szCs w:val="20"/>
          <w:color w:val="auto"/>
        </w:rPr>
      </w:pPr>
    </w:p>
    <w:p>
      <w:pPr>
        <w:ind w:right="360"/>
        <w:spacing w:after="0" w:line="244" w:lineRule="auto"/>
        <w:rPr>
          <w:sz w:val="20"/>
          <w:szCs w:val="20"/>
          <w:color w:val="auto"/>
        </w:rPr>
      </w:pPr>
      <w:r>
        <w:rPr>
          <w:rFonts w:ascii="Arial" w:cs="Arial" w:eastAsia="Arial" w:hAnsi="Arial"/>
          <w:sz w:val="18"/>
          <w:szCs w:val="18"/>
          <w:color w:val="auto"/>
        </w:rPr>
        <w:t>The accompanying Unaudited Consolidated Financial Statements as of and for the three and nine months ended December 31, 2024, include the accounts of Eagle Materials Inc. and its majority-owned subsidiaries (collectively, the Company, us, or we) and have been prepared by the Company, without audit, pursuant to the rules and regulations of the Securities and Exchange Commission. These Unaudited Consolidated Financial Statements should be read in conjunction with the Audited Consolidated Financial Statements and the notes thereto included in our Annual Report on Form 10-K filed with the Securities and Exchange Commission on May 22, 2024.</w:t>
      </w:r>
    </w:p>
    <w:p>
      <w:pPr>
        <w:spacing w:after="0" w:line="68"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generally accepted accounting principles have been condensed or omitted pursuant to such rules and regulations, and we believe that the disclosures are adequate to make the information presented not misleading. In our opinion, all adjustments (consisting solely of normal recurring adjustments) necessary to present fairly the information in the following Unaudited Consolidated Financial Statements of the Company have been included. The results of operations for interim periods are not necessarily indicative of the results for the full year.</w:t>
      </w:r>
    </w:p>
    <w:p>
      <w:pPr>
        <w:spacing w:after="0" w:line="68"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disclosures of contingent assets and liabilities at the date of the financial statements, and the reported amounts of revenue and expenses during the reporting period. Actual results could differ from those estimates.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Accounting Pronouncements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ADOPTION</w:t>
      </w:r>
    </w:p>
    <w:p>
      <w:pPr>
        <w:spacing w:after="0" w:line="10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November 2023, the Financial Accounting Standards Board (FASB) issued Accounting Standards Update No. 2023-07, Segment Reporting (Topic 280): Improvements to Reportable Segment Disclosures (ASU 2023-07), which is intended to improve reportable segment disclosure requirements, primarily through enhanced disclosures about significant segment expenses. ASU 2023-07 will become effective for public companies during annual reporting periods beginning after December 15, 2023, and interim reporting periods beginning after December 15, 2024, with early adoption permitted. The Company is currently evaluating the impact of adopting this guidance on its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2023, the FASB issued Accounting Standards Update No. 2023-09, Income Taxes (Topic 740): Improvements to Income Tax Disclosures (ASU 2023-09), which focuses on the rate reconciliation and income taxes paid. ASU 2023-09 requires public entities to disclose, on an annual basis, a tabular rate reconciliation using both percentages and currency amounts organized by specified categories with certain reconciling items that exceed a specified threshold broken out by nature and jurisdiction. Additionally, all entities are required to disclose income taxes paid, net of refunds received, disaggregated by federal, state, and local jurisdiction, if the amount is at least 5% of the total income tax payments, net of refunds received, by individual jurisdiction. ASU 2023-09 is effective prospectively for annual periods beginning after December 15, 2024. Early adoption and retrospective application are permitted. ASU 2023-09 will not have any impact on the Company's results of operations, cash flows, and financial condition.</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ind w:left="340" w:hanging="332"/>
        <w:spacing w:after="0"/>
        <w:tabs>
          <w:tab w:leader="none" w:pos="34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SUPPLEMENTAL CASH FLOW INFORMATION</w:t>
      </w:r>
    </w:p>
    <w:p>
      <w:pPr>
        <w:spacing w:after="0" w:line="9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18"/>
          <w:szCs w:val="18"/>
          <w:color w:val="auto"/>
        </w:rPr>
        <w:t>Supplemental cash flow information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tcPr>
          <w:p>
            <w:pPr>
              <w:spacing w:after="0"/>
              <w:rPr>
                <w:sz w:val="18"/>
                <w:szCs w:val="18"/>
                <w:color w:val="auto"/>
              </w:rPr>
            </w:pPr>
          </w:p>
        </w:tc>
        <w:tc>
          <w:tcPr>
            <w:tcW w:w="360" w:type="dxa"/>
            <w:vAlign w:val="bottom"/>
            <w:shd w:val="clear" w:color="auto" w:fill="004483"/>
          </w:tcPr>
          <w:p>
            <w:pPr>
              <w:spacing w:after="0"/>
              <w:rPr>
                <w:sz w:val="18"/>
                <w:szCs w:val="18"/>
                <w:color w:val="auto"/>
              </w:rPr>
            </w:pPr>
          </w:p>
        </w:tc>
        <w:tc>
          <w:tcPr>
            <w:tcW w:w="2780" w:type="dxa"/>
            <w:vAlign w:val="bottom"/>
            <w:gridSpan w:val="3"/>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Nine Months Ended December 31,</w:t>
            </w:r>
          </w:p>
        </w:tc>
        <w:tc>
          <w:tcPr>
            <w:tcW w:w="580" w:type="dxa"/>
            <w:vAlign w:val="bottom"/>
            <w:shd w:val="clear" w:color="auto" w:fill="004483"/>
          </w:tcPr>
          <w:p>
            <w:pPr>
              <w:spacing w:after="0"/>
              <w:rPr>
                <w:sz w:val="18"/>
                <w:szCs w:val="18"/>
                <w:color w:val="auto"/>
              </w:rPr>
            </w:pPr>
          </w:p>
        </w:tc>
        <w:tc>
          <w:tcPr>
            <w:tcW w:w="100" w:type="dxa"/>
            <w:vAlign w:val="bottom"/>
            <w:shd w:val="clear" w:color="auto" w:fill="004483"/>
          </w:tcPr>
          <w:p>
            <w:pPr>
              <w:spacing w:after="0"/>
              <w:rPr>
                <w:sz w:val="18"/>
                <w:szCs w:val="18"/>
                <w:color w:val="auto"/>
              </w:rPr>
            </w:pPr>
          </w:p>
        </w:tc>
      </w:tr>
      <w:tr>
        <w:trPr>
          <w:trHeight w:val="117"/>
        </w:trPr>
        <w:tc>
          <w:tcPr>
            <w:tcW w:w="7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6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0"/>
                <w:szCs w:val="10"/>
                <w:color w:val="auto"/>
              </w:rPr>
            </w:pPr>
          </w:p>
        </w:tc>
      </w:tr>
      <w:tr>
        <w:trPr>
          <w:trHeight w:val="173"/>
        </w:trPr>
        <w:tc>
          <w:tcPr>
            <w:tcW w:w="7420" w:type="dxa"/>
            <w:vAlign w:val="bottom"/>
            <w:tcBorders>
              <w:bottom w:val="single" w:sz="8" w:color="004483"/>
            </w:tcBorders>
          </w:tcPr>
          <w:p>
            <w:pPr>
              <w:spacing w:after="0"/>
              <w:rPr>
                <w:sz w:val="15"/>
                <w:szCs w:val="15"/>
                <w:color w:val="auto"/>
              </w:rPr>
            </w:pPr>
          </w:p>
        </w:tc>
        <w:tc>
          <w:tcPr>
            <w:tcW w:w="360" w:type="dxa"/>
            <w:vAlign w:val="bottom"/>
            <w:tcBorders>
              <w:bottom w:val="single" w:sz="8" w:color="004483"/>
            </w:tcBorders>
          </w:tcPr>
          <w:p>
            <w:pPr>
              <w:spacing w:after="0"/>
              <w:rPr>
                <w:sz w:val="15"/>
                <w:szCs w:val="15"/>
                <w:color w:val="auto"/>
              </w:rPr>
            </w:pPr>
          </w:p>
        </w:tc>
        <w:tc>
          <w:tcPr>
            <w:tcW w:w="2780" w:type="dxa"/>
            <w:vAlign w:val="bottom"/>
            <w:tcBorders>
              <w:bottom w:val="single" w:sz="8" w:color="004483"/>
            </w:tcBorders>
            <w:gridSpan w:val="3"/>
          </w:tcPr>
          <w:p>
            <w:pPr>
              <w:jc w:val="right"/>
              <w:ind w:right="599"/>
              <w:spacing w:after="0"/>
              <w:rPr>
                <w:sz w:val="20"/>
                <w:szCs w:val="20"/>
                <w:color w:val="auto"/>
              </w:rPr>
            </w:pPr>
            <w:r>
              <w:rPr>
                <w:rFonts w:ascii="Arial" w:cs="Arial" w:eastAsia="Arial" w:hAnsi="Arial"/>
                <w:sz w:val="13"/>
                <w:szCs w:val="13"/>
                <w:color w:val="auto"/>
              </w:rPr>
              <w:t>(dollars in thousands)</w:t>
            </w:r>
          </w:p>
        </w:tc>
        <w:tc>
          <w:tcPr>
            <w:tcW w:w="5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74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Payments</w:t>
            </w:r>
          </w:p>
        </w:tc>
        <w:tc>
          <w:tcPr>
            <w:tcW w:w="360" w:type="dxa"/>
            <w:vAlign w:val="bottom"/>
            <w:tcBorders>
              <w:bottom w:val="single" w:sz="8" w:color="A6A6A6"/>
            </w:tcBorders>
          </w:tcPr>
          <w:p>
            <w:pPr>
              <w:spacing w:after="0"/>
              <w:rPr>
                <w:sz w:val="18"/>
                <w:szCs w:val="18"/>
                <w:color w:val="auto"/>
              </w:rPr>
            </w:pPr>
          </w:p>
        </w:tc>
        <w:tc>
          <w:tcPr>
            <w:tcW w:w="13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420" w:type="dxa"/>
            <w:vAlign w:val="bottom"/>
          </w:tcPr>
          <w:p>
            <w:pPr>
              <w:ind w:left="120"/>
              <w:spacing w:after="0"/>
              <w:rPr>
                <w:sz w:val="20"/>
                <w:szCs w:val="20"/>
                <w:color w:val="auto"/>
              </w:rPr>
            </w:pPr>
            <w:r>
              <w:rPr>
                <w:rFonts w:ascii="Arial" w:cs="Arial" w:eastAsia="Arial" w:hAnsi="Arial"/>
                <w:sz w:val="16"/>
                <w:szCs w:val="16"/>
                <w:color w:val="004483"/>
              </w:rPr>
              <w:t>Interest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37,223</w:t>
            </w:r>
          </w:p>
        </w:tc>
        <w:tc>
          <w:tcPr>
            <w:tcW w:w="1420" w:type="dxa"/>
            <w:vAlign w:val="bottom"/>
            <w:gridSpan w:val="2"/>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38,797</w:t>
            </w:r>
          </w:p>
        </w:tc>
        <w:tc>
          <w:tcPr>
            <w:tcW w:w="100" w:type="dxa"/>
            <w:vAlign w:val="bottom"/>
          </w:tcPr>
          <w:p>
            <w:pPr>
              <w:spacing w:after="0"/>
              <w:rPr>
                <w:sz w:val="18"/>
                <w:szCs w:val="18"/>
                <w:color w:val="auto"/>
              </w:rPr>
            </w:pPr>
          </w:p>
        </w:tc>
      </w:tr>
      <w:tr>
        <w:trPr>
          <w:trHeight w:val="209"/>
        </w:trPr>
        <w:tc>
          <w:tcPr>
            <w:tcW w:w="7420" w:type="dxa"/>
            <w:vAlign w:val="bottom"/>
            <w:tcBorders>
              <w:top w:val="single" w:sz="8" w:color="A6A6A6"/>
              <w:bottom w:val="single" w:sz="8" w:color="A6A6A6"/>
            </w:tcBorders>
          </w:tcPr>
          <w:p>
            <w:pPr>
              <w:ind w:left="120"/>
              <w:spacing w:after="0"/>
              <w:rPr>
                <w:sz w:val="20"/>
                <w:szCs w:val="20"/>
                <w:color w:val="auto"/>
              </w:rPr>
            </w:pPr>
            <w:r>
              <w:rPr>
                <w:rFonts w:ascii="Arial" w:cs="Arial" w:eastAsia="Arial" w:hAnsi="Arial"/>
                <w:sz w:val="16"/>
                <w:szCs w:val="16"/>
                <w:color w:val="004483"/>
              </w:rPr>
              <w:t>Income Taxes</w:t>
            </w:r>
          </w:p>
        </w:tc>
        <w:tc>
          <w:tcPr>
            <w:tcW w:w="360" w:type="dxa"/>
            <w:vAlign w:val="bottom"/>
            <w:tcBorders>
              <w:top w:val="single" w:sz="8" w:color="A6A6A6"/>
              <w:bottom w:val="single" w:sz="8" w:color="A6A6A6"/>
            </w:tcBorders>
          </w:tcPr>
          <w:p>
            <w:pPr>
              <w:spacing w:after="0"/>
              <w:rPr>
                <w:sz w:val="18"/>
                <w:szCs w:val="18"/>
                <w:color w:val="auto"/>
              </w:rPr>
            </w:pPr>
          </w:p>
        </w:tc>
        <w:tc>
          <w:tcPr>
            <w:tcW w:w="13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110,683</w:t>
            </w:r>
          </w:p>
        </w:tc>
        <w:tc>
          <w:tcPr>
            <w:tcW w:w="100" w:type="dxa"/>
            <w:vAlign w:val="bottom"/>
          </w:tcPr>
          <w:p>
            <w:pPr>
              <w:spacing w:after="0"/>
              <w:rPr>
                <w:sz w:val="18"/>
                <w:szCs w:val="18"/>
                <w:color w:val="auto"/>
              </w:rPr>
            </w:pPr>
          </w:p>
        </w:tc>
        <w:tc>
          <w:tcPr>
            <w:tcW w:w="1320" w:type="dxa"/>
            <w:vAlign w:val="bottom"/>
            <w:tcBorders>
              <w:top w:val="single" w:sz="8" w:color="A6A6A6"/>
              <w:bottom w:val="single" w:sz="8" w:color="A6A6A6"/>
            </w:tcBorders>
          </w:tcPr>
          <w:p>
            <w:pPr>
              <w:spacing w:after="0"/>
              <w:rPr>
                <w:sz w:val="18"/>
                <w:szCs w:val="18"/>
                <w:color w:val="auto"/>
              </w:rPr>
            </w:pPr>
          </w:p>
        </w:tc>
        <w:tc>
          <w:tcPr>
            <w:tcW w:w="5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92,718</w:t>
            </w:r>
          </w:p>
        </w:tc>
        <w:tc>
          <w:tcPr>
            <w:tcW w:w="100" w:type="dxa"/>
            <w:vAlign w:val="bottom"/>
          </w:tcPr>
          <w:p>
            <w:pPr>
              <w:spacing w:after="0"/>
              <w:rPr>
                <w:sz w:val="18"/>
                <w:szCs w:val="18"/>
                <w:color w:val="auto"/>
              </w:rPr>
            </w:pPr>
          </w:p>
        </w:tc>
      </w:tr>
      <w:tr>
        <w:trPr>
          <w:trHeight w:val="209"/>
        </w:trPr>
        <w:tc>
          <w:tcPr>
            <w:tcW w:w="742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Operating Cash Flows Used for Operating Leases</w:t>
            </w:r>
          </w:p>
        </w:tc>
        <w:tc>
          <w:tcPr>
            <w:tcW w:w="360" w:type="dxa"/>
            <w:vAlign w:val="bottom"/>
            <w:tcBorders>
              <w:bottom w:val="single" w:sz="8" w:color="A6A6A6"/>
            </w:tcBorders>
          </w:tcPr>
          <w:p>
            <w:pPr>
              <w:spacing w:after="0"/>
              <w:rPr>
                <w:sz w:val="18"/>
                <w:szCs w:val="18"/>
                <w:color w:val="auto"/>
              </w:rPr>
            </w:pP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6,802</w:t>
            </w:r>
          </w:p>
        </w:tc>
        <w:tc>
          <w:tcPr>
            <w:tcW w:w="100" w:type="dxa"/>
            <w:vAlign w:val="bottom"/>
          </w:tcPr>
          <w:p>
            <w:pPr>
              <w:spacing w:after="0"/>
              <w:rPr>
                <w:sz w:val="18"/>
                <w:szCs w:val="18"/>
                <w:color w:val="auto"/>
              </w:rPr>
            </w:pPr>
          </w:p>
        </w:tc>
        <w:tc>
          <w:tcPr>
            <w:tcW w:w="13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7,016</w:t>
            </w:r>
          </w:p>
        </w:tc>
        <w:tc>
          <w:tcPr>
            <w:tcW w:w="100" w:type="dxa"/>
            <w:vAlign w:val="bottom"/>
          </w:tcPr>
          <w:p>
            <w:pPr>
              <w:spacing w:after="0"/>
              <w:rPr>
                <w:sz w:val="18"/>
                <w:szCs w:val="18"/>
                <w:color w:val="auto"/>
              </w:rPr>
            </w:pPr>
          </w:p>
        </w:tc>
      </w:tr>
      <w:tr>
        <w:trPr>
          <w:trHeight w:val="210"/>
        </w:trPr>
        <w:tc>
          <w:tcPr>
            <w:tcW w:w="742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3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4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Non-Cash Financing Activities</w:t>
            </w:r>
          </w:p>
        </w:tc>
        <w:tc>
          <w:tcPr>
            <w:tcW w:w="360" w:type="dxa"/>
            <w:vAlign w:val="bottom"/>
            <w:tcBorders>
              <w:bottom w:val="single" w:sz="8" w:color="A6A6A6"/>
            </w:tcBorders>
          </w:tcPr>
          <w:p>
            <w:pPr>
              <w:spacing w:after="0"/>
              <w:rPr>
                <w:sz w:val="18"/>
                <w:szCs w:val="18"/>
                <w:color w:val="auto"/>
              </w:rPr>
            </w:pPr>
          </w:p>
        </w:tc>
        <w:tc>
          <w:tcPr>
            <w:tcW w:w="13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7420" w:type="dxa"/>
            <w:vAlign w:val="bottom"/>
            <w:tcBorders>
              <w:bottom w:val="single" w:sz="8" w:color="A6A6A6"/>
            </w:tcBorders>
          </w:tcPr>
          <w:p>
            <w:pPr>
              <w:ind w:left="120"/>
              <w:spacing w:after="0" w:line="183" w:lineRule="exact"/>
              <w:rPr>
                <w:sz w:val="20"/>
                <w:szCs w:val="20"/>
                <w:color w:val="auto"/>
              </w:rPr>
            </w:pPr>
            <w:r>
              <w:rPr>
                <w:rFonts w:ascii="Arial" w:cs="Arial" w:eastAsia="Arial" w:hAnsi="Arial"/>
                <w:sz w:val="16"/>
                <w:szCs w:val="16"/>
                <w:color w:val="004483"/>
              </w:rPr>
              <w:t>Excise Tax on Share Repurchases</w:t>
            </w:r>
          </w:p>
        </w:tc>
        <w:tc>
          <w:tcPr>
            <w:tcW w:w="360" w:type="dxa"/>
            <w:vAlign w:val="bottom"/>
            <w:tcBorders>
              <w:bottom w:val="single" w:sz="8" w:color="A6A6A6"/>
            </w:tcBorders>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2,013</w:t>
            </w:r>
          </w:p>
        </w:tc>
        <w:tc>
          <w:tcPr>
            <w:tcW w:w="100" w:type="dxa"/>
            <w:vAlign w:val="bottom"/>
          </w:tcPr>
          <w:p>
            <w:pPr>
              <w:spacing w:after="0"/>
              <w:rPr>
                <w:sz w:val="15"/>
                <w:szCs w:val="15"/>
                <w:color w:val="auto"/>
              </w:rPr>
            </w:pPr>
          </w:p>
        </w:tc>
        <w:tc>
          <w:tcPr>
            <w:tcW w:w="1320" w:type="dxa"/>
            <w:vAlign w:val="bottom"/>
            <w:tcBorders>
              <w:bottom w:val="single" w:sz="8" w:color="A6A6A6"/>
            </w:tcBorders>
          </w:tcPr>
          <w:p>
            <w:pPr>
              <w:jc w:val="right"/>
              <w:ind w:right="959"/>
              <w:spacing w:after="0" w:line="183"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3,227</w:t>
            </w:r>
          </w:p>
        </w:tc>
        <w:tc>
          <w:tcPr>
            <w:tcW w:w="100" w:type="dxa"/>
            <w:vAlign w:val="bottom"/>
          </w:tcPr>
          <w:p>
            <w:pPr>
              <w:spacing w:after="0"/>
              <w:rPr>
                <w:sz w:val="15"/>
                <w:szCs w:val="15"/>
                <w:color w:val="auto"/>
              </w:rPr>
            </w:pPr>
          </w:p>
        </w:tc>
      </w:tr>
      <w:tr>
        <w:trPr>
          <w:trHeight w:val="210"/>
        </w:trPr>
        <w:tc>
          <w:tcPr>
            <w:tcW w:w="742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Right-of-Use Assets Acquired for Capitalized Operating Leases</w:t>
            </w:r>
          </w:p>
        </w:tc>
        <w:tc>
          <w:tcPr>
            <w:tcW w:w="360" w:type="dxa"/>
            <w:vAlign w:val="bottom"/>
            <w:tcBorders>
              <w:bottom w:val="single" w:sz="8" w:color="A6A6A6"/>
            </w:tcBorders>
          </w:tcPr>
          <w:p>
            <w:pPr>
              <w:spacing w:after="0"/>
              <w:rPr>
                <w:sz w:val="18"/>
                <w:szCs w:val="18"/>
                <w:color w:val="auto"/>
              </w:rPr>
            </w:pP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19,588</w:t>
            </w:r>
          </w:p>
        </w:tc>
        <w:tc>
          <w:tcPr>
            <w:tcW w:w="100" w:type="dxa"/>
            <w:vAlign w:val="bottom"/>
          </w:tcPr>
          <w:p>
            <w:pPr>
              <w:spacing w:after="0"/>
              <w:rPr>
                <w:sz w:val="18"/>
                <w:szCs w:val="18"/>
                <w:color w:val="auto"/>
              </w:rPr>
            </w:pPr>
          </w:p>
        </w:tc>
        <w:tc>
          <w:tcPr>
            <w:tcW w:w="13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6,018</w:t>
            </w:r>
          </w:p>
        </w:tc>
        <w:tc>
          <w:tcPr>
            <w:tcW w:w="100" w:type="dxa"/>
            <w:vAlign w:val="bottom"/>
          </w:tcPr>
          <w:p>
            <w:pPr>
              <w:spacing w:after="0"/>
              <w:rPr>
                <w:sz w:val="18"/>
                <w:szCs w:val="18"/>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 ACQUISITION</w:t>
      </w:r>
    </w:p>
    <w:p>
      <w:pPr>
        <w:spacing w:after="0" w:line="207"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On August 9, 2024, we purchased the assets of an aggregates operation in Battletown, Kentucky (the Kentucky Acquisition), which was accounted for under the acquisition method. The purchase price of the Kentucky Acquisition was approximately $24.9 million. The purchase price allocation has not yet been finalized. The purchase price was funded through borrowings under our Revolving Credit Facility. Operations related to the Kentucky Acquisition are included in the Concrete and Aggregates business in our segment reporting from August 9, 2024, through December 31, 2024.</w:t>
      </w:r>
    </w:p>
    <w:p>
      <w:pPr>
        <w:spacing w:after="0" w:line="17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following table summarizes the preliminary allocation of the purchase price to the fair value of assets acquired and liabilities assumed (based on Level 3 inputs) as of December 31,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40" w:type="dxa"/>
            <w:vAlign w:val="bottom"/>
            <w:gridSpan w:val="2"/>
          </w:tcPr>
          <w:p>
            <w:pPr>
              <w:jc w:val="right"/>
              <w:ind w:right="19"/>
              <w:spacing w:after="0"/>
              <w:rPr>
                <w:sz w:val="20"/>
                <w:szCs w:val="20"/>
                <w:color w:val="auto"/>
              </w:rPr>
            </w:pPr>
            <w:r>
              <w:rPr>
                <w:rFonts w:ascii="Arial" w:cs="Arial" w:eastAsia="Arial" w:hAnsi="Arial"/>
                <w:sz w:val="13"/>
                <w:szCs w:val="13"/>
                <w:color w:val="auto"/>
              </w:rPr>
              <w:t>Estimated Fair Value</w:t>
            </w:r>
          </w:p>
        </w:tc>
        <w:tc>
          <w:tcPr>
            <w:tcW w:w="0" w:type="dxa"/>
            <w:vAlign w:val="bottom"/>
          </w:tcPr>
          <w:p>
            <w:pPr>
              <w:spacing w:after="0"/>
              <w:rPr>
                <w:sz w:val="1"/>
                <w:szCs w:val="1"/>
                <w:color w:val="auto"/>
              </w:rPr>
            </w:pPr>
          </w:p>
        </w:tc>
      </w:tr>
      <w:tr>
        <w:trPr>
          <w:trHeight w:val="189"/>
        </w:trPr>
        <w:tc>
          <w:tcPr>
            <w:tcW w:w="888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Inventory</w:t>
            </w:r>
          </w:p>
        </w:tc>
        <w:tc>
          <w:tcPr>
            <w:tcW w:w="580" w:type="dxa"/>
            <w:vAlign w:val="bottom"/>
            <w:tcBorders>
              <w:top w:val="single" w:sz="8" w:color="004483"/>
              <w:bottom w:val="single" w:sz="8" w:color="A6A6A6"/>
            </w:tcBorders>
          </w:tcPr>
          <w:p>
            <w:pPr>
              <w:jc w:val="right"/>
              <w:ind w:right="39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1,067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Property, Plant, and Equipment</w:t>
            </w:r>
          </w:p>
        </w:tc>
        <w:tc>
          <w:tcPr>
            <w:tcW w:w="580" w:type="dxa"/>
            <w:vAlign w:val="bottom"/>
            <w:tcBorders>
              <w:bottom w:val="single" w:sz="8" w:color="A6A6A6"/>
            </w:tcBorders>
          </w:tcPr>
          <w:p>
            <w:pPr>
              <w:spacing w:after="0"/>
              <w:rPr>
                <w:sz w:val="15"/>
                <w:szCs w:val="15"/>
                <w:color w:val="auto"/>
              </w:rPr>
            </w:pPr>
          </w:p>
        </w:tc>
        <w:tc>
          <w:tcPr>
            <w:tcW w:w="1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16,815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Lease Right-of-Use Assets</w:t>
            </w:r>
          </w:p>
        </w:tc>
        <w:tc>
          <w:tcPr>
            <w:tcW w:w="580" w:type="dxa"/>
            <w:vAlign w:val="bottom"/>
            <w:tcBorders>
              <w:bottom w:val="single" w:sz="8" w:color="A6A6A6"/>
            </w:tcBorders>
          </w:tcPr>
          <w:p>
            <w:pPr>
              <w:spacing w:after="0"/>
              <w:rPr>
                <w:sz w:val="15"/>
                <w:szCs w:val="15"/>
                <w:color w:val="auto"/>
              </w:rPr>
            </w:pPr>
          </w:p>
        </w:tc>
        <w:tc>
          <w:tcPr>
            <w:tcW w:w="1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757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Intangible Assets</w:t>
            </w:r>
          </w:p>
        </w:tc>
        <w:tc>
          <w:tcPr>
            <w:tcW w:w="580" w:type="dxa"/>
            <w:vAlign w:val="bottom"/>
            <w:tcBorders>
              <w:bottom w:val="single" w:sz="8" w:color="A6A6A6"/>
            </w:tcBorders>
          </w:tcPr>
          <w:p>
            <w:pPr>
              <w:spacing w:after="0"/>
              <w:rPr>
                <w:sz w:val="15"/>
                <w:szCs w:val="15"/>
                <w:color w:val="auto"/>
              </w:rPr>
            </w:pPr>
          </w:p>
        </w:tc>
        <w:tc>
          <w:tcPr>
            <w:tcW w:w="1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1,309</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2"/>
        </w:trPr>
        <w:tc>
          <w:tcPr>
            <w:tcW w:w="8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Accrued Liabilities</w:t>
            </w:r>
          </w:p>
        </w:tc>
        <w:tc>
          <w:tcPr>
            <w:tcW w:w="580" w:type="dxa"/>
            <w:vAlign w:val="bottom"/>
            <w:tcBorders>
              <w:bottom w:val="single" w:sz="8" w:color="A6A6A6"/>
            </w:tcBorders>
          </w:tcPr>
          <w:p>
            <w:pPr>
              <w:spacing w:after="0"/>
              <w:rPr>
                <w:sz w:val="15"/>
                <w:szCs w:val="15"/>
                <w:color w:val="auto"/>
              </w:rPr>
            </w:pPr>
          </w:p>
        </w:tc>
        <w:tc>
          <w:tcPr>
            <w:tcW w:w="1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(71</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Lease Obligations</w:t>
            </w:r>
          </w:p>
        </w:tc>
        <w:tc>
          <w:tcPr>
            <w:tcW w:w="580" w:type="dxa"/>
            <w:vAlign w:val="bottom"/>
            <w:tcBorders>
              <w:bottom w:val="single" w:sz="8" w:color="A6A6A6"/>
            </w:tcBorders>
          </w:tcPr>
          <w:p>
            <w:pPr>
              <w:spacing w:after="0"/>
              <w:rPr>
                <w:sz w:val="15"/>
                <w:szCs w:val="15"/>
                <w:color w:val="auto"/>
              </w:rPr>
            </w:pPr>
          </w:p>
        </w:tc>
        <w:tc>
          <w:tcPr>
            <w:tcW w:w="1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(757</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8880" w:type="dxa"/>
            <w:vAlign w:val="bottom"/>
          </w:tcPr>
          <w:p>
            <w:pPr>
              <w:ind w:left="20"/>
              <w:spacing w:after="0" w:line="183" w:lineRule="exact"/>
              <w:rPr>
                <w:sz w:val="20"/>
                <w:szCs w:val="20"/>
                <w:color w:val="auto"/>
              </w:rPr>
            </w:pPr>
            <w:r>
              <w:rPr>
                <w:rFonts w:ascii="Arial" w:cs="Arial" w:eastAsia="Arial" w:hAnsi="Arial"/>
                <w:sz w:val="16"/>
                <w:szCs w:val="16"/>
                <w:color w:val="004483"/>
              </w:rPr>
              <w:t>Goodwill</w:t>
            </w:r>
          </w:p>
        </w:tc>
        <w:tc>
          <w:tcPr>
            <w:tcW w:w="580" w:type="dxa"/>
            <w:vAlign w:val="bottom"/>
          </w:tcPr>
          <w:p>
            <w:pPr>
              <w:spacing w:after="0"/>
              <w:rPr>
                <w:sz w:val="15"/>
                <w:szCs w:val="15"/>
                <w:color w:val="auto"/>
              </w:rPr>
            </w:pPr>
          </w:p>
        </w:tc>
        <w:tc>
          <w:tcPr>
            <w:tcW w:w="1680" w:type="dxa"/>
            <w:vAlign w:val="bottom"/>
          </w:tcPr>
          <w:p>
            <w:pPr>
              <w:jc w:val="right"/>
              <w:spacing w:after="0" w:line="183" w:lineRule="exact"/>
              <w:rPr>
                <w:sz w:val="20"/>
                <w:szCs w:val="20"/>
                <w:color w:val="auto"/>
              </w:rPr>
            </w:pPr>
            <w:r>
              <w:rPr>
                <w:rFonts w:ascii="Arial" w:cs="Arial" w:eastAsia="Arial" w:hAnsi="Arial"/>
                <w:sz w:val="16"/>
                <w:szCs w:val="16"/>
                <w:color w:val="auto"/>
              </w:rPr>
              <w:t>5,761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8880" w:type="dxa"/>
            <w:vAlign w:val="bottom"/>
            <w:tcBorders>
              <w:bottom w:val="single" w:sz="8" w:color="A6A6A6"/>
            </w:tcBorders>
          </w:tcPr>
          <w:p>
            <w:pPr>
              <w:spacing w:after="0"/>
              <w:rPr>
                <w:sz w:val="2"/>
                <w:szCs w:val="2"/>
                <w:color w:val="auto"/>
              </w:rPr>
            </w:pPr>
          </w:p>
        </w:tc>
        <w:tc>
          <w:tcPr>
            <w:tcW w:w="580" w:type="dxa"/>
            <w:vAlign w:val="bottom"/>
            <w:tcBorders>
              <w:bottom w:val="single" w:sz="8" w:color="004483"/>
            </w:tcBorders>
            <w:shd w:val="clear" w:color="auto" w:fill="004483"/>
          </w:tcPr>
          <w:p>
            <w:pPr>
              <w:spacing w:after="0"/>
              <w:rPr>
                <w:sz w:val="2"/>
                <w:szCs w:val="2"/>
                <w:color w:val="auto"/>
              </w:rPr>
            </w:pPr>
          </w:p>
        </w:tc>
        <w:tc>
          <w:tcPr>
            <w:tcW w:w="1680" w:type="dxa"/>
            <w:vAlign w:val="bottom"/>
            <w:tcBorders>
              <w:bottom w:val="single" w:sz="8" w:color="004483"/>
            </w:tcBorders>
            <w:shd w:val="clear" w:color="auto" w:fill="004483"/>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88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Total Estimated Purchase Price</w:t>
            </w:r>
          </w:p>
        </w:tc>
        <w:tc>
          <w:tcPr>
            <w:tcW w:w="580" w:type="dxa"/>
            <w:vAlign w:val="bottom"/>
            <w:tcBorders>
              <w:bottom w:val="single" w:sz="8" w:color="004483"/>
            </w:tcBorders>
          </w:tcPr>
          <w:p>
            <w:pPr>
              <w:jc w:val="right"/>
              <w:ind w:right="399"/>
              <w:spacing w:after="0" w:line="183" w:lineRule="exact"/>
              <w:rPr>
                <w:sz w:val="20"/>
                <w:szCs w:val="20"/>
                <w:color w:val="auto"/>
              </w:rPr>
            </w:pPr>
            <w:r>
              <w:rPr>
                <w:rFonts w:ascii="Arial" w:cs="Arial" w:eastAsia="Arial" w:hAnsi="Arial"/>
                <w:sz w:val="16"/>
                <w:szCs w:val="16"/>
                <w:b w:val="1"/>
                <w:bCs w:val="1"/>
                <w:color w:val="auto"/>
                <w:w w:val="89"/>
              </w:rPr>
              <w:t>$</w:t>
            </w:r>
          </w:p>
        </w:tc>
        <w:tc>
          <w:tcPr>
            <w:tcW w:w="16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24,881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168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estimated useful lives assigned to Property, Plant, and Equipment range from 5 to 30 years, while the estimated useful lives assigned to Intangible Assets are approximately 15 years. All goodwill generated from the Kentucky Acquisition is deductible for income tax purposes.</w:t>
      </w:r>
    </w:p>
    <w:p>
      <w:pPr>
        <w:spacing w:after="0" w:line="15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presents the Revenue and Operating Loss related to the Kentucky Acquisition that has been included in our Consolidated Statement of Earnings from August 9, 2024, through December 31, 2024.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60" w:type="dxa"/>
            <w:vAlign w:val="bottom"/>
          </w:tcPr>
          <w:p>
            <w:pPr>
              <w:spacing w:after="0"/>
              <w:rPr>
                <w:sz w:val="16"/>
                <w:szCs w:val="16"/>
                <w:color w:val="auto"/>
              </w:rPr>
            </w:pPr>
          </w:p>
        </w:tc>
        <w:tc>
          <w:tcPr>
            <w:tcW w:w="2120" w:type="dxa"/>
            <w:vAlign w:val="bottom"/>
            <w:gridSpan w:val="3"/>
            <w:shd w:val="clear" w:color="auto" w:fill="004483"/>
          </w:tcPr>
          <w:p>
            <w:pPr>
              <w:jc w:val="right"/>
              <w:ind w:right="279"/>
              <w:spacing w:after="0"/>
              <w:rPr>
                <w:sz w:val="20"/>
                <w:szCs w:val="20"/>
                <w:color w:val="auto"/>
              </w:rPr>
            </w:pPr>
            <w:r>
              <w:rPr>
                <w:rFonts w:ascii="Arial" w:cs="Arial" w:eastAsia="Arial" w:hAnsi="Arial"/>
                <w:sz w:val="13"/>
                <w:szCs w:val="13"/>
                <w:b w:val="1"/>
                <w:bCs w:val="1"/>
                <w:color w:val="FFFFFF"/>
                <w:w w:val="98"/>
              </w:rPr>
              <w:t>For the Three Months Ended</w:t>
            </w:r>
          </w:p>
        </w:tc>
        <w:tc>
          <w:tcPr>
            <w:tcW w:w="1840" w:type="dxa"/>
            <w:vAlign w:val="bottom"/>
            <w:gridSpan w:val="2"/>
            <w:shd w:val="clear" w:color="auto" w:fill="004483"/>
          </w:tcPr>
          <w:p>
            <w:pPr>
              <w:jc w:val="right"/>
              <w:ind w:right="19"/>
              <w:spacing w:after="0"/>
              <w:rPr>
                <w:sz w:val="20"/>
                <w:szCs w:val="20"/>
                <w:color w:val="auto"/>
              </w:rPr>
            </w:pPr>
            <w:r>
              <w:rPr>
                <w:rFonts w:ascii="Arial" w:cs="Arial" w:eastAsia="Arial" w:hAnsi="Arial"/>
                <w:sz w:val="13"/>
                <w:szCs w:val="13"/>
                <w:b w:val="1"/>
                <w:bCs w:val="1"/>
                <w:color w:val="FFFFFF"/>
              </w:rPr>
              <w:t>For the Nine Months Ended</w:t>
            </w:r>
          </w:p>
        </w:tc>
        <w:tc>
          <w:tcPr>
            <w:tcW w:w="120" w:type="dxa"/>
            <w:vAlign w:val="bottom"/>
            <w:shd w:val="clear" w:color="auto" w:fill="004483"/>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160" w:type="dxa"/>
            <w:vAlign w:val="bottom"/>
          </w:tcPr>
          <w:p>
            <w:pPr>
              <w:spacing w:after="0"/>
              <w:rPr>
                <w:sz w:val="13"/>
                <w:szCs w:val="13"/>
                <w:color w:val="auto"/>
              </w:rPr>
            </w:pPr>
          </w:p>
        </w:tc>
        <w:tc>
          <w:tcPr>
            <w:tcW w:w="740" w:type="dxa"/>
            <w:vAlign w:val="bottom"/>
            <w:shd w:val="clear" w:color="auto" w:fill="004483"/>
          </w:tcPr>
          <w:p>
            <w:pPr>
              <w:spacing w:after="0"/>
              <w:rPr>
                <w:sz w:val="13"/>
                <w:szCs w:val="13"/>
                <w:color w:val="auto"/>
              </w:rPr>
            </w:pPr>
          </w:p>
        </w:tc>
        <w:tc>
          <w:tcPr>
            <w:tcW w:w="2320" w:type="dxa"/>
            <w:vAlign w:val="bottom"/>
            <w:gridSpan w:val="3"/>
            <w:shd w:val="clear" w:color="auto" w:fill="004483"/>
          </w:tcPr>
          <w:p>
            <w:pPr>
              <w:jc w:val="right"/>
              <w:ind w:right="445"/>
              <w:spacing w:after="0"/>
              <w:rPr>
                <w:sz w:val="20"/>
                <w:szCs w:val="20"/>
                <w:color w:val="auto"/>
              </w:rPr>
            </w:pPr>
            <w:r>
              <w:rPr>
                <w:rFonts w:ascii="Arial" w:cs="Arial" w:eastAsia="Arial" w:hAnsi="Arial"/>
                <w:sz w:val="13"/>
                <w:szCs w:val="13"/>
                <w:b w:val="1"/>
                <w:bCs w:val="1"/>
                <w:color w:val="FFFFFF"/>
              </w:rPr>
              <w:t>December 31, 2024</w:t>
            </w:r>
          </w:p>
        </w:tc>
        <w:tc>
          <w:tcPr>
            <w:tcW w:w="90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160" w:type="dxa"/>
            <w:vAlign w:val="bottom"/>
            <w:tcBorders>
              <w:bottom w:val="single" w:sz="8" w:color="004483"/>
            </w:tcBorders>
          </w:tcPr>
          <w:p>
            <w:pPr>
              <w:spacing w:after="0"/>
              <w:rPr>
                <w:sz w:val="13"/>
                <w:szCs w:val="13"/>
                <w:color w:val="auto"/>
              </w:rPr>
            </w:pPr>
          </w:p>
        </w:tc>
        <w:tc>
          <w:tcPr>
            <w:tcW w:w="740" w:type="dxa"/>
            <w:vAlign w:val="bottom"/>
            <w:tcBorders>
              <w:bottom w:val="single" w:sz="8" w:color="004483"/>
            </w:tcBorders>
          </w:tcPr>
          <w:p>
            <w:pPr>
              <w:spacing w:after="0"/>
              <w:rPr>
                <w:sz w:val="13"/>
                <w:szCs w:val="13"/>
                <w:color w:val="auto"/>
              </w:rPr>
            </w:pPr>
          </w:p>
        </w:tc>
        <w:tc>
          <w:tcPr>
            <w:tcW w:w="2320" w:type="dxa"/>
            <w:vAlign w:val="bottom"/>
            <w:tcBorders>
              <w:bottom w:val="single" w:sz="8" w:color="004483"/>
            </w:tcBorders>
            <w:gridSpan w:val="3"/>
          </w:tcPr>
          <w:p>
            <w:pPr>
              <w:jc w:val="right"/>
              <w:ind w:right="405"/>
              <w:spacing w:after="0" w:line="135" w:lineRule="exact"/>
              <w:rPr>
                <w:sz w:val="20"/>
                <w:szCs w:val="20"/>
                <w:color w:val="auto"/>
              </w:rPr>
            </w:pPr>
            <w:r>
              <w:rPr>
                <w:rFonts w:ascii="Arial" w:cs="Arial" w:eastAsia="Arial" w:hAnsi="Arial"/>
                <w:sz w:val="13"/>
                <w:szCs w:val="13"/>
                <w:color w:val="auto"/>
              </w:rPr>
              <w:t>(dollars in thousands)</w:t>
            </w:r>
          </w:p>
        </w:tc>
        <w:tc>
          <w:tcPr>
            <w:tcW w:w="900" w:type="dxa"/>
            <w:vAlign w:val="bottom"/>
            <w:tcBorders>
              <w:bottom w:val="single" w:sz="8" w:color="004483"/>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1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Revenue</w:t>
            </w:r>
          </w:p>
        </w:tc>
        <w:tc>
          <w:tcPr>
            <w:tcW w:w="740" w:type="dxa"/>
            <w:vAlign w:val="bottom"/>
            <w:tcBorders>
              <w:bottom w:val="single" w:sz="8" w:color="A6A6A6"/>
            </w:tcBorders>
          </w:tcPr>
          <w:p>
            <w:pPr>
              <w:jc w:val="right"/>
              <w:ind w:right="565"/>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3,086</w:t>
            </w:r>
          </w:p>
        </w:tc>
        <w:tc>
          <w:tcPr>
            <w:tcW w:w="280" w:type="dxa"/>
            <w:vAlign w:val="bottom"/>
            <w:vMerge w:val="restart"/>
          </w:tcPr>
          <w:p>
            <w:pPr>
              <w:jc w:val="right"/>
              <w:ind w:right="139"/>
              <w:spacing w:after="0"/>
              <w:rPr>
                <w:sz w:val="20"/>
                <w:szCs w:val="20"/>
                <w:color w:val="auto"/>
              </w:rPr>
            </w:pPr>
            <w:r>
              <w:rPr>
                <w:rFonts w:ascii="Arial" w:cs="Arial" w:eastAsia="Arial" w:hAnsi="Arial"/>
                <w:sz w:val="16"/>
                <w:szCs w:val="16"/>
                <w:color w:val="auto"/>
                <w:w w:val="74"/>
              </w:rPr>
              <w:t>)</w:t>
            </w:r>
          </w:p>
        </w:tc>
        <w:tc>
          <w:tcPr>
            <w:tcW w:w="940" w:type="dxa"/>
            <w:vAlign w:val="bottom"/>
            <w:tcBorders>
              <w:bottom w:val="single" w:sz="8" w:color="A6A6A6"/>
            </w:tcBorders>
          </w:tcPr>
          <w:p>
            <w:pPr>
              <w:jc w:val="right"/>
              <w:ind w:right="765"/>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4,821</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1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Operating Loss</w:t>
            </w:r>
          </w:p>
        </w:tc>
        <w:tc>
          <w:tcPr>
            <w:tcW w:w="740" w:type="dxa"/>
            <w:vAlign w:val="bottom"/>
            <w:tcBorders>
              <w:bottom w:val="single" w:sz="8" w:color="A6A6A6"/>
            </w:tcBorders>
          </w:tcPr>
          <w:p>
            <w:pPr>
              <w:jc w:val="right"/>
              <w:ind w:right="565"/>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(296</w:t>
            </w:r>
          </w:p>
        </w:tc>
        <w:tc>
          <w:tcPr>
            <w:tcW w:w="280" w:type="dxa"/>
            <w:vAlign w:val="bottom"/>
            <w:vMerge w:val="continue"/>
          </w:tcPr>
          <w:p>
            <w:pPr>
              <w:spacing w:after="0"/>
              <w:rPr>
                <w:sz w:val="15"/>
                <w:szCs w:val="15"/>
                <w:color w:val="auto"/>
              </w:rPr>
            </w:pPr>
          </w:p>
        </w:tc>
        <w:tc>
          <w:tcPr>
            <w:tcW w:w="940" w:type="dxa"/>
            <w:vAlign w:val="bottom"/>
            <w:tcBorders>
              <w:bottom w:val="single" w:sz="8" w:color="A6A6A6"/>
            </w:tcBorders>
          </w:tcPr>
          <w:p>
            <w:pPr>
              <w:jc w:val="right"/>
              <w:ind w:right="765"/>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(642</w:t>
            </w: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right="580"/>
        <w:spacing w:after="0" w:line="253" w:lineRule="auto"/>
        <w:rPr>
          <w:sz w:val="20"/>
          <w:szCs w:val="20"/>
          <w:color w:val="auto"/>
        </w:rPr>
      </w:pPr>
      <w:r>
        <w:rPr>
          <w:rFonts w:ascii="Arial" w:cs="Arial" w:eastAsia="Arial" w:hAnsi="Arial"/>
          <w:sz w:val="18"/>
          <w:szCs w:val="18"/>
          <w:color w:val="auto"/>
        </w:rPr>
        <w:t>Operating Loss for the three and nine months ended December 31, 2024, was affected by approximately $0.6 million and $1.0 million, respectively, related to depreciation and amortization. Operating Loss for the nine months ended December 31, 2024, was affected by approximately $0.7 million related to the recording of acquired inventories at fair value.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u w:val="single" w:color="auto"/>
          <w:color w:val="auto"/>
        </w:rPr>
        <w:t>Subsequent Acquisition</w:t>
      </w:r>
    </w:p>
    <w:p>
      <w:pPr>
        <w:spacing w:after="0" w:line="20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On January 7, 2025, we purchased Bullskin Stone &amp; Lime, LLC, a pure-play aggregates business located in Western Pennsylvania (the Pennsylvania Acquisition), which will be accounted for under the acquisition method. The purchase price of the Pennsylvania Acquisition was approximately $152.5 million, subject to customary post-closing adjustments. The purchase price was funded through borrowings under our Revolving Credit Facility. Operations related to the Pennsylvania Acquisition will be included in the Concrete and Aggregates business in our segment reporting.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 REVENUE</w:t>
      </w:r>
    </w:p>
    <w:p>
      <w:pPr>
        <w:spacing w:after="0" w:line="9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earn Revenue primarily from the sale of products, which include cement, concrete, aggregates, gypsum wallboard, and recycled paperboard. The vast majority of Revenue from the sale of concrete, aggregates, and gypsum wallboard is originated by purchase orders from our customers, who are mostly third-party contractors and suppliers. Revenue from the sale of cement is recognized at the point-of-sale to customers under sales orders. Revenue from our Recycled Paperboard segment is generated mainly through long-term supply agreements. These agreements do not have a stated maturity date, but may be terminated by either party with a two- to three-year notice period. We invoice customers upon shipment, and our collection terms range from 30 to 75 days. Revenue from the sale of cement, concrete, aggregates, and gypsum wallboard not related to long-term supply agreements is recognized upon shipment of the related products to customers, which is when title and ownership are transferred, and the customer is obligated to pay.</w:t>
      </w:r>
    </w:p>
    <w:p>
      <w:pPr>
        <w:spacing w:after="0" w:line="7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Revenue from sales under our long-term supply agreements is also recognized upon transfer of control to the customer, which generally occurs at the time the product is shipped from the production facility or terminal location. Our long-term supply agreements with customers define, among other commitments, the volume of product that we must provide and the volume that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an agreement is reached with the customer and, therefore, are not subject to the risk of reversal.</w:t>
      </w:r>
    </w:p>
    <w:p>
      <w:pPr>
        <w:spacing w:after="0" w:line="7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spacing w:after="0" w:line="66" w:lineRule="exact"/>
        <w:rPr>
          <w:sz w:val="20"/>
          <w:szCs w:val="20"/>
          <w:color w:val="auto"/>
        </w:rPr>
      </w:pPr>
    </w:p>
    <w:p>
      <w:pPr>
        <w:jc w:val="both"/>
        <w:ind w:right="420"/>
        <w:spacing w:after="0" w:line="247" w:lineRule="auto"/>
        <w:rPr>
          <w:sz w:val="20"/>
          <w:szCs w:val="20"/>
          <w:color w:val="auto"/>
        </w:rPr>
      </w:pPr>
      <w:r>
        <w:rPr>
          <w:rFonts w:ascii="Arial" w:cs="Arial" w:eastAsia="Arial" w:hAnsi="Arial"/>
          <w:sz w:val="18"/>
          <w:szCs w:val="18"/>
          <w:color w:val="auto"/>
        </w:rPr>
        <w:t>The Company has elected to treat freight and delivery charges we pay for the delivery of goods to our customers as a fulfillment activity rather than a separate performance obligation. When we arrange for a third party to deliver products to customers, fees for shipping and handling billed to the customer are recorded as Revenue, while costs we incur for shipping and handling are recorded as expenses and included in Cost of Goods Sold.</w:t>
      </w:r>
    </w:p>
    <w:p>
      <w:pPr>
        <w:spacing w:after="0" w:line="66"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Other Non-Operating Income includes lease and rental income, asset sale income, non-inventoried aggregates sales income, distribution center income, and trucking income, as well as other miscellaneous revenue items and costs that have not been allocated to a business segment.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See Footnote (N) to the Unaudited Consolidated Financial Statements for disaggregation of revenue by segment.</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 ACCOUNTS AND NOTES RECEIVABLE</w:t>
      </w:r>
    </w:p>
    <w:p>
      <w:pPr>
        <w:spacing w:after="0" w:line="9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Accounts Receivable are shown net of the allowance for credit losses totaling $6.6 million and $6.7 million at December 31, 2024, and March 31, 2024, respectively. We perform ongoing credit evaluations of our customers’ financial condition and generally require no collateral from our customers. The allowance for credit losses is based on detailed analysis of economic trends in the construction industry, the expected collectability of past-due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6" w:right="359" w:bottom="1440" w:gutter="0" w:footer="0" w:header="0"/>
        </w:sectPr>
      </w:pPr>
    </w:p>
    <w:bookmarkStart w:id="10" w:name="page11"/>
    <w:bookmarkEnd w:id="10"/>
    <w:p>
      <w:pPr>
        <w:ind w:right="640"/>
        <w:spacing w:after="0" w:line="271" w:lineRule="auto"/>
        <w:rPr>
          <w:sz w:val="20"/>
          <w:szCs w:val="20"/>
          <w:color w:val="auto"/>
        </w:rPr>
      </w:pPr>
      <w:r>
        <w:rPr>
          <w:rFonts w:ascii="Arial" w:cs="Arial" w:eastAsia="Arial" w:hAnsi="Arial"/>
          <w:sz w:val="18"/>
          <w:szCs w:val="18"/>
          <w:color w:val="auto"/>
        </w:rPr>
        <w:t>accounts receivable, and the expected collectability of overall receivables. We have no significant credit risk concentration among our diversified customer base.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INVENTORIES</w:t>
      </w:r>
    </w:p>
    <w:p>
      <w:pPr>
        <w:spacing w:after="0" w:line="112"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 size and location of the inventory piles, and are converted to tonnage using standard inventory density factors. Inventories consist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3"/>
                <w:szCs w:val="13"/>
                <w:color w:val="auto"/>
              </w:rPr>
            </w:pPr>
          </w:p>
        </w:tc>
        <w:tc>
          <w:tcPr>
            <w:tcW w:w="2560" w:type="dxa"/>
            <w:vAlign w:val="bottom"/>
            <w:shd w:val="clear" w:color="auto" w:fill="004483"/>
          </w:tcPr>
          <w:p>
            <w:pPr>
              <w:jc w:val="right"/>
              <w:ind w:right="957"/>
              <w:spacing w:after="0"/>
              <w:rPr>
                <w:sz w:val="20"/>
                <w:szCs w:val="20"/>
                <w:color w:val="auto"/>
              </w:rPr>
            </w:pPr>
            <w:r>
              <w:rPr>
                <w:rFonts w:ascii="Arial" w:cs="Arial" w:eastAsia="Arial" w:hAnsi="Arial"/>
                <w:sz w:val="13"/>
                <w:szCs w:val="13"/>
                <w:b w:val="1"/>
                <w:bCs w:val="1"/>
                <w:color w:val="FFFFFF"/>
              </w:rPr>
              <w:t>December 31,</w:t>
            </w:r>
          </w:p>
        </w:tc>
        <w:tc>
          <w:tcPr>
            <w:tcW w:w="980" w:type="dxa"/>
            <w:vAlign w:val="bottom"/>
            <w:gridSpan w:val="2"/>
            <w:shd w:val="clear" w:color="auto" w:fill="004483"/>
          </w:tcPr>
          <w:p>
            <w:pPr>
              <w:jc w:val="right"/>
              <w:ind w:right="140"/>
              <w:spacing w:after="0"/>
              <w:rPr>
                <w:sz w:val="20"/>
                <w:szCs w:val="20"/>
                <w:color w:val="auto"/>
              </w:rPr>
            </w:pPr>
            <w:r>
              <w:rPr>
                <w:rFonts w:ascii="Arial" w:cs="Arial" w:eastAsia="Arial" w:hAnsi="Arial"/>
                <w:sz w:val="13"/>
                <w:szCs w:val="13"/>
                <w:b w:val="1"/>
                <w:bCs w:val="1"/>
                <w:color w:val="FFFFFF"/>
              </w:rPr>
              <w:t>March 31,</w:t>
            </w:r>
          </w:p>
        </w:tc>
      </w:tr>
      <w:tr>
        <w:trPr>
          <w:trHeight w:val="117"/>
        </w:trPr>
        <w:tc>
          <w:tcPr>
            <w:tcW w:w="7700" w:type="dxa"/>
            <w:vAlign w:val="bottom"/>
          </w:tcPr>
          <w:p>
            <w:pPr>
              <w:spacing w:after="0"/>
              <w:rPr>
                <w:sz w:val="10"/>
                <w:szCs w:val="10"/>
                <w:color w:val="auto"/>
              </w:rPr>
            </w:pPr>
          </w:p>
        </w:tc>
        <w:tc>
          <w:tcPr>
            <w:tcW w:w="2560" w:type="dxa"/>
            <w:vAlign w:val="bottom"/>
          </w:tcPr>
          <w:p>
            <w:pPr>
              <w:jc w:val="right"/>
              <w:ind w:right="957"/>
              <w:spacing w:after="0" w:line="117" w:lineRule="exact"/>
              <w:rPr>
                <w:sz w:val="20"/>
                <w:szCs w:val="20"/>
                <w:color w:val="auto"/>
              </w:rPr>
            </w:pPr>
            <w:r>
              <w:rPr>
                <w:rFonts w:ascii="Arial" w:cs="Arial" w:eastAsia="Arial" w:hAnsi="Arial"/>
                <w:sz w:val="13"/>
                <w:szCs w:val="13"/>
                <w:b w:val="1"/>
                <w:bCs w:val="1"/>
                <w:color w:val="auto"/>
              </w:rPr>
              <w:t>2024</w:t>
            </w:r>
          </w:p>
        </w:tc>
        <w:tc>
          <w:tcPr>
            <w:tcW w:w="88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0"/>
                <w:szCs w:val="10"/>
                <w:color w:val="auto"/>
              </w:rPr>
            </w:pPr>
          </w:p>
        </w:tc>
      </w:tr>
      <w:tr>
        <w:trPr>
          <w:trHeight w:val="173"/>
        </w:trPr>
        <w:tc>
          <w:tcPr>
            <w:tcW w:w="7700" w:type="dxa"/>
            <w:vAlign w:val="bottom"/>
            <w:tcBorders>
              <w:bottom w:val="single" w:sz="8" w:color="004483"/>
            </w:tcBorders>
          </w:tcPr>
          <w:p>
            <w:pPr>
              <w:spacing w:after="0"/>
              <w:rPr>
                <w:sz w:val="15"/>
                <w:szCs w:val="15"/>
                <w:color w:val="auto"/>
              </w:rPr>
            </w:pPr>
          </w:p>
        </w:tc>
        <w:tc>
          <w:tcPr>
            <w:tcW w:w="2560" w:type="dxa"/>
            <w:vAlign w:val="bottom"/>
            <w:tcBorders>
              <w:bottom w:val="single" w:sz="8" w:color="004483"/>
            </w:tcBorders>
          </w:tcPr>
          <w:p>
            <w:pPr>
              <w:jc w:val="right"/>
              <w:ind w:right="177"/>
              <w:spacing w:after="0"/>
              <w:rPr>
                <w:sz w:val="20"/>
                <w:szCs w:val="20"/>
                <w:color w:val="auto"/>
              </w:rPr>
            </w:pPr>
            <w:r>
              <w:rPr>
                <w:rFonts w:ascii="Arial" w:cs="Arial" w:eastAsia="Arial" w:hAnsi="Arial"/>
                <w:sz w:val="13"/>
                <w:szCs w:val="13"/>
                <w:color w:val="auto"/>
              </w:rPr>
              <w:t>(dollars in thousands)</w:t>
            </w:r>
          </w:p>
        </w:tc>
        <w:tc>
          <w:tcPr>
            <w:tcW w:w="8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40"/>
          </w:cols>
          <w:pgMar w:left="320" w:top="1133" w:right="339" w:bottom="1440" w:gutter="0" w:footer="0" w:header="0"/>
        </w:sectPr>
      </w:pPr>
    </w:p>
    <w:tbl>
      <w:tblPr>
        <w:tblLayout w:type="fixed"/>
        <w:tblInd w:w="0" w:type="dxa"/>
        <w:tblCellMar>
          <w:top w:w="0" w:type="dxa"/>
          <w:left w:w="0" w:type="dxa"/>
          <w:bottom w:w="0" w:type="dxa"/>
          <w:right w:w="0" w:type="dxa"/>
        </w:tblCellMar>
      </w:tblPr>
      <w:tr>
        <w:trPr>
          <w:trHeight w:val="189"/>
        </w:trPr>
        <w:tc>
          <w:tcPr>
            <w:tcW w:w="77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Raw Materials and Materials-in-Progress</w:t>
            </w:r>
          </w:p>
        </w:tc>
        <w:tc>
          <w:tcPr>
            <w:tcW w:w="540" w:type="dxa"/>
            <w:vAlign w:val="bottom"/>
            <w:tcBorders>
              <w:bottom w:val="single" w:sz="8" w:color="A6A6A6"/>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140,568</w:t>
            </w:r>
          </w:p>
        </w:tc>
      </w:tr>
      <w:tr>
        <w:trPr>
          <w:trHeight w:val="183"/>
        </w:trPr>
        <w:tc>
          <w:tcPr>
            <w:tcW w:w="7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Finished Cement</w:t>
            </w:r>
          </w:p>
        </w:tc>
        <w:tc>
          <w:tcPr>
            <w:tcW w:w="5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65,839</w:t>
            </w:r>
          </w:p>
        </w:tc>
      </w:tr>
      <w:tr>
        <w:trPr>
          <w:trHeight w:val="183"/>
        </w:trPr>
        <w:tc>
          <w:tcPr>
            <w:tcW w:w="7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Aggregates</w:t>
            </w:r>
          </w:p>
        </w:tc>
        <w:tc>
          <w:tcPr>
            <w:tcW w:w="5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16,676</w:t>
            </w:r>
          </w:p>
        </w:tc>
      </w:tr>
      <w:tr>
        <w:trPr>
          <w:trHeight w:val="183"/>
        </w:trPr>
        <w:tc>
          <w:tcPr>
            <w:tcW w:w="7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Gypsum Wallboard</w:t>
            </w:r>
          </w:p>
        </w:tc>
        <w:tc>
          <w:tcPr>
            <w:tcW w:w="5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6,747</w:t>
            </w:r>
          </w:p>
        </w:tc>
      </w:tr>
      <w:tr>
        <w:trPr>
          <w:trHeight w:val="183"/>
        </w:trPr>
        <w:tc>
          <w:tcPr>
            <w:tcW w:w="7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Recycled Paperboard</w:t>
            </w:r>
          </w:p>
        </w:tc>
        <w:tc>
          <w:tcPr>
            <w:tcW w:w="5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9,401</w:t>
            </w:r>
          </w:p>
        </w:tc>
      </w:tr>
      <w:tr>
        <w:trPr>
          <w:trHeight w:val="183"/>
        </w:trPr>
        <w:tc>
          <w:tcPr>
            <w:tcW w:w="7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Repair Parts and Supplies</w:t>
            </w:r>
          </w:p>
        </w:tc>
        <w:tc>
          <w:tcPr>
            <w:tcW w:w="5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128,584</w:t>
            </w:r>
          </w:p>
        </w:tc>
      </w:tr>
      <w:tr>
        <w:trPr>
          <w:trHeight w:val="183"/>
        </w:trPr>
        <w:tc>
          <w:tcPr>
            <w:tcW w:w="7700" w:type="dxa"/>
            <w:vAlign w:val="bottom"/>
          </w:tcPr>
          <w:p>
            <w:pPr>
              <w:ind w:left="20"/>
              <w:spacing w:after="0" w:line="183" w:lineRule="exact"/>
              <w:rPr>
                <w:sz w:val="20"/>
                <w:szCs w:val="20"/>
                <w:color w:val="auto"/>
              </w:rPr>
            </w:pPr>
            <w:r>
              <w:rPr>
                <w:rFonts w:ascii="Arial" w:cs="Arial" w:eastAsia="Arial" w:hAnsi="Arial"/>
                <w:sz w:val="16"/>
                <w:szCs w:val="16"/>
                <w:color w:val="004483"/>
              </w:rPr>
              <w:t>Fuel and Coal</w:t>
            </w:r>
          </w:p>
        </w:tc>
        <w:tc>
          <w:tcPr>
            <w:tcW w:w="54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24,451</w:t>
            </w:r>
          </w:p>
        </w:tc>
      </w:tr>
      <w:tr>
        <w:trPr>
          <w:trHeight w:val="27"/>
        </w:trPr>
        <w:tc>
          <w:tcPr>
            <w:tcW w:w="7700" w:type="dxa"/>
            <w:vAlign w:val="bottom"/>
            <w:tcBorders>
              <w:bottom w:val="single" w:sz="8" w:color="A6A6A6"/>
            </w:tcBorders>
          </w:tcPr>
          <w:p>
            <w:pPr>
              <w:spacing w:after="0"/>
              <w:rPr>
                <w:sz w:val="2"/>
                <w:szCs w:val="2"/>
                <w:color w:val="auto"/>
              </w:rPr>
            </w:pPr>
          </w:p>
        </w:tc>
        <w:tc>
          <w:tcPr>
            <w:tcW w:w="540" w:type="dxa"/>
            <w:vAlign w:val="bottom"/>
            <w:tcBorders>
              <w:bottom w:val="single" w:sz="8" w:color="004483"/>
            </w:tcBorders>
            <w:shd w:val="clear" w:color="auto" w:fill="004483"/>
          </w:tcPr>
          <w:p>
            <w:pPr>
              <w:spacing w:after="0"/>
              <w:rPr>
                <w:sz w:val="2"/>
                <w:szCs w:val="2"/>
                <w:color w:val="auto"/>
              </w:rPr>
            </w:pPr>
          </w:p>
        </w:tc>
        <w:tc>
          <w:tcPr>
            <w:tcW w:w="1020" w:type="dxa"/>
            <w:vAlign w:val="bottom"/>
            <w:tcBorders>
              <w:bottom w:val="single" w:sz="8" w:color="004483"/>
            </w:tcBorders>
            <w:shd w:val="clear" w:color="auto" w:fill="004483"/>
          </w:tcPr>
          <w:p>
            <w:pPr>
              <w:spacing w:after="0"/>
              <w:rPr>
                <w:sz w:val="2"/>
                <w:szCs w:val="2"/>
                <w:color w:val="auto"/>
              </w:rPr>
            </w:pPr>
          </w:p>
        </w:tc>
      </w:tr>
      <w:tr>
        <w:trPr>
          <w:trHeight w:val="183"/>
        </w:trPr>
        <w:tc>
          <w:tcPr>
            <w:tcW w:w="7700" w:type="dxa"/>
            <w:vAlign w:val="bottom"/>
          </w:tcPr>
          <w:p>
            <w:pPr>
              <w:spacing w:after="0"/>
              <w:rPr>
                <w:sz w:val="15"/>
                <w:szCs w:val="15"/>
                <w:color w:val="auto"/>
              </w:rPr>
            </w:pPr>
          </w:p>
        </w:tc>
        <w:tc>
          <w:tcPr>
            <w:tcW w:w="540" w:type="dxa"/>
            <w:vAlign w:val="bottom"/>
            <w:tcBorders>
              <w:bottom w:val="single" w:sz="8" w:color="004483"/>
            </w:tcBorders>
          </w:tcPr>
          <w:p>
            <w:pPr>
              <w:jc w:val="right"/>
              <w:ind w:right="359"/>
              <w:spacing w:after="0" w:line="183"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392,266</w:t>
            </w:r>
          </w:p>
        </w:tc>
      </w:tr>
      <w:tr>
        <w:trPr>
          <w:trHeight w:val="20"/>
        </w:trPr>
        <w:tc>
          <w:tcPr>
            <w:tcW w:w="7700" w:type="dxa"/>
            <w:vAlign w:val="bottom"/>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941" w:hanging="941"/>
        <w:spacing w:after="0"/>
        <w:tabs>
          <w:tab w:leader="none" w:pos="941" w:val="left"/>
        </w:tabs>
        <w:numPr>
          <w:ilvl w:val="0"/>
          <w:numId w:val="9"/>
        </w:numPr>
        <w:rPr>
          <w:rFonts w:ascii="Arial" w:cs="Arial" w:eastAsia="Arial" w:hAnsi="Arial"/>
          <w:sz w:val="16"/>
          <w:szCs w:val="16"/>
          <w:color w:val="auto"/>
        </w:rPr>
      </w:pPr>
      <w:r>
        <w:rPr>
          <w:rFonts w:ascii="Arial" w:cs="Arial" w:eastAsia="Arial" w:hAnsi="Arial"/>
          <w:sz w:val="16"/>
          <w:szCs w:val="16"/>
          <w:color w:val="auto"/>
        </w:rPr>
        <w:t>122,772</w:t>
      </w:r>
    </w:p>
    <w:p>
      <w:pPr>
        <w:spacing w:after="0" w:line="16" w:lineRule="exact"/>
        <w:rPr>
          <w:rFonts w:ascii="Arial" w:cs="Arial" w:eastAsia="Arial" w:hAnsi="Arial"/>
          <w:sz w:val="16"/>
          <w:szCs w:val="16"/>
          <w:color w:val="auto"/>
        </w:rPr>
      </w:pPr>
    </w:p>
    <w:p>
      <w:pPr>
        <w:ind w:left="1041"/>
        <w:spacing w:after="0"/>
        <w:rPr>
          <w:rFonts w:ascii="Arial" w:cs="Arial" w:eastAsia="Arial" w:hAnsi="Arial"/>
          <w:sz w:val="16"/>
          <w:szCs w:val="16"/>
          <w:color w:val="auto"/>
        </w:rPr>
      </w:pPr>
      <w:r>
        <w:rPr>
          <w:rFonts w:ascii="Arial" w:cs="Arial" w:eastAsia="Arial" w:hAnsi="Arial"/>
          <w:sz w:val="15"/>
          <w:szCs w:val="15"/>
          <w:color w:val="auto"/>
        </w:rPr>
        <w:t>71,396</w:t>
      </w:r>
    </w:p>
    <w:p>
      <w:pPr>
        <w:spacing w:after="0" w:line="30" w:lineRule="exact"/>
        <w:rPr>
          <w:rFonts w:ascii="Arial" w:cs="Arial" w:eastAsia="Arial" w:hAnsi="Arial"/>
          <w:sz w:val="16"/>
          <w:szCs w:val="16"/>
          <w:color w:val="auto"/>
        </w:rPr>
      </w:pPr>
    </w:p>
    <w:p>
      <w:pPr>
        <w:ind w:left="1041"/>
        <w:spacing w:after="0"/>
        <w:rPr>
          <w:rFonts w:ascii="Arial" w:cs="Arial" w:eastAsia="Arial" w:hAnsi="Arial"/>
          <w:sz w:val="16"/>
          <w:szCs w:val="16"/>
          <w:color w:val="auto"/>
        </w:rPr>
      </w:pPr>
      <w:r>
        <w:rPr>
          <w:rFonts w:ascii="Arial" w:cs="Arial" w:eastAsia="Arial" w:hAnsi="Arial"/>
          <w:sz w:val="15"/>
          <w:szCs w:val="15"/>
          <w:color w:val="auto"/>
        </w:rPr>
        <w:t>12,149</w:t>
      </w:r>
    </w:p>
    <w:p>
      <w:pPr>
        <w:spacing w:after="0" w:line="30" w:lineRule="exact"/>
        <w:rPr>
          <w:rFonts w:ascii="Arial" w:cs="Arial" w:eastAsia="Arial" w:hAnsi="Arial"/>
          <w:sz w:val="16"/>
          <w:szCs w:val="16"/>
          <w:color w:val="auto"/>
        </w:rPr>
      </w:pPr>
    </w:p>
    <w:p>
      <w:pPr>
        <w:ind w:left="1121"/>
        <w:spacing w:after="0"/>
        <w:rPr>
          <w:rFonts w:ascii="Arial" w:cs="Arial" w:eastAsia="Arial" w:hAnsi="Arial"/>
          <w:sz w:val="16"/>
          <w:szCs w:val="16"/>
          <w:color w:val="auto"/>
        </w:rPr>
      </w:pPr>
      <w:r>
        <w:rPr>
          <w:rFonts w:ascii="Arial" w:cs="Arial" w:eastAsia="Arial" w:hAnsi="Arial"/>
          <w:sz w:val="15"/>
          <w:szCs w:val="15"/>
          <w:color w:val="auto"/>
        </w:rPr>
        <w:t>5,242</w:t>
      </w:r>
    </w:p>
    <w:p>
      <w:pPr>
        <w:spacing w:after="0" w:line="30" w:lineRule="exact"/>
        <w:rPr>
          <w:rFonts w:ascii="Arial" w:cs="Arial" w:eastAsia="Arial" w:hAnsi="Arial"/>
          <w:sz w:val="16"/>
          <w:szCs w:val="16"/>
          <w:color w:val="auto"/>
        </w:rPr>
      </w:pPr>
    </w:p>
    <w:p>
      <w:pPr>
        <w:ind w:left="1041"/>
        <w:spacing w:after="0"/>
        <w:rPr>
          <w:rFonts w:ascii="Arial" w:cs="Arial" w:eastAsia="Arial" w:hAnsi="Arial"/>
          <w:sz w:val="16"/>
          <w:szCs w:val="16"/>
          <w:color w:val="auto"/>
        </w:rPr>
      </w:pPr>
      <w:r>
        <w:rPr>
          <w:rFonts w:ascii="Arial" w:cs="Arial" w:eastAsia="Arial" w:hAnsi="Arial"/>
          <w:sz w:val="15"/>
          <w:szCs w:val="15"/>
          <w:color w:val="auto"/>
        </w:rPr>
        <w:t>14,278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-501650</wp:posOffset>
            </wp:positionV>
            <wp:extent cx="11144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-373380</wp:posOffset>
            </wp:positionV>
            <wp:extent cx="11144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-244475</wp:posOffset>
            </wp:positionV>
            <wp:extent cx="11144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-116205</wp:posOffset>
            </wp:positionV>
            <wp:extent cx="11144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12065</wp:posOffset>
            </wp:positionV>
            <wp:extent cx="11144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0"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127,511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4445</wp:posOffset>
            </wp:positionV>
            <wp:extent cx="11144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jc w:val="right"/>
        <w:ind w:right="140"/>
        <w:spacing w:after="0"/>
        <w:rPr>
          <w:sz w:val="20"/>
          <w:szCs w:val="20"/>
          <w:color w:val="auto"/>
        </w:rPr>
      </w:pPr>
      <w:r>
        <w:rPr>
          <w:rFonts w:ascii="Arial" w:cs="Arial" w:eastAsia="Arial" w:hAnsi="Arial"/>
          <w:sz w:val="16"/>
          <w:szCs w:val="16"/>
          <w:color w:val="auto"/>
        </w:rPr>
        <w:t>20,575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4445</wp:posOffset>
            </wp:positionV>
            <wp:extent cx="99441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94410" cy="25400"/>
                    </a:xfrm>
                    <a:prstGeom prst="rect">
                      <a:avLst/>
                    </a:prstGeom>
                    <a:noFill/>
                  </pic:spPr>
                </pic:pic>
              </a:graphicData>
            </a:graphic>
          </wp:anchor>
        </w:drawing>
      </w:r>
    </w:p>
    <w:p>
      <w:pPr>
        <w:spacing w:after="0" w:line="13" w:lineRule="exact"/>
        <w:rPr>
          <w:sz w:val="20"/>
          <w:szCs w:val="20"/>
          <w:color w:val="auto"/>
        </w:rPr>
      </w:pPr>
    </w:p>
    <w:p>
      <w:pPr>
        <w:ind w:left="941" w:hanging="941"/>
        <w:spacing w:after="0"/>
        <w:tabs>
          <w:tab w:leader="none" w:pos="941"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373,923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-115570</wp:posOffset>
            </wp:positionV>
            <wp:extent cx="1200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12065</wp:posOffset>
            </wp:positionV>
            <wp:extent cx="9944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9944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59" w:lineRule="exact"/>
        <w:rPr>
          <w:sz w:val="20"/>
          <w:szCs w:val="20"/>
          <w:color w:val="auto"/>
        </w:rPr>
      </w:pPr>
    </w:p>
    <w:p>
      <w:pPr>
        <w:sectPr>
          <w:pgSz w:w="11900" w:h="16838" w:orient="portrait"/>
          <w:cols w:equalWidth="0" w:num="2">
            <w:col w:w="9260" w:space="319"/>
            <w:col w:w="1661"/>
          </w:cols>
          <w:pgMar w:left="320" w:top="1133" w:right="3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 ACCRUED EXPENSES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3"/>
                <w:szCs w:val="13"/>
                <w:color w:val="auto"/>
              </w:rPr>
            </w:pPr>
          </w:p>
        </w:tc>
        <w:tc>
          <w:tcPr>
            <w:tcW w:w="2560" w:type="dxa"/>
            <w:vAlign w:val="bottom"/>
            <w:shd w:val="clear" w:color="auto" w:fill="004483"/>
          </w:tcPr>
          <w:p>
            <w:pPr>
              <w:jc w:val="right"/>
              <w:ind w:right="957"/>
              <w:spacing w:after="0"/>
              <w:rPr>
                <w:sz w:val="20"/>
                <w:szCs w:val="20"/>
                <w:color w:val="auto"/>
              </w:rPr>
            </w:pPr>
            <w:r>
              <w:rPr>
                <w:rFonts w:ascii="Arial" w:cs="Arial" w:eastAsia="Arial" w:hAnsi="Arial"/>
                <w:sz w:val="13"/>
                <w:szCs w:val="13"/>
                <w:b w:val="1"/>
                <w:bCs w:val="1"/>
                <w:color w:val="FFFFFF"/>
              </w:rPr>
              <w:t>December 31,</w:t>
            </w:r>
          </w:p>
        </w:tc>
        <w:tc>
          <w:tcPr>
            <w:tcW w:w="980" w:type="dxa"/>
            <w:vAlign w:val="bottom"/>
            <w:gridSpan w:val="2"/>
            <w:shd w:val="clear" w:color="auto" w:fill="004483"/>
          </w:tcPr>
          <w:p>
            <w:pPr>
              <w:jc w:val="right"/>
              <w:ind w:right="140"/>
              <w:spacing w:after="0"/>
              <w:rPr>
                <w:sz w:val="20"/>
                <w:szCs w:val="20"/>
                <w:color w:val="auto"/>
              </w:rPr>
            </w:pPr>
            <w:r>
              <w:rPr>
                <w:rFonts w:ascii="Arial" w:cs="Arial" w:eastAsia="Arial" w:hAnsi="Arial"/>
                <w:sz w:val="13"/>
                <w:szCs w:val="13"/>
                <w:b w:val="1"/>
                <w:bCs w:val="1"/>
                <w:color w:val="FFFFFF"/>
              </w:rPr>
              <w:t>March 31,</w:t>
            </w:r>
          </w:p>
        </w:tc>
      </w:tr>
      <w:tr>
        <w:trPr>
          <w:trHeight w:val="117"/>
        </w:trPr>
        <w:tc>
          <w:tcPr>
            <w:tcW w:w="7700" w:type="dxa"/>
            <w:vAlign w:val="bottom"/>
          </w:tcPr>
          <w:p>
            <w:pPr>
              <w:spacing w:after="0"/>
              <w:rPr>
                <w:sz w:val="10"/>
                <w:szCs w:val="10"/>
                <w:color w:val="auto"/>
              </w:rPr>
            </w:pPr>
          </w:p>
        </w:tc>
        <w:tc>
          <w:tcPr>
            <w:tcW w:w="2560" w:type="dxa"/>
            <w:vAlign w:val="bottom"/>
          </w:tcPr>
          <w:p>
            <w:pPr>
              <w:jc w:val="right"/>
              <w:ind w:right="957"/>
              <w:spacing w:after="0" w:line="117" w:lineRule="exact"/>
              <w:rPr>
                <w:sz w:val="20"/>
                <w:szCs w:val="20"/>
                <w:color w:val="auto"/>
              </w:rPr>
            </w:pPr>
            <w:r>
              <w:rPr>
                <w:rFonts w:ascii="Arial" w:cs="Arial" w:eastAsia="Arial" w:hAnsi="Arial"/>
                <w:sz w:val="13"/>
                <w:szCs w:val="13"/>
                <w:b w:val="1"/>
                <w:bCs w:val="1"/>
                <w:color w:val="auto"/>
              </w:rPr>
              <w:t>2024</w:t>
            </w:r>
          </w:p>
        </w:tc>
        <w:tc>
          <w:tcPr>
            <w:tcW w:w="88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0"/>
                <w:szCs w:val="10"/>
                <w:color w:val="auto"/>
              </w:rPr>
            </w:pPr>
          </w:p>
        </w:tc>
      </w:tr>
      <w:tr>
        <w:trPr>
          <w:trHeight w:val="173"/>
        </w:trPr>
        <w:tc>
          <w:tcPr>
            <w:tcW w:w="7700" w:type="dxa"/>
            <w:vAlign w:val="bottom"/>
            <w:tcBorders>
              <w:bottom w:val="single" w:sz="8" w:color="004483"/>
            </w:tcBorders>
          </w:tcPr>
          <w:p>
            <w:pPr>
              <w:spacing w:after="0"/>
              <w:rPr>
                <w:sz w:val="15"/>
                <w:szCs w:val="15"/>
                <w:color w:val="auto"/>
              </w:rPr>
            </w:pPr>
          </w:p>
        </w:tc>
        <w:tc>
          <w:tcPr>
            <w:tcW w:w="2560" w:type="dxa"/>
            <w:vAlign w:val="bottom"/>
            <w:tcBorders>
              <w:bottom w:val="single" w:sz="8" w:color="004483"/>
            </w:tcBorders>
          </w:tcPr>
          <w:p>
            <w:pPr>
              <w:jc w:val="right"/>
              <w:ind w:right="177"/>
              <w:spacing w:after="0"/>
              <w:rPr>
                <w:sz w:val="20"/>
                <w:szCs w:val="20"/>
                <w:color w:val="auto"/>
              </w:rPr>
            </w:pPr>
            <w:r>
              <w:rPr>
                <w:rFonts w:ascii="Arial" w:cs="Arial" w:eastAsia="Arial" w:hAnsi="Arial"/>
                <w:sz w:val="13"/>
                <w:szCs w:val="13"/>
                <w:color w:val="auto"/>
              </w:rPr>
              <w:t>(dollars in thousands)</w:t>
            </w:r>
          </w:p>
        </w:tc>
        <w:tc>
          <w:tcPr>
            <w:tcW w:w="8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40"/>
          </w:cols>
          <w:pgMar w:left="320" w:top="1133"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77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Payroll and Incentive Compensation</w:t>
            </w:r>
          </w:p>
        </w:tc>
        <w:tc>
          <w:tcPr>
            <w:tcW w:w="580" w:type="dxa"/>
            <w:vAlign w:val="bottom"/>
            <w:tcBorders>
              <w:bottom w:val="single" w:sz="8" w:color="A6A6A6"/>
            </w:tcBorders>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34,500</w:t>
            </w:r>
          </w:p>
        </w:tc>
      </w:tr>
      <w:tr>
        <w:trPr>
          <w:trHeight w:val="183"/>
        </w:trPr>
        <w:tc>
          <w:tcPr>
            <w:tcW w:w="7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Benefits</w:t>
            </w:r>
          </w:p>
        </w:tc>
        <w:tc>
          <w:tcPr>
            <w:tcW w:w="58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17,374</w:t>
            </w:r>
          </w:p>
        </w:tc>
      </w:tr>
      <w:tr>
        <w:trPr>
          <w:trHeight w:val="183"/>
        </w:trPr>
        <w:tc>
          <w:tcPr>
            <w:tcW w:w="7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Dividends</w:t>
            </w:r>
          </w:p>
        </w:tc>
        <w:tc>
          <w:tcPr>
            <w:tcW w:w="58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8,559</w:t>
            </w:r>
          </w:p>
        </w:tc>
      </w:tr>
      <w:tr>
        <w:trPr>
          <w:trHeight w:val="183"/>
        </w:trPr>
        <w:tc>
          <w:tcPr>
            <w:tcW w:w="7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Interest</w:t>
            </w:r>
          </w:p>
        </w:tc>
        <w:tc>
          <w:tcPr>
            <w:tcW w:w="58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1,348</w:t>
            </w:r>
          </w:p>
        </w:tc>
      </w:tr>
      <w:tr>
        <w:trPr>
          <w:trHeight w:val="183"/>
        </w:trPr>
        <w:tc>
          <w:tcPr>
            <w:tcW w:w="7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Property Taxes</w:t>
            </w:r>
          </w:p>
        </w:tc>
        <w:tc>
          <w:tcPr>
            <w:tcW w:w="58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4,902</w:t>
            </w:r>
          </w:p>
        </w:tc>
      </w:tr>
      <w:tr>
        <w:trPr>
          <w:trHeight w:val="183"/>
        </w:trPr>
        <w:tc>
          <w:tcPr>
            <w:tcW w:w="7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Power and Fuel</w:t>
            </w:r>
          </w:p>
        </w:tc>
        <w:tc>
          <w:tcPr>
            <w:tcW w:w="58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3,359</w:t>
            </w:r>
          </w:p>
        </w:tc>
      </w:tr>
      <w:tr>
        <w:trPr>
          <w:trHeight w:val="183"/>
        </w:trPr>
        <w:tc>
          <w:tcPr>
            <w:tcW w:w="7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Freight</w:t>
            </w:r>
          </w:p>
        </w:tc>
        <w:tc>
          <w:tcPr>
            <w:tcW w:w="58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4,004</w:t>
            </w:r>
          </w:p>
        </w:tc>
      </w:tr>
      <w:tr>
        <w:trPr>
          <w:trHeight w:val="183"/>
        </w:trPr>
        <w:tc>
          <w:tcPr>
            <w:tcW w:w="7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Excise Tax</w:t>
            </w:r>
          </w:p>
        </w:tc>
        <w:tc>
          <w:tcPr>
            <w:tcW w:w="58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2,851</w:t>
            </w:r>
          </w:p>
        </w:tc>
      </w:tr>
      <w:tr>
        <w:trPr>
          <w:trHeight w:val="183"/>
        </w:trPr>
        <w:tc>
          <w:tcPr>
            <w:tcW w:w="7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Legal and Professional</w:t>
            </w:r>
          </w:p>
        </w:tc>
        <w:tc>
          <w:tcPr>
            <w:tcW w:w="58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2,150</w:t>
            </w:r>
          </w:p>
        </w:tc>
      </w:tr>
      <w:tr>
        <w:trPr>
          <w:trHeight w:val="183"/>
        </w:trPr>
        <w:tc>
          <w:tcPr>
            <w:tcW w:w="7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Sales and Use Tax</w:t>
            </w:r>
          </w:p>
        </w:tc>
        <w:tc>
          <w:tcPr>
            <w:tcW w:w="58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1,300</w:t>
            </w:r>
          </w:p>
        </w:tc>
      </w:tr>
      <w:tr>
        <w:trPr>
          <w:trHeight w:val="183"/>
        </w:trPr>
        <w:tc>
          <w:tcPr>
            <w:tcW w:w="7700" w:type="dxa"/>
            <w:vAlign w:val="bottom"/>
          </w:tcPr>
          <w:p>
            <w:pPr>
              <w:ind w:left="20"/>
              <w:spacing w:after="0" w:line="183" w:lineRule="exact"/>
              <w:rPr>
                <w:sz w:val="20"/>
                <w:szCs w:val="20"/>
                <w:color w:val="auto"/>
              </w:rPr>
            </w:pPr>
            <w:r>
              <w:rPr>
                <w:rFonts w:ascii="Arial" w:cs="Arial" w:eastAsia="Arial" w:hAnsi="Arial"/>
                <w:sz w:val="16"/>
                <w:szCs w:val="16"/>
                <w:color w:val="004483"/>
              </w:rPr>
              <w:t>Other</w:t>
            </w:r>
          </w:p>
        </w:tc>
        <w:tc>
          <w:tcPr>
            <w:tcW w:w="58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6,652</w:t>
            </w:r>
          </w:p>
        </w:tc>
      </w:tr>
      <w:tr>
        <w:trPr>
          <w:trHeight w:val="27"/>
        </w:trPr>
        <w:tc>
          <w:tcPr>
            <w:tcW w:w="7700" w:type="dxa"/>
            <w:vAlign w:val="bottom"/>
            <w:tcBorders>
              <w:bottom w:val="single" w:sz="8" w:color="A6A6A6"/>
            </w:tcBorders>
          </w:tcPr>
          <w:p>
            <w:pPr>
              <w:spacing w:after="0"/>
              <w:rPr>
                <w:sz w:val="2"/>
                <w:szCs w:val="2"/>
                <w:color w:val="auto"/>
              </w:rPr>
            </w:pPr>
          </w:p>
        </w:tc>
        <w:tc>
          <w:tcPr>
            <w:tcW w:w="580" w:type="dxa"/>
            <w:vAlign w:val="bottom"/>
            <w:tcBorders>
              <w:bottom w:val="single" w:sz="8" w:color="004483"/>
            </w:tcBorders>
            <w:shd w:val="clear" w:color="auto" w:fill="004483"/>
          </w:tcPr>
          <w:p>
            <w:pPr>
              <w:spacing w:after="0"/>
              <w:rPr>
                <w:sz w:val="2"/>
                <w:szCs w:val="2"/>
                <w:color w:val="auto"/>
              </w:rPr>
            </w:pPr>
          </w:p>
        </w:tc>
        <w:tc>
          <w:tcPr>
            <w:tcW w:w="980" w:type="dxa"/>
            <w:vAlign w:val="bottom"/>
            <w:tcBorders>
              <w:bottom w:val="single" w:sz="8" w:color="004483"/>
            </w:tcBorders>
            <w:shd w:val="clear" w:color="auto" w:fill="004483"/>
          </w:tcPr>
          <w:p>
            <w:pPr>
              <w:spacing w:after="0"/>
              <w:rPr>
                <w:sz w:val="2"/>
                <w:szCs w:val="2"/>
                <w:color w:val="auto"/>
              </w:rPr>
            </w:pPr>
          </w:p>
        </w:tc>
      </w:tr>
      <w:tr>
        <w:trPr>
          <w:trHeight w:val="183"/>
        </w:trPr>
        <w:tc>
          <w:tcPr>
            <w:tcW w:w="7700" w:type="dxa"/>
            <w:vAlign w:val="bottom"/>
          </w:tcPr>
          <w:p>
            <w:pPr>
              <w:spacing w:after="0"/>
              <w:rPr>
                <w:sz w:val="15"/>
                <w:szCs w:val="15"/>
                <w:color w:val="auto"/>
              </w:rPr>
            </w:pPr>
          </w:p>
        </w:tc>
        <w:tc>
          <w:tcPr>
            <w:tcW w:w="580" w:type="dxa"/>
            <w:vAlign w:val="bottom"/>
            <w:tcBorders>
              <w:bottom w:val="single" w:sz="8" w:color="004483"/>
            </w:tcBorders>
          </w:tcPr>
          <w:p>
            <w:pPr>
              <w:jc w:val="right"/>
              <w:ind w:right="399"/>
              <w:spacing w:after="0" w:line="183" w:lineRule="exact"/>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86,999</w:t>
            </w:r>
          </w:p>
        </w:tc>
      </w:tr>
      <w:tr>
        <w:trPr>
          <w:trHeight w:val="20"/>
        </w:trPr>
        <w:tc>
          <w:tcPr>
            <w:tcW w:w="770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1041" w:hanging="1041"/>
        <w:spacing w:after="0"/>
        <w:tabs>
          <w:tab w:leader="none" w:pos="1041" w:val="left"/>
        </w:tabs>
        <w:numPr>
          <w:ilvl w:val="0"/>
          <w:numId w:val="11"/>
        </w:numPr>
        <w:rPr>
          <w:rFonts w:ascii="Arial" w:cs="Arial" w:eastAsia="Arial" w:hAnsi="Arial"/>
          <w:sz w:val="15"/>
          <w:szCs w:val="15"/>
          <w:color w:val="auto"/>
        </w:rPr>
      </w:pPr>
      <w:r>
        <w:rPr>
          <w:rFonts w:ascii="Arial" w:cs="Arial" w:eastAsia="Arial" w:hAnsi="Arial"/>
          <w:sz w:val="15"/>
          <w:szCs w:val="15"/>
          <w:color w:val="auto"/>
        </w:rPr>
        <w:t>34,274</w:t>
      </w:r>
    </w:p>
    <w:p>
      <w:pPr>
        <w:spacing w:after="0" w:line="28" w:lineRule="exact"/>
        <w:rPr>
          <w:rFonts w:ascii="Arial" w:cs="Arial" w:eastAsia="Arial" w:hAnsi="Arial"/>
          <w:sz w:val="15"/>
          <w:szCs w:val="15"/>
          <w:color w:val="auto"/>
        </w:rPr>
      </w:pPr>
    </w:p>
    <w:p>
      <w:pPr>
        <w:ind w:left="1041"/>
        <w:spacing w:after="0"/>
        <w:rPr>
          <w:rFonts w:ascii="Arial" w:cs="Arial" w:eastAsia="Arial" w:hAnsi="Arial"/>
          <w:sz w:val="15"/>
          <w:szCs w:val="15"/>
          <w:color w:val="auto"/>
        </w:rPr>
      </w:pPr>
      <w:r>
        <w:rPr>
          <w:rFonts w:ascii="Arial" w:cs="Arial" w:eastAsia="Arial" w:hAnsi="Arial"/>
          <w:sz w:val="15"/>
          <w:szCs w:val="15"/>
          <w:color w:val="auto"/>
        </w:rPr>
        <w:t>17,507</w:t>
      </w:r>
    </w:p>
    <w:p>
      <w:pPr>
        <w:spacing w:after="0" w:line="30" w:lineRule="exact"/>
        <w:rPr>
          <w:rFonts w:ascii="Arial" w:cs="Arial" w:eastAsia="Arial" w:hAnsi="Arial"/>
          <w:sz w:val="15"/>
          <w:szCs w:val="15"/>
          <w:color w:val="auto"/>
        </w:rPr>
      </w:pPr>
    </w:p>
    <w:p>
      <w:pPr>
        <w:ind w:left="1121"/>
        <w:spacing w:after="0"/>
        <w:rPr>
          <w:rFonts w:ascii="Arial" w:cs="Arial" w:eastAsia="Arial" w:hAnsi="Arial"/>
          <w:sz w:val="15"/>
          <w:szCs w:val="15"/>
          <w:color w:val="auto"/>
        </w:rPr>
      </w:pPr>
      <w:r>
        <w:rPr>
          <w:rFonts w:ascii="Arial" w:cs="Arial" w:eastAsia="Arial" w:hAnsi="Arial"/>
          <w:sz w:val="15"/>
          <w:szCs w:val="15"/>
          <w:color w:val="auto"/>
        </w:rPr>
        <w:t>6,374</w:t>
      </w:r>
    </w:p>
    <w:p>
      <w:pPr>
        <w:spacing w:after="0" w:line="30" w:lineRule="exact"/>
        <w:rPr>
          <w:rFonts w:ascii="Arial" w:cs="Arial" w:eastAsia="Arial" w:hAnsi="Arial"/>
          <w:sz w:val="15"/>
          <w:szCs w:val="15"/>
          <w:color w:val="auto"/>
        </w:rPr>
      </w:pPr>
    </w:p>
    <w:p>
      <w:pPr>
        <w:ind w:left="1121"/>
        <w:spacing w:after="0"/>
        <w:rPr>
          <w:rFonts w:ascii="Arial" w:cs="Arial" w:eastAsia="Arial" w:hAnsi="Arial"/>
          <w:sz w:val="15"/>
          <w:szCs w:val="15"/>
          <w:color w:val="auto"/>
        </w:rPr>
      </w:pPr>
      <w:r>
        <w:rPr>
          <w:rFonts w:ascii="Arial" w:cs="Arial" w:eastAsia="Arial" w:hAnsi="Arial"/>
          <w:sz w:val="15"/>
          <w:szCs w:val="15"/>
          <w:color w:val="auto"/>
        </w:rPr>
        <w:t>8,729</w:t>
      </w:r>
    </w:p>
    <w:p>
      <w:pPr>
        <w:spacing w:after="0" w:line="30" w:lineRule="exact"/>
        <w:rPr>
          <w:rFonts w:ascii="Arial" w:cs="Arial" w:eastAsia="Arial" w:hAnsi="Arial"/>
          <w:sz w:val="15"/>
          <w:szCs w:val="15"/>
          <w:color w:val="auto"/>
        </w:rPr>
      </w:pPr>
    </w:p>
    <w:p>
      <w:pPr>
        <w:ind w:left="1121"/>
        <w:spacing w:after="0"/>
        <w:rPr>
          <w:rFonts w:ascii="Arial" w:cs="Arial" w:eastAsia="Arial" w:hAnsi="Arial"/>
          <w:sz w:val="15"/>
          <w:szCs w:val="15"/>
          <w:color w:val="auto"/>
        </w:rPr>
      </w:pPr>
      <w:r>
        <w:rPr>
          <w:rFonts w:ascii="Arial" w:cs="Arial" w:eastAsia="Arial" w:hAnsi="Arial"/>
          <w:sz w:val="15"/>
          <w:szCs w:val="15"/>
          <w:color w:val="auto"/>
        </w:rPr>
        <w:t>5,921</w:t>
      </w:r>
    </w:p>
    <w:p>
      <w:pPr>
        <w:spacing w:after="0" w:line="30" w:lineRule="exact"/>
        <w:rPr>
          <w:rFonts w:ascii="Arial" w:cs="Arial" w:eastAsia="Arial" w:hAnsi="Arial"/>
          <w:sz w:val="15"/>
          <w:szCs w:val="15"/>
          <w:color w:val="auto"/>
        </w:rPr>
      </w:pPr>
    </w:p>
    <w:p>
      <w:pPr>
        <w:ind w:left="1121"/>
        <w:spacing w:after="0"/>
        <w:rPr>
          <w:rFonts w:ascii="Arial" w:cs="Arial" w:eastAsia="Arial" w:hAnsi="Arial"/>
          <w:sz w:val="15"/>
          <w:szCs w:val="15"/>
          <w:color w:val="auto"/>
        </w:rPr>
      </w:pPr>
      <w:r>
        <w:rPr>
          <w:rFonts w:ascii="Arial" w:cs="Arial" w:eastAsia="Arial" w:hAnsi="Arial"/>
          <w:sz w:val="15"/>
          <w:szCs w:val="15"/>
          <w:color w:val="auto"/>
        </w:rPr>
        <w:t>2,993</w:t>
      </w:r>
    </w:p>
    <w:p>
      <w:pPr>
        <w:spacing w:after="0" w:line="30" w:lineRule="exact"/>
        <w:rPr>
          <w:rFonts w:ascii="Arial" w:cs="Arial" w:eastAsia="Arial" w:hAnsi="Arial"/>
          <w:sz w:val="15"/>
          <w:szCs w:val="15"/>
          <w:color w:val="auto"/>
        </w:rPr>
      </w:pPr>
    </w:p>
    <w:p>
      <w:pPr>
        <w:ind w:left="1121"/>
        <w:spacing w:after="0"/>
        <w:rPr>
          <w:rFonts w:ascii="Arial" w:cs="Arial" w:eastAsia="Arial" w:hAnsi="Arial"/>
          <w:sz w:val="15"/>
          <w:szCs w:val="15"/>
          <w:color w:val="auto"/>
        </w:rPr>
      </w:pPr>
      <w:r>
        <w:rPr>
          <w:rFonts w:ascii="Arial" w:cs="Arial" w:eastAsia="Arial" w:hAnsi="Arial"/>
          <w:sz w:val="15"/>
          <w:szCs w:val="15"/>
          <w:color w:val="auto"/>
        </w:rPr>
        <w:t>2,893</w:t>
      </w:r>
    </w:p>
    <w:p>
      <w:pPr>
        <w:spacing w:after="0" w:line="30" w:lineRule="exact"/>
        <w:rPr>
          <w:rFonts w:ascii="Arial" w:cs="Arial" w:eastAsia="Arial" w:hAnsi="Arial"/>
          <w:sz w:val="15"/>
          <w:szCs w:val="15"/>
          <w:color w:val="auto"/>
        </w:rPr>
      </w:pPr>
    </w:p>
    <w:p>
      <w:pPr>
        <w:ind w:left="1121"/>
        <w:spacing w:after="0"/>
        <w:rPr>
          <w:rFonts w:ascii="Arial" w:cs="Arial" w:eastAsia="Arial" w:hAnsi="Arial"/>
          <w:sz w:val="15"/>
          <w:szCs w:val="15"/>
          <w:color w:val="auto"/>
        </w:rPr>
      </w:pPr>
      <w:r>
        <w:rPr>
          <w:rFonts w:ascii="Arial" w:cs="Arial" w:eastAsia="Arial" w:hAnsi="Arial"/>
          <w:sz w:val="15"/>
          <w:szCs w:val="15"/>
          <w:color w:val="auto"/>
        </w:rPr>
        <w:t>4,170</w:t>
      </w:r>
    </w:p>
    <w:p>
      <w:pPr>
        <w:spacing w:after="0" w:line="30" w:lineRule="exact"/>
        <w:rPr>
          <w:rFonts w:ascii="Arial" w:cs="Arial" w:eastAsia="Arial" w:hAnsi="Arial"/>
          <w:sz w:val="15"/>
          <w:szCs w:val="15"/>
          <w:color w:val="auto"/>
        </w:rPr>
      </w:pPr>
    </w:p>
    <w:p>
      <w:pPr>
        <w:ind w:left="1121"/>
        <w:spacing w:after="0"/>
        <w:rPr>
          <w:rFonts w:ascii="Arial" w:cs="Arial" w:eastAsia="Arial" w:hAnsi="Arial"/>
          <w:sz w:val="15"/>
          <w:szCs w:val="15"/>
          <w:color w:val="auto"/>
        </w:rPr>
      </w:pPr>
      <w:r>
        <w:rPr>
          <w:rFonts w:ascii="Arial" w:cs="Arial" w:eastAsia="Arial" w:hAnsi="Arial"/>
          <w:sz w:val="15"/>
          <w:szCs w:val="15"/>
          <w:color w:val="auto"/>
        </w:rPr>
        <w:t>2,602</w:t>
      </w:r>
    </w:p>
    <w:p>
      <w:pPr>
        <w:spacing w:after="0" w:line="30" w:lineRule="exact"/>
        <w:rPr>
          <w:rFonts w:ascii="Arial" w:cs="Arial" w:eastAsia="Arial" w:hAnsi="Arial"/>
          <w:sz w:val="15"/>
          <w:szCs w:val="15"/>
          <w:color w:val="auto"/>
        </w:rPr>
      </w:pPr>
    </w:p>
    <w:p>
      <w:pPr>
        <w:ind w:left="1121"/>
        <w:spacing w:after="0"/>
        <w:rPr>
          <w:rFonts w:ascii="Arial" w:cs="Arial" w:eastAsia="Arial" w:hAnsi="Arial"/>
          <w:sz w:val="15"/>
          <w:szCs w:val="15"/>
          <w:color w:val="auto"/>
        </w:rPr>
      </w:pPr>
      <w:r>
        <w:rPr>
          <w:rFonts w:ascii="Arial" w:cs="Arial" w:eastAsia="Arial" w:hAnsi="Arial"/>
          <w:sz w:val="15"/>
          <w:szCs w:val="15"/>
          <w:color w:val="auto"/>
        </w:rPr>
        <w:t>1,372</w:t>
      </w:r>
    </w:p>
    <w:p>
      <w:pPr>
        <w:spacing w:after="0" w:line="30" w:lineRule="exact"/>
        <w:rPr>
          <w:rFonts w:ascii="Arial" w:cs="Arial" w:eastAsia="Arial" w:hAnsi="Arial"/>
          <w:sz w:val="15"/>
          <w:szCs w:val="15"/>
          <w:color w:val="auto"/>
        </w:rPr>
      </w:pPr>
    </w:p>
    <w:p>
      <w:pPr>
        <w:ind w:left="1121"/>
        <w:spacing w:after="0"/>
        <w:rPr>
          <w:rFonts w:ascii="Arial" w:cs="Arial" w:eastAsia="Arial" w:hAnsi="Arial"/>
          <w:sz w:val="15"/>
          <w:szCs w:val="15"/>
          <w:color w:val="auto"/>
        </w:rPr>
      </w:pPr>
      <w:r>
        <w:rPr>
          <w:rFonts w:ascii="Arial" w:cs="Arial" w:eastAsia="Arial" w:hAnsi="Arial"/>
          <w:sz w:val="15"/>
          <w:szCs w:val="15"/>
          <w:color w:val="auto"/>
        </w:rPr>
        <w:t>7,492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-1273175</wp:posOffset>
            </wp:positionV>
            <wp:extent cx="11144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4425"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-1144905</wp:posOffset>
            </wp:positionV>
            <wp:extent cx="11144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4425"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-1016000</wp:posOffset>
            </wp:positionV>
            <wp:extent cx="11144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4425"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-887730</wp:posOffset>
            </wp:positionV>
            <wp:extent cx="11144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4425"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-758825</wp:posOffset>
            </wp:positionV>
            <wp:extent cx="11144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4425"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-630555</wp:posOffset>
            </wp:positionV>
            <wp:extent cx="11144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4425"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-501650</wp:posOffset>
            </wp:positionV>
            <wp:extent cx="11144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4425"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-373380</wp:posOffset>
            </wp:positionV>
            <wp:extent cx="11144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4425"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-244475</wp:posOffset>
            </wp:positionV>
            <wp:extent cx="11144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4425"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-116205</wp:posOffset>
            </wp:positionV>
            <wp:extent cx="11144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12065</wp:posOffset>
            </wp:positionV>
            <wp:extent cx="99441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94410" cy="25400"/>
                    </a:xfrm>
                    <a:prstGeom prst="rect">
                      <a:avLst/>
                    </a:prstGeom>
                    <a:noFill/>
                  </pic:spPr>
                </pic:pic>
              </a:graphicData>
            </a:graphic>
          </wp:anchor>
        </w:drawing>
      </w:r>
    </w:p>
    <w:p>
      <w:pPr>
        <w:spacing w:after="0" w:line="25" w:lineRule="exact"/>
        <w:rPr>
          <w:sz w:val="20"/>
          <w:szCs w:val="20"/>
          <w:color w:val="auto"/>
        </w:rPr>
      </w:pPr>
    </w:p>
    <w:p>
      <w:pPr>
        <w:ind w:left="1041" w:hanging="1041"/>
        <w:spacing w:after="0"/>
        <w:tabs>
          <w:tab w:leader="none" w:pos="1041"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94,327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-108585</wp:posOffset>
            </wp:positionV>
            <wp:extent cx="1200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19685</wp:posOffset>
            </wp:positionV>
            <wp:extent cx="9944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36830</wp:posOffset>
            </wp:positionV>
            <wp:extent cx="9944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71" w:lineRule="exact"/>
        <w:rPr>
          <w:sz w:val="20"/>
          <w:szCs w:val="20"/>
          <w:color w:val="auto"/>
        </w:rPr>
      </w:pPr>
    </w:p>
    <w:p>
      <w:pPr>
        <w:sectPr>
          <w:pgSz w:w="11900" w:h="16838" w:orient="portrait"/>
          <w:cols w:equalWidth="0" w:num="2">
            <w:col w:w="9260" w:space="319"/>
            <w:col w:w="1661"/>
          </w:cols>
          <w:pgMar w:left="320" w:top="1133" w:right="339" w:bottom="1440" w:gutter="0" w:footer="0" w:header="0"/>
          <w:type w:val="continuous"/>
        </w:sectPr>
      </w:pP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 LEASES</w:t>
      </w:r>
    </w:p>
    <w:p>
      <w:pPr>
        <w:spacing w:after="0" w:line="9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lease certain real estate, buildings, and equipment, including railcars and barges. Certain of these leases contain escalations of rent over the term of the lease, as well as options for us to extend the term of the lease at the end of the original term. These extensions range from periods of 1 to 20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12 months, which are not recorded on the balance sheet. During December 2024 we extended the term of the lease of our corporate office from May 2029 to January 2036.</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Lease expense for our operating and short-term leases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2880" w:type="dxa"/>
            <w:vAlign w:val="bottom"/>
            <w:tcBorders>
              <w:bottom w:val="single" w:sz="8" w:color="004483"/>
            </w:tcBorders>
            <w:gridSpan w:val="8"/>
            <w:shd w:val="clear" w:color="auto" w:fill="004483"/>
          </w:tcPr>
          <w:p>
            <w:pPr>
              <w:ind w:left="100"/>
              <w:spacing w:after="0"/>
              <w:rPr>
                <w:sz w:val="20"/>
                <w:szCs w:val="20"/>
                <w:color w:val="auto"/>
              </w:rPr>
            </w:pPr>
            <w:r>
              <w:rPr>
                <w:rFonts w:ascii="Arial" w:cs="Arial" w:eastAsia="Arial" w:hAnsi="Arial"/>
                <w:sz w:val="13"/>
                <w:szCs w:val="13"/>
                <w:b w:val="1"/>
                <w:bCs w:val="1"/>
                <w:color w:val="FFFFFF"/>
              </w:rPr>
              <w:t>For the Three Months Ended December 31,</w:t>
            </w:r>
          </w:p>
        </w:tc>
        <w:tc>
          <w:tcPr>
            <w:tcW w:w="120" w:type="dxa"/>
            <w:vAlign w:val="bottom"/>
          </w:tcPr>
          <w:p>
            <w:pPr>
              <w:spacing w:after="0"/>
              <w:rPr>
                <w:sz w:val="18"/>
                <w:szCs w:val="18"/>
                <w:color w:val="auto"/>
              </w:rPr>
            </w:pPr>
          </w:p>
        </w:tc>
        <w:tc>
          <w:tcPr>
            <w:tcW w:w="120" w:type="dxa"/>
            <w:vAlign w:val="bottom"/>
            <w:tcBorders>
              <w:bottom w:val="single" w:sz="8" w:color="004483"/>
            </w:tcBorders>
            <w:shd w:val="clear" w:color="auto" w:fill="004483"/>
          </w:tcPr>
          <w:p>
            <w:pPr>
              <w:spacing w:after="0"/>
              <w:rPr>
                <w:sz w:val="18"/>
                <w:szCs w:val="18"/>
                <w:color w:val="auto"/>
              </w:rPr>
            </w:pPr>
          </w:p>
        </w:tc>
        <w:tc>
          <w:tcPr>
            <w:tcW w:w="2780" w:type="dxa"/>
            <w:vAlign w:val="bottom"/>
            <w:tcBorders>
              <w:bottom w:val="single" w:sz="8" w:color="004483"/>
            </w:tcBorders>
            <w:gridSpan w:val="6"/>
            <w:shd w:val="clear" w:color="auto" w:fill="004483"/>
          </w:tcPr>
          <w:p>
            <w:pPr>
              <w:ind w:left="20"/>
              <w:spacing w:after="0"/>
              <w:rPr>
                <w:sz w:val="20"/>
                <w:szCs w:val="20"/>
                <w:color w:val="auto"/>
              </w:rPr>
            </w:pPr>
            <w:r>
              <w:rPr>
                <w:rFonts w:ascii="Arial" w:cs="Arial" w:eastAsia="Arial" w:hAnsi="Arial"/>
                <w:sz w:val="13"/>
                <w:szCs w:val="13"/>
                <w:b w:val="1"/>
                <w:bCs w:val="1"/>
                <w:color w:val="FFFFFF"/>
              </w:rPr>
              <w:t>For the Nine Months Ended December 31,</w:t>
            </w:r>
          </w:p>
        </w:tc>
        <w:tc>
          <w:tcPr>
            <w:tcW w:w="0" w:type="dxa"/>
            <w:vAlign w:val="bottom"/>
          </w:tcPr>
          <w:p>
            <w:pPr>
              <w:spacing w:after="0"/>
              <w:rPr>
                <w:sz w:val="1"/>
                <w:szCs w:val="1"/>
                <w:color w:val="auto"/>
              </w:rPr>
            </w:pPr>
          </w:p>
        </w:tc>
      </w:tr>
      <w:tr>
        <w:trPr>
          <w:trHeight w:val="111"/>
        </w:trPr>
        <w:tc>
          <w:tcPr>
            <w:tcW w:w="5340" w:type="dxa"/>
            <w:vAlign w:val="bottom"/>
          </w:tcPr>
          <w:p>
            <w:pPr>
              <w:spacing w:after="0"/>
              <w:rPr>
                <w:sz w:val="9"/>
                <w:szCs w:val="9"/>
                <w:color w:val="auto"/>
              </w:rPr>
            </w:pPr>
          </w:p>
        </w:tc>
        <w:tc>
          <w:tcPr>
            <w:tcW w:w="480" w:type="dxa"/>
            <w:vAlign w:val="bottom"/>
            <w:tcBorders>
              <w:top w:val="single" w:sz="8" w:color="A6A6A6"/>
            </w:tcBorders>
          </w:tcPr>
          <w:p>
            <w:pPr>
              <w:spacing w:after="0"/>
              <w:rPr>
                <w:sz w:val="9"/>
                <w:szCs w:val="9"/>
                <w:color w:val="auto"/>
              </w:rPr>
            </w:pPr>
          </w:p>
        </w:tc>
        <w:tc>
          <w:tcPr>
            <w:tcW w:w="780" w:type="dxa"/>
            <w:vAlign w:val="bottom"/>
            <w:tcBorders>
              <w:top w:val="single" w:sz="8" w:color="A6A6A6"/>
            </w:tcBorders>
          </w:tcPr>
          <w:p>
            <w:pPr>
              <w:jc w:val="right"/>
              <w:spacing w:after="0" w:line="111" w:lineRule="exact"/>
              <w:rPr>
                <w:sz w:val="20"/>
                <w:szCs w:val="20"/>
                <w:color w:val="auto"/>
              </w:rPr>
            </w:pPr>
            <w:r>
              <w:rPr>
                <w:rFonts w:ascii="Arial" w:cs="Arial" w:eastAsia="Arial" w:hAnsi="Arial"/>
                <w:sz w:val="12"/>
                <w:szCs w:val="12"/>
                <w:b w:val="1"/>
                <w:bCs w:val="1"/>
                <w:color w:val="auto"/>
              </w:rPr>
              <w:t>2024</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gridSpan w:val="2"/>
          </w:tcPr>
          <w:p>
            <w:pPr>
              <w:jc w:val="right"/>
              <w:ind w:right="20"/>
              <w:spacing w:after="0" w:line="111" w:lineRule="exact"/>
              <w:rPr>
                <w:sz w:val="20"/>
                <w:szCs w:val="20"/>
                <w:color w:val="auto"/>
              </w:rPr>
            </w:pPr>
            <w:r>
              <w:rPr>
                <w:rFonts w:ascii="Arial" w:cs="Arial" w:eastAsia="Arial" w:hAnsi="Arial"/>
                <w:sz w:val="12"/>
                <w:szCs w:val="12"/>
                <w:b w:val="1"/>
                <w:bCs w:val="1"/>
                <w:color w:val="auto"/>
              </w:rPr>
              <w:t>2023</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6A6A6"/>
            </w:tcBorders>
          </w:tcPr>
          <w:p>
            <w:pPr>
              <w:spacing w:after="0"/>
              <w:rPr>
                <w:sz w:val="9"/>
                <w:szCs w:val="9"/>
                <w:color w:val="auto"/>
              </w:rPr>
            </w:pPr>
          </w:p>
        </w:tc>
        <w:tc>
          <w:tcPr>
            <w:tcW w:w="1160" w:type="dxa"/>
            <w:vAlign w:val="bottom"/>
            <w:tcBorders>
              <w:top w:val="single" w:sz="8" w:color="A6A6A6"/>
            </w:tcBorders>
          </w:tcPr>
          <w:p>
            <w:pPr>
              <w:jc w:val="right"/>
              <w:spacing w:after="0" w:line="111"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5340" w:type="dxa"/>
            <w:vAlign w:val="bottom"/>
            <w:tcBorders>
              <w:bottom w:val="single" w:sz="8" w:color="004483"/>
            </w:tcBorders>
          </w:tcPr>
          <w:p>
            <w:pPr>
              <w:spacing w:after="0"/>
              <w:rPr>
                <w:sz w:val="15"/>
                <w:szCs w:val="15"/>
                <w:color w:val="auto"/>
              </w:rPr>
            </w:pPr>
          </w:p>
        </w:tc>
        <w:tc>
          <w:tcPr>
            <w:tcW w:w="480" w:type="dxa"/>
            <w:vAlign w:val="bottom"/>
            <w:tcBorders>
              <w:bottom w:val="single" w:sz="8" w:color="004483"/>
            </w:tcBorders>
          </w:tcPr>
          <w:p>
            <w:pPr>
              <w:spacing w:after="0"/>
              <w:rPr>
                <w:sz w:val="15"/>
                <w:szCs w:val="15"/>
                <w:color w:val="auto"/>
              </w:rPr>
            </w:pPr>
          </w:p>
        </w:tc>
        <w:tc>
          <w:tcPr>
            <w:tcW w:w="78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660" w:type="dxa"/>
            <w:vAlign w:val="bottom"/>
            <w:tcBorders>
              <w:bottom w:val="single" w:sz="8" w:color="004483"/>
            </w:tcBorders>
          </w:tcPr>
          <w:p>
            <w:pPr>
              <w:spacing w:after="0"/>
              <w:rPr>
                <w:sz w:val="15"/>
                <w:szCs w:val="15"/>
                <w:color w:val="auto"/>
              </w:rPr>
            </w:pPr>
          </w:p>
        </w:tc>
        <w:tc>
          <w:tcPr>
            <w:tcW w:w="2120" w:type="dxa"/>
            <w:vAlign w:val="bottom"/>
            <w:tcBorders>
              <w:bottom w:val="single" w:sz="8" w:color="004483"/>
            </w:tcBorders>
            <w:gridSpan w:val="6"/>
          </w:tcPr>
          <w:p>
            <w:pPr>
              <w:jc w:val="right"/>
              <w:ind w:right="710"/>
              <w:spacing w:after="0"/>
              <w:rPr>
                <w:sz w:val="20"/>
                <w:szCs w:val="20"/>
                <w:color w:val="auto"/>
              </w:rPr>
            </w:pPr>
            <w:r>
              <w:rPr>
                <w:rFonts w:ascii="Arial" w:cs="Arial" w:eastAsia="Arial" w:hAnsi="Arial"/>
                <w:sz w:val="13"/>
                <w:szCs w:val="13"/>
                <w:color w:val="auto"/>
              </w:rPr>
              <w:t>(dollars in thousands)</w:t>
            </w:r>
          </w:p>
        </w:tc>
        <w:tc>
          <w:tcPr>
            <w:tcW w:w="1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0"/>
              <w:spacing w:after="0"/>
              <w:rPr>
                <w:sz w:val="20"/>
                <w:szCs w:val="20"/>
                <w:color w:val="auto"/>
              </w:rPr>
            </w:pPr>
            <w:r>
              <w:rPr>
                <w:rFonts w:ascii="Arial" w:cs="Arial" w:eastAsia="Arial" w:hAnsi="Arial"/>
                <w:sz w:val="16"/>
                <w:szCs w:val="16"/>
                <w:color w:val="004483"/>
              </w:rPr>
              <w:t>Operating Lease Cost</w:t>
            </w:r>
          </w:p>
        </w:tc>
        <w:tc>
          <w:tcPr>
            <w:tcW w:w="480" w:type="dxa"/>
            <w:vAlign w:val="bottom"/>
          </w:tcPr>
          <w:p>
            <w:pPr>
              <w:jc w:val="right"/>
              <w:ind w:right="305"/>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1,982</w:t>
            </w:r>
          </w:p>
        </w:tc>
        <w:tc>
          <w:tcPr>
            <w:tcW w:w="900" w:type="dxa"/>
            <w:vAlign w:val="bottom"/>
            <w:gridSpan w:val="3"/>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1,921</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5,933</w:t>
            </w:r>
          </w:p>
        </w:tc>
        <w:tc>
          <w:tcPr>
            <w:tcW w:w="640" w:type="dxa"/>
            <w:vAlign w:val="bottom"/>
            <w:gridSpan w:val="3"/>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340" w:type="dxa"/>
            <w:vAlign w:val="bottom"/>
            <w:tcBorders>
              <w:top w:val="single" w:sz="8" w:color="A6A6A6"/>
            </w:tcBorders>
          </w:tcPr>
          <w:p>
            <w:pPr>
              <w:ind w:left="20"/>
              <w:spacing w:after="0" w:line="183" w:lineRule="exact"/>
              <w:rPr>
                <w:sz w:val="20"/>
                <w:szCs w:val="20"/>
                <w:color w:val="auto"/>
              </w:rPr>
            </w:pPr>
            <w:r>
              <w:rPr>
                <w:rFonts w:ascii="Arial" w:cs="Arial" w:eastAsia="Arial" w:hAnsi="Arial"/>
                <w:sz w:val="16"/>
                <w:szCs w:val="16"/>
                <w:color w:val="004483"/>
              </w:rPr>
              <w:t>Short-Term Lease Cost</w:t>
            </w:r>
          </w:p>
        </w:tc>
        <w:tc>
          <w:tcPr>
            <w:tcW w:w="480" w:type="dxa"/>
            <w:vAlign w:val="bottom"/>
            <w:tcBorders>
              <w:top w:val="single" w:sz="8" w:color="A6A6A6"/>
            </w:tcBorders>
          </w:tcPr>
          <w:p>
            <w:pPr>
              <w:spacing w:after="0"/>
              <w:rPr>
                <w:sz w:val="15"/>
                <w:szCs w:val="15"/>
                <w:color w:val="auto"/>
              </w:rPr>
            </w:pPr>
          </w:p>
        </w:tc>
        <w:tc>
          <w:tcPr>
            <w:tcW w:w="780" w:type="dxa"/>
            <w:vAlign w:val="bottom"/>
            <w:tcBorders>
              <w:top w:val="single" w:sz="8" w:color="A6A6A6"/>
            </w:tcBorders>
          </w:tcPr>
          <w:p>
            <w:pPr>
              <w:jc w:val="right"/>
              <w:spacing w:after="0" w:line="183" w:lineRule="exact"/>
              <w:rPr>
                <w:sz w:val="20"/>
                <w:szCs w:val="20"/>
                <w:color w:val="auto"/>
              </w:rPr>
            </w:pPr>
            <w:r>
              <w:rPr>
                <w:rFonts w:ascii="Arial" w:cs="Arial" w:eastAsia="Arial" w:hAnsi="Arial"/>
                <w:sz w:val="16"/>
                <w:szCs w:val="16"/>
                <w:color w:val="auto"/>
              </w:rPr>
              <w:t>317</w:t>
            </w:r>
          </w:p>
        </w:tc>
        <w:tc>
          <w:tcPr>
            <w:tcW w:w="120" w:type="dxa"/>
            <w:vAlign w:val="bottom"/>
          </w:tcPr>
          <w:p>
            <w:pPr>
              <w:spacing w:after="0"/>
              <w:rPr>
                <w:sz w:val="15"/>
                <w:szCs w:val="15"/>
                <w:color w:val="auto"/>
              </w:rPr>
            </w:pPr>
          </w:p>
        </w:tc>
        <w:tc>
          <w:tcPr>
            <w:tcW w:w="120" w:type="dxa"/>
            <w:vAlign w:val="bottom"/>
            <w:tcBorders>
              <w:top w:val="single" w:sz="8" w:color="A6A6A6"/>
            </w:tcBorders>
          </w:tcPr>
          <w:p>
            <w:pPr>
              <w:spacing w:after="0"/>
              <w:rPr>
                <w:sz w:val="15"/>
                <w:szCs w:val="15"/>
                <w:color w:val="auto"/>
              </w:rPr>
            </w:pPr>
          </w:p>
        </w:tc>
        <w:tc>
          <w:tcPr>
            <w:tcW w:w="660" w:type="dxa"/>
            <w:vAlign w:val="bottom"/>
            <w:tcBorders>
              <w:top w:val="single" w:sz="8" w:color="A6A6A6"/>
            </w:tcBorders>
          </w:tcPr>
          <w:p>
            <w:pPr>
              <w:spacing w:after="0"/>
              <w:rPr>
                <w:sz w:val="15"/>
                <w:szCs w:val="15"/>
                <w:color w:val="auto"/>
              </w:rPr>
            </w:pPr>
          </w:p>
        </w:tc>
        <w:tc>
          <w:tcPr>
            <w:tcW w:w="600" w:type="dxa"/>
            <w:vAlign w:val="bottom"/>
            <w:tcBorders>
              <w:top w:val="single" w:sz="8" w:color="A6A6A6"/>
            </w:tcBorders>
            <w:gridSpan w:val="2"/>
          </w:tcPr>
          <w:p>
            <w:pPr>
              <w:jc w:val="right"/>
              <w:ind w:right="20"/>
              <w:spacing w:after="0" w:line="183" w:lineRule="exact"/>
              <w:rPr>
                <w:sz w:val="20"/>
                <w:szCs w:val="20"/>
                <w:color w:val="auto"/>
              </w:rPr>
            </w:pPr>
            <w:r>
              <w:rPr>
                <w:rFonts w:ascii="Arial" w:cs="Arial" w:eastAsia="Arial" w:hAnsi="Arial"/>
                <w:sz w:val="16"/>
                <w:szCs w:val="16"/>
                <w:color w:val="auto"/>
              </w:rPr>
              <w:t>187</w:t>
            </w:r>
          </w:p>
        </w:tc>
        <w:tc>
          <w:tcPr>
            <w:tcW w:w="120" w:type="dxa"/>
            <w:vAlign w:val="bottom"/>
          </w:tcPr>
          <w:p>
            <w:pPr>
              <w:spacing w:after="0"/>
              <w:rPr>
                <w:sz w:val="15"/>
                <w:szCs w:val="15"/>
                <w:color w:val="auto"/>
              </w:rPr>
            </w:pPr>
          </w:p>
        </w:tc>
        <w:tc>
          <w:tcPr>
            <w:tcW w:w="120" w:type="dxa"/>
            <w:vAlign w:val="bottom"/>
            <w:tcBorders>
              <w:top w:val="single" w:sz="8" w:color="A6A6A6"/>
            </w:tcBorders>
          </w:tcPr>
          <w:p>
            <w:pPr>
              <w:spacing w:after="0"/>
              <w:rPr>
                <w:sz w:val="15"/>
                <w:szCs w:val="15"/>
                <w:color w:val="auto"/>
              </w:rPr>
            </w:pPr>
          </w:p>
        </w:tc>
        <w:tc>
          <w:tcPr>
            <w:tcW w:w="120" w:type="dxa"/>
            <w:vAlign w:val="bottom"/>
            <w:tcBorders>
              <w:top w:val="single" w:sz="8" w:color="A6A6A6"/>
            </w:tcBorders>
          </w:tcPr>
          <w:p>
            <w:pPr>
              <w:spacing w:after="0"/>
              <w:rPr>
                <w:sz w:val="15"/>
                <w:szCs w:val="15"/>
                <w:color w:val="auto"/>
              </w:rPr>
            </w:pPr>
          </w:p>
        </w:tc>
        <w:tc>
          <w:tcPr>
            <w:tcW w:w="1160" w:type="dxa"/>
            <w:vAlign w:val="bottom"/>
            <w:tcBorders>
              <w:top w:val="single" w:sz="8" w:color="A6A6A6"/>
            </w:tcBorders>
          </w:tcPr>
          <w:p>
            <w:pPr>
              <w:jc w:val="right"/>
              <w:spacing w:after="0" w:line="183" w:lineRule="exact"/>
              <w:rPr>
                <w:sz w:val="20"/>
                <w:szCs w:val="20"/>
                <w:color w:val="auto"/>
              </w:rPr>
            </w:pPr>
            <w:r>
              <w:rPr>
                <w:rFonts w:ascii="Arial" w:cs="Arial" w:eastAsia="Arial" w:hAnsi="Arial"/>
                <w:sz w:val="16"/>
                <w:szCs w:val="16"/>
                <w:color w:val="auto"/>
              </w:rPr>
              <w:t>962</w:t>
            </w:r>
          </w:p>
        </w:tc>
        <w:tc>
          <w:tcPr>
            <w:tcW w:w="100" w:type="dxa"/>
            <w:vAlign w:val="bottom"/>
          </w:tcPr>
          <w:p>
            <w:pPr>
              <w:spacing w:after="0"/>
              <w:rPr>
                <w:sz w:val="15"/>
                <w:szCs w:val="15"/>
                <w:color w:val="auto"/>
              </w:rPr>
            </w:pPr>
          </w:p>
        </w:tc>
        <w:tc>
          <w:tcPr>
            <w:tcW w:w="120" w:type="dxa"/>
            <w:vAlign w:val="bottom"/>
            <w:tcBorders>
              <w:top w:val="single" w:sz="8" w:color="A6A6A6"/>
            </w:tcBorders>
          </w:tcPr>
          <w:p>
            <w:pPr>
              <w:spacing w:after="0"/>
              <w:rPr>
                <w:sz w:val="15"/>
                <w:szCs w:val="15"/>
                <w:color w:val="auto"/>
              </w:rPr>
            </w:pPr>
          </w:p>
        </w:tc>
        <w:tc>
          <w:tcPr>
            <w:tcW w:w="420" w:type="dxa"/>
            <w:vAlign w:val="bottom"/>
            <w:tcBorders>
              <w:top w:val="single" w:sz="8" w:color="A6A6A6"/>
            </w:tcBorders>
          </w:tcPr>
          <w:p>
            <w:pPr>
              <w:spacing w:after="0"/>
              <w:rPr>
                <w:sz w:val="15"/>
                <w:szCs w:val="15"/>
                <w:color w:val="auto"/>
              </w:rPr>
            </w:pPr>
          </w:p>
        </w:tc>
        <w:tc>
          <w:tcPr>
            <w:tcW w:w="880" w:type="dxa"/>
            <w:vAlign w:val="bottom"/>
            <w:tcBorders>
              <w:top w:val="single" w:sz="8" w:color="A6A6A6"/>
            </w:tcBorders>
          </w:tcPr>
          <w:p>
            <w:pPr>
              <w:jc w:val="right"/>
              <w:spacing w:after="0" w:line="183" w:lineRule="exact"/>
              <w:rPr>
                <w:sz w:val="20"/>
                <w:szCs w:val="20"/>
                <w:color w:val="auto"/>
              </w:rPr>
            </w:pPr>
            <w:r>
              <w:rPr>
                <w:rFonts w:ascii="Arial" w:cs="Arial" w:eastAsia="Arial" w:hAnsi="Arial"/>
                <w:sz w:val="16"/>
                <w:szCs w:val="16"/>
                <w:color w:val="auto"/>
              </w:rPr>
              <w:t>601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340" w:type="dxa"/>
            <w:vAlign w:val="bottom"/>
            <w:tcBorders>
              <w:bottom w:val="single" w:sz="8" w:color="A6A6A6"/>
            </w:tcBorders>
          </w:tcPr>
          <w:p>
            <w:pPr>
              <w:spacing w:after="0"/>
              <w:rPr>
                <w:sz w:val="2"/>
                <w:szCs w:val="2"/>
                <w:color w:val="auto"/>
              </w:rPr>
            </w:pPr>
          </w:p>
        </w:tc>
        <w:tc>
          <w:tcPr>
            <w:tcW w:w="480" w:type="dxa"/>
            <w:vAlign w:val="bottom"/>
            <w:tcBorders>
              <w:bottom w:val="single" w:sz="8" w:color="004483"/>
            </w:tcBorders>
            <w:shd w:val="clear" w:color="auto" w:fill="004483"/>
          </w:tcPr>
          <w:p>
            <w:pPr>
              <w:spacing w:after="0"/>
              <w:rPr>
                <w:sz w:val="2"/>
                <w:szCs w:val="2"/>
                <w:color w:val="auto"/>
              </w:rPr>
            </w:pPr>
          </w:p>
        </w:tc>
        <w:tc>
          <w:tcPr>
            <w:tcW w:w="780" w:type="dxa"/>
            <w:vAlign w:val="bottom"/>
            <w:tcBorders>
              <w:bottom w:val="single" w:sz="8" w:color="004483"/>
            </w:tcBorders>
            <w:shd w:val="clear" w:color="auto" w:fill="004483"/>
          </w:tcPr>
          <w:p>
            <w:pPr>
              <w:spacing w:after="0"/>
              <w:rPr>
                <w:sz w:val="2"/>
                <w:szCs w:val="2"/>
                <w:color w:val="auto"/>
              </w:rPr>
            </w:pPr>
          </w:p>
        </w:tc>
        <w:tc>
          <w:tcPr>
            <w:tcW w:w="120" w:type="dxa"/>
            <w:vAlign w:val="bottom"/>
            <w:vMerge w:val="restart"/>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660" w:type="dxa"/>
            <w:vAlign w:val="bottom"/>
            <w:tcBorders>
              <w:bottom w:val="single" w:sz="8" w:color="004483"/>
            </w:tcBorders>
            <w:shd w:val="clear" w:color="auto" w:fill="004483"/>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40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20" w:type="dxa"/>
            <w:vAlign w:val="bottom"/>
            <w:tcBorders>
              <w:bottom w:val="single" w:sz="8" w:color="004483"/>
            </w:tcBorders>
            <w:shd w:val="clear" w:color="auto" w:fill="004483"/>
          </w:tcPr>
          <w:p>
            <w:pPr>
              <w:spacing w:after="0"/>
              <w:rPr>
                <w:sz w:val="2"/>
                <w:szCs w:val="2"/>
                <w:color w:val="auto"/>
              </w:rPr>
            </w:pPr>
          </w:p>
        </w:tc>
        <w:tc>
          <w:tcPr>
            <w:tcW w:w="116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42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3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Lease Cost</w:t>
            </w:r>
          </w:p>
        </w:tc>
        <w:tc>
          <w:tcPr>
            <w:tcW w:w="480" w:type="dxa"/>
            <w:vAlign w:val="bottom"/>
            <w:tcBorders>
              <w:bottom w:val="single" w:sz="8" w:color="004483"/>
            </w:tcBorders>
          </w:tcPr>
          <w:p>
            <w:pPr>
              <w:jc w:val="right"/>
              <w:ind w:right="305"/>
              <w:spacing w:after="0" w:line="183" w:lineRule="exact"/>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2,299</w:t>
            </w:r>
          </w:p>
        </w:tc>
        <w:tc>
          <w:tcPr>
            <w:tcW w:w="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004483"/>
            </w:tcBorders>
          </w:tcPr>
          <w:p>
            <w:pPr>
              <w:jc w:val="right"/>
              <w:ind w:right="479"/>
              <w:spacing w:after="0" w:line="183" w:lineRule="exact"/>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004483"/>
            </w:tcBorders>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2,108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6,895</w:t>
            </w: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004483"/>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6,749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60" w:type="dxa"/>
            <w:vAlign w:val="bottom"/>
            <w:tcBorders>
              <w:bottom w:val="single" w:sz="8" w:color="004483"/>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7500" w:type="dxa"/>
            <w:vAlign w:val="bottom"/>
            <w:gridSpan w:val="6"/>
          </w:tcPr>
          <w:p>
            <w:pPr>
              <w:spacing w:after="0"/>
              <w:rPr>
                <w:sz w:val="20"/>
                <w:szCs w:val="20"/>
                <w:color w:val="auto"/>
              </w:rPr>
            </w:pPr>
            <w:r>
              <w:rPr>
                <w:rFonts w:ascii="Arial" w:cs="Arial" w:eastAsia="Arial" w:hAnsi="Arial"/>
                <w:sz w:val="18"/>
                <w:szCs w:val="18"/>
                <w:color w:val="auto"/>
              </w:rPr>
              <w:t>The Right-of-Use Assets and Lease Liabilities are reflected on our Balance Sheet as follows:</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shd w:val="clear" w:color="auto" w:fill="004483"/>
          </w:tcPr>
          <w:p>
            <w:pPr>
              <w:spacing w:after="0"/>
              <w:rPr>
                <w:sz w:val="18"/>
                <w:szCs w:val="18"/>
                <w:color w:val="auto"/>
              </w:rPr>
            </w:pPr>
          </w:p>
        </w:tc>
        <w:tc>
          <w:tcPr>
            <w:tcW w:w="120" w:type="dxa"/>
            <w:vAlign w:val="bottom"/>
            <w:shd w:val="clear" w:color="auto" w:fill="004483"/>
          </w:tcPr>
          <w:p>
            <w:pPr>
              <w:spacing w:after="0"/>
              <w:rPr>
                <w:sz w:val="18"/>
                <w:szCs w:val="18"/>
                <w:color w:val="auto"/>
              </w:rPr>
            </w:pPr>
          </w:p>
        </w:tc>
        <w:tc>
          <w:tcPr>
            <w:tcW w:w="120" w:type="dxa"/>
            <w:vAlign w:val="bottom"/>
            <w:shd w:val="clear" w:color="auto" w:fill="004483"/>
          </w:tcPr>
          <w:p>
            <w:pPr>
              <w:spacing w:after="0"/>
              <w:rPr>
                <w:sz w:val="18"/>
                <w:szCs w:val="18"/>
                <w:color w:val="auto"/>
              </w:rPr>
            </w:pPr>
          </w:p>
        </w:tc>
        <w:tc>
          <w:tcPr>
            <w:tcW w:w="1280" w:type="dxa"/>
            <w:vAlign w:val="bottom"/>
            <w:gridSpan w:val="2"/>
            <w:shd w:val="clear" w:color="auto" w:fill="004483"/>
          </w:tcPr>
          <w:p>
            <w:pPr>
              <w:jc w:val="right"/>
              <w:ind w:right="310"/>
              <w:spacing w:after="0"/>
              <w:rPr>
                <w:sz w:val="20"/>
                <w:szCs w:val="20"/>
                <w:color w:val="auto"/>
              </w:rPr>
            </w:pPr>
            <w:r>
              <w:rPr>
                <w:rFonts w:ascii="Arial" w:cs="Arial" w:eastAsia="Arial" w:hAnsi="Arial"/>
                <w:sz w:val="13"/>
                <w:szCs w:val="13"/>
                <w:b w:val="1"/>
                <w:bCs w:val="1"/>
                <w:color w:val="FFFFFF"/>
              </w:rPr>
              <w:t>December 31,</w:t>
            </w:r>
          </w:p>
        </w:tc>
        <w:tc>
          <w:tcPr>
            <w:tcW w:w="100" w:type="dxa"/>
            <w:vAlign w:val="bottom"/>
            <w:shd w:val="clear" w:color="auto" w:fill="004483"/>
          </w:tcPr>
          <w:p>
            <w:pPr>
              <w:spacing w:after="0"/>
              <w:rPr>
                <w:sz w:val="18"/>
                <w:szCs w:val="18"/>
                <w:color w:val="auto"/>
              </w:rPr>
            </w:pPr>
          </w:p>
        </w:tc>
        <w:tc>
          <w:tcPr>
            <w:tcW w:w="120" w:type="dxa"/>
            <w:vAlign w:val="bottom"/>
            <w:shd w:val="clear" w:color="auto" w:fill="004483"/>
          </w:tcPr>
          <w:p>
            <w:pPr>
              <w:spacing w:after="0"/>
              <w:rPr>
                <w:sz w:val="18"/>
                <w:szCs w:val="18"/>
                <w:color w:val="auto"/>
              </w:rPr>
            </w:pPr>
          </w:p>
        </w:tc>
        <w:tc>
          <w:tcPr>
            <w:tcW w:w="420" w:type="dxa"/>
            <w:vAlign w:val="bottom"/>
            <w:shd w:val="clear" w:color="auto" w:fill="004483"/>
          </w:tcPr>
          <w:p>
            <w:pPr>
              <w:spacing w:after="0"/>
              <w:rPr>
                <w:sz w:val="18"/>
                <w:szCs w:val="18"/>
                <w:color w:val="auto"/>
              </w:rPr>
            </w:pPr>
          </w:p>
        </w:tc>
        <w:tc>
          <w:tcPr>
            <w:tcW w:w="980" w:type="dxa"/>
            <w:vAlign w:val="bottom"/>
            <w:gridSpan w:val="2"/>
            <w:shd w:val="clear" w:color="auto" w:fill="004483"/>
          </w:tcPr>
          <w:p>
            <w:pPr>
              <w:ind w:left="260"/>
              <w:spacing w:after="0"/>
              <w:rPr>
                <w:sz w:val="20"/>
                <w:szCs w:val="20"/>
                <w:color w:val="auto"/>
              </w:rPr>
            </w:pPr>
            <w:r>
              <w:rPr>
                <w:rFonts w:ascii="Arial" w:cs="Arial" w:eastAsia="Arial" w:hAnsi="Arial"/>
                <w:sz w:val="13"/>
                <w:szCs w:val="13"/>
                <w:b w:val="1"/>
                <w:bCs w:val="1"/>
                <w:color w:val="FFFFFF"/>
              </w:rPr>
              <w:t>March 31,</w:t>
            </w:r>
          </w:p>
        </w:tc>
        <w:tc>
          <w:tcPr>
            <w:tcW w:w="0" w:type="dxa"/>
            <w:vAlign w:val="bottom"/>
          </w:tcPr>
          <w:p>
            <w:pPr>
              <w:spacing w:after="0"/>
              <w:rPr>
                <w:sz w:val="1"/>
                <w:szCs w:val="1"/>
                <w:color w:val="auto"/>
              </w:rPr>
            </w:pPr>
          </w:p>
        </w:tc>
      </w:tr>
      <w:tr>
        <w:trPr>
          <w:trHeight w:val="117"/>
        </w:trPr>
        <w:tc>
          <w:tcPr>
            <w:tcW w:w="5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right"/>
              <w:ind w:right="310"/>
              <w:spacing w:after="0" w:line="117"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40" w:type="dxa"/>
            <w:vAlign w:val="bottom"/>
            <w:tcBorders>
              <w:bottom w:val="single" w:sz="8" w:color="004483"/>
            </w:tcBorders>
          </w:tcPr>
          <w:p>
            <w:pPr>
              <w:spacing w:after="0"/>
              <w:rPr>
                <w:sz w:val="15"/>
                <w:szCs w:val="15"/>
                <w:color w:val="auto"/>
              </w:rPr>
            </w:pPr>
          </w:p>
        </w:tc>
        <w:tc>
          <w:tcPr>
            <w:tcW w:w="480" w:type="dxa"/>
            <w:vAlign w:val="bottom"/>
            <w:tcBorders>
              <w:bottom w:val="single" w:sz="8" w:color="004483"/>
            </w:tcBorders>
          </w:tcPr>
          <w:p>
            <w:pPr>
              <w:spacing w:after="0"/>
              <w:rPr>
                <w:sz w:val="15"/>
                <w:szCs w:val="15"/>
                <w:color w:val="auto"/>
              </w:rPr>
            </w:pPr>
          </w:p>
        </w:tc>
        <w:tc>
          <w:tcPr>
            <w:tcW w:w="78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660" w:type="dxa"/>
            <w:vAlign w:val="bottom"/>
            <w:tcBorders>
              <w:bottom w:val="single" w:sz="8" w:color="004483"/>
            </w:tcBorders>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800" w:type="dxa"/>
            <w:vAlign w:val="bottom"/>
            <w:tcBorders>
              <w:bottom w:val="single" w:sz="8" w:color="004483"/>
            </w:tcBorders>
            <w:gridSpan w:val="4"/>
          </w:tcPr>
          <w:p>
            <w:pPr>
              <w:jc w:val="right"/>
              <w:ind w:right="159"/>
              <w:spacing w:after="0"/>
              <w:rPr>
                <w:sz w:val="20"/>
                <w:szCs w:val="20"/>
                <w:color w:val="auto"/>
              </w:rPr>
            </w:pPr>
            <w:r>
              <w:rPr>
                <w:rFonts w:ascii="Arial" w:cs="Arial" w:eastAsia="Arial" w:hAnsi="Arial"/>
                <w:sz w:val="13"/>
                <w:szCs w:val="13"/>
                <w:color w:val="auto"/>
              </w:rPr>
              <w:t>(dollars in thousands)</w:t>
            </w:r>
          </w:p>
        </w:tc>
        <w:tc>
          <w:tcPr>
            <w:tcW w:w="8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33"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Operating Leases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00" w:type="dxa"/>
            <w:vAlign w:val="bottom"/>
            <w:tcBorders>
              <w:top w:val="single" w:sz="8" w:color="A6A6A6"/>
            </w:tcBorders>
          </w:tcPr>
          <w:p>
            <w:pPr>
              <w:ind w:left="120"/>
              <w:spacing w:after="0" w:line="183" w:lineRule="exact"/>
              <w:rPr>
                <w:sz w:val="20"/>
                <w:szCs w:val="20"/>
                <w:color w:val="auto"/>
              </w:rPr>
            </w:pPr>
            <w:r>
              <w:rPr>
                <w:rFonts w:ascii="Arial" w:cs="Arial" w:eastAsia="Arial" w:hAnsi="Arial"/>
                <w:sz w:val="16"/>
                <w:szCs w:val="16"/>
                <w:color w:val="004483"/>
              </w:rPr>
              <w:t>Operating Lease Right-of-Use Assets</w:t>
            </w:r>
          </w:p>
        </w:tc>
        <w:tc>
          <w:tcPr>
            <w:tcW w:w="580" w:type="dxa"/>
            <w:vAlign w:val="bottom"/>
            <w:tcBorders>
              <w:top w:val="single" w:sz="8" w:color="A6A6A6"/>
              <w:bottom w:val="single" w:sz="8" w:color="004483"/>
            </w:tcBorders>
          </w:tcPr>
          <w:p>
            <w:pPr>
              <w:jc w:val="right"/>
              <w:ind w:right="39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6A6A6"/>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34,227</w:t>
            </w:r>
          </w:p>
        </w:tc>
      </w:tr>
      <w:tr>
        <w:trPr>
          <w:trHeight w:val="20"/>
        </w:trPr>
        <w:tc>
          <w:tcPr>
            <w:tcW w:w="7700" w:type="dxa"/>
            <w:vAlign w:val="bottom"/>
            <w:tcBorders>
              <w:bottom w:val="single" w:sz="8" w:color="A6A6A6"/>
            </w:tcBorders>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r>
        <w:trPr>
          <w:trHeight w:val="169"/>
        </w:trPr>
        <w:tc>
          <w:tcPr>
            <w:tcW w:w="7700" w:type="dxa"/>
            <w:vAlign w:val="bottom"/>
            <w:tcBorders>
              <w:bottom w:val="single" w:sz="8" w:color="A6A6A6"/>
            </w:tcBorders>
          </w:tcPr>
          <w:p>
            <w:pPr>
              <w:spacing w:after="0"/>
              <w:rPr>
                <w:sz w:val="14"/>
                <w:szCs w:val="14"/>
                <w:color w:val="auto"/>
              </w:rPr>
            </w:pPr>
          </w:p>
        </w:tc>
        <w:tc>
          <w:tcPr>
            <w:tcW w:w="580" w:type="dxa"/>
            <w:vAlign w:val="bottom"/>
            <w:tcBorders>
              <w:bottom w:val="single" w:sz="8" w:color="A6A6A6"/>
            </w:tcBorders>
          </w:tcPr>
          <w:p>
            <w:pPr>
              <w:spacing w:after="0"/>
              <w:rPr>
                <w:sz w:val="14"/>
                <w:szCs w:val="14"/>
                <w:color w:val="auto"/>
              </w:rPr>
            </w:pPr>
          </w:p>
        </w:tc>
        <w:tc>
          <w:tcPr>
            <w:tcW w:w="980" w:type="dxa"/>
            <w:vAlign w:val="bottom"/>
            <w:tcBorders>
              <w:bottom w:val="single" w:sz="8" w:color="A6A6A6"/>
            </w:tcBorders>
          </w:tcPr>
          <w:p>
            <w:pPr>
              <w:spacing w:after="0"/>
              <w:rPr>
                <w:sz w:val="14"/>
                <w:szCs w:val="14"/>
                <w:color w:val="auto"/>
              </w:rPr>
            </w:pPr>
          </w:p>
        </w:tc>
      </w:tr>
      <w:tr>
        <w:trPr>
          <w:trHeight w:val="183"/>
        </w:trPr>
        <w:tc>
          <w:tcPr>
            <w:tcW w:w="7700" w:type="dxa"/>
            <w:vAlign w:val="bottom"/>
            <w:tcBorders>
              <w:bottom w:val="single" w:sz="8" w:color="A6A6A6"/>
            </w:tcBorders>
          </w:tcPr>
          <w:p>
            <w:pPr>
              <w:ind w:left="120"/>
              <w:spacing w:after="0" w:line="183" w:lineRule="exact"/>
              <w:rPr>
                <w:sz w:val="20"/>
                <w:szCs w:val="20"/>
                <w:color w:val="auto"/>
              </w:rPr>
            </w:pPr>
            <w:r>
              <w:rPr>
                <w:rFonts w:ascii="Arial" w:cs="Arial" w:eastAsia="Arial" w:hAnsi="Arial"/>
                <w:sz w:val="16"/>
                <w:szCs w:val="16"/>
                <w:color w:val="004483"/>
              </w:rPr>
              <w:t>Current Operating Lease Liabilities</w:t>
            </w:r>
          </w:p>
        </w:tc>
        <w:tc>
          <w:tcPr>
            <w:tcW w:w="580" w:type="dxa"/>
            <w:vAlign w:val="bottom"/>
            <w:tcBorders>
              <w:bottom w:val="single" w:sz="8" w:color="A6A6A6"/>
            </w:tcBorders>
          </w:tcPr>
          <w:p>
            <w:pPr>
              <w:jc w:val="right"/>
              <w:ind w:right="39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5,074</w:t>
            </w:r>
          </w:p>
        </w:tc>
      </w:tr>
      <w:tr>
        <w:trPr>
          <w:trHeight w:val="183"/>
        </w:trPr>
        <w:tc>
          <w:tcPr>
            <w:tcW w:w="7700" w:type="dxa"/>
            <w:vAlign w:val="bottom"/>
          </w:tcPr>
          <w:p>
            <w:pPr>
              <w:ind w:left="120"/>
              <w:spacing w:after="0" w:line="183" w:lineRule="exact"/>
              <w:rPr>
                <w:sz w:val="20"/>
                <w:szCs w:val="20"/>
                <w:color w:val="auto"/>
              </w:rPr>
            </w:pPr>
            <w:r>
              <w:rPr>
                <w:rFonts w:ascii="Arial" w:cs="Arial" w:eastAsia="Arial" w:hAnsi="Arial"/>
                <w:sz w:val="16"/>
                <w:szCs w:val="16"/>
                <w:color w:val="004483"/>
              </w:rPr>
              <w:t>Noncurrent Operating Lease Liabilities</w:t>
            </w:r>
          </w:p>
        </w:tc>
        <w:tc>
          <w:tcPr>
            <w:tcW w:w="58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34,951</w:t>
            </w:r>
          </w:p>
        </w:tc>
      </w:tr>
      <w:tr>
        <w:trPr>
          <w:trHeight w:val="27"/>
        </w:trPr>
        <w:tc>
          <w:tcPr>
            <w:tcW w:w="7700" w:type="dxa"/>
            <w:vAlign w:val="bottom"/>
            <w:tcBorders>
              <w:bottom w:val="single" w:sz="8" w:color="A6A6A6"/>
            </w:tcBorders>
          </w:tcPr>
          <w:p>
            <w:pPr>
              <w:spacing w:after="0"/>
              <w:rPr>
                <w:sz w:val="2"/>
                <w:szCs w:val="2"/>
                <w:color w:val="auto"/>
              </w:rPr>
            </w:pPr>
          </w:p>
        </w:tc>
        <w:tc>
          <w:tcPr>
            <w:tcW w:w="580" w:type="dxa"/>
            <w:vAlign w:val="bottom"/>
            <w:tcBorders>
              <w:bottom w:val="single" w:sz="8" w:color="004483"/>
            </w:tcBorders>
            <w:shd w:val="clear" w:color="auto" w:fill="004483"/>
          </w:tcPr>
          <w:p>
            <w:pPr>
              <w:spacing w:after="0"/>
              <w:rPr>
                <w:sz w:val="2"/>
                <w:szCs w:val="2"/>
                <w:color w:val="auto"/>
              </w:rPr>
            </w:pPr>
          </w:p>
        </w:tc>
        <w:tc>
          <w:tcPr>
            <w:tcW w:w="980" w:type="dxa"/>
            <w:vAlign w:val="bottom"/>
            <w:tcBorders>
              <w:bottom w:val="single" w:sz="8" w:color="004483"/>
            </w:tcBorders>
            <w:shd w:val="clear" w:color="auto" w:fill="004483"/>
          </w:tcPr>
          <w:p>
            <w:pPr>
              <w:spacing w:after="0"/>
              <w:rPr>
                <w:sz w:val="2"/>
                <w:szCs w:val="2"/>
                <w:color w:val="auto"/>
              </w:rPr>
            </w:pPr>
          </w:p>
        </w:tc>
      </w:tr>
      <w:tr>
        <w:trPr>
          <w:trHeight w:val="183"/>
        </w:trPr>
        <w:tc>
          <w:tcPr>
            <w:tcW w:w="7700" w:type="dxa"/>
            <w:vAlign w:val="bottom"/>
          </w:tcPr>
          <w:p>
            <w:pPr>
              <w:ind w:left="20"/>
              <w:spacing w:after="0" w:line="169" w:lineRule="exact"/>
              <w:rPr>
                <w:sz w:val="20"/>
                <w:szCs w:val="20"/>
                <w:color w:val="auto"/>
              </w:rPr>
            </w:pPr>
            <w:r>
              <w:rPr>
                <w:rFonts w:ascii="Arial" w:cs="Arial" w:eastAsia="Arial" w:hAnsi="Arial"/>
                <w:sz w:val="16"/>
                <w:szCs w:val="16"/>
                <w:b w:val="1"/>
                <w:bCs w:val="1"/>
                <w:color w:val="auto"/>
              </w:rPr>
              <w:t>Total Operating Lease Liabilities</w:t>
            </w:r>
          </w:p>
        </w:tc>
        <w:tc>
          <w:tcPr>
            <w:tcW w:w="580" w:type="dxa"/>
            <w:vAlign w:val="bottom"/>
            <w:tcBorders>
              <w:bottom w:val="single" w:sz="8" w:color="004483"/>
            </w:tcBorders>
          </w:tcPr>
          <w:p>
            <w:pPr>
              <w:jc w:val="right"/>
              <w:ind w:right="399"/>
              <w:spacing w:after="0" w:line="169" w:lineRule="exact"/>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spacing w:after="0" w:line="169" w:lineRule="exact"/>
              <w:rPr>
                <w:sz w:val="20"/>
                <w:szCs w:val="20"/>
                <w:color w:val="auto"/>
              </w:rPr>
            </w:pPr>
            <w:r>
              <w:rPr>
                <w:rFonts w:ascii="Arial" w:cs="Arial" w:eastAsia="Arial" w:hAnsi="Arial"/>
                <w:sz w:val="16"/>
                <w:szCs w:val="16"/>
                <w:b w:val="1"/>
                <w:bCs w:val="1"/>
                <w:color w:val="auto"/>
              </w:rPr>
              <w:t>40,025</w:t>
            </w:r>
          </w:p>
        </w:tc>
      </w:tr>
      <w:tr>
        <w:trPr>
          <w:trHeight w:val="20"/>
        </w:trPr>
        <w:tc>
          <w:tcPr>
            <w:tcW w:w="770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1041" w:hanging="1041"/>
        <w:spacing w:after="0"/>
        <w:tabs>
          <w:tab w:leader="none" w:pos="1041" w:val="left"/>
        </w:tabs>
        <w:numPr>
          <w:ilvl w:val="0"/>
          <w:numId w:val="13"/>
        </w:numPr>
        <w:rPr>
          <w:rFonts w:ascii="Arial" w:cs="Arial" w:eastAsia="Arial" w:hAnsi="Arial"/>
          <w:sz w:val="15"/>
          <w:szCs w:val="15"/>
          <w:color w:val="auto"/>
        </w:rPr>
      </w:pPr>
      <w:r>
        <w:rPr>
          <w:rFonts w:ascii="Arial" w:cs="Arial" w:eastAsia="Arial" w:hAnsi="Arial"/>
          <w:sz w:val="15"/>
          <w:szCs w:val="15"/>
          <w:color w:val="auto"/>
        </w:rPr>
        <w:t>19,373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-108585</wp:posOffset>
            </wp:positionV>
            <wp:extent cx="11144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19685</wp:posOffset>
            </wp:positionV>
            <wp:extent cx="111442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14425" cy="26035"/>
                    </a:xfrm>
                    <a:prstGeom prst="rect">
                      <a:avLst/>
                    </a:prstGeom>
                    <a:noFill/>
                  </pic:spPr>
                </pic:pic>
              </a:graphicData>
            </a:graphic>
          </wp:anchor>
        </w:drawing>
      </w:r>
    </w:p>
    <w:p>
      <w:pPr>
        <w:spacing w:after="0" w:line="240" w:lineRule="exact"/>
        <w:rPr>
          <w:sz w:val="20"/>
          <w:szCs w:val="20"/>
          <w:color w:val="auto"/>
        </w:rPr>
      </w:pPr>
    </w:p>
    <w:p>
      <w:pPr>
        <w:ind w:left="1121" w:hanging="1121"/>
        <w:spacing w:after="0"/>
        <w:tabs>
          <w:tab w:leader="none" w:pos="1121" w:val="left"/>
        </w:tabs>
        <w:numPr>
          <w:ilvl w:val="0"/>
          <w:numId w:val="14"/>
        </w:numPr>
        <w:rPr>
          <w:rFonts w:ascii="Arial" w:cs="Arial" w:eastAsia="Arial" w:hAnsi="Arial"/>
          <w:sz w:val="15"/>
          <w:szCs w:val="15"/>
          <w:color w:val="auto"/>
        </w:rPr>
      </w:pPr>
      <w:r>
        <w:rPr>
          <w:rFonts w:ascii="Arial" w:cs="Arial" w:eastAsia="Arial" w:hAnsi="Arial"/>
          <w:sz w:val="15"/>
          <w:szCs w:val="15"/>
          <w:color w:val="auto"/>
        </w:rPr>
        <w:t>7,899</w:t>
      </w:r>
    </w:p>
    <w:p>
      <w:pPr>
        <w:spacing w:after="0" w:line="42" w:lineRule="exact"/>
        <w:rPr>
          <w:rFonts w:ascii="Arial" w:cs="Arial" w:eastAsia="Arial" w:hAnsi="Arial"/>
          <w:sz w:val="15"/>
          <w:szCs w:val="15"/>
          <w:color w:val="auto"/>
        </w:rPr>
      </w:pPr>
    </w:p>
    <w:p>
      <w:pPr>
        <w:ind w:left="1041"/>
        <w:spacing w:after="0"/>
        <w:rPr>
          <w:rFonts w:ascii="Arial" w:cs="Arial" w:eastAsia="Arial" w:hAnsi="Arial"/>
          <w:sz w:val="15"/>
          <w:szCs w:val="15"/>
          <w:color w:val="auto"/>
        </w:rPr>
      </w:pPr>
      <w:r>
        <w:rPr>
          <w:rFonts w:ascii="Arial" w:cs="Arial" w:eastAsia="Arial" w:hAnsi="Arial"/>
          <w:sz w:val="15"/>
          <w:szCs w:val="15"/>
          <w:color w:val="auto"/>
        </w:rPr>
        <w:t>19,037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-244475</wp:posOffset>
            </wp:positionV>
            <wp:extent cx="11144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4425"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-116205</wp:posOffset>
            </wp:positionV>
            <wp:extent cx="11144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442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12065</wp:posOffset>
            </wp:positionV>
            <wp:extent cx="99441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94410" cy="26035"/>
                    </a:xfrm>
                    <a:prstGeom prst="rect">
                      <a:avLst/>
                    </a:prstGeom>
                    <a:noFill/>
                  </pic:spPr>
                </pic:pic>
              </a:graphicData>
            </a:graphic>
          </wp:anchor>
        </w:drawing>
      </w:r>
    </w:p>
    <w:p>
      <w:pPr>
        <w:spacing w:after="0" w:line="25" w:lineRule="exact"/>
        <w:rPr>
          <w:sz w:val="20"/>
          <w:szCs w:val="20"/>
          <w:color w:val="auto"/>
        </w:rPr>
      </w:pPr>
    </w:p>
    <w:p>
      <w:pPr>
        <w:ind w:left="1041" w:hanging="1041"/>
        <w:spacing w:after="0"/>
        <w:tabs>
          <w:tab w:leader="none" w:pos="1041"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26,936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-108585</wp:posOffset>
            </wp:positionV>
            <wp:extent cx="1200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19685</wp:posOffset>
            </wp:positionV>
            <wp:extent cx="99441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36830</wp:posOffset>
            </wp:positionV>
            <wp:extent cx="9944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9260" w:space="319"/>
            <w:col w:w="1661"/>
          </w:cols>
          <w:pgMar w:left="320" w:top="1133" w:right="339" w:bottom="1440" w:gutter="0" w:footer="0" w:header="0"/>
          <w:type w:val="continuous"/>
        </w:sectPr>
      </w:pPr>
    </w:p>
    <w:p>
      <w:pPr>
        <w:spacing w:after="0"/>
        <w:rPr>
          <w:sz w:val="20"/>
          <w:szCs w:val="20"/>
          <w:color w:val="auto"/>
        </w:rPr>
      </w:pPr>
      <w:r>
        <w:rPr>
          <w:rFonts w:ascii="Arial" w:cs="Arial" w:eastAsia="Arial" w:hAnsi="Arial"/>
          <w:sz w:val="18"/>
          <w:szCs w:val="18"/>
          <w:color w:val="auto"/>
        </w:rPr>
        <w:t>Future payments for operating leases are as follows (dollars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160" w:type="dxa"/>
            <w:vAlign w:val="bottom"/>
          </w:tcPr>
          <w:p>
            <w:pPr>
              <w:ind w:left="20"/>
              <w:spacing w:after="0"/>
              <w:rPr>
                <w:sz w:val="20"/>
                <w:szCs w:val="20"/>
                <w:color w:val="auto"/>
              </w:rPr>
            </w:pPr>
            <w:r>
              <w:rPr>
                <w:rFonts w:ascii="Arial" w:cs="Arial" w:eastAsia="Arial" w:hAnsi="Arial"/>
                <w:sz w:val="13"/>
                <w:szCs w:val="13"/>
                <w:b w:val="1"/>
                <w:bCs w:val="1"/>
                <w:color w:val="auto"/>
              </w:rPr>
              <w:t>Fiscal Year</w:t>
            </w:r>
          </w:p>
        </w:tc>
        <w:tc>
          <w:tcPr>
            <w:tcW w:w="720" w:type="dxa"/>
            <w:vAlign w:val="bottom"/>
          </w:tcPr>
          <w:p>
            <w:pPr>
              <w:spacing w:after="0"/>
              <w:rPr>
                <w:sz w:val="13"/>
                <w:szCs w:val="13"/>
                <w:color w:val="auto"/>
              </w:rPr>
            </w:pPr>
          </w:p>
        </w:tc>
        <w:tc>
          <w:tcPr>
            <w:tcW w:w="1340" w:type="dxa"/>
            <w:vAlign w:val="bottom"/>
            <w:gridSpan w:val="2"/>
          </w:tcPr>
          <w:p>
            <w:pPr>
              <w:ind w:left="68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83"/>
        </w:trPr>
        <w:tc>
          <w:tcPr>
            <w:tcW w:w="9160" w:type="dxa"/>
            <w:vAlign w:val="bottom"/>
            <w:tcBorders>
              <w:top w:val="single" w:sz="8" w:color="004483"/>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2025 (remaining three months)</w:t>
            </w:r>
          </w:p>
        </w:tc>
        <w:tc>
          <w:tcPr>
            <w:tcW w:w="720" w:type="dxa"/>
            <w:vAlign w:val="bottom"/>
            <w:tcBorders>
              <w:top w:val="single" w:sz="8" w:color="004483"/>
              <w:bottom w:val="single" w:sz="8" w:color="A6A6A6"/>
            </w:tcBorders>
          </w:tcPr>
          <w:p>
            <w:pPr>
              <w:jc w:val="right"/>
              <w:ind w:right="539"/>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1,893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1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2026</w:t>
            </w:r>
          </w:p>
        </w:tc>
        <w:tc>
          <w:tcPr>
            <w:tcW w:w="72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4,959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1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2027</w:t>
            </w:r>
          </w:p>
        </w:tc>
        <w:tc>
          <w:tcPr>
            <w:tcW w:w="72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4,183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1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2028</w:t>
            </w:r>
          </w:p>
        </w:tc>
        <w:tc>
          <w:tcPr>
            <w:tcW w:w="72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3,495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1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2029</w:t>
            </w:r>
          </w:p>
        </w:tc>
        <w:tc>
          <w:tcPr>
            <w:tcW w:w="72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3,530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160" w:type="dxa"/>
            <w:vAlign w:val="bottom"/>
          </w:tcPr>
          <w:p>
            <w:pPr>
              <w:ind w:left="20"/>
              <w:spacing w:after="0" w:line="183" w:lineRule="exact"/>
              <w:rPr>
                <w:sz w:val="20"/>
                <w:szCs w:val="20"/>
                <w:color w:val="auto"/>
              </w:rPr>
            </w:pPr>
            <w:r>
              <w:rPr>
                <w:rFonts w:ascii="Arial" w:cs="Arial" w:eastAsia="Arial" w:hAnsi="Arial"/>
                <w:sz w:val="16"/>
                <w:szCs w:val="16"/>
                <w:color w:val="004483"/>
              </w:rPr>
              <w:t>Thereafter</w:t>
            </w:r>
          </w:p>
        </w:tc>
        <w:tc>
          <w:tcPr>
            <w:tcW w:w="72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34,094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9160" w:type="dxa"/>
            <w:vAlign w:val="bottom"/>
            <w:tcBorders>
              <w:bottom w:val="single" w:sz="8" w:color="A6A6A6"/>
            </w:tcBorders>
          </w:tcPr>
          <w:p>
            <w:pPr>
              <w:spacing w:after="0"/>
              <w:rPr>
                <w:sz w:val="2"/>
                <w:szCs w:val="2"/>
                <w:color w:val="auto"/>
              </w:rPr>
            </w:pPr>
          </w:p>
        </w:tc>
        <w:tc>
          <w:tcPr>
            <w:tcW w:w="720" w:type="dxa"/>
            <w:vAlign w:val="bottom"/>
            <w:tcBorders>
              <w:bottom w:val="single" w:sz="8" w:color="004483"/>
            </w:tcBorders>
            <w:shd w:val="clear" w:color="auto" w:fill="004483"/>
          </w:tcPr>
          <w:p>
            <w:pPr>
              <w:spacing w:after="0"/>
              <w:rPr>
                <w:sz w:val="2"/>
                <w:szCs w:val="2"/>
                <w:color w:val="auto"/>
              </w:rPr>
            </w:pPr>
          </w:p>
        </w:tc>
        <w:tc>
          <w:tcPr>
            <w:tcW w:w="1180" w:type="dxa"/>
            <w:vAlign w:val="bottom"/>
            <w:tcBorders>
              <w:bottom w:val="single" w:sz="8" w:color="004483"/>
            </w:tcBorders>
            <w:shd w:val="clear" w:color="auto" w:fill="004483"/>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1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Total Lease Payments</w:t>
            </w:r>
          </w:p>
        </w:tc>
        <w:tc>
          <w:tcPr>
            <w:tcW w:w="720" w:type="dxa"/>
            <w:vAlign w:val="bottom"/>
            <w:tcBorders>
              <w:bottom w:val="single" w:sz="8" w:color="A6A6A6"/>
            </w:tcBorders>
          </w:tcPr>
          <w:p>
            <w:pPr>
              <w:jc w:val="right"/>
              <w:ind w:right="539"/>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52,154</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9160" w:type="dxa"/>
            <w:vAlign w:val="bottom"/>
          </w:tcPr>
          <w:p>
            <w:pPr>
              <w:ind w:left="20"/>
              <w:spacing w:after="0" w:line="183" w:lineRule="exact"/>
              <w:rPr>
                <w:sz w:val="20"/>
                <w:szCs w:val="20"/>
                <w:color w:val="auto"/>
              </w:rPr>
            </w:pPr>
            <w:r>
              <w:rPr>
                <w:rFonts w:ascii="Arial" w:cs="Arial" w:eastAsia="Arial" w:hAnsi="Arial"/>
                <w:sz w:val="16"/>
                <w:szCs w:val="16"/>
                <w:color w:val="004483"/>
              </w:rPr>
              <w:t>Less: Imputed Interest</w:t>
            </w:r>
          </w:p>
        </w:tc>
        <w:tc>
          <w:tcPr>
            <w:tcW w:w="72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(12,129</w:t>
            </w: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9160" w:type="dxa"/>
            <w:vAlign w:val="bottom"/>
            <w:tcBorders>
              <w:bottom w:val="single" w:sz="8" w:color="A6A6A6"/>
            </w:tcBorders>
          </w:tcPr>
          <w:p>
            <w:pPr>
              <w:spacing w:after="0"/>
              <w:rPr>
                <w:sz w:val="2"/>
                <w:szCs w:val="2"/>
                <w:color w:val="auto"/>
              </w:rPr>
            </w:pPr>
          </w:p>
        </w:tc>
        <w:tc>
          <w:tcPr>
            <w:tcW w:w="720" w:type="dxa"/>
            <w:vAlign w:val="bottom"/>
            <w:tcBorders>
              <w:bottom w:val="single" w:sz="8" w:color="004483"/>
            </w:tcBorders>
            <w:shd w:val="clear" w:color="auto" w:fill="004483"/>
          </w:tcPr>
          <w:p>
            <w:pPr>
              <w:spacing w:after="0"/>
              <w:rPr>
                <w:sz w:val="2"/>
                <w:szCs w:val="2"/>
                <w:color w:val="auto"/>
              </w:rPr>
            </w:pPr>
          </w:p>
        </w:tc>
        <w:tc>
          <w:tcPr>
            <w:tcW w:w="1180" w:type="dxa"/>
            <w:vAlign w:val="bottom"/>
            <w:tcBorders>
              <w:bottom w:val="single" w:sz="8" w:color="004483"/>
            </w:tcBorders>
            <w:shd w:val="clear" w:color="auto" w:fill="004483"/>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160" w:type="dxa"/>
            <w:vAlign w:val="bottom"/>
          </w:tcPr>
          <w:p>
            <w:pPr>
              <w:ind w:left="20"/>
              <w:spacing w:after="0" w:line="169" w:lineRule="exact"/>
              <w:rPr>
                <w:sz w:val="20"/>
                <w:szCs w:val="20"/>
                <w:color w:val="auto"/>
              </w:rPr>
            </w:pPr>
            <w:r>
              <w:rPr>
                <w:rFonts w:ascii="Arial" w:cs="Arial" w:eastAsia="Arial" w:hAnsi="Arial"/>
                <w:sz w:val="16"/>
                <w:szCs w:val="16"/>
                <w:b w:val="1"/>
                <w:bCs w:val="1"/>
                <w:color w:val="auto"/>
              </w:rPr>
              <w:t>Present Value of Lease Liabilities</w:t>
            </w:r>
          </w:p>
        </w:tc>
        <w:tc>
          <w:tcPr>
            <w:tcW w:w="720" w:type="dxa"/>
            <w:vAlign w:val="bottom"/>
            <w:tcBorders>
              <w:bottom w:val="single" w:sz="8" w:color="004483"/>
            </w:tcBorders>
          </w:tcPr>
          <w:p>
            <w:pPr>
              <w:jc w:val="right"/>
              <w:ind w:right="539"/>
              <w:spacing w:after="0" w:line="169" w:lineRule="exact"/>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004483"/>
            </w:tcBorders>
          </w:tcPr>
          <w:p>
            <w:pPr>
              <w:jc w:val="right"/>
              <w:spacing w:after="0" w:line="169" w:lineRule="exact"/>
              <w:rPr>
                <w:sz w:val="20"/>
                <w:szCs w:val="20"/>
                <w:color w:val="auto"/>
              </w:rPr>
            </w:pPr>
            <w:r>
              <w:rPr>
                <w:rFonts w:ascii="Arial" w:cs="Arial" w:eastAsia="Arial" w:hAnsi="Arial"/>
                <w:sz w:val="16"/>
                <w:szCs w:val="16"/>
                <w:b w:val="1"/>
                <w:bCs w:val="1"/>
                <w:color w:val="auto"/>
              </w:rPr>
              <w:t>40,025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720" w:type="dxa"/>
            <w:vAlign w:val="bottom"/>
            <w:tcBorders>
              <w:bottom w:val="single" w:sz="8" w:color="004483"/>
            </w:tcBorders>
          </w:tcPr>
          <w:p>
            <w:pPr>
              <w:spacing w:after="0" w:line="20" w:lineRule="exact"/>
              <w:rPr>
                <w:sz w:val="1"/>
                <w:szCs w:val="1"/>
                <w:color w:val="auto"/>
              </w:rPr>
            </w:pPr>
          </w:p>
        </w:tc>
        <w:tc>
          <w:tcPr>
            <w:tcW w:w="118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160" w:type="dxa"/>
            <w:vAlign w:val="bottom"/>
            <w:tcBorders>
              <w:bottom w:val="single" w:sz="8" w:color="A6A6A6"/>
            </w:tcBorders>
          </w:tcPr>
          <w:p>
            <w:pPr>
              <w:spacing w:after="0"/>
              <w:rPr>
                <w:sz w:val="14"/>
                <w:szCs w:val="14"/>
                <w:color w:val="auto"/>
              </w:rPr>
            </w:pPr>
          </w:p>
        </w:tc>
        <w:tc>
          <w:tcPr>
            <w:tcW w:w="720" w:type="dxa"/>
            <w:vAlign w:val="bottom"/>
            <w:tcBorders>
              <w:bottom w:val="single" w:sz="8" w:color="A6A6A6"/>
            </w:tcBorders>
          </w:tcPr>
          <w:p>
            <w:pPr>
              <w:spacing w:after="0"/>
              <w:rPr>
                <w:sz w:val="14"/>
                <w:szCs w:val="14"/>
                <w:color w:val="auto"/>
              </w:rPr>
            </w:pPr>
          </w:p>
        </w:tc>
        <w:tc>
          <w:tcPr>
            <w:tcW w:w="1180" w:type="dxa"/>
            <w:vAlign w:val="bottom"/>
            <w:tcBorders>
              <w:bottom w:val="single" w:sz="8" w:color="A6A6A6"/>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1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Weighted-Average Remaining Lease Term (in years)</w:t>
            </w:r>
          </w:p>
        </w:tc>
        <w:tc>
          <w:tcPr>
            <w:tcW w:w="72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b w:val="1"/>
                <w:bCs w:val="1"/>
                <w:color w:val="auto"/>
              </w:rPr>
              <w:t>11.2</w:t>
            </w:r>
          </w:p>
        </w:tc>
        <w:tc>
          <w:tcPr>
            <w:tcW w:w="16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84"/>
              </w:rPr>
              <w:t>%</w:t>
            </w:r>
          </w:p>
        </w:tc>
        <w:tc>
          <w:tcPr>
            <w:tcW w:w="0" w:type="dxa"/>
            <w:vAlign w:val="bottom"/>
          </w:tcPr>
          <w:p>
            <w:pPr>
              <w:spacing w:after="0"/>
              <w:rPr>
                <w:sz w:val="1"/>
                <w:szCs w:val="1"/>
                <w:color w:val="auto"/>
              </w:rPr>
            </w:pPr>
          </w:p>
        </w:tc>
      </w:tr>
      <w:tr>
        <w:trPr>
          <w:trHeight w:val="183"/>
        </w:trPr>
        <w:tc>
          <w:tcPr>
            <w:tcW w:w="91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Weighted-Average Discount Rate</w:t>
            </w:r>
          </w:p>
        </w:tc>
        <w:tc>
          <w:tcPr>
            <w:tcW w:w="72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b w:val="1"/>
                <w:bCs w:val="1"/>
                <w:color w:val="auto"/>
              </w:rPr>
              <w:t>3.30</w:t>
            </w: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 SHARE-BASED EMPLOYEE COMPENSATION</w:t>
      </w:r>
    </w:p>
    <w:p>
      <w:pPr>
        <w:spacing w:after="0" w:line="9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On August 3, 2023, our stockholders approved the Eagle Materials Inc. 2023 Equity Incentive Plan (the Plan), which reserves 1,425,000 shares for future grants of stock awards. Under the terms of the 2023 Plan, we can issue equity awards, including stock options, restricted stock units, restricted stock, and stock appreciation rights to employees of the Company, members of the Board of Directors and consultants, independent contractors, and agents of the Company. The Compensation Committee of our Board of Directors (Compensation Committee) specifies grant terms for awards under the Plan.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2025 Equity Awards</w:t>
      </w:r>
    </w:p>
    <w:p>
      <w:pPr>
        <w:spacing w:after="0" w:line="10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May 2024, the Compensation Committee awarded to certain officers and key employees an aggregate of 29,391 performance stock units and 1,963 performance stock options, as compensation for achievement of the target level of performance (collectively, the Performance Stock Awards). For the Performance Stock Awards to be earned, the Company must achieve performance vesting criteria as modified based on the Company’s average absolute total stockholder return during the performance period. The performance vesting criteria are based on certain levels of average annual return on equity (as defined in the Performance Stock Award Agreements) ranging from 10.0% to 20.0% measured at the end of fiscal 2027 (three-year performance period) as modified by total stockholder return. Performance outcomes (taking into account both criteria) will result in a threshold vesting percentage of 50% of target, and maximum performance will result in a vesting percentage of</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200% of target. If the threshold vesting percentage is not achieved, none of the Performance Stock Awards will be earned.</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Performance Stock Awards are evaluated on a quarterly basis with adjustments to compensation expense based on the likelihood of the performance targets being achieved or exceeded. The maximum expense for our outstanding Performance Stock Awards is approximately $11.7 million. Any forfeitures are recognized as a reduction to expense in the period in which they occur.</w:t>
      </w:r>
    </w:p>
    <w:p>
      <w:pPr>
        <w:spacing w:after="0" w:line="6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fair value of the above Performance Stock Awards was determined using a Monte Carlo simulation. The following are key inputs in the Monte Carlo analysis for the Fiscal 2025 Employee Performance Stock Award.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Measurement Period (in years)</w:t>
            </w:r>
          </w:p>
        </w:tc>
        <w:tc>
          <w:tcPr>
            <w:tcW w:w="3200" w:type="dxa"/>
            <w:vAlign w:val="bottom"/>
            <w:tcBorders>
              <w:top w:val="single" w:sz="8" w:color="004483"/>
              <w:bottom w:val="single" w:sz="8" w:color="A6A6A6"/>
            </w:tcBorders>
          </w:tcPr>
          <w:p>
            <w:pPr>
              <w:spacing w:after="0"/>
              <w:rPr>
                <w:sz w:val="19"/>
                <w:szCs w:val="19"/>
                <w:color w:val="auto"/>
              </w:rPr>
            </w:pPr>
          </w:p>
        </w:tc>
        <w:tc>
          <w:tcPr>
            <w:tcW w:w="11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2.85</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83"/>
        </w:trPr>
        <w:tc>
          <w:tcPr>
            <w:tcW w:w="6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Risk-Free Interest Rate</w:t>
            </w:r>
          </w:p>
        </w:tc>
        <w:tc>
          <w:tcPr>
            <w:tcW w:w="320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4.7</w:t>
            </w: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Dividend Yield</w:t>
            </w:r>
          </w:p>
        </w:tc>
        <w:tc>
          <w:tcPr>
            <w:tcW w:w="320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0.4</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83"/>
        </w:trPr>
        <w:tc>
          <w:tcPr>
            <w:tcW w:w="6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Volatility</w:t>
            </w:r>
          </w:p>
        </w:tc>
        <w:tc>
          <w:tcPr>
            <w:tcW w:w="320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31.4</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83"/>
        </w:trPr>
        <w:tc>
          <w:tcPr>
            <w:tcW w:w="6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Estimated Fair Value of Market-Based PSAs at Grant Date</w:t>
            </w:r>
          </w:p>
        </w:tc>
        <w:tc>
          <w:tcPr>
            <w:tcW w:w="3200" w:type="dxa"/>
            <w:vAlign w:val="bottom"/>
            <w:tcBorders>
              <w:bottom w:val="single" w:sz="8" w:color="A6A6A6"/>
            </w:tcBorders>
          </w:tcPr>
          <w:p>
            <w:pPr>
              <w:jc w:val="right"/>
              <w:ind w:right="55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238.27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 addition to the Performance Stock Awards discussed above, the Compensation Committee approved the granting to certain officers and key employees an aggregate of 1,963 time-vesting stock options, which vest ratably over three years (the Fiscal 2025 Employee Time-Vesting Stock Option Grant) and 30,272 shares of time-vesting restricted stock units, which vest ratably over three years (the Fiscal 2025 Employee Restricted Stock Unit Time-Vesting Award). The Fiscal 2025 Employee Restricted Stock Unit Time-Vesting Award was valued at the closing price of the stock on the grant date and is being expensed over a three-year period. The Fiscal 2025 Employee Time-Vesting Stock Option Grant was valued at its grant date using the Black-Scholes option pricing model, which used similar inputs as the Monte Carlo analysis shown above.</w:t>
      </w:r>
    </w:p>
    <w:p>
      <w:pPr>
        <w:spacing w:after="0" w:line="7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August 2024, the Compensation Committee granted 1,550 options to members of the Board of Directors (the Fiscal 2025 Board of Directors Stock Option Award). Options granted under the Fiscal 2025 Board of Directors Stock Option Award vest one year after the grant date and can be exercised from the date of vesting until their expiration on the tenth anniversary of the grant date.</w:t>
      </w:r>
    </w:p>
    <w:p>
      <w:pPr>
        <w:spacing w:after="0" w:line="6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Fiscal 2025 Board of Directors Stock Option Award was valued at its grant date using the Black-Scholes option pricing model and is being expensed over a one-year period. The weighted-average assumptions used in the Black-Scholes model to value the Fiscal 2025 Board of Directors Stock Option Award are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6040" w:type="dxa"/>
            <w:vAlign w:val="bottom"/>
            <w:shd w:val="clear" w:color="auto" w:fill="004483"/>
          </w:tcPr>
          <w:p>
            <w:pPr>
              <w:spacing w:after="0"/>
              <w:rPr>
                <w:sz w:val="3"/>
                <w:szCs w:val="3"/>
                <w:color w:val="auto"/>
              </w:rPr>
            </w:pPr>
          </w:p>
        </w:tc>
        <w:tc>
          <w:tcPr>
            <w:tcW w:w="5020" w:type="dxa"/>
            <w:vAlign w:val="bottom"/>
            <w:shd w:val="clear" w:color="auto" w:fill="004483"/>
          </w:tcPr>
          <w:p>
            <w:pPr>
              <w:spacing w:after="0"/>
              <w:rPr>
                <w:sz w:val="3"/>
                <w:szCs w:val="3"/>
                <w:color w:val="auto"/>
              </w:rPr>
            </w:pPr>
          </w:p>
        </w:tc>
        <w:tc>
          <w:tcPr>
            <w:tcW w:w="160" w:type="dxa"/>
            <w:vAlign w:val="bottom"/>
          </w:tcPr>
          <w:p>
            <w:pPr>
              <w:spacing w:after="0"/>
              <w:rPr>
                <w:sz w:val="3"/>
                <w:szCs w:val="3"/>
                <w:color w:val="auto"/>
              </w:rPr>
            </w:pPr>
          </w:p>
        </w:tc>
      </w:tr>
      <w:tr>
        <w:trPr>
          <w:trHeight w:val="189"/>
        </w:trPr>
        <w:tc>
          <w:tcPr>
            <w:tcW w:w="6040" w:type="dxa"/>
            <w:vAlign w:val="bottom"/>
          </w:tcPr>
          <w:p>
            <w:pPr>
              <w:ind w:left="20"/>
              <w:spacing w:after="0"/>
              <w:rPr>
                <w:sz w:val="20"/>
                <w:szCs w:val="20"/>
                <w:color w:val="auto"/>
              </w:rPr>
            </w:pPr>
            <w:r>
              <w:rPr>
                <w:rFonts w:ascii="Arial" w:cs="Arial" w:eastAsia="Arial" w:hAnsi="Arial"/>
                <w:sz w:val="16"/>
                <w:szCs w:val="16"/>
                <w:color w:val="004483"/>
              </w:rPr>
              <w:t>Dividend Yield</w:t>
            </w:r>
          </w:p>
        </w:tc>
        <w:tc>
          <w:tcPr>
            <w:tcW w:w="5180" w:type="dxa"/>
            <w:vAlign w:val="bottom"/>
            <w:gridSpan w:val="2"/>
          </w:tcPr>
          <w:p>
            <w:pPr>
              <w:jc w:val="right"/>
              <w:spacing w:after="0"/>
              <w:rPr>
                <w:sz w:val="20"/>
                <w:szCs w:val="20"/>
                <w:color w:val="auto"/>
              </w:rPr>
            </w:pPr>
            <w:r>
              <w:rPr>
                <w:rFonts w:ascii="Arial" w:cs="Arial" w:eastAsia="Arial" w:hAnsi="Arial"/>
                <w:sz w:val="16"/>
                <w:szCs w:val="16"/>
                <w:color w:val="auto"/>
              </w:rPr>
              <w:t>0.5 %</w:t>
            </w:r>
          </w:p>
        </w:tc>
      </w:tr>
      <w:tr>
        <w:trPr>
          <w:trHeight w:val="183"/>
        </w:trPr>
        <w:tc>
          <w:tcPr>
            <w:tcW w:w="604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Expected Volatility</w:t>
            </w:r>
          </w:p>
        </w:tc>
        <w:tc>
          <w:tcPr>
            <w:tcW w:w="50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38.8</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98"/>
              </w:rPr>
              <w:t>%</w:t>
            </w:r>
          </w:p>
        </w:tc>
      </w:tr>
      <w:tr>
        <w:trPr>
          <w:trHeight w:val="183"/>
        </w:trPr>
        <w:tc>
          <w:tcPr>
            <w:tcW w:w="60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Risk-Free Interest Rate</w:t>
            </w:r>
          </w:p>
        </w:tc>
        <w:tc>
          <w:tcPr>
            <w:tcW w:w="5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4.4</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98"/>
              </w:rPr>
              <w:t>%</w:t>
            </w:r>
          </w:p>
        </w:tc>
      </w:tr>
      <w:tr>
        <w:trPr>
          <w:trHeight w:val="183"/>
        </w:trPr>
        <w:tc>
          <w:tcPr>
            <w:tcW w:w="60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Expected Life</w:t>
            </w:r>
          </w:p>
        </w:tc>
        <w:tc>
          <w:tcPr>
            <w:tcW w:w="5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6.0 years</w:t>
            </w:r>
          </w:p>
        </w:tc>
        <w:tc>
          <w:tcPr>
            <w:tcW w:w="160" w:type="dxa"/>
            <w:vAlign w:val="bottom"/>
          </w:tcPr>
          <w:p>
            <w:pPr>
              <w:spacing w:after="0"/>
              <w:rPr>
                <w:sz w:val="15"/>
                <w:szCs w:val="15"/>
                <w:color w:val="auto"/>
              </w:rPr>
            </w:pPr>
          </w:p>
        </w:tc>
      </w:tr>
    </w:tbl>
    <w:p>
      <w:pPr>
        <w:spacing w:after="0" w:line="89" w:lineRule="exact"/>
        <w:rPr>
          <w:sz w:val="20"/>
          <w:szCs w:val="20"/>
          <w:color w:val="auto"/>
        </w:rPr>
      </w:pPr>
    </w:p>
    <w:p>
      <w:pPr>
        <w:jc w:val="both"/>
        <w:ind w:right="300"/>
        <w:spacing w:after="0" w:line="247" w:lineRule="auto"/>
        <w:rPr>
          <w:sz w:val="20"/>
          <w:szCs w:val="20"/>
          <w:color w:val="auto"/>
        </w:rPr>
      </w:pPr>
      <w:r>
        <w:rPr>
          <w:rFonts w:ascii="Arial" w:cs="Arial" w:eastAsia="Arial" w:hAnsi="Arial"/>
          <w:sz w:val="18"/>
          <w:szCs w:val="18"/>
          <w:color w:val="auto"/>
        </w:rPr>
        <w:t>In August 2024, the Compensation Committee granted 7,078 shares of time-vesting restricted stock to members of the Board of Directors (the Fiscal 2025 Board of Directors Restricted Stock Award). Restricted stock granted under the Fiscal 2025 Board of Directors Restricted Stock Award vest one year after the grant date and were valued at the closing price of the stock on the grant date. The value of the Fiscal 2025 Board of Directors Restricted Stock Award is being expensed over a one-year period.</w:t>
      </w:r>
    </w:p>
    <w:p>
      <w:pPr>
        <w:spacing w:after="0" w:line="6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In addition to the awards described above, we may issue equity awards, including stock options, restricted stock, and restricted stock units, to certain employees from time to time. Any options issued are valued using the Black-Scholes options pricing model on the grant date and expensed over the vesting period, while restricted stock and restricted stock units are valued using the closing price on the date of grant and expensed over the vesting period.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Long-Term Compensation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0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Stock option expense for all outstanding stock option awards totaled approximately $0.3 million and $0.9 million for the three and nine months ended December 31, 2024, respectively, and $0.5 million and $1.5 million for the three and nine months ended December 31, 2023, respectively. At December 31, 2024, there was approximately $1.4 million of unrecognized compensation expense related to outstanding stock options, which is expected to be recognized over a weighted-average period of 1.3 years.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stock option activity for the nine months ended December 31, 2024:</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35"/>
        </w:trPr>
        <w:tc>
          <w:tcPr>
            <w:tcW w:w="7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restart"/>
          </w:tcPr>
          <w:p>
            <w:pPr>
              <w:jc w:val="right"/>
              <w:ind w:right="59"/>
              <w:spacing w:after="0"/>
              <w:rPr>
                <w:sz w:val="20"/>
                <w:szCs w:val="20"/>
                <w:color w:val="auto"/>
              </w:rPr>
            </w:pPr>
            <w:r>
              <w:rPr>
                <w:rFonts w:ascii="Arial" w:cs="Arial" w:eastAsia="Arial" w:hAnsi="Arial"/>
                <w:sz w:val="13"/>
                <w:szCs w:val="13"/>
                <w:b w:val="1"/>
                <w:bCs w:val="1"/>
                <w:color w:val="auto"/>
              </w:rPr>
              <w:t>Number</w:t>
            </w:r>
          </w:p>
        </w:tc>
        <w:tc>
          <w:tcPr>
            <w:tcW w:w="7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35"/>
        </w:trPr>
        <w:tc>
          <w:tcPr>
            <w:tcW w:w="7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gridSpan w:val="2"/>
          </w:tcPr>
          <w:p>
            <w:pPr>
              <w:jc w:val="right"/>
              <w:ind w:right="59"/>
              <w:spacing w:after="0"/>
              <w:rPr>
                <w:sz w:val="20"/>
                <w:szCs w:val="20"/>
                <w:color w:val="auto"/>
              </w:rPr>
            </w:pPr>
            <w:r>
              <w:rPr>
                <w:rFonts w:ascii="Arial" w:cs="Arial" w:eastAsia="Arial" w:hAnsi="Arial"/>
                <w:sz w:val="13"/>
                <w:szCs w:val="13"/>
                <w:b w:val="1"/>
                <w:bCs w:val="1"/>
                <w:color w:val="auto"/>
              </w:rPr>
              <w:t>of Shares</w:t>
            </w: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89"/>
        </w:trPr>
        <w:tc>
          <w:tcPr>
            <w:tcW w:w="770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auto"/>
              </w:rPr>
              <w:t>Outstanding Options at March 31, 2024</w:t>
            </w:r>
          </w:p>
        </w:tc>
        <w:tc>
          <w:tcPr>
            <w:tcW w:w="540" w:type="dxa"/>
            <w:vAlign w:val="bottom"/>
            <w:tcBorders>
              <w:top w:val="single" w:sz="8" w:color="004483"/>
              <w:bottom w:val="single" w:sz="8" w:color="A6A6A6"/>
            </w:tcBorders>
          </w:tcPr>
          <w:p>
            <w:pPr>
              <w:spacing w:after="0"/>
              <w:rPr>
                <w:sz w:val="16"/>
                <w:szCs w:val="16"/>
                <w:color w:val="auto"/>
              </w:rPr>
            </w:pPr>
          </w:p>
        </w:tc>
        <w:tc>
          <w:tcPr>
            <w:tcW w:w="10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252,364</w:t>
            </w:r>
          </w:p>
        </w:tc>
        <w:tc>
          <w:tcPr>
            <w:tcW w:w="120" w:type="dxa"/>
            <w:vAlign w:val="bottom"/>
          </w:tcPr>
          <w:p>
            <w:pPr>
              <w:spacing w:after="0"/>
              <w:rPr>
                <w:sz w:val="16"/>
                <w:szCs w:val="16"/>
                <w:color w:val="auto"/>
              </w:rPr>
            </w:pPr>
          </w:p>
        </w:tc>
        <w:tc>
          <w:tcPr>
            <w:tcW w:w="700" w:type="dxa"/>
            <w:vAlign w:val="bottom"/>
            <w:tcBorders>
              <w:top w:val="single" w:sz="8" w:color="004483"/>
              <w:bottom w:val="single" w:sz="8" w:color="A6A6A6"/>
            </w:tcBorders>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91.28</w:t>
            </w:r>
          </w:p>
        </w:tc>
        <w:tc>
          <w:tcPr>
            <w:tcW w:w="0" w:type="dxa"/>
            <w:vAlign w:val="bottom"/>
          </w:tcPr>
          <w:p>
            <w:pPr>
              <w:spacing w:after="0"/>
              <w:rPr>
                <w:sz w:val="1"/>
                <w:szCs w:val="1"/>
                <w:color w:val="auto"/>
              </w:rPr>
            </w:pPr>
          </w:p>
        </w:tc>
      </w:tr>
      <w:tr>
        <w:trPr>
          <w:trHeight w:val="183"/>
        </w:trPr>
        <w:tc>
          <w:tcPr>
            <w:tcW w:w="7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Granted</w:t>
            </w:r>
          </w:p>
        </w:tc>
        <w:tc>
          <w:tcPr>
            <w:tcW w:w="5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5,476</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244.92</w:t>
            </w:r>
          </w:p>
        </w:tc>
        <w:tc>
          <w:tcPr>
            <w:tcW w:w="0" w:type="dxa"/>
            <w:vAlign w:val="bottom"/>
          </w:tcPr>
          <w:p>
            <w:pPr>
              <w:spacing w:after="0"/>
              <w:rPr>
                <w:sz w:val="1"/>
                <w:szCs w:val="1"/>
                <w:color w:val="auto"/>
              </w:rPr>
            </w:pPr>
          </w:p>
        </w:tc>
      </w:tr>
      <w:tr>
        <w:trPr>
          <w:trHeight w:val="183"/>
        </w:trPr>
        <w:tc>
          <w:tcPr>
            <w:tcW w:w="7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Exercised</w:t>
            </w:r>
          </w:p>
        </w:tc>
        <w:tc>
          <w:tcPr>
            <w:tcW w:w="5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(71,353</w:t>
            </w:r>
          </w:p>
        </w:tc>
        <w:tc>
          <w:tcPr>
            <w:tcW w:w="120" w:type="dxa"/>
            <w:vAlign w:val="bottom"/>
            <w:vMerge w:val="continue"/>
          </w:tcPr>
          <w:p>
            <w:pPr>
              <w:spacing w:after="0"/>
              <w:rPr>
                <w:sz w:val="15"/>
                <w:szCs w:val="15"/>
                <w:color w:val="auto"/>
              </w:rPr>
            </w:pPr>
          </w:p>
        </w:tc>
        <w:tc>
          <w:tcPr>
            <w:tcW w:w="700" w:type="dxa"/>
            <w:vAlign w:val="bottom"/>
            <w:tcBorders>
              <w:bottom w:val="single" w:sz="8" w:color="A6A6A6"/>
            </w:tcBorders>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90.04</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Cancelled</w:t>
            </w:r>
          </w:p>
        </w:tc>
        <w:tc>
          <w:tcPr>
            <w:tcW w:w="540" w:type="dxa"/>
            <w:vAlign w:val="bottom"/>
            <w:tcBorders>
              <w:bottom w:val="single" w:sz="8" w:color="004483"/>
            </w:tcBorders>
          </w:tcPr>
          <w:p>
            <w:pPr>
              <w:spacing w:after="0"/>
              <w:rPr>
                <w:sz w:val="18"/>
                <w:szCs w:val="18"/>
                <w:color w:val="auto"/>
              </w:rPr>
            </w:pPr>
          </w:p>
        </w:tc>
        <w:tc>
          <w:tcPr>
            <w:tcW w:w="10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(1,054</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125.97</w:t>
            </w:r>
          </w:p>
        </w:tc>
        <w:tc>
          <w:tcPr>
            <w:tcW w:w="0" w:type="dxa"/>
            <w:vAlign w:val="bottom"/>
          </w:tcPr>
          <w:p>
            <w:pPr>
              <w:spacing w:after="0"/>
              <w:rPr>
                <w:sz w:val="1"/>
                <w:szCs w:val="1"/>
                <w:color w:val="auto"/>
              </w:rPr>
            </w:pPr>
          </w:p>
        </w:tc>
      </w:tr>
      <w:tr>
        <w:trPr>
          <w:trHeight w:val="183"/>
        </w:trPr>
        <w:tc>
          <w:tcPr>
            <w:tcW w:w="77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Outstanding Options at December 31, 2024</w:t>
            </w:r>
          </w:p>
        </w:tc>
        <w:tc>
          <w:tcPr>
            <w:tcW w:w="540" w:type="dxa"/>
            <w:vAlign w:val="bottom"/>
            <w:tcBorders>
              <w:bottom w:val="single" w:sz="8" w:color="004483"/>
            </w:tcBorders>
          </w:tcPr>
          <w:p>
            <w:pPr>
              <w:spacing w:after="0"/>
              <w:rPr>
                <w:sz w:val="15"/>
                <w:szCs w:val="15"/>
                <w:color w:val="auto"/>
              </w:rPr>
            </w:pPr>
          </w:p>
        </w:tc>
        <w:tc>
          <w:tcPr>
            <w:tcW w:w="10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185,433</w:t>
            </w:r>
          </w:p>
        </w:tc>
        <w:tc>
          <w:tcPr>
            <w:tcW w:w="120" w:type="dxa"/>
            <w:vAlign w:val="bottom"/>
          </w:tcPr>
          <w:p>
            <w:pPr>
              <w:spacing w:after="0"/>
              <w:rPr>
                <w:sz w:val="15"/>
                <w:szCs w:val="15"/>
                <w:color w:val="auto"/>
              </w:rPr>
            </w:pPr>
          </w:p>
        </w:tc>
        <w:tc>
          <w:tcPr>
            <w:tcW w:w="700" w:type="dxa"/>
            <w:vAlign w:val="bottom"/>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95.78</w:t>
            </w:r>
          </w:p>
        </w:tc>
        <w:tc>
          <w:tcPr>
            <w:tcW w:w="0" w:type="dxa"/>
            <w:vAlign w:val="bottom"/>
          </w:tcPr>
          <w:p>
            <w:pPr>
              <w:spacing w:after="0"/>
              <w:rPr>
                <w:sz w:val="1"/>
                <w:szCs w:val="1"/>
                <w:color w:val="auto"/>
              </w:rPr>
            </w:pPr>
          </w:p>
        </w:tc>
      </w:tr>
      <w:tr>
        <w:trPr>
          <w:trHeight w:val="20"/>
        </w:trPr>
        <w:tc>
          <w:tcPr>
            <w:tcW w:w="770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0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Options Exercisable at December 31, 2024</w:t>
            </w:r>
          </w:p>
        </w:tc>
        <w:tc>
          <w:tcPr>
            <w:tcW w:w="540" w:type="dxa"/>
            <w:vAlign w:val="bottom"/>
            <w:tcBorders>
              <w:bottom w:val="single" w:sz="8" w:color="004483"/>
            </w:tcBorders>
          </w:tcPr>
          <w:p>
            <w:pPr>
              <w:spacing w:after="0"/>
              <w:rPr>
                <w:sz w:val="14"/>
                <w:szCs w:val="14"/>
                <w:color w:val="auto"/>
              </w:rPr>
            </w:pPr>
          </w:p>
        </w:tc>
        <w:tc>
          <w:tcPr>
            <w:tcW w:w="102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148,214</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0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70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Weighted-Average Fair Value of Options Granted</w:t>
            </w: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During the Year</w:t>
            </w:r>
          </w:p>
        </w:tc>
        <w:tc>
          <w:tcPr>
            <w:tcW w:w="540" w:type="dxa"/>
            <w:vAlign w:val="bottom"/>
            <w:tcBorders>
              <w:bottom w:val="single" w:sz="8" w:color="A6A6A6"/>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104.45</w:t>
            </w:r>
          </w:p>
        </w:tc>
        <w:tc>
          <w:tcPr>
            <w:tcW w:w="120" w:type="dxa"/>
            <w:vAlign w:val="bottom"/>
          </w:tcPr>
          <w:p>
            <w:pPr>
              <w:spacing w:after="0"/>
              <w:rPr>
                <w:sz w:val="17"/>
                <w:szCs w:val="17"/>
                <w:color w:val="auto"/>
              </w:rPr>
            </w:pPr>
          </w:p>
        </w:tc>
        <w:tc>
          <w:tcPr>
            <w:tcW w:w="700" w:type="dxa"/>
            <w:vAlign w:val="bottom"/>
            <w:tcBorders>
              <w:bottom w:val="single" w:sz="8" w:color="A6A6A6"/>
            </w:tcBorders>
          </w:tcPr>
          <w:p>
            <w:pPr>
              <w:spacing w:after="0"/>
              <w:rPr>
                <w:sz w:val="17"/>
                <w:szCs w:val="17"/>
                <w:color w:val="auto"/>
              </w:rPr>
            </w:pPr>
          </w:p>
        </w:tc>
        <w:tc>
          <w:tcPr>
            <w:tcW w:w="1060" w:type="dxa"/>
            <w:vAlign w:val="bottom"/>
            <w:tcBorders>
              <w:bottom w:val="single" w:sz="8" w:color="A6A6A6"/>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December 31, 2024: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tcPr>
          <w:p>
            <w:pPr>
              <w:spacing w:after="0"/>
              <w:rPr>
                <w:sz w:val="13"/>
                <w:szCs w:val="13"/>
                <w:color w:val="auto"/>
              </w:rPr>
            </w:pPr>
          </w:p>
        </w:tc>
        <w:tc>
          <w:tcPr>
            <w:tcW w:w="1040" w:type="dxa"/>
            <w:vAlign w:val="bottom"/>
            <w:shd w:val="clear" w:color="auto" w:fill="004483"/>
          </w:tcPr>
          <w:p>
            <w:pPr>
              <w:spacing w:after="0"/>
              <w:rPr>
                <w:sz w:val="13"/>
                <w:szCs w:val="13"/>
                <w:color w:val="auto"/>
              </w:rPr>
            </w:pPr>
          </w:p>
        </w:tc>
        <w:tc>
          <w:tcPr>
            <w:tcW w:w="1360" w:type="dxa"/>
            <w:vAlign w:val="bottom"/>
            <w:gridSpan w:val="4"/>
            <w:shd w:val="clear" w:color="auto" w:fill="004483"/>
          </w:tcPr>
          <w:p>
            <w:pPr>
              <w:ind w:left="80"/>
              <w:spacing w:after="0"/>
              <w:rPr>
                <w:sz w:val="20"/>
                <w:szCs w:val="20"/>
                <w:color w:val="auto"/>
              </w:rPr>
            </w:pPr>
            <w:r>
              <w:rPr>
                <w:rFonts w:ascii="Arial" w:cs="Arial" w:eastAsia="Arial" w:hAnsi="Arial"/>
                <w:sz w:val="13"/>
                <w:szCs w:val="13"/>
                <w:b w:val="1"/>
                <w:bCs w:val="1"/>
                <w:color w:val="FFFFFF"/>
                <w:w w:val="97"/>
              </w:rPr>
              <w:t>Options Outstanding</w:t>
            </w:r>
          </w:p>
        </w:tc>
        <w:tc>
          <w:tcPr>
            <w:tcW w:w="360" w:type="dxa"/>
            <w:vAlign w:val="bottom"/>
            <w:shd w:val="clear" w:color="auto" w:fill="004483"/>
          </w:tcPr>
          <w:p>
            <w:pPr>
              <w:spacing w:after="0"/>
              <w:rPr>
                <w:sz w:val="13"/>
                <w:szCs w:val="13"/>
                <w:color w:val="auto"/>
              </w:rPr>
            </w:pPr>
          </w:p>
        </w:tc>
        <w:tc>
          <w:tcPr>
            <w:tcW w:w="76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6"/>
            <w:shd w:val="clear" w:color="auto" w:fill="004483"/>
          </w:tcPr>
          <w:p>
            <w:pPr>
              <w:ind w:left="520"/>
              <w:spacing w:after="0"/>
              <w:rPr>
                <w:sz w:val="20"/>
                <w:szCs w:val="20"/>
                <w:color w:val="auto"/>
              </w:rPr>
            </w:pPr>
            <w:r>
              <w:rPr>
                <w:rFonts w:ascii="Arial" w:cs="Arial" w:eastAsia="Arial" w:hAnsi="Arial"/>
                <w:sz w:val="13"/>
                <w:szCs w:val="13"/>
                <w:b w:val="1"/>
                <w:bCs w:val="1"/>
                <w:color w:val="FFFFFF"/>
              </w:rPr>
              <w:t>Options Exercisable</w:t>
            </w: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right"/>
              <w:ind w:right="120"/>
              <w:spacing w:after="0" w:line="117" w:lineRule="exact"/>
              <w:rPr>
                <w:sz w:val="20"/>
                <w:szCs w:val="20"/>
                <w:color w:val="auto"/>
              </w:rPr>
            </w:pPr>
            <w:r>
              <w:rPr>
                <w:rFonts w:ascii="Arial" w:cs="Arial" w:eastAsia="Arial" w:hAnsi="Arial"/>
                <w:sz w:val="13"/>
                <w:szCs w:val="13"/>
                <w:b w:val="1"/>
                <w:bCs w:val="1"/>
                <w:color w:val="auto"/>
              </w:rPr>
              <w:t>Weighted-</w:t>
            </w:r>
          </w:p>
        </w:tc>
        <w:tc>
          <w:tcPr>
            <w:tcW w:w="36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Average</w:t>
            </w:r>
          </w:p>
        </w:tc>
        <w:tc>
          <w:tcPr>
            <w:tcW w:w="3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Remaining</w:t>
            </w:r>
          </w:p>
        </w:tc>
        <w:tc>
          <w:tcPr>
            <w:tcW w:w="3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35"/>
        </w:trPr>
        <w:tc>
          <w:tcPr>
            <w:tcW w:w="51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Range of Exercise Prices</w:t>
            </w: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Contractual</w:t>
            </w:r>
          </w:p>
        </w:tc>
        <w:tc>
          <w:tcPr>
            <w:tcW w:w="3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Exercise</w:t>
            </w: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80"/>
        </w:trPr>
        <w:tc>
          <w:tcPr>
            <w:tcW w:w="5120" w:type="dxa"/>
            <w:vAlign w:val="bottom"/>
            <w:vMerge w:val="continue"/>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Life (in years)</w:t>
            </w:r>
          </w:p>
        </w:tc>
        <w:tc>
          <w:tcPr>
            <w:tcW w:w="3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Price</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83"/>
        </w:trPr>
        <w:tc>
          <w:tcPr>
            <w:tcW w:w="5120" w:type="dxa"/>
            <w:vAlign w:val="bottom"/>
            <w:tcBorders>
              <w:top w:val="single" w:sz="8" w:color="004483"/>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$59.32 - $81.28</w:t>
            </w:r>
          </w:p>
        </w:tc>
        <w:tc>
          <w:tcPr>
            <w:tcW w:w="104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88,060</w:t>
            </w:r>
          </w:p>
        </w:tc>
        <w:tc>
          <w:tcPr>
            <w:tcW w:w="120" w:type="dxa"/>
            <w:vAlign w:val="bottom"/>
          </w:tcPr>
          <w:p>
            <w:pPr>
              <w:spacing w:after="0"/>
              <w:rPr>
                <w:sz w:val="15"/>
                <w:szCs w:val="15"/>
                <w:color w:val="auto"/>
              </w:rPr>
            </w:pPr>
          </w:p>
        </w:tc>
        <w:tc>
          <w:tcPr>
            <w:tcW w:w="100" w:type="dxa"/>
            <w:vAlign w:val="bottom"/>
            <w:tcBorders>
              <w:top w:val="single" w:sz="8" w:color="A6A6A6"/>
              <w:bottom w:val="single" w:sz="8" w:color="A6A6A6"/>
            </w:tcBorders>
          </w:tcPr>
          <w:p>
            <w:pPr>
              <w:spacing w:after="0"/>
              <w:rPr>
                <w:sz w:val="15"/>
                <w:szCs w:val="15"/>
                <w:color w:val="auto"/>
              </w:rPr>
            </w:pPr>
          </w:p>
        </w:tc>
        <w:tc>
          <w:tcPr>
            <w:tcW w:w="104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4.78</w:t>
            </w:r>
          </w:p>
        </w:tc>
        <w:tc>
          <w:tcPr>
            <w:tcW w:w="100" w:type="dxa"/>
            <w:vAlign w:val="bottom"/>
          </w:tcPr>
          <w:p>
            <w:pPr>
              <w:spacing w:after="0"/>
              <w:rPr>
                <w:sz w:val="15"/>
                <w:szCs w:val="15"/>
                <w:color w:val="auto"/>
              </w:rPr>
            </w:pPr>
          </w:p>
        </w:tc>
        <w:tc>
          <w:tcPr>
            <w:tcW w:w="360" w:type="dxa"/>
            <w:vAlign w:val="bottom"/>
            <w:tcBorders>
              <w:top w:val="single" w:sz="8" w:color="004483"/>
              <w:bottom w:val="single" w:sz="8" w:color="A6A6A6"/>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63.01</w:t>
            </w:r>
          </w:p>
        </w:tc>
        <w:tc>
          <w:tcPr>
            <w:tcW w:w="100" w:type="dxa"/>
            <w:vAlign w:val="bottom"/>
          </w:tcPr>
          <w:p>
            <w:pPr>
              <w:spacing w:after="0"/>
              <w:rPr>
                <w:sz w:val="15"/>
                <w:szCs w:val="15"/>
                <w:color w:val="auto"/>
              </w:rPr>
            </w:pPr>
          </w:p>
        </w:tc>
        <w:tc>
          <w:tcPr>
            <w:tcW w:w="1140" w:type="dxa"/>
            <w:vAlign w:val="bottom"/>
            <w:tcBorders>
              <w:top w:val="single" w:sz="8" w:color="004483"/>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88,060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004483"/>
              <w:bottom w:val="single" w:sz="8" w:color="A6A6A6"/>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63.01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tcBorders>
              <w:bottom w:val="single" w:sz="8" w:color="A3A3A3"/>
            </w:tcBorders>
          </w:tcPr>
          <w:p>
            <w:pPr>
              <w:ind w:left="20"/>
              <w:spacing w:after="0" w:line="183" w:lineRule="exact"/>
              <w:rPr>
                <w:sz w:val="20"/>
                <w:szCs w:val="20"/>
                <w:color w:val="auto"/>
              </w:rPr>
            </w:pPr>
            <w:r>
              <w:rPr>
                <w:rFonts w:ascii="Arial" w:cs="Arial" w:eastAsia="Arial" w:hAnsi="Arial"/>
                <w:sz w:val="16"/>
                <w:szCs w:val="16"/>
                <w:color w:val="004483"/>
              </w:rPr>
              <w:t>$91.21 - $100.88</w:t>
            </w:r>
          </w:p>
        </w:tc>
        <w:tc>
          <w:tcPr>
            <w:tcW w:w="104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34,052</w:t>
            </w:r>
          </w:p>
        </w:tc>
        <w:tc>
          <w:tcPr>
            <w:tcW w:w="120" w:type="dxa"/>
            <w:vAlign w:val="bottom"/>
          </w:tcPr>
          <w:p>
            <w:pPr>
              <w:spacing w:after="0"/>
              <w:rPr>
                <w:sz w:val="15"/>
                <w:szCs w:val="15"/>
                <w:color w:val="auto"/>
              </w:rPr>
            </w:pPr>
          </w:p>
        </w:tc>
        <w:tc>
          <w:tcPr>
            <w:tcW w:w="1140" w:type="dxa"/>
            <w:vAlign w:val="bottom"/>
            <w:tcBorders>
              <w:bottom w:val="single" w:sz="8" w:color="A3A3A3"/>
            </w:tcBorders>
            <w:gridSpan w:val="2"/>
          </w:tcPr>
          <w:p>
            <w:pPr>
              <w:jc w:val="right"/>
              <w:spacing w:after="0" w:line="183" w:lineRule="exact"/>
              <w:rPr>
                <w:sz w:val="20"/>
                <w:szCs w:val="20"/>
                <w:color w:val="auto"/>
              </w:rPr>
            </w:pPr>
            <w:r>
              <w:rPr>
                <w:rFonts w:ascii="Arial" w:cs="Arial" w:eastAsia="Arial" w:hAnsi="Arial"/>
                <w:sz w:val="16"/>
                <w:szCs w:val="16"/>
                <w:color w:val="auto"/>
              </w:rPr>
              <w:t>3.60</w:t>
            </w:r>
          </w:p>
        </w:tc>
        <w:tc>
          <w:tcPr>
            <w:tcW w:w="100" w:type="dxa"/>
            <w:vAlign w:val="bottom"/>
          </w:tcPr>
          <w:p>
            <w:pPr>
              <w:spacing w:after="0"/>
              <w:rPr>
                <w:sz w:val="15"/>
                <w:szCs w:val="15"/>
                <w:color w:val="auto"/>
              </w:rPr>
            </w:pPr>
          </w:p>
        </w:tc>
        <w:tc>
          <w:tcPr>
            <w:tcW w:w="360" w:type="dxa"/>
            <w:vAlign w:val="bottom"/>
            <w:tcBorders>
              <w:bottom w:val="single" w:sz="8" w:color="A3A3A3"/>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95.12</w:t>
            </w:r>
          </w:p>
        </w:tc>
        <w:tc>
          <w:tcPr>
            <w:tcW w:w="100" w:type="dxa"/>
            <w:vAlign w:val="bottom"/>
          </w:tcPr>
          <w:p>
            <w:pPr>
              <w:spacing w:after="0"/>
              <w:rPr>
                <w:sz w:val="15"/>
                <w:szCs w:val="15"/>
                <w:color w:val="auto"/>
              </w:rPr>
            </w:pPr>
          </w:p>
        </w:tc>
        <w:tc>
          <w:tcPr>
            <w:tcW w:w="1140" w:type="dxa"/>
            <w:vAlign w:val="bottom"/>
            <w:tcBorders>
              <w:bottom w:val="single" w:sz="8" w:color="A3A3A3"/>
            </w:tcBorders>
            <w:gridSpan w:val="2"/>
          </w:tcPr>
          <w:p>
            <w:pPr>
              <w:jc w:val="right"/>
              <w:spacing w:after="0" w:line="183" w:lineRule="exact"/>
              <w:rPr>
                <w:sz w:val="20"/>
                <w:szCs w:val="20"/>
                <w:color w:val="auto"/>
              </w:rPr>
            </w:pPr>
            <w:r>
              <w:rPr>
                <w:rFonts w:ascii="Arial" w:cs="Arial" w:eastAsia="Arial" w:hAnsi="Arial"/>
                <w:sz w:val="16"/>
                <w:szCs w:val="16"/>
                <w:color w:val="auto"/>
              </w:rPr>
              <w:t>32,194</w:t>
            </w:r>
          </w:p>
        </w:tc>
        <w:tc>
          <w:tcPr>
            <w:tcW w:w="120" w:type="dxa"/>
            <w:vAlign w:val="bottom"/>
          </w:tcPr>
          <w:p>
            <w:pPr>
              <w:spacing w:after="0"/>
              <w:rPr>
                <w:sz w:val="15"/>
                <w:szCs w:val="15"/>
                <w:color w:val="auto"/>
              </w:rPr>
            </w:pPr>
          </w:p>
        </w:tc>
        <w:tc>
          <w:tcPr>
            <w:tcW w:w="120" w:type="dxa"/>
            <w:vAlign w:val="bottom"/>
            <w:tcBorders>
              <w:bottom w:val="single" w:sz="8" w:color="A3A3A3"/>
            </w:tcBorders>
          </w:tcPr>
          <w:p>
            <w:pPr>
              <w:spacing w:after="0"/>
              <w:rPr>
                <w:sz w:val="15"/>
                <w:szCs w:val="15"/>
                <w:color w:val="auto"/>
              </w:rPr>
            </w:pPr>
          </w:p>
        </w:tc>
        <w:tc>
          <w:tcPr>
            <w:tcW w:w="240" w:type="dxa"/>
            <w:vAlign w:val="bottom"/>
            <w:tcBorders>
              <w:bottom w:val="single" w:sz="8" w:color="A3A3A3"/>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94.99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tcBorders>
              <w:bottom w:val="single" w:sz="8" w:color="A3A3A3"/>
            </w:tcBorders>
          </w:tcPr>
          <w:p>
            <w:pPr>
              <w:ind w:left="20"/>
              <w:spacing w:after="0" w:line="183" w:lineRule="exact"/>
              <w:rPr>
                <w:sz w:val="20"/>
                <w:szCs w:val="20"/>
                <w:color w:val="auto"/>
              </w:rPr>
            </w:pPr>
            <w:r>
              <w:rPr>
                <w:rFonts w:ascii="Arial" w:cs="Arial" w:eastAsia="Arial" w:hAnsi="Arial"/>
                <w:sz w:val="16"/>
                <w:szCs w:val="16"/>
                <w:color w:val="004483"/>
              </w:rPr>
              <w:t>$118.27 - $139.25</w:t>
            </w:r>
          </w:p>
        </w:tc>
        <w:tc>
          <w:tcPr>
            <w:tcW w:w="104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48,931</w:t>
            </w:r>
          </w:p>
        </w:tc>
        <w:tc>
          <w:tcPr>
            <w:tcW w:w="120" w:type="dxa"/>
            <w:vAlign w:val="bottom"/>
          </w:tcPr>
          <w:p>
            <w:pPr>
              <w:spacing w:after="0"/>
              <w:rPr>
                <w:sz w:val="15"/>
                <w:szCs w:val="15"/>
                <w:color w:val="auto"/>
              </w:rPr>
            </w:pPr>
          </w:p>
        </w:tc>
        <w:tc>
          <w:tcPr>
            <w:tcW w:w="1140" w:type="dxa"/>
            <w:vAlign w:val="bottom"/>
            <w:tcBorders>
              <w:bottom w:val="single" w:sz="8" w:color="A3A3A3"/>
            </w:tcBorders>
            <w:gridSpan w:val="2"/>
          </w:tcPr>
          <w:p>
            <w:pPr>
              <w:jc w:val="right"/>
              <w:spacing w:after="0" w:line="183" w:lineRule="exact"/>
              <w:rPr>
                <w:sz w:val="20"/>
                <w:szCs w:val="20"/>
                <w:color w:val="auto"/>
              </w:rPr>
            </w:pPr>
            <w:r>
              <w:rPr>
                <w:rFonts w:ascii="Arial" w:cs="Arial" w:eastAsia="Arial" w:hAnsi="Arial"/>
                <w:sz w:val="16"/>
                <w:szCs w:val="16"/>
                <w:color w:val="auto"/>
              </w:rPr>
              <w:t>7.36</w:t>
            </w:r>
          </w:p>
        </w:tc>
        <w:tc>
          <w:tcPr>
            <w:tcW w:w="100" w:type="dxa"/>
            <w:vAlign w:val="bottom"/>
          </w:tcPr>
          <w:p>
            <w:pPr>
              <w:spacing w:after="0"/>
              <w:rPr>
                <w:sz w:val="15"/>
                <w:szCs w:val="15"/>
                <w:color w:val="auto"/>
              </w:rPr>
            </w:pPr>
          </w:p>
        </w:tc>
        <w:tc>
          <w:tcPr>
            <w:tcW w:w="360" w:type="dxa"/>
            <w:vAlign w:val="bottom"/>
            <w:tcBorders>
              <w:bottom w:val="single" w:sz="8" w:color="A3A3A3"/>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126.59</w:t>
            </w:r>
          </w:p>
        </w:tc>
        <w:tc>
          <w:tcPr>
            <w:tcW w:w="100" w:type="dxa"/>
            <w:vAlign w:val="bottom"/>
          </w:tcPr>
          <w:p>
            <w:pPr>
              <w:spacing w:after="0"/>
              <w:rPr>
                <w:sz w:val="15"/>
                <w:szCs w:val="15"/>
                <w:color w:val="auto"/>
              </w:rPr>
            </w:pPr>
          </w:p>
        </w:tc>
        <w:tc>
          <w:tcPr>
            <w:tcW w:w="1140" w:type="dxa"/>
            <w:vAlign w:val="bottom"/>
            <w:tcBorders>
              <w:bottom w:val="single" w:sz="8" w:color="A3A3A3"/>
            </w:tcBorders>
            <w:gridSpan w:val="2"/>
          </w:tcPr>
          <w:p>
            <w:pPr>
              <w:jc w:val="right"/>
              <w:spacing w:after="0" w:line="183" w:lineRule="exact"/>
              <w:rPr>
                <w:sz w:val="20"/>
                <w:szCs w:val="20"/>
                <w:color w:val="auto"/>
              </w:rPr>
            </w:pPr>
            <w:r>
              <w:rPr>
                <w:rFonts w:ascii="Arial" w:cs="Arial" w:eastAsia="Arial" w:hAnsi="Arial"/>
                <w:sz w:val="16"/>
                <w:szCs w:val="16"/>
                <w:color w:val="auto"/>
              </w:rPr>
              <w:t>22,043</w:t>
            </w:r>
          </w:p>
        </w:tc>
        <w:tc>
          <w:tcPr>
            <w:tcW w:w="120" w:type="dxa"/>
            <w:vAlign w:val="bottom"/>
          </w:tcPr>
          <w:p>
            <w:pPr>
              <w:spacing w:after="0"/>
              <w:rPr>
                <w:sz w:val="15"/>
                <w:szCs w:val="15"/>
                <w:color w:val="auto"/>
              </w:rPr>
            </w:pPr>
          </w:p>
        </w:tc>
        <w:tc>
          <w:tcPr>
            <w:tcW w:w="360" w:type="dxa"/>
            <w:vAlign w:val="bottom"/>
            <w:tcBorders>
              <w:bottom w:val="single" w:sz="8" w:color="A3A3A3"/>
            </w:tcBorders>
            <w:gridSpan w:val="2"/>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126.41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tcPr>
          <w:p>
            <w:pPr>
              <w:ind w:left="20"/>
              <w:spacing w:after="0" w:line="183" w:lineRule="exact"/>
              <w:rPr>
                <w:sz w:val="20"/>
                <w:szCs w:val="20"/>
                <w:color w:val="auto"/>
              </w:rPr>
            </w:pPr>
            <w:r>
              <w:rPr>
                <w:rFonts w:ascii="Arial" w:cs="Arial" w:eastAsia="Arial" w:hAnsi="Arial"/>
                <w:sz w:val="16"/>
                <w:szCs w:val="16"/>
                <w:color w:val="004483"/>
              </w:rPr>
              <w:t>$143.09 - $261.76</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14,390</w:t>
            </w:r>
          </w:p>
        </w:tc>
        <w:tc>
          <w:tcPr>
            <w:tcW w:w="126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8.38</w:t>
            </w:r>
          </w:p>
        </w:tc>
        <w:tc>
          <w:tcPr>
            <w:tcW w:w="100" w:type="dxa"/>
            <w:vAlign w:val="bottom"/>
          </w:tcPr>
          <w:p>
            <w:pPr>
              <w:spacing w:after="0"/>
              <w:rPr>
                <w:sz w:val="15"/>
                <w:szCs w:val="15"/>
                <w:color w:val="auto"/>
              </w:rPr>
            </w:pPr>
          </w:p>
        </w:tc>
        <w:tc>
          <w:tcPr>
            <w:tcW w:w="3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193.10</w:t>
            </w:r>
          </w:p>
        </w:tc>
        <w:tc>
          <w:tcPr>
            <w:tcW w:w="100" w:type="dxa"/>
            <w:vAlign w:val="bottom"/>
          </w:tcPr>
          <w:p>
            <w:pPr>
              <w:spacing w:after="0"/>
              <w:rPr>
                <w:sz w:val="15"/>
                <w:szCs w:val="15"/>
                <w:color w:val="auto"/>
              </w:rPr>
            </w:pPr>
          </w:p>
        </w:tc>
        <w:tc>
          <w:tcPr>
            <w:tcW w:w="11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5,917</w:t>
            </w:r>
          </w:p>
        </w:tc>
        <w:tc>
          <w:tcPr>
            <w:tcW w:w="480" w:type="dxa"/>
            <w:vAlign w:val="bottom"/>
            <w:gridSpan w:val="3"/>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158.49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120" w:type="dxa"/>
            <w:vAlign w:val="bottom"/>
            <w:tcBorders>
              <w:bottom w:val="single" w:sz="8" w:color="A6A6A6"/>
            </w:tcBorders>
          </w:tcPr>
          <w:p>
            <w:pPr>
              <w:spacing w:after="0"/>
              <w:rPr>
                <w:sz w:val="2"/>
                <w:szCs w:val="2"/>
                <w:color w:val="auto"/>
              </w:rPr>
            </w:pPr>
          </w:p>
        </w:tc>
        <w:tc>
          <w:tcPr>
            <w:tcW w:w="104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6A6A6"/>
            </w:tcBorders>
          </w:tcPr>
          <w:p>
            <w:pPr>
              <w:spacing w:after="0"/>
              <w:rPr>
                <w:sz w:val="2"/>
                <w:szCs w:val="2"/>
                <w:color w:val="auto"/>
              </w:rPr>
            </w:pPr>
          </w:p>
        </w:tc>
        <w:tc>
          <w:tcPr>
            <w:tcW w:w="1040" w:type="dxa"/>
            <w:vAlign w:val="bottom"/>
            <w:tcBorders>
              <w:bottom w:val="single" w:sz="8" w:color="A6A6A6"/>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6A6A6"/>
            </w:tcBorders>
          </w:tcPr>
          <w:p>
            <w:pPr>
              <w:spacing w:after="0"/>
              <w:rPr>
                <w:sz w:val="2"/>
                <w:szCs w:val="2"/>
                <w:color w:val="auto"/>
              </w:rPr>
            </w:pPr>
          </w:p>
        </w:tc>
        <w:tc>
          <w:tcPr>
            <w:tcW w:w="760" w:type="dxa"/>
            <w:vAlign w:val="bottom"/>
            <w:tcBorders>
              <w:bottom w:val="single" w:sz="8" w:color="A6A6A6"/>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02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6A6A6"/>
            </w:tcBorders>
          </w:tcPr>
          <w:p>
            <w:pPr>
              <w:spacing w:after="0"/>
              <w:rPr>
                <w:sz w:val="2"/>
                <w:szCs w:val="2"/>
                <w:color w:val="auto"/>
              </w:rPr>
            </w:pPr>
          </w:p>
        </w:tc>
        <w:tc>
          <w:tcPr>
            <w:tcW w:w="780" w:type="dxa"/>
            <w:vAlign w:val="bottom"/>
            <w:tcBorders>
              <w:bottom w:val="single" w:sz="8" w:color="A6A6A6"/>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120" w:type="dxa"/>
            <w:vAlign w:val="bottom"/>
          </w:tcPr>
          <w:p>
            <w:pPr>
              <w:spacing w:after="0"/>
              <w:rPr>
                <w:sz w:val="15"/>
                <w:szCs w:val="15"/>
                <w:color w:val="auto"/>
              </w:rPr>
            </w:pPr>
          </w:p>
        </w:tc>
        <w:tc>
          <w:tcPr>
            <w:tcW w:w="10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185,433</w:t>
            </w:r>
          </w:p>
        </w:tc>
        <w:tc>
          <w:tcPr>
            <w:tcW w:w="1260" w:type="dxa"/>
            <w:vAlign w:val="bottom"/>
            <w:gridSpan w:val="3"/>
          </w:tcPr>
          <w:p>
            <w:pPr>
              <w:jc w:val="right"/>
              <w:spacing w:after="0" w:line="183" w:lineRule="exact"/>
              <w:rPr>
                <w:sz w:val="20"/>
                <w:szCs w:val="20"/>
                <w:color w:val="auto"/>
              </w:rPr>
            </w:pPr>
            <w:r>
              <w:rPr>
                <w:rFonts w:ascii="Arial" w:cs="Arial" w:eastAsia="Arial" w:hAnsi="Arial"/>
                <w:sz w:val="16"/>
                <w:szCs w:val="16"/>
                <w:b w:val="1"/>
                <w:bCs w:val="1"/>
                <w:color w:val="auto"/>
              </w:rPr>
              <w:t>5.52</w:t>
            </w:r>
          </w:p>
        </w:tc>
        <w:tc>
          <w:tcPr>
            <w:tcW w:w="100" w:type="dxa"/>
            <w:vAlign w:val="bottom"/>
          </w:tcPr>
          <w:p>
            <w:pPr>
              <w:spacing w:after="0"/>
              <w:rPr>
                <w:sz w:val="15"/>
                <w:szCs w:val="15"/>
                <w:color w:val="auto"/>
              </w:rPr>
            </w:pPr>
          </w:p>
        </w:tc>
        <w:tc>
          <w:tcPr>
            <w:tcW w:w="36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95.78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148,214</w:t>
            </w:r>
          </w:p>
        </w:tc>
        <w:tc>
          <w:tcPr>
            <w:tcW w:w="480" w:type="dxa"/>
            <w:vAlign w:val="bottom"/>
            <w:gridSpan w:val="3"/>
          </w:tcPr>
          <w:p>
            <w:pPr>
              <w:jc w:val="right"/>
              <w:ind w:right="59"/>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83.19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6A6A6"/>
            </w:tcBorders>
          </w:tcPr>
          <w:p>
            <w:pPr>
              <w:spacing w:after="0" w:line="20" w:lineRule="exact"/>
              <w:rPr>
                <w:sz w:val="1"/>
                <w:szCs w:val="1"/>
                <w:color w:val="auto"/>
              </w:rPr>
            </w:pPr>
          </w:p>
        </w:tc>
        <w:tc>
          <w:tcPr>
            <w:tcW w:w="76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At December 31, 2024, the aggregate intrinsic value of the outstanding and exercisable options was approximately $28.0 million and $24.2 million, respectively. The total intrinsic value of options exercised during the nine months ended December 31, 2024, was approximately $14.5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RESTRICTED STOCK</w:t>
      </w:r>
    </w:p>
    <w:p>
      <w:pPr>
        <w:spacing w:after="0" w:line="10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following table summarizes the activity for restricted stock units and nonvested restricted stock during the nine months ended December 31,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2"/>
                <w:szCs w:val="12"/>
                <w:color w:val="auto"/>
              </w:rPr>
            </w:pPr>
          </w:p>
        </w:tc>
        <w:tc>
          <w:tcPr>
            <w:tcW w:w="170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Number of Shares</w:t>
            </w:r>
          </w:p>
        </w:tc>
        <w:tc>
          <w:tcPr>
            <w:tcW w:w="180" w:type="dxa"/>
            <w:vAlign w:val="bottom"/>
          </w:tcPr>
          <w:p>
            <w:pPr>
              <w:spacing w:after="0"/>
              <w:rPr>
                <w:sz w:val="12"/>
                <w:szCs w:val="12"/>
                <w:color w:val="auto"/>
              </w:rPr>
            </w:pPr>
          </w:p>
        </w:tc>
        <w:tc>
          <w:tcPr>
            <w:tcW w:w="1580" w:type="dxa"/>
            <w:vAlign w:val="bottom"/>
            <w:gridSpan w:val="2"/>
          </w:tcPr>
          <w:p>
            <w:pPr>
              <w:ind w:left="20"/>
              <w:spacing w:after="0"/>
              <w:rPr>
                <w:sz w:val="20"/>
                <w:szCs w:val="20"/>
                <w:color w:val="auto"/>
              </w:rPr>
            </w:pPr>
            <w:r>
              <w:rPr>
                <w:rFonts w:ascii="Arial" w:cs="Arial" w:eastAsia="Arial" w:hAnsi="Arial"/>
                <w:sz w:val="13"/>
                <w:szCs w:val="13"/>
                <w:b w:val="1"/>
                <w:bCs w:val="1"/>
                <w:color w:val="auto"/>
              </w:rPr>
              <w:t>Weighted-Average Grant</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262"/>
              <w:spacing w:after="0"/>
              <w:rPr>
                <w:sz w:val="20"/>
                <w:szCs w:val="20"/>
                <w:color w:val="auto"/>
              </w:rPr>
            </w:pPr>
            <w:r>
              <w:rPr>
                <w:rFonts w:ascii="Arial" w:cs="Arial" w:eastAsia="Arial" w:hAnsi="Arial"/>
                <w:sz w:val="13"/>
                <w:szCs w:val="13"/>
                <w:b w:val="1"/>
                <w:bCs w:val="1"/>
                <w:color w:val="auto"/>
              </w:rPr>
              <w:t>Date Fair Value</w:t>
            </w:r>
          </w:p>
        </w:tc>
        <w:tc>
          <w:tcPr>
            <w:tcW w:w="0" w:type="dxa"/>
            <w:vAlign w:val="bottom"/>
          </w:tcPr>
          <w:p>
            <w:pPr>
              <w:spacing w:after="0"/>
              <w:rPr>
                <w:sz w:val="1"/>
                <w:szCs w:val="1"/>
                <w:color w:val="auto"/>
              </w:rPr>
            </w:pPr>
          </w:p>
        </w:tc>
      </w:tr>
      <w:tr>
        <w:trPr>
          <w:trHeight w:val="216"/>
        </w:trPr>
        <w:tc>
          <w:tcPr>
            <w:tcW w:w="768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auto"/>
              </w:rPr>
              <w:t>Restricted Stock Units and Nonvested Restricted Stock at March 31, 2024</w:t>
            </w:r>
          </w:p>
        </w:tc>
        <w:tc>
          <w:tcPr>
            <w:tcW w:w="15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204,946</w:t>
            </w:r>
          </w:p>
        </w:tc>
        <w:tc>
          <w:tcPr>
            <w:tcW w:w="120" w:type="dxa"/>
            <w:vAlign w:val="bottom"/>
          </w:tcPr>
          <w:p>
            <w:pPr>
              <w:spacing w:after="0"/>
              <w:rPr>
                <w:sz w:val="18"/>
                <w:szCs w:val="18"/>
                <w:color w:val="auto"/>
              </w:rPr>
            </w:pPr>
          </w:p>
        </w:tc>
        <w:tc>
          <w:tcPr>
            <w:tcW w:w="400" w:type="dxa"/>
            <w:vAlign w:val="bottom"/>
            <w:tcBorders>
              <w:top w:val="single" w:sz="8" w:color="004483"/>
              <w:bottom w:val="single" w:sz="8" w:color="A6A6A6"/>
            </w:tcBorders>
            <w:gridSpan w:val="2"/>
          </w:tcPr>
          <w:p>
            <w:pPr>
              <w:ind w:left="200"/>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121.12</w:t>
            </w:r>
          </w:p>
        </w:tc>
        <w:tc>
          <w:tcPr>
            <w:tcW w:w="0" w:type="dxa"/>
            <w:vAlign w:val="bottom"/>
          </w:tcPr>
          <w:p>
            <w:pPr>
              <w:spacing w:after="0"/>
              <w:rPr>
                <w:sz w:val="1"/>
                <w:szCs w:val="1"/>
                <w:color w:val="auto"/>
              </w:rPr>
            </w:pPr>
          </w:p>
        </w:tc>
      </w:tr>
      <w:tr>
        <w:trPr>
          <w:trHeight w:val="209"/>
        </w:trPr>
        <w:tc>
          <w:tcPr>
            <w:tcW w:w="76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Granted</w:t>
            </w:r>
          </w:p>
        </w:tc>
        <w:tc>
          <w:tcPr>
            <w:tcW w:w="15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66,741</w:t>
            </w:r>
          </w:p>
        </w:tc>
        <w:tc>
          <w:tcPr>
            <w:tcW w:w="120" w:type="dxa"/>
            <w:vAlign w:val="bottom"/>
          </w:tcPr>
          <w:p>
            <w:pPr>
              <w:spacing w:after="0"/>
              <w:rPr>
                <w:sz w:val="18"/>
                <w:szCs w:val="18"/>
                <w:color w:val="auto"/>
              </w:rPr>
            </w:pPr>
          </w:p>
        </w:tc>
        <w:tc>
          <w:tcPr>
            <w:tcW w:w="40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240.61</w:t>
            </w:r>
          </w:p>
        </w:tc>
        <w:tc>
          <w:tcPr>
            <w:tcW w:w="0" w:type="dxa"/>
            <w:vAlign w:val="bottom"/>
          </w:tcPr>
          <w:p>
            <w:pPr>
              <w:spacing w:after="0"/>
              <w:rPr>
                <w:sz w:val="1"/>
                <w:szCs w:val="1"/>
                <w:color w:val="auto"/>
              </w:rPr>
            </w:pPr>
          </w:p>
        </w:tc>
      </w:tr>
      <w:tr>
        <w:trPr>
          <w:trHeight w:val="210"/>
        </w:trPr>
        <w:tc>
          <w:tcPr>
            <w:tcW w:w="7680" w:type="dxa"/>
            <w:vAlign w:val="bottom"/>
          </w:tcPr>
          <w:p>
            <w:pPr>
              <w:ind w:left="20"/>
              <w:spacing w:after="0"/>
              <w:rPr>
                <w:sz w:val="20"/>
                <w:szCs w:val="20"/>
                <w:color w:val="auto"/>
              </w:rPr>
            </w:pPr>
            <w:r>
              <w:rPr>
                <w:rFonts w:ascii="Arial" w:cs="Arial" w:eastAsia="Arial" w:hAnsi="Arial"/>
                <w:sz w:val="16"/>
                <w:szCs w:val="16"/>
                <w:color w:val="004483"/>
              </w:rPr>
              <w:t>Vested</w:t>
            </w:r>
          </w:p>
        </w:tc>
        <w:tc>
          <w:tcPr>
            <w:tcW w:w="1700" w:type="dxa"/>
            <w:vAlign w:val="bottom"/>
            <w:gridSpan w:val="2"/>
          </w:tcPr>
          <w:p>
            <w:pPr>
              <w:jc w:val="right"/>
              <w:ind w:right="40"/>
              <w:spacing w:after="0"/>
              <w:rPr>
                <w:sz w:val="20"/>
                <w:szCs w:val="20"/>
                <w:color w:val="auto"/>
              </w:rPr>
            </w:pPr>
            <w:r>
              <w:rPr>
                <w:rFonts w:ascii="Arial" w:cs="Arial" w:eastAsia="Arial" w:hAnsi="Arial"/>
                <w:sz w:val="16"/>
                <w:szCs w:val="16"/>
                <w:color w:val="auto"/>
              </w:rPr>
              <w:t>(26,194 )</w:t>
            </w:r>
          </w:p>
        </w:tc>
        <w:tc>
          <w:tcPr>
            <w:tcW w:w="40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183.42</w:t>
            </w:r>
          </w:p>
        </w:tc>
        <w:tc>
          <w:tcPr>
            <w:tcW w:w="0" w:type="dxa"/>
            <w:vAlign w:val="bottom"/>
          </w:tcPr>
          <w:p>
            <w:pPr>
              <w:spacing w:after="0"/>
              <w:rPr>
                <w:sz w:val="1"/>
                <w:szCs w:val="1"/>
                <w:color w:val="auto"/>
              </w:rPr>
            </w:pPr>
          </w:p>
        </w:tc>
      </w:tr>
      <w:tr>
        <w:trPr>
          <w:trHeight w:val="183"/>
        </w:trPr>
        <w:tc>
          <w:tcPr>
            <w:tcW w:w="7680" w:type="dxa"/>
            <w:vAlign w:val="bottom"/>
            <w:tcBorders>
              <w:top w:val="single" w:sz="8" w:color="A6A6A6"/>
            </w:tcBorders>
          </w:tcPr>
          <w:p>
            <w:pPr>
              <w:ind w:left="20"/>
              <w:spacing w:after="0" w:line="183" w:lineRule="exact"/>
              <w:rPr>
                <w:sz w:val="20"/>
                <w:szCs w:val="20"/>
                <w:color w:val="auto"/>
              </w:rPr>
            </w:pPr>
            <w:r>
              <w:rPr>
                <w:rFonts w:ascii="Arial" w:cs="Arial" w:eastAsia="Arial" w:hAnsi="Arial"/>
                <w:sz w:val="16"/>
                <w:szCs w:val="16"/>
                <w:color w:val="004483"/>
              </w:rPr>
              <w:t>Forfeited</w:t>
            </w:r>
          </w:p>
        </w:tc>
        <w:tc>
          <w:tcPr>
            <w:tcW w:w="1580" w:type="dxa"/>
            <w:vAlign w:val="bottom"/>
            <w:tcBorders>
              <w:top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400" w:type="dxa"/>
            <w:vAlign w:val="bottom"/>
            <w:tcBorders>
              <w:top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top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7680" w:type="dxa"/>
            <w:vAlign w:val="bottom"/>
            <w:tcBorders>
              <w:bottom w:val="single" w:sz="8" w:color="A6A6A6"/>
            </w:tcBorders>
          </w:tcPr>
          <w:p>
            <w:pPr>
              <w:spacing w:after="0"/>
              <w:rPr>
                <w:sz w:val="2"/>
                <w:szCs w:val="2"/>
                <w:color w:val="auto"/>
              </w:rPr>
            </w:pPr>
          </w:p>
        </w:tc>
        <w:tc>
          <w:tcPr>
            <w:tcW w:w="158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220" w:type="dxa"/>
            <w:vAlign w:val="bottom"/>
            <w:tcBorders>
              <w:bottom w:val="single" w:sz="8" w:color="A6A6A6"/>
            </w:tcBorders>
          </w:tcPr>
          <w:p>
            <w:pPr>
              <w:spacing w:after="0"/>
              <w:rPr>
                <w:sz w:val="2"/>
                <w:szCs w:val="2"/>
                <w:color w:val="auto"/>
              </w:rPr>
            </w:pPr>
          </w:p>
        </w:tc>
        <w:tc>
          <w:tcPr>
            <w:tcW w:w="136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Restricted Stock Units and Nonvested Restricted Stock at December 31, 2024</w:t>
            </w:r>
          </w:p>
        </w:tc>
        <w:tc>
          <w:tcPr>
            <w:tcW w:w="15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245,493</w:t>
            </w:r>
          </w:p>
        </w:tc>
        <w:tc>
          <w:tcPr>
            <w:tcW w:w="120" w:type="dxa"/>
            <w:vAlign w:val="bottom"/>
          </w:tcPr>
          <w:p>
            <w:pPr>
              <w:spacing w:after="0"/>
              <w:rPr>
                <w:sz w:val="15"/>
                <w:szCs w:val="15"/>
                <w:color w:val="auto"/>
              </w:rPr>
            </w:pPr>
          </w:p>
        </w:tc>
        <w:tc>
          <w:tcPr>
            <w:tcW w:w="400" w:type="dxa"/>
            <w:vAlign w:val="bottom"/>
            <w:gridSpan w:val="2"/>
          </w:tcPr>
          <w:p>
            <w:pPr>
              <w:ind w:left="200"/>
              <w:spacing w:after="0" w:line="183" w:lineRule="exact"/>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156.30</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5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136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Expense related to restricted stock units and restricted stock was approximately $4.5 million and $13.3 million for the three and nine months ended December 31, 2024, respectively, and $4.0 million and $13.8 million for the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4" w:name="page15"/>
    <w:bookmarkEnd w:id="14"/>
    <w:p>
      <w:pPr>
        <w:ind w:right="180"/>
        <w:spacing w:after="0" w:line="271" w:lineRule="auto"/>
        <w:rPr>
          <w:sz w:val="20"/>
          <w:szCs w:val="20"/>
          <w:color w:val="auto"/>
        </w:rPr>
      </w:pPr>
      <w:r>
        <w:rPr>
          <w:rFonts w:ascii="Arial" w:cs="Arial" w:eastAsia="Arial" w:hAnsi="Arial"/>
          <w:sz w:val="18"/>
          <w:szCs w:val="18"/>
          <w:color w:val="auto"/>
        </w:rPr>
        <w:t>three and nine months ended December 31, 2023, respectively. At December 31, 2024, there was approximately $23.7 million of unearned compensation from restricted stock units and restricted stock, which will be recognized over a weighted-average period of 1.5 years.</w:t>
      </w:r>
    </w:p>
    <w:p>
      <w:pPr>
        <w:spacing w:after="0" w:line="4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number of shares available for future grants of stock options, restricted stock units, stock appreciation rights, and restricted stock under the Plan was 1,343,966 at December 31, 2024.</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 COMPUTATION OF EARNINGS PER SHARE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and diluted common shares outstanding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00" w:type="dxa"/>
            <w:vAlign w:val="bottom"/>
          </w:tcPr>
          <w:p>
            <w:pPr>
              <w:spacing w:after="0"/>
              <w:rPr>
                <w:sz w:val="13"/>
                <w:szCs w:val="13"/>
                <w:color w:val="auto"/>
              </w:rPr>
            </w:pPr>
          </w:p>
        </w:tc>
        <w:tc>
          <w:tcPr>
            <w:tcW w:w="2880" w:type="dxa"/>
            <w:vAlign w:val="bottom"/>
            <w:gridSpan w:val="5"/>
            <w:shd w:val="clear" w:color="auto" w:fill="004483"/>
          </w:tcPr>
          <w:p>
            <w:pPr>
              <w:jc w:val="right"/>
              <w:ind w:right="220"/>
              <w:spacing w:after="0"/>
              <w:rPr>
                <w:sz w:val="20"/>
                <w:szCs w:val="20"/>
                <w:color w:val="auto"/>
              </w:rPr>
            </w:pPr>
            <w:r>
              <w:rPr>
                <w:rFonts w:ascii="Arial" w:cs="Arial" w:eastAsia="Arial" w:hAnsi="Arial"/>
                <w:sz w:val="13"/>
                <w:szCs w:val="13"/>
                <w:b w:val="1"/>
                <w:bCs w:val="1"/>
                <w:color w:val="FFFFFF"/>
                <w:w w:val="99"/>
              </w:rPr>
              <w:t>For the Three Months Ended December 31,</w:t>
            </w:r>
          </w:p>
        </w:tc>
        <w:tc>
          <w:tcPr>
            <w:tcW w:w="120" w:type="dxa"/>
            <w:vAlign w:val="bottom"/>
          </w:tcPr>
          <w:p>
            <w:pPr>
              <w:spacing w:after="0"/>
              <w:rPr>
                <w:sz w:val="13"/>
                <w:szCs w:val="13"/>
                <w:color w:val="auto"/>
              </w:rPr>
            </w:pPr>
          </w:p>
        </w:tc>
        <w:tc>
          <w:tcPr>
            <w:tcW w:w="2940" w:type="dxa"/>
            <w:vAlign w:val="bottom"/>
            <w:gridSpan w:val="5"/>
            <w:shd w:val="clear" w:color="auto" w:fill="004483"/>
          </w:tcPr>
          <w:p>
            <w:pPr>
              <w:jc w:val="right"/>
              <w:ind w:right="300"/>
              <w:spacing w:after="0"/>
              <w:rPr>
                <w:sz w:val="20"/>
                <w:szCs w:val="20"/>
                <w:color w:val="auto"/>
              </w:rPr>
            </w:pPr>
            <w:r>
              <w:rPr>
                <w:rFonts w:ascii="Arial" w:cs="Arial" w:eastAsia="Arial" w:hAnsi="Arial"/>
                <w:sz w:val="13"/>
                <w:szCs w:val="13"/>
                <w:b w:val="1"/>
                <w:bCs w:val="1"/>
                <w:color w:val="FFFFFF"/>
              </w:rPr>
              <w:t>For the Nine Months Ended December 31,</w:t>
            </w:r>
          </w:p>
        </w:tc>
        <w:tc>
          <w:tcPr>
            <w:tcW w:w="0" w:type="dxa"/>
            <w:vAlign w:val="bottom"/>
          </w:tcPr>
          <w:p>
            <w:pPr>
              <w:spacing w:after="0"/>
              <w:rPr>
                <w:sz w:val="1"/>
                <w:szCs w:val="1"/>
                <w:color w:val="auto"/>
              </w:rPr>
            </w:pPr>
          </w:p>
        </w:tc>
      </w:tr>
      <w:tr>
        <w:trPr>
          <w:trHeight w:val="155"/>
        </w:trPr>
        <w:tc>
          <w:tcPr>
            <w:tcW w:w="5300" w:type="dxa"/>
            <w:vAlign w:val="bottom"/>
            <w:tcBorders>
              <w:bottom w:val="single" w:sz="8" w:color="004483"/>
            </w:tcBorders>
          </w:tcPr>
          <w:p>
            <w:pPr>
              <w:spacing w:after="0"/>
              <w:rPr>
                <w:sz w:val="13"/>
                <w:szCs w:val="13"/>
                <w:color w:val="auto"/>
              </w:rPr>
            </w:pPr>
          </w:p>
        </w:tc>
        <w:tc>
          <w:tcPr>
            <w:tcW w:w="1280" w:type="dxa"/>
            <w:vAlign w:val="bottom"/>
            <w:tcBorders>
              <w:bottom w:val="single" w:sz="8" w:color="004483"/>
            </w:tcBorders>
          </w:tcPr>
          <w:p>
            <w:pPr>
              <w:jc w:val="right"/>
              <w:spacing w:after="0" w:line="135"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380" w:type="dxa"/>
            <w:vAlign w:val="bottom"/>
            <w:tcBorders>
              <w:bottom w:val="single" w:sz="8" w:color="004483"/>
            </w:tcBorders>
            <w:gridSpan w:val="2"/>
          </w:tcPr>
          <w:p>
            <w:pPr>
              <w:jc w:val="right"/>
              <w:spacing w:after="0" w:line="135"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1300" w:type="dxa"/>
            <w:vAlign w:val="bottom"/>
            <w:tcBorders>
              <w:bottom w:val="single" w:sz="8" w:color="004483"/>
            </w:tcBorders>
          </w:tcPr>
          <w:p>
            <w:pPr>
              <w:jc w:val="right"/>
              <w:spacing w:after="0" w:line="135"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420" w:type="dxa"/>
            <w:vAlign w:val="bottom"/>
            <w:tcBorders>
              <w:bottom w:val="single" w:sz="8" w:color="004483"/>
            </w:tcBorders>
            <w:gridSpan w:val="2"/>
          </w:tcPr>
          <w:p>
            <w:pPr>
              <w:jc w:val="right"/>
              <w:spacing w:after="0" w:line="135" w:lineRule="exact"/>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3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Shares of Common Stock Outstanding</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33,317,168</w:t>
            </w:r>
          </w:p>
        </w:tc>
        <w:tc>
          <w:tcPr>
            <w:tcW w:w="120" w:type="dxa"/>
            <w:vAlign w:val="bottom"/>
          </w:tcPr>
          <w:p>
            <w:pPr>
              <w:spacing w:after="0"/>
              <w:rPr>
                <w:sz w:val="16"/>
                <w:szCs w:val="16"/>
                <w:color w:val="auto"/>
              </w:rPr>
            </w:pPr>
          </w:p>
        </w:tc>
        <w:tc>
          <w:tcPr>
            <w:tcW w:w="13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34,466,141</w:t>
            </w:r>
          </w:p>
        </w:tc>
        <w:tc>
          <w:tcPr>
            <w:tcW w:w="100" w:type="dxa"/>
            <w:vAlign w:val="bottom"/>
          </w:tcPr>
          <w:p>
            <w:pPr>
              <w:spacing w:after="0"/>
              <w:rPr>
                <w:sz w:val="16"/>
                <w:szCs w:val="16"/>
                <w:color w:val="auto"/>
              </w:rPr>
            </w:pPr>
          </w:p>
        </w:tc>
        <w:tc>
          <w:tcPr>
            <w:tcW w:w="14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33,493,382</w:t>
            </w:r>
          </w:p>
        </w:tc>
        <w:tc>
          <w:tcPr>
            <w:tcW w:w="100" w:type="dxa"/>
            <w:vAlign w:val="bottom"/>
          </w:tcPr>
          <w:p>
            <w:pPr>
              <w:spacing w:after="0"/>
              <w:rPr>
                <w:sz w:val="16"/>
                <w:szCs w:val="16"/>
                <w:color w:val="auto"/>
              </w:rPr>
            </w:pPr>
          </w:p>
        </w:tc>
        <w:tc>
          <w:tcPr>
            <w:tcW w:w="14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34,931,378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Effect of Dilutive Shares</w:t>
            </w:r>
          </w:p>
        </w:tc>
        <w:tc>
          <w:tcPr>
            <w:tcW w:w="128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28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30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2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A6A6A6"/>
            </w:tcBorders>
          </w:tcPr>
          <w:p>
            <w:pPr>
              <w:ind w:left="120"/>
              <w:spacing w:after="0" w:line="183" w:lineRule="exact"/>
              <w:rPr>
                <w:sz w:val="20"/>
                <w:szCs w:val="20"/>
                <w:color w:val="auto"/>
              </w:rPr>
            </w:pPr>
            <w:r>
              <w:rPr>
                <w:rFonts w:ascii="Arial" w:cs="Arial" w:eastAsia="Arial" w:hAnsi="Arial"/>
                <w:sz w:val="16"/>
                <w:szCs w:val="16"/>
                <w:color w:val="004483"/>
              </w:rPr>
              <w:t>Assumed Exercise of Outstanding Dilutive Options</w:t>
            </w:r>
          </w:p>
        </w:tc>
        <w:tc>
          <w:tcPr>
            <w:tcW w:w="12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203,978</w:t>
            </w:r>
          </w:p>
        </w:tc>
        <w:tc>
          <w:tcPr>
            <w:tcW w:w="120" w:type="dxa"/>
            <w:vAlign w:val="bottom"/>
          </w:tcPr>
          <w:p>
            <w:pPr>
              <w:spacing w:after="0"/>
              <w:rPr>
                <w:sz w:val="15"/>
                <w:szCs w:val="15"/>
                <w:color w:val="auto"/>
              </w:rPr>
            </w:pPr>
          </w:p>
        </w:tc>
        <w:tc>
          <w:tcPr>
            <w:tcW w:w="138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305,842</w:t>
            </w:r>
          </w:p>
        </w:tc>
        <w:tc>
          <w:tcPr>
            <w:tcW w:w="100" w:type="dxa"/>
            <w:vAlign w:val="bottom"/>
          </w:tcPr>
          <w:p>
            <w:pPr>
              <w:spacing w:after="0"/>
              <w:rPr>
                <w:sz w:val="15"/>
                <w:szCs w:val="15"/>
                <w:color w:val="auto"/>
              </w:rPr>
            </w:pPr>
          </w:p>
        </w:tc>
        <w:tc>
          <w:tcPr>
            <w:tcW w:w="142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231,459</w:t>
            </w:r>
          </w:p>
        </w:tc>
        <w:tc>
          <w:tcPr>
            <w:tcW w:w="100" w:type="dxa"/>
            <w:vAlign w:val="bottom"/>
          </w:tcPr>
          <w:p>
            <w:pPr>
              <w:spacing w:after="0"/>
              <w:rPr>
                <w:sz w:val="15"/>
                <w:szCs w:val="15"/>
                <w:color w:val="auto"/>
              </w:rPr>
            </w:pPr>
          </w:p>
        </w:tc>
        <w:tc>
          <w:tcPr>
            <w:tcW w:w="142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312,723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300" w:type="dxa"/>
            <w:vAlign w:val="bottom"/>
          </w:tcPr>
          <w:p>
            <w:pPr>
              <w:ind w:left="120"/>
              <w:spacing w:after="0" w:line="168" w:lineRule="exact"/>
              <w:rPr>
                <w:sz w:val="20"/>
                <w:szCs w:val="20"/>
                <w:color w:val="auto"/>
              </w:rPr>
            </w:pPr>
            <w:r>
              <w:rPr>
                <w:rFonts w:ascii="Arial" w:cs="Arial" w:eastAsia="Arial" w:hAnsi="Arial"/>
                <w:sz w:val="16"/>
                <w:szCs w:val="16"/>
                <w:color w:val="004483"/>
              </w:rPr>
              <w:t>Less Shares Repurchased from Proceeds of Assumed Exercised</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120"/>
              <w:spacing w:after="0"/>
              <w:rPr>
                <w:sz w:val="20"/>
                <w:szCs w:val="20"/>
                <w:color w:val="auto"/>
              </w:rPr>
            </w:pPr>
            <w:r>
              <w:rPr>
                <w:rFonts w:ascii="Arial" w:cs="Arial" w:eastAsia="Arial" w:hAnsi="Arial"/>
                <w:sz w:val="16"/>
                <w:szCs w:val="16"/>
                <w:color w:val="004483"/>
              </w:rPr>
              <w:t>Options</w:t>
            </w:r>
          </w:p>
        </w:tc>
        <w:tc>
          <w:tcPr>
            <w:tcW w:w="1400" w:type="dxa"/>
            <w:vAlign w:val="bottom"/>
            <w:gridSpan w:val="2"/>
          </w:tcPr>
          <w:p>
            <w:pPr>
              <w:jc w:val="right"/>
              <w:ind w:right="40"/>
              <w:spacing w:after="0"/>
              <w:rPr>
                <w:sz w:val="20"/>
                <w:szCs w:val="20"/>
                <w:color w:val="auto"/>
              </w:rPr>
            </w:pPr>
            <w:r>
              <w:rPr>
                <w:rFonts w:ascii="Arial" w:cs="Arial" w:eastAsia="Arial" w:hAnsi="Arial"/>
                <w:sz w:val="16"/>
                <w:szCs w:val="16"/>
                <w:color w:val="auto"/>
              </w:rPr>
              <w:t>(67,763 )</w:t>
            </w:r>
          </w:p>
        </w:tc>
        <w:tc>
          <w:tcPr>
            <w:tcW w:w="1480" w:type="dxa"/>
            <w:vAlign w:val="bottom"/>
            <w:gridSpan w:val="3"/>
          </w:tcPr>
          <w:p>
            <w:pPr>
              <w:jc w:val="right"/>
              <w:ind w:right="40"/>
              <w:spacing w:after="0"/>
              <w:rPr>
                <w:sz w:val="20"/>
                <w:szCs w:val="20"/>
                <w:color w:val="auto"/>
              </w:rPr>
            </w:pPr>
            <w:r>
              <w:rPr>
                <w:rFonts w:ascii="Arial" w:cs="Arial" w:eastAsia="Arial" w:hAnsi="Arial"/>
                <w:sz w:val="16"/>
                <w:szCs w:val="16"/>
                <w:color w:val="auto"/>
              </w:rPr>
              <w:t>(169,413 )</w:t>
            </w:r>
          </w:p>
        </w:tc>
        <w:tc>
          <w:tcPr>
            <w:tcW w:w="1520" w:type="dxa"/>
            <w:vAlign w:val="bottom"/>
            <w:gridSpan w:val="3"/>
          </w:tcPr>
          <w:p>
            <w:pPr>
              <w:jc w:val="right"/>
              <w:ind w:right="40"/>
              <w:spacing w:after="0"/>
              <w:rPr>
                <w:sz w:val="20"/>
                <w:szCs w:val="20"/>
                <w:color w:val="auto"/>
              </w:rPr>
            </w:pPr>
            <w:r>
              <w:rPr>
                <w:rFonts w:ascii="Arial" w:cs="Arial" w:eastAsia="Arial" w:hAnsi="Arial"/>
                <w:sz w:val="16"/>
                <w:szCs w:val="16"/>
                <w:color w:val="auto"/>
              </w:rPr>
              <w:t>(86,173 )</w:t>
            </w:r>
          </w:p>
        </w:tc>
        <w:tc>
          <w:tcPr>
            <w:tcW w:w="1540" w:type="dxa"/>
            <w:vAlign w:val="bottom"/>
            <w:gridSpan w:val="3"/>
          </w:tcPr>
          <w:p>
            <w:pPr>
              <w:jc w:val="right"/>
              <w:ind w:right="60"/>
              <w:spacing w:after="0"/>
              <w:rPr>
                <w:sz w:val="20"/>
                <w:szCs w:val="20"/>
                <w:color w:val="auto"/>
              </w:rPr>
            </w:pPr>
            <w:r>
              <w:rPr>
                <w:rFonts w:ascii="Arial" w:cs="Arial" w:eastAsia="Arial" w:hAnsi="Arial"/>
                <w:sz w:val="16"/>
                <w:szCs w:val="16"/>
                <w:color w:val="auto"/>
              </w:rPr>
              <w:t>(170,910 )</w:t>
            </w:r>
          </w:p>
        </w:tc>
        <w:tc>
          <w:tcPr>
            <w:tcW w:w="0" w:type="dxa"/>
            <w:vAlign w:val="bottom"/>
          </w:tcPr>
          <w:p>
            <w:pPr>
              <w:spacing w:after="0"/>
              <w:rPr>
                <w:sz w:val="1"/>
                <w:szCs w:val="1"/>
                <w:color w:val="auto"/>
              </w:rPr>
            </w:pPr>
          </w:p>
        </w:tc>
      </w:tr>
      <w:tr>
        <w:trPr>
          <w:trHeight w:val="209"/>
        </w:trPr>
        <w:tc>
          <w:tcPr>
            <w:tcW w:w="5300" w:type="dxa"/>
            <w:vAlign w:val="bottom"/>
            <w:tcBorders>
              <w:top w:val="single" w:sz="8" w:color="A6A6A6"/>
              <w:bottom w:val="single" w:sz="8" w:color="A6A6A6"/>
            </w:tcBorders>
          </w:tcPr>
          <w:p>
            <w:pPr>
              <w:ind w:left="120"/>
              <w:spacing w:after="0" w:line="183" w:lineRule="exact"/>
              <w:rPr>
                <w:sz w:val="20"/>
                <w:szCs w:val="20"/>
                <w:color w:val="auto"/>
              </w:rPr>
            </w:pPr>
            <w:r>
              <w:rPr>
                <w:rFonts w:ascii="Arial" w:cs="Arial" w:eastAsia="Arial" w:hAnsi="Arial"/>
                <w:sz w:val="16"/>
                <w:szCs w:val="16"/>
                <w:color w:val="004483"/>
              </w:rPr>
              <w:t>Restricted Stock and Restricted Stock Units</w:t>
            </w:r>
          </w:p>
        </w:tc>
        <w:tc>
          <w:tcPr>
            <w:tcW w:w="1280" w:type="dxa"/>
            <w:vAlign w:val="bottom"/>
            <w:tcBorders>
              <w:top w:val="single" w:sz="8" w:color="A6A6A6"/>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155,155</w:t>
            </w:r>
          </w:p>
        </w:tc>
        <w:tc>
          <w:tcPr>
            <w:tcW w:w="12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1280" w:type="dxa"/>
            <w:vAlign w:val="bottom"/>
            <w:tcBorders>
              <w:top w:val="single" w:sz="8" w:color="A6A6A6"/>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147,151</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300" w:type="dxa"/>
            <w:vAlign w:val="bottom"/>
            <w:tcBorders>
              <w:top w:val="single" w:sz="8" w:color="A6A6A6"/>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132,992</w:t>
            </w:r>
          </w:p>
        </w:tc>
        <w:tc>
          <w:tcPr>
            <w:tcW w:w="10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1320" w:type="dxa"/>
            <w:vAlign w:val="bottom"/>
            <w:tcBorders>
              <w:top w:val="single" w:sz="8" w:color="A6A6A6"/>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128,467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300" w:type="dxa"/>
            <w:vAlign w:val="bottom"/>
          </w:tcPr>
          <w:p>
            <w:pPr>
              <w:ind w:left="20"/>
              <w:spacing w:after="0" w:line="168" w:lineRule="exact"/>
              <w:rPr>
                <w:sz w:val="20"/>
                <w:szCs w:val="20"/>
                <w:color w:val="auto"/>
              </w:rPr>
            </w:pPr>
            <w:r>
              <w:rPr>
                <w:rFonts w:ascii="Arial" w:cs="Arial" w:eastAsia="Arial" w:hAnsi="Arial"/>
                <w:sz w:val="16"/>
                <w:szCs w:val="16"/>
                <w:b w:val="1"/>
                <w:bCs w:val="1"/>
                <w:color w:val="auto"/>
              </w:rPr>
              <w:t>Weighted-Average Common Stock and Dilutive Securities</w:t>
            </w:r>
          </w:p>
        </w:tc>
        <w:tc>
          <w:tcPr>
            <w:tcW w:w="1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33,608,538</w:t>
            </w:r>
          </w:p>
        </w:tc>
        <w:tc>
          <w:tcPr>
            <w:tcW w:w="120" w:type="dxa"/>
            <w:vAlign w:val="bottom"/>
          </w:tcPr>
          <w:p>
            <w:pPr>
              <w:spacing w:after="0"/>
              <w:rPr>
                <w:sz w:val="14"/>
                <w:szCs w:val="14"/>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34,749,721</w:t>
            </w:r>
          </w:p>
        </w:tc>
        <w:tc>
          <w:tcPr>
            <w:tcW w:w="100" w:type="dxa"/>
            <w:vAlign w:val="bottom"/>
          </w:tcPr>
          <w:p>
            <w:pPr>
              <w:spacing w:after="0"/>
              <w:rPr>
                <w:sz w:val="14"/>
                <w:szCs w:val="14"/>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33,771,660</w:t>
            </w:r>
          </w:p>
        </w:tc>
        <w:tc>
          <w:tcPr>
            <w:tcW w:w="100" w:type="dxa"/>
            <w:vAlign w:val="bottom"/>
          </w:tcPr>
          <w:p>
            <w:pPr>
              <w:spacing w:after="0"/>
              <w:rPr>
                <w:sz w:val="14"/>
                <w:szCs w:val="14"/>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35,201,658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00" w:type="dxa"/>
            <w:vAlign w:val="bottom"/>
          </w:tcPr>
          <w:p>
            <w:pPr>
              <w:ind w:left="20"/>
              <w:spacing w:after="0" w:line="176" w:lineRule="exact"/>
              <w:rPr>
                <w:sz w:val="20"/>
                <w:szCs w:val="20"/>
                <w:color w:val="auto"/>
              </w:rPr>
            </w:pPr>
            <w:r>
              <w:rPr>
                <w:rFonts w:ascii="Arial" w:cs="Arial" w:eastAsia="Arial" w:hAnsi="Arial"/>
                <w:sz w:val="16"/>
                <w:szCs w:val="16"/>
                <w:b w:val="1"/>
                <w:bCs w:val="1"/>
                <w:color w:val="auto"/>
              </w:rPr>
              <w:t>Outstanding</w:t>
            </w:r>
          </w:p>
        </w:tc>
        <w:tc>
          <w:tcPr>
            <w:tcW w:w="1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00" w:type="dxa"/>
            <w:vAlign w:val="bottom"/>
            <w:tcBorders>
              <w:bottom w:val="single" w:sz="8" w:color="A6A6A6"/>
            </w:tcBorders>
          </w:tcPr>
          <w:p>
            <w:pPr>
              <w:spacing w:after="0" w:line="20" w:lineRule="exact"/>
              <w:rPr>
                <w:sz w:val="1"/>
                <w:szCs w:val="1"/>
                <w:color w:val="auto"/>
              </w:rPr>
            </w:pPr>
          </w:p>
        </w:tc>
        <w:tc>
          <w:tcPr>
            <w:tcW w:w="1280" w:type="dxa"/>
            <w:vAlign w:val="bottom"/>
            <w:tcBorders>
              <w:top w:val="single" w:sz="8" w:color="004483"/>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28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30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320" w:type="dxa"/>
            <w:vAlign w:val="bottom"/>
            <w:tcBorders>
              <w:top w:val="single" w:sz="8" w:color="004483"/>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0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Shares Excluded Due to Anti-Dilution Effects</w:t>
            </w:r>
          </w:p>
        </w:tc>
        <w:tc>
          <w:tcPr>
            <w:tcW w:w="128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color w:val="auto"/>
              </w:rPr>
              <w:t>5,476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color w:val="auto"/>
              </w:rPr>
              <w:t>5,558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color w:val="auto"/>
              </w:rPr>
              <w:t>4,047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color w:val="auto"/>
              </w:rPr>
              <w:t>22,145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00" w:type="dxa"/>
            <w:vAlign w:val="bottom"/>
            <w:tcBorders>
              <w:bottom w:val="single" w:sz="8" w:color="A6A6A6"/>
            </w:tcBorders>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3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3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 PENSION AND EMPLOYEE BENEFIT PLANS</w:t>
      </w:r>
    </w:p>
    <w:p>
      <w:pPr>
        <w:spacing w:after="0" w:line="9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sponsor several single-employer defined benefit plans and defined contribution plans, which together cover substantially all our employees. Benefits paid under the single-employer defined benefit plans covering certain hourly employees were historically based on years of service and the employee’s qualifying compensation over the last few years of employment. Over the last several years, these plans have been frozen to new participants and new benefits, with the last plan becoming frozen during fiscal 2020. Our defined benefit plans are all fully funded, with plan assets exceeding the benefit obligation at March 31, 2024. Due to the frozen status and current funding of the single-employer pension plans, our expected pension expense for fiscal 2025 is less than $0.2 million.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 INCOME TAXES</w:t>
      </w:r>
    </w:p>
    <w:p>
      <w:pPr>
        <w:spacing w:after="0" w:line="9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Income Taxes for the interim periods presented have been included in the accompanying financial statements on the basis of an estimated annual effective tax rate. In addition to the amount of tax resulting from applying the estimated annual effective tax rate to pre-tax income, we will include, when appropriate, certain items treated as discrete events to arrive at an estimated overall tax amount. The effective tax rate for the nine months ended December 31, 2024, was approximately 22%, which was consistent with the effective tax rate of 22% for the nine months ended December 31, 2023. The effective tax rate was higher than the U.S. Statutory rate of 21% mainly due to state income taxes, partially offset by a benefit recognized related to percentage depletion.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(M) LONG-TERM DEBT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at December 31, 2024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3"/>
                <w:szCs w:val="13"/>
                <w:color w:val="auto"/>
              </w:rPr>
            </w:pPr>
          </w:p>
        </w:tc>
        <w:tc>
          <w:tcPr>
            <w:tcW w:w="420" w:type="dxa"/>
            <w:vAlign w:val="bottom"/>
            <w:shd w:val="clear" w:color="auto" w:fill="004483"/>
          </w:tcPr>
          <w:p>
            <w:pPr>
              <w:spacing w:after="0"/>
              <w:rPr>
                <w:sz w:val="13"/>
                <w:szCs w:val="13"/>
                <w:color w:val="auto"/>
              </w:rPr>
            </w:pPr>
          </w:p>
        </w:tc>
        <w:tc>
          <w:tcPr>
            <w:tcW w:w="1260" w:type="dxa"/>
            <w:vAlign w:val="bottom"/>
            <w:gridSpan w:val="2"/>
            <w:shd w:val="clear" w:color="auto" w:fill="004483"/>
          </w:tcPr>
          <w:p>
            <w:pPr>
              <w:jc w:val="right"/>
              <w:ind w:right="59"/>
              <w:spacing w:after="0"/>
              <w:rPr>
                <w:sz w:val="20"/>
                <w:szCs w:val="20"/>
                <w:color w:val="auto"/>
              </w:rPr>
            </w:pPr>
            <w:r>
              <w:rPr>
                <w:rFonts w:ascii="Arial" w:cs="Arial" w:eastAsia="Arial" w:hAnsi="Arial"/>
                <w:sz w:val="13"/>
                <w:szCs w:val="13"/>
                <w:b w:val="1"/>
                <w:bCs w:val="1"/>
                <w:color w:val="FFFFFF"/>
              </w:rPr>
              <w:t>December 31,</w:t>
            </w:r>
          </w:p>
        </w:tc>
        <w:tc>
          <w:tcPr>
            <w:tcW w:w="180" w:type="dxa"/>
            <w:vAlign w:val="bottom"/>
            <w:shd w:val="clear" w:color="auto" w:fill="004483"/>
          </w:tcPr>
          <w:p>
            <w:pPr>
              <w:spacing w:after="0"/>
              <w:rPr>
                <w:sz w:val="13"/>
                <w:szCs w:val="13"/>
                <w:color w:val="auto"/>
              </w:rPr>
            </w:pPr>
          </w:p>
        </w:tc>
        <w:tc>
          <w:tcPr>
            <w:tcW w:w="640" w:type="dxa"/>
            <w:vAlign w:val="bottom"/>
            <w:shd w:val="clear" w:color="auto" w:fill="004483"/>
          </w:tcPr>
          <w:p>
            <w:pPr>
              <w:spacing w:after="0"/>
              <w:rPr>
                <w:sz w:val="13"/>
                <w:szCs w:val="13"/>
                <w:color w:val="auto"/>
              </w:rPr>
            </w:pPr>
          </w:p>
        </w:tc>
        <w:tc>
          <w:tcPr>
            <w:tcW w:w="1040" w:type="dxa"/>
            <w:vAlign w:val="bottom"/>
            <w:gridSpan w:val="2"/>
            <w:shd w:val="clear" w:color="auto" w:fill="004483"/>
          </w:tcPr>
          <w:p>
            <w:pPr>
              <w:jc w:val="right"/>
              <w:ind w:right="59"/>
              <w:spacing w:after="0"/>
              <w:rPr>
                <w:sz w:val="20"/>
                <w:szCs w:val="20"/>
                <w:color w:val="auto"/>
              </w:rPr>
            </w:pPr>
            <w:r>
              <w:rPr>
                <w:rFonts w:ascii="Arial" w:cs="Arial" w:eastAsia="Arial" w:hAnsi="Arial"/>
                <w:sz w:val="13"/>
                <w:szCs w:val="13"/>
                <w:b w:val="1"/>
                <w:bCs w:val="1"/>
                <w:color w:val="FFFFFF"/>
              </w:rPr>
              <w:t>March 31,</w:t>
            </w:r>
          </w:p>
        </w:tc>
        <w:tc>
          <w:tcPr>
            <w:tcW w:w="0" w:type="dxa"/>
            <w:vAlign w:val="bottom"/>
          </w:tcPr>
          <w:p>
            <w:pPr>
              <w:spacing w:after="0"/>
              <w:rPr>
                <w:sz w:val="1"/>
                <w:szCs w:val="1"/>
                <w:color w:val="auto"/>
              </w:rPr>
            </w:pPr>
          </w:p>
        </w:tc>
      </w:tr>
      <w:tr>
        <w:trPr>
          <w:trHeight w:val="117"/>
        </w:trPr>
        <w:tc>
          <w:tcPr>
            <w:tcW w:w="7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70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2080" w:type="dxa"/>
            <w:vAlign w:val="bottom"/>
            <w:tcBorders>
              <w:bottom w:val="single" w:sz="8" w:color="004483"/>
            </w:tcBorders>
            <w:gridSpan w:val="4"/>
          </w:tcPr>
          <w:p>
            <w:pPr>
              <w:jc w:val="right"/>
              <w:ind w:right="99"/>
              <w:spacing w:after="0"/>
              <w:rPr>
                <w:sz w:val="20"/>
                <w:szCs w:val="20"/>
                <w:color w:val="auto"/>
              </w:rPr>
            </w:pPr>
            <w:r>
              <w:rPr>
                <w:rFonts w:ascii="Arial" w:cs="Arial" w:eastAsia="Arial" w:hAnsi="Arial"/>
                <w:sz w:val="13"/>
                <w:szCs w:val="13"/>
                <w:color w:val="auto"/>
              </w:rPr>
              <w:t>(dollars in thousands)</w:t>
            </w:r>
          </w:p>
        </w:tc>
        <w:tc>
          <w:tcPr>
            <w:tcW w:w="94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Revolving Credit Facility</w:t>
            </w:r>
          </w:p>
        </w:tc>
        <w:tc>
          <w:tcPr>
            <w:tcW w:w="420" w:type="dxa"/>
            <w:vAlign w:val="bottom"/>
            <w:tcBorders>
              <w:bottom w:val="single" w:sz="8" w:color="A6A6A6"/>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85,000</w:t>
            </w:r>
          </w:p>
        </w:tc>
        <w:tc>
          <w:tcPr>
            <w:tcW w:w="120" w:type="dxa"/>
            <w:vAlign w:val="bottom"/>
          </w:tcPr>
          <w:p>
            <w:pPr>
              <w:spacing w:after="0"/>
              <w:rPr>
                <w:sz w:val="16"/>
                <w:szCs w:val="16"/>
                <w:color w:val="auto"/>
              </w:rPr>
            </w:pPr>
          </w:p>
        </w:tc>
        <w:tc>
          <w:tcPr>
            <w:tcW w:w="820" w:type="dxa"/>
            <w:vAlign w:val="bottom"/>
            <w:tcBorders>
              <w:bottom w:val="single" w:sz="8" w:color="A6A6A6"/>
            </w:tcBorders>
            <w:gridSpan w:val="2"/>
          </w:tcPr>
          <w:p>
            <w:pPr>
              <w:jc w:val="right"/>
              <w:ind w:right="4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2.500% Senior Unsecured Notes Due 2031</w:t>
            </w:r>
          </w:p>
        </w:tc>
        <w:tc>
          <w:tcPr>
            <w:tcW w:w="42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750,000</w:t>
            </w:r>
          </w:p>
        </w:tc>
        <w:tc>
          <w:tcPr>
            <w:tcW w:w="12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750,000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Term Loan</w:t>
            </w:r>
          </w:p>
        </w:tc>
        <w:tc>
          <w:tcPr>
            <w:tcW w:w="42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175,000</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004483"/>
            </w:tcBorders>
          </w:tcPr>
          <w:p>
            <w:pPr>
              <w:spacing w:after="0"/>
              <w:rPr>
                <w:sz w:val="18"/>
                <w:szCs w:val="18"/>
                <w:color w:val="auto"/>
              </w:rPr>
            </w:pPr>
          </w:p>
        </w:tc>
        <w:tc>
          <w:tcPr>
            <w:tcW w:w="9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182,500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Total Debt</w:t>
            </w:r>
          </w:p>
        </w:tc>
        <w:tc>
          <w:tcPr>
            <w:tcW w:w="42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1,010,000</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1,102,500</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Less: Current Portion of Long-Term Debt</w:t>
            </w:r>
          </w:p>
        </w:tc>
        <w:tc>
          <w:tcPr>
            <w:tcW w:w="42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(10,000</w:t>
            </w:r>
          </w:p>
        </w:tc>
        <w:tc>
          <w:tcPr>
            <w:tcW w:w="120" w:type="dxa"/>
            <w:vAlign w:val="bottom"/>
            <w:vMerge w:val="continue"/>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(10,000</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00" w:type="dxa"/>
            <w:vAlign w:val="bottom"/>
          </w:tcPr>
          <w:p>
            <w:pPr>
              <w:ind w:left="20"/>
              <w:spacing w:after="0" w:line="183" w:lineRule="exact"/>
              <w:rPr>
                <w:sz w:val="20"/>
                <w:szCs w:val="20"/>
                <w:color w:val="auto"/>
              </w:rPr>
            </w:pPr>
            <w:r>
              <w:rPr>
                <w:rFonts w:ascii="Arial" w:cs="Arial" w:eastAsia="Arial" w:hAnsi="Arial"/>
                <w:sz w:val="16"/>
                <w:szCs w:val="16"/>
                <w:color w:val="004483"/>
              </w:rPr>
              <w:t>Less: Unamortized Discounts and Debt Issuance Costs</w:t>
            </w:r>
          </w:p>
        </w:tc>
        <w:tc>
          <w:tcPr>
            <w:tcW w:w="42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(8,251</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(9,201</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7700" w:type="dxa"/>
            <w:vAlign w:val="bottom"/>
            <w:tcBorders>
              <w:bottom w:val="single" w:sz="8" w:color="A6A6A6"/>
            </w:tcBorders>
          </w:tcPr>
          <w:p>
            <w:pPr>
              <w:spacing w:after="0"/>
              <w:rPr>
                <w:sz w:val="2"/>
                <w:szCs w:val="2"/>
                <w:color w:val="auto"/>
              </w:rPr>
            </w:pPr>
          </w:p>
        </w:tc>
        <w:tc>
          <w:tcPr>
            <w:tcW w:w="420" w:type="dxa"/>
            <w:vAlign w:val="bottom"/>
            <w:tcBorders>
              <w:bottom w:val="single" w:sz="8" w:color="004483"/>
            </w:tcBorders>
            <w:shd w:val="clear" w:color="auto" w:fill="004483"/>
          </w:tcPr>
          <w:p>
            <w:pPr>
              <w:spacing w:after="0"/>
              <w:rPr>
                <w:sz w:val="2"/>
                <w:szCs w:val="2"/>
                <w:color w:val="auto"/>
              </w:rPr>
            </w:pPr>
          </w:p>
        </w:tc>
        <w:tc>
          <w:tcPr>
            <w:tcW w:w="114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640" w:type="dxa"/>
            <w:vAlign w:val="bottom"/>
            <w:tcBorders>
              <w:bottom w:val="single" w:sz="8" w:color="004483"/>
            </w:tcBorders>
            <w:shd w:val="clear" w:color="auto" w:fill="004483"/>
          </w:tcPr>
          <w:p>
            <w:pPr>
              <w:spacing w:after="0"/>
              <w:rPr>
                <w:sz w:val="2"/>
                <w:szCs w:val="2"/>
                <w:color w:val="auto"/>
              </w:rPr>
            </w:pPr>
          </w:p>
        </w:tc>
        <w:tc>
          <w:tcPr>
            <w:tcW w:w="9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7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Long-Term Debt</w:t>
            </w:r>
          </w:p>
        </w:tc>
        <w:tc>
          <w:tcPr>
            <w:tcW w:w="420" w:type="dxa"/>
            <w:vAlign w:val="bottom"/>
            <w:tcBorders>
              <w:bottom w:val="single" w:sz="8" w:color="004483"/>
            </w:tcBorders>
          </w:tcPr>
          <w:p>
            <w:pPr>
              <w:jc w:val="right"/>
              <w:ind w:right="239"/>
              <w:spacing w:after="0" w:line="183" w:lineRule="exact"/>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991,749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Borders>
              <w:bottom w:val="single" w:sz="8" w:color="004483"/>
            </w:tcBorders>
          </w:tcPr>
          <w:p>
            <w:pPr>
              <w:jc w:val="right"/>
              <w:ind w:right="459"/>
              <w:spacing w:after="0" w:line="183" w:lineRule="exact"/>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1,083,299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Revolving Credit Facility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have an unsecured $750.0 million revolving credit facility (the Revolving Credit Facility). The Revolving Credit Facility includes a separate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 million term loan facility (the Term Loan) and also provides the Company the option to increase the borrowing capacity by up to</w:t>
      </w:r>
    </w:p>
    <w:p>
      <w:pPr>
        <w:spacing w:after="0" w:line="234" w:lineRule="auto"/>
        <w:rPr>
          <w:sz w:val="20"/>
          <w:szCs w:val="20"/>
          <w:color w:val="auto"/>
        </w:rPr>
      </w:pPr>
      <w:r>
        <w:rPr>
          <w:rFonts w:ascii="Arial" w:cs="Arial" w:eastAsia="Arial" w:hAnsi="Arial"/>
          <w:sz w:val="18"/>
          <w:szCs w:val="18"/>
          <w:color w:val="auto"/>
        </w:rPr>
        <w:t>$375.0 million (for a total borrowing capacity of $1,125.0 million), provided the existing lenders, or new lenders, agree to such increase. The</w:t>
      </w:r>
    </w:p>
    <w:p>
      <w:pPr>
        <w:spacing w:after="0" w:line="235" w:lineRule="auto"/>
        <w:rPr>
          <w:sz w:val="20"/>
          <w:szCs w:val="20"/>
          <w:color w:val="auto"/>
        </w:rPr>
      </w:pPr>
      <w:r>
        <w:rPr>
          <w:rFonts w:ascii="Arial" w:cs="Arial" w:eastAsia="Arial" w:hAnsi="Arial"/>
          <w:sz w:val="18"/>
          <w:szCs w:val="18"/>
          <w:color w:val="auto"/>
        </w:rPr>
        <w:t>Revolving Credit Facility includes a $40.0 million letter of credit facility and a swingline loan sub-facility of $25.0 million, and expires on May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5, 2027.</w:t>
      </w:r>
    </w:p>
    <w:p>
      <w:pPr>
        <w:spacing w:after="0" w:line="8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Revolving Credit Facility contains customary covenants for an unsecured investment-grade facility, including covenants that restrict the Company’s and/or its subsidiaries’ ability to incur additional debt; encumber assets; merge with or transfer or sell assets to other persons; and enter into certain affiliate transactions. The Revolving Credit Facility also requires the Company to maintain at the end of each fiscal quarter a Leverage Ratio of 3.50:1.00 or less and an Interest Coverage Ratio (both ratios, as defined in the Revolving Credit Facility) equal to or greater than 2.50 to 1.00 (collectively, the Financial Covenants).</w:t>
      </w:r>
    </w:p>
    <w:p>
      <w:pPr>
        <w:spacing w:after="0" w:line="6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At the Company’s option, outstanding loans under the Revolving Credit Facility bear interest, at a variable rate equal to either (i) the adjusted term SOFR rate (secured overnight financing rate), plus 10 basis points, plus an agreed spread (ranging from 100 to 162.5 basis points, which is established based on the Company's credit rating); (ii) in respect of any Revolving Loans (until such time as the then-existing Benchmark (as defined in the Revolving Credit Facility) is replaced in accordance with the Revolving Credit Facility), the adjusted daily simple SOFR rate, plus 10 basis points, plus an agreed spread (ranging from 100 to 162.5 basis points, which is established based on the Company's credit rating) or (iii) an Alternate Base Rate (as defined in the Revolving Credit Facility), which is the highest of (a) the Prime Rate (as defined in the Revolving Credit Facility) in effect on any applicable day, (b) the NYFRB Rate (as defined in the Revolving Credit Facility) in effect on any applicable day, plus ½ of 1%, and (c) the Adjusted Term SOFR (as defined in the Revolving Credit Facility) for a one month interest period on any applicable day, or if such day is not a business day, the immediately preceding business day, plus 1.0%, in each case plus an agreed upon spread (ranging from 0 to 62.5 basis points), which is established quarterly based on the Company's credit rating. The Company is also required to pay a facility fee on unused available borrowings under the Revolving Credit Facility ranging from 9 to 22.5 basis points, which is established based on the Company's then credit rating.</w:t>
      </w:r>
    </w:p>
    <w:p>
      <w:pPr>
        <w:spacing w:after="0" w:line="7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The Company pays each lender a participation fee with respect to such lender’s participations in letters of credit, which fee accrues at the same Applicable Rate (as defined in the Revolving Credit Facility) used to determine the interest rate applicable to Eurodollar Revolving Loans (as defined in the Revolving Credit Facility), plus a fronting fee for each letter of credit issued by the issuing bank in an amount equal to 12.5 basis points per annum on the daily maximum amount then available to be drawn under such letter of credit. The Company also pays each issuing bank such bank’s standard fees with respect to issuance, amendment or extensions of letters of credit and other processing fees, and other standard costs and charges relating to such issuing bank’s letters of credit from time to time.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16" w:name="page17"/>
    <w:bookmarkEnd w:id="16"/>
    <w:p>
      <w:pPr>
        <w:ind w:right="140"/>
        <w:spacing w:after="0" w:line="244" w:lineRule="auto"/>
        <w:rPr>
          <w:sz w:val="20"/>
          <w:szCs w:val="20"/>
          <w:color w:val="auto"/>
        </w:rPr>
      </w:pPr>
      <w:r>
        <w:rPr>
          <w:rFonts w:ascii="Arial" w:cs="Arial" w:eastAsia="Arial" w:hAnsi="Arial"/>
          <w:sz w:val="18"/>
          <w:szCs w:val="18"/>
          <w:color w:val="auto"/>
        </w:rPr>
        <w:t>There were $85.0 million of outstanding borrowings under the Revolving Credit Facility, plus $10.0 million outstanding letters of credit as of December 31, 2024. Subsequent to December 31, 2024, we borrowed approximately $152.5 million to fund the Pennsylvania Acquisition. After this borrowing, we have $502.5 million of available borrowings under the Revolving Credit Facility, net of the outstanding letters of credit. We were in compliance with all Financial Covenants on December 31, 2024; therefore, the entire $502.5 million is available for future borrowings.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 Loan</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On May 5, 2022, we borrowed the $200.0 million Term Loan under the Revolving Credit Facility, and used these proceeds to, among other things, pay down a portion of the Revolving Credit Facility. The Term Loan requires quarterly principal payments of $2.5 million, with any unpaid amounts due upon maturity on May 5, 2027. At the Company’s option, principal amounts outstanding under the Term Loan bear interest as set forth in the Revolving Credit Facility (but not, for the avoidance of doubt, at a daily simple SOFR rate unless and until such time as the then-existing Benchmark (as defined in the Revolving Credit Facility) is replaced in accordance with the Revolving Credit Facility).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2.500% Senior Unsecured Notes Due 2031</w:t>
      </w:r>
    </w:p>
    <w:p>
      <w:pPr>
        <w:spacing w:after="0" w:line="10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On July 1, 2021, we issued $750.0 million aggregate principal amount of 2.500% senior notes due July 2031 (the 2.500% Senior Unsecured Notes). The 2.500% Senior Unsecured Notes are senior unsecured obligations of the Company and are not guaranteed by any of our subsidiaries. The 2.500% Senior Unsecured Notes were issued net of original issue discount of $6.3 million and have an effective interest rate of approximately 2.6%. The original issue discount is being amortized by the effective interest method over the 10-year term of the notes. The 2.500% Senior Unsecured Notes are redeemable prior to April 1, 2031, at a redemption price equal to 100% of the aggregate principal amount of the 2.500% Senior Unsecured Notes being redeemed, plus the present value of remaining scheduled payments of principal and interest from the applicable redemption date to April 1, 2031, discounted to the redemption date on a semi-annual basis at the Treasury rate plus 20 basis points. The 2.500% Senior Unsecured Notes are redeemable on or after April 1, 2031, at a redemption price equal to 100% of the aggregate principal amount of the 2.500% Senior Unsecured Notes being redeemed, plus accrued and unpaid interest to, but excluding, the applicable redemption date. If we experience certain change of control triggering events, we would be required to offer to repurchase the 2.500% Senior Unsecured Notes at a purchase price equal to 101% of the aggregate principal amount of the 2.500% Senior Unsecured Notes being repurchased, plus accrued and unpaid interest to, but excluding, the applicable redemption date. The indenture governing the 2.500%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2.500% Senior Unsecured Notes to become or be declared due and payable.</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 SEGMENT INFORMATION</w:t>
      </w:r>
    </w:p>
    <w:p>
      <w:pPr>
        <w:spacing w:after="0" w:line="9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Operating segments are defined as components of an enterprise that engage in business activities that earn revenue, incur expenses, and prepare separate financial information that is evaluated regularly by our chief operating decision maker to allocate resources and assess performance.</w:t>
      </w:r>
    </w:p>
    <w:p>
      <w:pPr>
        <w:spacing w:after="0" w:line="6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business is organized into two sectors within which there are four reportable business segments. The Heavy Materials sector includes the Cement and Concrete and Aggregates segments. The Light Materials sector includes the Gypsum Wallboard and Recycled Paperboard segments.</w:t>
      </w:r>
    </w:p>
    <w:p>
      <w:pPr>
        <w:spacing w:after="0" w:line="61"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Our primary products are commodities that are essential in commercial and residential construction; public construction projects to build, expand, and repair roads and buildings; and all repair and remodel activities. Demand for our products is generally cyclical and seasonal, depending on economic and geographic conditions. We distribute our products across many United States markets, which provides us with regional economic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7" w:name="page18"/>
    <w:bookmarkEnd w:id="17"/>
    <w:p>
      <w:pPr>
        <w:ind w:right="160"/>
        <w:spacing w:after="0" w:line="244" w:lineRule="auto"/>
        <w:rPr>
          <w:sz w:val="20"/>
          <w:szCs w:val="20"/>
          <w:color w:val="auto"/>
        </w:rPr>
      </w:pPr>
      <w:r>
        <w:rPr>
          <w:rFonts w:ascii="Arial" w:cs="Arial" w:eastAsia="Arial" w:hAnsi="Arial"/>
          <w:sz w:val="18"/>
          <w:szCs w:val="18"/>
          <w:color w:val="auto"/>
        </w:rPr>
        <w:t>diversification. Our operations are conducted in the U.S. and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68"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We operate eight modern cement plants (one of which is operated through our Texas Lehigh joint venture (The Joint Venture)), two slag grinding facilities (one of which is operated through the Joint Venture), and more than 30 cement distribution terminals. Our cement companies focus on the U.S. heartland and operate as an integrated network selling product primarily in California, Colorado, Illinois, Indiana, Iowa, Kansas, Kentucky, Missouri, Nebraska, Nevada, Ohio, Oklahoma, Tennessee, and Texas. We operate 25 readymix concrete batch plants and seven aggregates processing plants in markets that are complementary to our cement network.</w:t>
      </w:r>
    </w:p>
    <w:p>
      <w:pPr>
        <w:spacing w:after="0" w:line="68"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We operate five gypsum wallboard plants and a recycled paperboard mill. We distribute gypsum wallboard and recycled paperboard throughout the continental U.S., with the exception of the Northeast.</w:t>
      </w:r>
    </w:p>
    <w:p>
      <w:pPr>
        <w:spacing w:after="0" w:line="4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spacing w:after="0" w:line="6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following table sets forth certain financial information relating to our operations by segment. We do not allocate interest or taxes at the segment level; these costs are disclosed at the consolidated company level.</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40" w:type="dxa"/>
            <w:vAlign w:val="bottom"/>
          </w:tcPr>
          <w:p>
            <w:pPr>
              <w:spacing w:after="0"/>
              <w:rPr>
                <w:sz w:val="13"/>
                <w:szCs w:val="13"/>
                <w:color w:val="auto"/>
              </w:rPr>
            </w:pPr>
          </w:p>
        </w:tc>
        <w:tc>
          <w:tcPr>
            <w:tcW w:w="2880" w:type="dxa"/>
            <w:vAlign w:val="bottom"/>
            <w:gridSpan w:val="7"/>
            <w:shd w:val="clear" w:color="auto" w:fill="004483"/>
          </w:tcPr>
          <w:p>
            <w:pPr>
              <w:jc w:val="right"/>
              <w:ind w:right="139"/>
              <w:spacing w:after="0"/>
              <w:rPr>
                <w:sz w:val="20"/>
                <w:szCs w:val="20"/>
                <w:color w:val="auto"/>
              </w:rPr>
            </w:pPr>
            <w:r>
              <w:rPr>
                <w:rFonts w:ascii="Arial" w:cs="Arial" w:eastAsia="Arial" w:hAnsi="Arial"/>
                <w:sz w:val="13"/>
                <w:szCs w:val="13"/>
                <w:b w:val="1"/>
                <w:bCs w:val="1"/>
                <w:color w:val="FFFFFF"/>
                <w:w w:val="99"/>
              </w:rPr>
              <w:t>For the Three Months Ended December 31,</w:t>
            </w:r>
          </w:p>
        </w:tc>
        <w:tc>
          <w:tcPr>
            <w:tcW w:w="120" w:type="dxa"/>
            <w:vAlign w:val="bottom"/>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2780" w:type="dxa"/>
            <w:vAlign w:val="bottom"/>
            <w:gridSpan w:val="6"/>
            <w:shd w:val="clear" w:color="auto" w:fill="004483"/>
          </w:tcPr>
          <w:p>
            <w:pPr>
              <w:jc w:val="right"/>
              <w:ind w:right="179"/>
              <w:spacing w:after="0"/>
              <w:rPr>
                <w:sz w:val="20"/>
                <w:szCs w:val="20"/>
                <w:color w:val="auto"/>
              </w:rPr>
            </w:pPr>
            <w:r>
              <w:rPr>
                <w:rFonts w:ascii="Arial" w:cs="Arial" w:eastAsia="Arial" w:hAnsi="Arial"/>
                <w:sz w:val="13"/>
                <w:szCs w:val="13"/>
                <w:b w:val="1"/>
                <w:bCs w:val="1"/>
                <w:color w:val="FFFFFF"/>
                <w:w w:val="97"/>
              </w:rPr>
              <w:t>For the Nine Months Ended December 31,</w:t>
            </w:r>
          </w:p>
        </w:tc>
        <w:tc>
          <w:tcPr>
            <w:tcW w:w="0" w:type="dxa"/>
            <w:vAlign w:val="bottom"/>
          </w:tcPr>
          <w:p>
            <w:pPr>
              <w:spacing w:after="0"/>
              <w:rPr>
                <w:sz w:val="1"/>
                <w:szCs w:val="1"/>
                <w:color w:val="auto"/>
              </w:rPr>
            </w:pPr>
          </w:p>
        </w:tc>
      </w:tr>
      <w:tr>
        <w:trPr>
          <w:trHeight w:val="117"/>
        </w:trPr>
        <w:tc>
          <w:tcPr>
            <w:tcW w:w="5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4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2500" w:type="dxa"/>
            <w:vAlign w:val="bottom"/>
            <w:tcBorders>
              <w:bottom w:val="single" w:sz="8" w:color="004483"/>
            </w:tcBorders>
            <w:gridSpan w:val="6"/>
          </w:tcPr>
          <w:p>
            <w:pPr>
              <w:jc w:val="right"/>
              <w:ind w:right="799"/>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5"/>
                <w:szCs w:val="15"/>
                <w:color w:val="auto"/>
              </w:rPr>
            </w:pPr>
          </w:p>
        </w:tc>
        <w:tc>
          <w:tcPr>
            <w:tcW w:w="32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Revenue</w:t>
            </w:r>
          </w:p>
        </w:tc>
        <w:tc>
          <w:tcPr>
            <w:tcW w:w="380" w:type="dxa"/>
            <w:vAlign w:val="bottom"/>
            <w:tcBorders>
              <w:bottom w:val="single" w:sz="8" w:color="A6A6A6"/>
            </w:tcBorders>
          </w:tcPr>
          <w:p>
            <w:pPr>
              <w:spacing w:after="0"/>
              <w:rPr>
                <w:sz w:val="16"/>
                <w:szCs w:val="16"/>
                <w:color w:val="auto"/>
              </w:rPr>
            </w:pPr>
          </w:p>
        </w:tc>
        <w:tc>
          <w:tcPr>
            <w:tcW w:w="88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380" w:type="dxa"/>
            <w:vAlign w:val="bottom"/>
            <w:tcBorders>
              <w:bottom w:val="single" w:sz="8" w:color="A6A6A6"/>
            </w:tcBorders>
          </w:tcPr>
          <w:p>
            <w:pPr>
              <w:spacing w:after="0"/>
              <w:rPr>
                <w:sz w:val="16"/>
                <w:szCs w:val="16"/>
                <w:color w:val="auto"/>
              </w:rPr>
            </w:pPr>
          </w:p>
        </w:tc>
        <w:tc>
          <w:tcPr>
            <w:tcW w:w="88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1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320" w:type="dxa"/>
            <w:vAlign w:val="bottom"/>
            <w:tcBorders>
              <w:bottom w:val="single" w:sz="8" w:color="A6A6A6"/>
            </w:tcBorders>
          </w:tcPr>
          <w:p>
            <w:pPr>
              <w:spacing w:after="0"/>
              <w:rPr>
                <w:sz w:val="16"/>
                <w:szCs w:val="16"/>
                <w:color w:val="auto"/>
              </w:rPr>
            </w:pPr>
          </w:p>
        </w:tc>
        <w:tc>
          <w:tcPr>
            <w:tcW w:w="98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Cement</w:t>
            </w:r>
          </w:p>
        </w:tc>
        <w:tc>
          <w:tcPr>
            <w:tcW w:w="380" w:type="dxa"/>
            <w:vAlign w:val="bottom"/>
            <w:tcBorders>
              <w:bottom w:val="single" w:sz="8" w:color="A6A6A6"/>
            </w:tcBorders>
          </w:tcPr>
          <w:p>
            <w:pPr>
              <w:jc w:val="right"/>
              <w:ind w:right="205"/>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295,400</w:t>
            </w:r>
          </w:p>
        </w:tc>
        <w:tc>
          <w:tcPr>
            <w:tcW w:w="120" w:type="dxa"/>
            <w:vAlign w:val="bottom"/>
          </w:tcPr>
          <w:p>
            <w:pPr>
              <w:spacing w:after="0"/>
              <w:rPr>
                <w:sz w:val="15"/>
                <w:szCs w:val="15"/>
                <w:color w:val="auto"/>
              </w:rPr>
            </w:pPr>
          </w:p>
        </w:tc>
        <w:tc>
          <w:tcPr>
            <w:tcW w:w="500" w:type="dxa"/>
            <w:vAlign w:val="bottom"/>
            <w:tcBorders>
              <w:bottom w:val="single" w:sz="8" w:color="A6A6A6"/>
            </w:tcBorders>
            <w:gridSpan w:val="2"/>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308,654</w:t>
            </w:r>
          </w:p>
        </w:tc>
        <w:tc>
          <w:tcPr>
            <w:tcW w:w="120" w:type="dxa"/>
            <w:vAlign w:val="bottom"/>
          </w:tcPr>
          <w:p>
            <w:pPr>
              <w:spacing w:after="0"/>
              <w:rPr>
                <w:sz w:val="15"/>
                <w:szCs w:val="15"/>
                <w:color w:val="auto"/>
              </w:rPr>
            </w:pPr>
          </w:p>
        </w:tc>
        <w:tc>
          <w:tcPr>
            <w:tcW w:w="24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987,342</w:t>
            </w:r>
          </w:p>
        </w:tc>
        <w:tc>
          <w:tcPr>
            <w:tcW w:w="100" w:type="dxa"/>
            <w:vAlign w:val="bottom"/>
          </w:tcPr>
          <w:p>
            <w:pPr>
              <w:spacing w:after="0"/>
              <w:rPr>
                <w:sz w:val="15"/>
                <w:szCs w:val="15"/>
                <w:color w:val="auto"/>
              </w:rPr>
            </w:pPr>
          </w:p>
        </w:tc>
        <w:tc>
          <w:tcPr>
            <w:tcW w:w="440" w:type="dxa"/>
            <w:vAlign w:val="bottom"/>
            <w:tcBorders>
              <w:bottom w:val="single" w:sz="8" w:color="A6A6A6"/>
            </w:tcBorders>
            <w:gridSpan w:val="2"/>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998,437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Concrete and Aggregates</w:t>
            </w: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60,716</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61,186</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195,511</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201,526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Gypsum Wallboard</w:t>
            </w: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209,493</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200,969</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642,294</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629,299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Recycled Paperboard</w:t>
            </w:r>
          </w:p>
        </w:tc>
        <w:tc>
          <w:tcPr>
            <w:tcW w:w="380" w:type="dxa"/>
            <w:vAlign w:val="bottom"/>
            <w:tcBorders>
              <w:bottom w:val="single" w:sz="8" w:color="004483"/>
            </w:tcBorders>
          </w:tcPr>
          <w:p>
            <w:pPr>
              <w:spacing w:after="0"/>
              <w:rPr>
                <w:sz w:val="18"/>
                <w:szCs w:val="18"/>
                <w:color w:val="auto"/>
              </w:rPr>
            </w:pP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56,158</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80" w:type="dxa"/>
            <w:vAlign w:val="bottom"/>
            <w:tcBorders>
              <w:bottom w:val="single" w:sz="8" w:color="004483"/>
            </w:tcBorders>
          </w:tcPr>
          <w:p>
            <w:pPr>
              <w:spacing w:after="0"/>
              <w:rPr>
                <w:sz w:val="18"/>
                <w:szCs w:val="18"/>
                <w:color w:val="auto"/>
              </w:rPr>
            </w:pP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47,053</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1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161,175</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135,397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621,767</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617,862</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1,986,322</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1,964,659</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2"/>
        </w:trPr>
        <w:tc>
          <w:tcPr>
            <w:tcW w:w="53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Less: Intersegment Revenue</w:t>
            </w: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(37,316</w:t>
            </w:r>
          </w:p>
        </w:tc>
        <w:tc>
          <w:tcPr>
            <w:tcW w:w="120" w:type="dxa"/>
            <w:vAlign w:val="bottom"/>
            <w:vMerge w:val="continue"/>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(32,346</w:t>
            </w:r>
          </w:p>
        </w:tc>
        <w:tc>
          <w:tcPr>
            <w:tcW w:w="120" w:type="dxa"/>
            <w:vAlign w:val="bottom"/>
            <w:vMerge w:val="continue"/>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(111,428</w:t>
            </w:r>
          </w:p>
        </w:tc>
        <w:tc>
          <w:tcPr>
            <w:tcW w:w="100" w:type="dxa"/>
            <w:vAlign w:val="bottom"/>
            <w:vMerge w:val="continue"/>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(99,356</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Pr>
          <w:p>
            <w:pPr>
              <w:ind w:left="200"/>
              <w:spacing w:after="0" w:line="183" w:lineRule="exact"/>
              <w:rPr>
                <w:sz w:val="20"/>
                <w:szCs w:val="20"/>
                <w:color w:val="auto"/>
              </w:rPr>
            </w:pPr>
            <w:r>
              <w:rPr>
                <w:rFonts w:ascii="Arial" w:cs="Arial" w:eastAsia="Arial" w:hAnsi="Arial"/>
                <w:sz w:val="16"/>
                <w:szCs w:val="16"/>
                <w:color w:val="004483"/>
              </w:rPr>
              <w:t>Less: Joint Venture Revenue</w:t>
            </w:r>
          </w:p>
        </w:tc>
        <w:tc>
          <w:tcPr>
            <w:tcW w:w="38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(26,426</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(26,683</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(84,561</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(82,713</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5340" w:type="dxa"/>
            <w:vAlign w:val="bottom"/>
            <w:tcBorders>
              <w:bottom w:val="single" w:sz="8" w:color="A6A6A6"/>
            </w:tcBorders>
          </w:tcPr>
          <w:p>
            <w:pPr>
              <w:spacing w:after="0"/>
              <w:rPr>
                <w:sz w:val="2"/>
                <w:szCs w:val="2"/>
                <w:color w:val="auto"/>
              </w:rPr>
            </w:pPr>
          </w:p>
        </w:tc>
        <w:tc>
          <w:tcPr>
            <w:tcW w:w="38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38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20" w:type="dxa"/>
            <w:vAlign w:val="bottom"/>
            <w:tcBorders>
              <w:bottom w:val="single" w:sz="8" w:color="004483"/>
            </w:tcBorders>
            <w:shd w:val="clear" w:color="auto" w:fill="004483"/>
          </w:tcPr>
          <w:p>
            <w:pPr>
              <w:spacing w:after="0"/>
              <w:rPr>
                <w:sz w:val="2"/>
                <w:szCs w:val="2"/>
                <w:color w:val="auto"/>
              </w:rPr>
            </w:pPr>
          </w:p>
        </w:tc>
        <w:tc>
          <w:tcPr>
            <w:tcW w:w="11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320" w:type="dxa"/>
            <w:vAlign w:val="bottom"/>
            <w:tcBorders>
              <w:bottom w:val="single" w:sz="8" w:color="004483"/>
            </w:tcBorders>
            <w:shd w:val="clear" w:color="auto" w:fill="004483"/>
          </w:tcPr>
          <w:p>
            <w:pPr>
              <w:spacing w:after="0"/>
              <w:rPr>
                <w:sz w:val="2"/>
                <w:szCs w:val="2"/>
                <w:color w:val="auto"/>
              </w:rPr>
            </w:pPr>
          </w:p>
        </w:tc>
        <w:tc>
          <w:tcPr>
            <w:tcW w:w="9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340" w:type="dxa"/>
            <w:vAlign w:val="bottom"/>
          </w:tcPr>
          <w:p>
            <w:pPr>
              <w:spacing w:after="0"/>
              <w:rPr>
                <w:sz w:val="15"/>
                <w:szCs w:val="15"/>
                <w:color w:val="auto"/>
              </w:rPr>
            </w:pPr>
          </w:p>
        </w:tc>
        <w:tc>
          <w:tcPr>
            <w:tcW w:w="380" w:type="dxa"/>
            <w:vAlign w:val="bottom"/>
            <w:tcBorders>
              <w:bottom w:val="single" w:sz="8" w:color="004483"/>
            </w:tcBorders>
          </w:tcPr>
          <w:p>
            <w:pPr>
              <w:jc w:val="right"/>
              <w:ind w:right="205"/>
              <w:spacing w:after="0" w:line="183"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558,025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004483"/>
            </w:tcBorders>
          </w:tcPr>
          <w:p>
            <w:pPr>
              <w:jc w:val="right"/>
              <w:ind w:right="199"/>
              <w:spacing w:after="0" w:line="183"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558,833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1,790,333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004483"/>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1,782,590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60" w:type="dxa"/>
            <w:vAlign w:val="bottom"/>
            <w:tcBorders>
              <w:bottom w:val="single" w:sz="8" w:color="004483"/>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tcBorders>
              <w:bottom w:val="single" w:sz="8" w:color="004483"/>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00" w:type="dxa"/>
            <w:vAlign w:val="bottom"/>
            <w:tcBorders>
              <w:bottom w:val="single" w:sz="8" w:color="004483"/>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40" w:type="dxa"/>
            <w:vAlign w:val="bottom"/>
          </w:tcPr>
          <w:p>
            <w:pPr>
              <w:spacing w:after="0"/>
              <w:rPr>
                <w:sz w:val="19"/>
                <w:szCs w:val="19"/>
                <w:color w:val="auto"/>
              </w:rPr>
            </w:pPr>
          </w:p>
        </w:tc>
        <w:tc>
          <w:tcPr>
            <w:tcW w:w="2880" w:type="dxa"/>
            <w:vAlign w:val="bottom"/>
            <w:gridSpan w:val="7"/>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2880" w:type="dxa"/>
            <w:vAlign w:val="bottom"/>
            <w:gridSpan w:val="7"/>
            <w:shd w:val="clear" w:color="auto" w:fill="004483"/>
          </w:tcPr>
          <w:p>
            <w:pPr>
              <w:jc w:val="right"/>
              <w:ind w:right="139"/>
              <w:spacing w:after="0" w:line="135" w:lineRule="exact"/>
              <w:rPr>
                <w:sz w:val="20"/>
                <w:szCs w:val="20"/>
                <w:color w:val="auto"/>
              </w:rPr>
            </w:pPr>
            <w:r>
              <w:rPr>
                <w:rFonts w:ascii="Arial" w:cs="Arial" w:eastAsia="Arial" w:hAnsi="Arial"/>
                <w:sz w:val="13"/>
                <w:szCs w:val="13"/>
                <w:b w:val="1"/>
                <w:bCs w:val="1"/>
                <w:color w:val="FFFFFF"/>
                <w:w w:val="99"/>
              </w:rPr>
              <w:t>For the Three Months Ended December 31,</w:t>
            </w:r>
          </w:p>
        </w:tc>
        <w:tc>
          <w:tcPr>
            <w:tcW w:w="120" w:type="dxa"/>
            <w:vAlign w:val="bottom"/>
          </w:tcPr>
          <w:p>
            <w:pPr>
              <w:spacing w:after="0"/>
              <w:rPr>
                <w:sz w:val="11"/>
                <w:szCs w:val="11"/>
                <w:color w:val="auto"/>
              </w:rPr>
            </w:pPr>
          </w:p>
        </w:tc>
        <w:tc>
          <w:tcPr>
            <w:tcW w:w="120" w:type="dxa"/>
            <w:vAlign w:val="bottom"/>
            <w:shd w:val="clear" w:color="auto" w:fill="004483"/>
          </w:tcPr>
          <w:p>
            <w:pPr>
              <w:spacing w:after="0"/>
              <w:rPr>
                <w:sz w:val="11"/>
                <w:szCs w:val="11"/>
                <w:color w:val="auto"/>
              </w:rPr>
            </w:pPr>
          </w:p>
        </w:tc>
        <w:tc>
          <w:tcPr>
            <w:tcW w:w="2780" w:type="dxa"/>
            <w:vAlign w:val="bottom"/>
            <w:gridSpan w:val="6"/>
            <w:shd w:val="clear" w:color="auto" w:fill="004483"/>
          </w:tcPr>
          <w:p>
            <w:pPr>
              <w:jc w:val="right"/>
              <w:ind w:right="179"/>
              <w:spacing w:after="0" w:line="135" w:lineRule="exact"/>
              <w:rPr>
                <w:sz w:val="20"/>
                <w:szCs w:val="20"/>
                <w:color w:val="auto"/>
              </w:rPr>
            </w:pPr>
            <w:r>
              <w:rPr>
                <w:rFonts w:ascii="Arial" w:cs="Arial" w:eastAsia="Arial" w:hAnsi="Arial"/>
                <w:sz w:val="13"/>
                <w:szCs w:val="13"/>
                <w:b w:val="1"/>
                <w:bCs w:val="1"/>
                <w:color w:val="FFFFFF"/>
                <w:w w:val="97"/>
              </w:rPr>
              <w:t>For the Nine Months Ended December 31,</w:t>
            </w:r>
          </w:p>
        </w:tc>
        <w:tc>
          <w:tcPr>
            <w:tcW w:w="0" w:type="dxa"/>
            <w:vAlign w:val="bottom"/>
          </w:tcPr>
          <w:p>
            <w:pPr>
              <w:spacing w:after="0"/>
              <w:rPr>
                <w:sz w:val="1"/>
                <w:szCs w:val="1"/>
                <w:color w:val="auto"/>
              </w:rPr>
            </w:pPr>
          </w:p>
        </w:tc>
      </w:tr>
      <w:tr>
        <w:trPr>
          <w:trHeight w:val="117"/>
        </w:trPr>
        <w:tc>
          <w:tcPr>
            <w:tcW w:w="5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4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2500" w:type="dxa"/>
            <w:vAlign w:val="bottom"/>
            <w:tcBorders>
              <w:bottom w:val="single" w:sz="8" w:color="004483"/>
            </w:tcBorders>
            <w:gridSpan w:val="6"/>
          </w:tcPr>
          <w:p>
            <w:pPr>
              <w:jc w:val="right"/>
              <w:ind w:right="799"/>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5"/>
                <w:szCs w:val="15"/>
                <w:color w:val="auto"/>
              </w:rPr>
            </w:pPr>
          </w:p>
        </w:tc>
        <w:tc>
          <w:tcPr>
            <w:tcW w:w="32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Intersegment Revenue</w:t>
            </w:r>
          </w:p>
        </w:tc>
        <w:tc>
          <w:tcPr>
            <w:tcW w:w="380" w:type="dxa"/>
            <w:vAlign w:val="bottom"/>
            <w:tcBorders>
              <w:bottom w:val="single" w:sz="8" w:color="A6A6A6"/>
            </w:tcBorders>
          </w:tcPr>
          <w:p>
            <w:pPr>
              <w:spacing w:after="0"/>
              <w:rPr>
                <w:sz w:val="16"/>
                <w:szCs w:val="16"/>
                <w:color w:val="auto"/>
              </w:rPr>
            </w:pPr>
          </w:p>
        </w:tc>
        <w:tc>
          <w:tcPr>
            <w:tcW w:w="88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380" w:type="dxa"/>
            <w:vAlign w:val="bottom"/>
            <w:tcBorders>
              <w:bottom w:val="single" w:sz="8" w:color="A6A6A6"/>
            </w:tcBorders>
          </w:tcPr>
          <w:p>
            <w:pPr>
              <w:spacing w:after="0"/>
              <w:rPr>
                <w:sz w:val="16"/>
                <w:szCs w:val="16"/>
                <w:color w:val="auto"/>
              </w:rPr>
            </w:pPr>
          </w:p>
        </w:tc>
        <w:tc>
          <w:tcPr>
            <w:tcW w:w="88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1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320" w:type="dxa"/>
            <w:vAlign w:val="bottom"/>
            <w:tcBorders>
              <w:bottom w:val="single" w:sz="8" w:color="A6A6A6"/>
            </w:tcBorders>
          </w:tcPr>
          <w:p>
            <w:pPr>
              <w:spacing w:after="0"/>
              <w:rPr>
                <w:sz w:val="16"/>
                <w:szCs w:val="16"/>
                <w:color w:val="auto"/>
              </w:rPr>
            </w:pPr>
          </w:p>
        </w:tc>
        <w:tc>
          <w:tcPr>
            <w:tcW w:w="98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Cement</w:t>
            </w:r>
          </w:p>
        </w:tc>
        <w:tc>
          <w:tcPr>
            <w:tcW w:w="380" w:type="dxa"/>
            <w:vAlign w:val="bottom"/>
            <w:tcBorders>
              <w:bottom w:val="single" w:sz="8" w:color="A6A6A6"/>
            </w:tcBorders>
          </w:tcPr>
          <w:p>
            <w:pPr>
              <w:jc w:val="right"/>
              <w:ind w:right="205"/>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9,084</w:t>
            </w:r>
          </w:p>
        </w:tc>
        <w:tc>
          <w:tcPr>
            <w:tcW w:w="120" w:type="dxa"/>
            <w:vAlign w:val="bottom"/>
          </w:tcPr>
          <w:p>
            <w:pPr>
              <w:spacing w:after="0"/>
              <w:rPr>
                <w:sz w:val="15"/>
                <w:szCs w:val="15"/>
                <w:color w:val="auto"/>
              </w:rPr>
            </w:pPr>
          </w:p>
        </w:tc>
        <w:tc>
          <w:tcPr>
            <w:tcW w:w="500" w:type="dxa"/>
            <w:vAlign w:val="bottom"/>
            <w:tcBorders>
              <w:bottom w:val="single" w:sz="8" w:color="A6A6A6"/>
            </w:tcBorders>
            <w:gridSpan w:val="2"/>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7,804</w:t>
            </w:r>
          </w:p>
        </w:tc>
        <w:tc>
          <w:tcPr>
            <w:tcW w:w="120" w:type="dxa"/>
            <w:vAlign w:val="bottom"/>
          </w:tcPr>
          <w:p>
            <w:pPr>
              <w:spacing w:after="0"/>
              <w:rPr>
                <w:sz w:val="15"/>
                <w:szCs w:val="15"/>
                <w:color w:val="auto"/>
              </w:rPr>
            </w:pPr>
          </w:p>
        </w:tc>
        <w:tc>
          <w:tcPr>
            <w:tcW w:w="24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29,748</w:t>
            </w:r>
          </w:p>
        </w:tc>
        <w:tc>
          <w:tcPr>
            <w:tcW w:w="100" w:type="dxa"/>
            <w:vAlign w:val="bottom"/>
          </w:tcPr>
          <w:p>
            <w:pPr>
              <w:spacing w:after="0"/>
              <w:rPr>
                <w:sz w:val="15"/>
                <w:szCs w:val="15"/>
                <w:color w:val="auto"/>
              </w:rPr>
            </w:pPr>
          </w:p>
        </w:tc>
        <w:tc>
          <w:tcPr>
            <w:tcW w:w="440" w:type="dxa"/>
            <w:vAlign w:val="bottom"/>
            <w:tcBorders>
              <w:bottom w:val="single" w:sz="8" w:color="A6A6A6"/>
            </w:tcBorders>
            <w:gridSpan w:val="2"/>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27,192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Concrete and Aggregates</w:t>
            </w: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4,311</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3,414</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12,138</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10,235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Pr>
          <w:p>
            <w:pPr>
              <w:ind w:left="200"/>
              <w:spacing w:after="0" w:line="183" w:lineRule="exact"/>
              <w:rPr>
                <w:sz w:val="20"/>
                <w:szCs w:val="20"/>
                <w:color w:val="auto"/>
              </w:rPr>
            </w:pPr>
            <w:r>
              <w:rPr>
                <w:rFonts w:ascii="Arial" w:cs="Arial" w:eastAsia="Arial" w:hAnsi="Arial"/>
                <w:sz w:val="16"/>
                <w:szCs w:val="16"/>
                <w:color w:val="004483"/>
              </w:rPr>
              <w:t>Recycled Paperboard</w:t>
            </w:r>
          </w:p>
        </w:tc>
        <w:tc>
          <w:tcPr>
            <w:tcW w:w="38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23,921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21,128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69,542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61,929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340" w:type="dxa"/>
            <w:vAlign w:val="bottom"/>
            <w:tcBorders>
              <w:bottom w:val="single" w:sz="8" w:color="A6A6A6"/>
            </w:tcBorders>
          </w:tcPr>
          <w:p>
            <w:pPr>
              <w:spacing w:after="0"/>
              <w:rPr>
                <w:sz w:val="2"/>
                <w:szCs w:val="2"/>
                <w:color w:val="auto"/>
              </w:rPr>
            </w:pPr>
          </w:p>
        </w:tc>
        <w:tc>
          <w:tcPr>
            <w:tcW w:w="38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38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20" w:type="dxa"/>
            <w:vAlign w:val="bottom"/>
            <w:tcBorders>
              <w:bottom w:val="single" w:sz="8" w:color="004483"/>
            </w:tcBorders>
            <w:shd w:val="clear" w:color="auto" w:fill="004483"/>
          </w:tcPr>
          <w:p>
            <w:pPr>
              <w:spacing w:after="0"/>
              <w:rPr>
                <w:sz w:val="2"/>
                <w:szCs w:val="2"/>
                <w:color w:val="auto"/>
              </w:rPr>
            </w:pPr>
          </w:p>
        </w:tc>
        <w:tc>
          <w:tcPr>
            <w:tcW w:w="11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320" w:type="dxa"/>
            <w:vAlign w:val="bottom"/>
            <w:tcBorders>
              <w:bottom w:val="single" w:sz="8" w:color="004483"/>
            </w:tcBorders>
            <w:shd w:val="clear" w:color="auto" w:fill="004483"/>
          </w:tcPr>
          <w:p>
            <w:pPr>
              <w:spacing w:after="0"/>
              <w:rPr>
                <w:sz w:val="2"/>
                <w:szCs w:val="2"/>
                <w:color w:val="auto"/>
              </w:rPr>
            </w:pPr>
          </w:p>
        </w:tc>
        <w:tc>
          <w:tcPr>
            <w:tcW w:w="9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340" w:type="dxa"/>
            <w:vAlign w:val="bottom"/>
          </w:tcPr>
          <w:p>
            <w:pPr>
              <w:spacing w:after="0"/>
              <w:rPr>
                <w:sz w:val="15"/>
                <w:szCs w:val="15"/>
                <w:color w:val="auto"/>
              </w:rPr>
            </w:pPr>
          </w:p>
        </w:tc>
        <w:tc>
          <w:tcPr>
            <w:tcW w:w="380" w:type="dxa"/>
            <w:vAlign w:val="bottom"/>
            <w:tcBorders>
              <w:bottom w:val="single" w:sz="8" w:color="004483"/>
            </w:tcBorders>
          </w:tcPr>
          <w:p>
            <w:pPr>
              <w:jc w:val="right"/>
              <w:ind w:right="205"/>
              <w:spacing w:after="0" w:line="183"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37,316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004483"/>
            </w:tcBorders>
          </w:tcPr>
          <w:p>
            <w:pPr>
              <w:jc w:val="right"/>
              <w:ind w:right="199"/>
              <w:spacing w:after="0" w:line="183"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32,346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111,428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004483"/>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99,356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4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340" w:type="dxa"/>
            <w:vAlign w:val="bottom"/>
            <w:tcBorders>
              <w:bottom w:val="single" w:sz="8" w:color="A6A6A6"/>
            </w:tcBorders>
          </w:tcPr>
          <w:p>
            <w:pPr>
              <w:ind w:left="20"/>
              <w:spacing w:after="0" w:line="170" w:lineRule="exact"/>
              <w:rPr>
                <w:sz w:val="20"/>
                <w:szCs w:val="20"/>
                <w:color w:val="auto"/>
              </w:rPr>
            </w:pPr>
            <w:r>
              <w:rPr>
                <w:rFonts w:ascii="Arial" w:cs="Arial" w:eastAsia="Arial" w:hAnsi="Arial"/>
                <w:sz w:val="16"/>
                <w:szCs w:val="16"/>
                <w:b w:val="1"/>
                <w:bCs w:val="1"/>
                <w:color w:val="auto"/>
              </w:rPr>
              <w:t>Cement Sales Volume (M tons)</w:t>
            </w:r>
          </w:p>
        </w:tc>
        <w:tc>
          <w:tcPr>
            <w:tcW w:w="380" w:type="dxa"/>
            <w:vAlign w:val="bottom"/>
            <w:tcBorders>
              <w:bottom w:val="single" w:sz="8" w:color="A6A6A6"/>
            </w:tcBorders>
          </w:tcPr>
          <w:p>
            <w:pPr>
              <w:spacing w:after="0"/>
              <w:rPr>
                <w:sz w:val="14"/>
                <w:szCs w:val="14"/>
                <w:color w:val="auto"/>
              </w:rPr>
            </w:pPr>
          </w:p>
        </w:tc>
        <w:tc>
          <w:tcPr>
            <w:tcW w:w="880" w:type="dxa"/>
            <w:vAlign w:val="bottom"/>
            <w:tcBorders>
              <w:bottom w:val="single" w:sz="8" w:color="A6A6A6"/>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380" w:type="dxa"/>
            <w:vAlign w:val="bottom"/>
            <w:tcBorders>
              <w:bottom w:val="single" w:sz="8" w:color="A6A6A6"/>
            </w:tcBorders>
          </w:tcPr>
          <w:p>
            <w:pPr>
              <w:spacing w:after="0"/>
              <w:rPr>
                <w:sz w:val="14"/>
                <w:szCs w:val="14"/>
                <w:color w:val="auto"/>
              </w:rPr>
            </w:pPr>
          </w:p>
        </w:tc>
        <w:tc>
          <w:tcPr>
            <w:tcW w:w="880" w:type="dxa"/>
            <w:vAlign w:val="bottom"/>
            <w:tcBorders>
              <w:bottom w:val="single" w:sz="8" w:color="A6A6A6"/>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116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320" w:type="dxa"/>
            <w:vAlign w:val="bottom"/>
            <w:tcBorders>
              <w:bottom w:val="single" w:sz="8" w:color="A6A6A6"/>
            </w:tcBorders>
          </w:tcPr>
          <w:p>
            <w:pPr>
              <w:spacing w:after="0"/>
              <w:rPr>
                <w:sz w:val="14"/>
                <w:szCs w:val="14"/>
                <w:color w:val="auto"/>
              </w:rPr>
            </w:pPr>
          </w:p>
        </w:tc>
        <w:tc>
          <w:tcPr>
            <w:tcW w:w="98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Wholly Owned</w:t>
            </w: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1,541</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1,663</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5,156</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5,470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Joint Venture</w:t>
            </w:r>
          </w:p>
        </w:tc>
        <w:tc>
          <w:tcPr>
            <w:tcW w:w="380" w:type="dxa"/>
            <w:vAlign w:val="bottom"/>
            <w:tcBorders>
              <w:bottom w:val="single" w:sz="8" w:color="004483"/>
            </w:tcBorders>
          </w:tcPr>
          <w:p>
            <w:pPr>
              <w:spacing w:after="0"/>
              <w:rPr>
                <w:sz w:val="18"/>
                <w:szCs w:val="18"/>
                <w:color w:val="auto"/>
              </w:rPr>
            </w:pP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80" w:type="dxa"/>
            <w:vAlign w:val="bottom"/>
            <w:tcBorders>
              <w:bottom w:val="single" w:sz="8" w:color="004483"/>
            </w:tcBorders>
          </w:tcPr>
          <w:p>
            <w:pPr>
              <w:spacing w:after="0"/>
              <w:rPr>
                <w:sz w:val="18"/>
                <w:szCs w:val="18"/>
                <w:color w:val="auto"/>
              </w:rPr>
            </w:pP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1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517</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340" w:type="dxa"/>
            <w:vAlign w:val="bottom"/>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1,702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1,824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1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5,673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5,966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49"/>
        </w:trPr>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gridSpan w:val="8"/>
            <w:shd w:val="clear" w:color="auto" w:fill="004483"/>
          </w:tcPr>
          <w:p>
            <w:pPr>
              <w:jc w:val="right"/>
              <w:ind w:right="139"/>
              <w:spacing w:after="0"/>
              <w:rPr>
                <w:sz w:val="20"/>
                <w:szCs w:val="20"/>
                <w:color w:val="auto"/>
              </w:rPr>
            </w:pPr>
            <w:r>
              <w:rPr>
                <w:rFonts w:ascii="Arial" w:cs="Arial" w:eastAsia="Arial" w:hAnsi="Arial"/>
                <w:sz w:val="13"/>
                <w:szCs w:val="13"/>
                <w:b w:val="1"/>
                <w:bCs w:val="1"/>
                <w:color w:val="FFFFFF"/>
                <w:w w:val="99"/>
              </w:rPr>
              <w:t>For the Three Months Ended December 31,</w:t>
            </w:r>
          </w:p>
        </w:tc>
        <w:tc>
          <w:tcPr>
            <w:tcW w:w="120" w:type="dxa"/>
            <w:vAlign w:val="bottom"/>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2780" w:type="dxa"/>
            <w:vAlign w:val="bottom"/>
            <w:gridSpan w:val="8"/>
            <w:shd w:val="clear" w:color="auto" w:fill="004483"/>
          </w:tcPr>
          <w:p>
            <w:pPr>
              <w:jc w:val="right"/>
              <w:ind w:right="179"/>
              <w:spacing w:after="0"/>
              <w:rPr>
                <w:sz w:val="20"/>
                <w:szCs w:val="20"/>
                <w:color w:val="auto"/>
              </w:rPr>
            </w:pPr>
            <w:r>
              <w:rPr>
                <w:rFonts w:ascii="Arial" w:cs="Arial" w:eastAsia="Arial" w:hAnsi="Arial"/>
                <w:sz w:val="13"/>
                <w:szCs w:val="13"/>
                <w:b w:val="1"/>
                <w:bCs w:val="1"/>
                <w:color w:val="FFFFFF"/>
                <w:w w:val="97"/>
              </w:rPr>
              <w:t>For the Nine Months Ended December 31,</w:t>
            </w:r>
          </w:p>
        </w:tc>
        <w:tc>
          <w:tcPr>
            <w:tcW w:w="0" w:type="dxa"/>
            <w:vAlign w:val="bottom"/>
          </w:tcPr>
          <w:p>
            <w:pPr>
              <w:spacing w:after="0"/>
              <w:rPr>
                <w:sz w:val="1"/>
                <w:szCs w:val="1"/>
                <w:color w:val="auto"/>
              </w:rPr>
            </w:pPr>
          </w:p>
        </w:tc>
      </w:tr>
      <w:tr>
        <w:trPr>
          <w:trHeight w:val="117"/>
        </w:trPr>
        <w:tc>
          <w:tcPr>
            <w:tcW w:w="5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2"/>
          </w:tcPr>
          <w:p>
            <w:pPr>
              <w:jc w:val="right"/>
              <w:spacing w:after="0" w:line="117" w:lineRule="exact"/>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gridSpan w:val="2"/>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1680" w:type="dxa"/>
            <w:vAlign w:val="bottom"/>
            <w:tcBorders>
              <w:bottom w:val="single" w:sz="8" w:color="004483"/>
            </w:tcBorders>
            <w:gridSpan w:val="4"/>
          </w:tcPr>
          <w:p>
            <w:pPr>
              <w:jc w:val="right"/>
              <w:spacing w:after="0"/>
              <w:rPr>
                <w:sz w:val="20"/>
                <w:szCs w:val="20"/>
                <w:color w:val="auto"/>
              </w:rPr>
            </w:pPr>
            <w:r>
              <w:rPr>
                <w:rFonts w:ascii="Arial" w:cs="Arial" w:eastAsia="Arial" w:hAnsi="Arial"/>
                <w:sz w:val="13"/>
                <w:szCs w:val="13"/>
                <w:color w:val="auto"/>
              </w:rPr>
              <w:t>(dollars in thousands)</w:t>
            </w:r>
          </w:p>
        </w:tc>
        <w:tc>
          <w:tcPr>
            <w:tcW w:w="30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900" w:type="dxa"/>
            <w:vAlign w:val="bottom"/>
            <w:tcBorders>
              <w:bottom w:val="single" w:sz="8" w:color="004483"/>
            </w:tcBorders>
            <w:gridSpan w:val="6"/>
          </w:tcPr>
          <w:p>
            <w:pPr>
              <w:jc w:val="right"/>
              <w:spacing w:after="0"/>
              <w:rPr>
                <w:sz w:val="20"/>
                <w:szCs w:val="20"/>
                <w:color w:val="auto"/>
              </w:rPr>
            </w:pPr>
            <w:r>
              <w:rPr>
                <w:rFonts w:ascii="Arial" w:cs="Arial" w:eastAsia="Arial" w:hAnsi="Arial"/>
                <w:sz w:val="13"/>
                <w:szCs w:val="13"/>
                <w:color w:val="auto"/>
              </w:rPr>
              <w:t>(dollars in thousands)</w:t>
            </w:r>
          </w:p>
        </w:tc>
        <w:tc>
          <w:tcPr>
            <w:tcW w:w="7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4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Operating Earnings</w:t>
            </w:r>
          </w:p>
        </w:tc>
        <w:tc>
          <w:tcPr>
            <w:tcW w:w="380" w:type="dxa"/>
            <w:vAlign w:val="bottom"/>
            <w:tcBorders>
              <w:bottom w:val="single" w:sz="8" w:color="A6A6A6"/>
            </w:tcBorders>
          </w:tcPr>
          <w:p>
            <w:pPr>
              <w:spacing w:after="0"/>
              <w:rPr>
                <w:sz w:val="16"/>
                <w:szCs w:val="16"/>
                <w:color w:val="auto"/>
              </w:rPr>
            </w:pPr>
          </w:p>
        </w:tc>
        <w:tc>
          <w:tcPr>
            <w:tcW w:w="88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560" w:type="dxa"/>
            <w:vAlign w:val="bottom"/>
            <w:tcBorders>
              <w:bottom w:val="single" w:sz="8" w:color="A6A6A6"/>
            </w:tcBorders>
          </w:tcPr>
          <w:p>
            <w:pPr>
              <w:spacing w:after="0"/>
              <w:rPr>
                <w:sz w:val="16"/>
                <w:szCs w:val="16"/>
                <w:color w:val="auto"/>
              </w:rPr>
            </w:pPr>
          </w:p>
        </w:tc>
        <w:tc>
          <w:tcPr>
            <w:tcW w:w="300" w:type="dxa"/>
            <w:vAlign w:val="bottom"/>
            <w:tcBorders>
              <w:bottom w:val="single" w:sz="8" w:color="A6A6A6"/>
            </w:tcBorders>
          </w:tcPr>
          <w:p>
            <w:pPr>
              <w:spacing w:after="0"/>
              <w:rPr>
                <w:sz w:val="16"/>
                <w:szCs w:val="16"/>
                <w:color w:val="auto"/>
              </w:rPr>
            </w:pPr>
          </w:p>
        </w:tc>
        <w:tc>
          <w:tcPr>
            <w:tcW w:w="40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80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24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520" w:type="dxa"/>
            <w:vAlign w:val="bottom"/>
            <w:tcBorders>
              <w:bottom w:val="single" w:sz="8" w:color="A6A6A6"/>
            </w:tcBorders>
          </w:tcPr>
          <w:p>
            <w:pPr>
              <w:spacing w:after="0"/>
              <w:rPr>
                <w:sz w:val="16"/>
                <w:szCs w:val="16"/>
                <w:color w:val="auto"/>
              </w:rPr>
            </w:pPr>
          </w:p>
        </w:tc>
        <w:tc>
          <w:tcPr>
            <w:tcW w:w="78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Cement</w:t>
            </w:r>
          </w:p>
        </w:tc>
        <w:tc>
          <w:tcPr>
            <w:tcW w:w="380" w:type="dxa"/>
            <w:vAlign w:val="bottom"/>
            <w:tcBorders>
              <w:bottom w:val="single" w:sz="8" w:color="A6A6A6"/>
            </w:tcBorders>
          </w:tcPr>
          <w:p>
            <w:pPr>
              <w:jc w:val="right"/>
              <w:ind w:right="201"/>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86,763</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gridSpan w:val="2"/>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105,566</w:t>
            </w:r>
          </w:p>
        </w:tc>
        <w:tc>
          <w:tcPr>
            <w:tcW w:w="120" w:type="dxa"/>
            <w:vAlign w:val="bottom"/>
          </w:tcPr>
          <w:p>
            <w:pPr>
              <w:spacing w:after="0"/>
              <w:rPr>
                <w:sz w:val="15"/>
                <w:szCs w:val="15"/>
                <w:color w:val="auto"/>
              </w:rPr>
            </w:pPr>
          </w:p>
        </w:tc>
        <w:tc>
          <w:tcPr>
            <w:tcW w:w="24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gridSpan w:val="3"/>
          </w:tcPr>
          <w:p>
            <w:pPr>
              <w:jc w:val="right"/>
              <w:spacing w:after="0" w:line="183" w:lineRule="exact"/>
              <w:rPr>
                <w:sz w:val="20"/>
                <w:szCs w:val="20"/>
                <w:color w:val="auto"/>
              </w:rPr>
            </w:pPr>
            <w:r>
              <w:rPr>
                <w:rFonts w:ascii="Arial" w:cs="Arial" w:eastAsia="Arial" w:hAnsi="Arial"/>
                <w:sz w:val="16"/>
                <w:szCs w:val="16"/>
                <w:color w:val="auto"/>
              </w:rPr>
              <w:t>291,821</w:t>
            </w:r>
          </w:p>
        </w:tc>
        <w:tc>
          <w:tcPr>
            <w:tcW w:w="100" w:type="dxa"/>
            <w:vAlign w:val="bottom"/>
          </w:tcPr>
          <w:p>
            <w:pPr>
              <w:spacing w:after="0"/>
              <w:rPr>
                <w:sz w:val="15"/>
                <w:szCs w:val="15"/>
                <w:color w:val="auto"/>
              </w:rPr>
            </w:pPr>
          </w:p>
        </w:tc>
        <w:tc>
          <w:tcPr>
            <w:tcW w:w="640" w:type="dxa"/>
            <w:vAlign w:val="bottom"/>
            <w:tcBorders>
              <w:bottom w:val="single" w:sz="8" w:color="A6A6A6"/>
            </w:tcBorders>
            <w:gridSpan w:val="2"/>
          </w:tcPr>
          <w:p>
            <w:pPr>
              <w:jc w:val="right"/>
              <w:ind w:right="319"/>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301,056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Concrete and Aggregates</w:t>
            </w: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(1,397</w:t>
            </w:r>
          </w:p>
        </w:tc>
        <w:tc>
          <w:tcPr>
            <w:tcW w:w="120" w:type="dxa"/>
            <w:vAlign w:val="bottom"/>
            <w:vMerge w:val="continue"/>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1,760</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spacing w:after="0"/>
              <w:rPr>
                <w:sz w:val="15"/>
                <w:szCs w:val="15"/>
                <w:color w:val="auto"/>
              </w:rPr>
            </w:pPr>
          </w:p>
        </w:tc>
        <w:tc>
          <w:tcPr>
            <w:tcW w:w="36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588</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13,434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Gypsum Wallboard</w:t>
            </w: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86,393</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75,063</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gridSpan w:val="3"/>
          </w:tcPr>
          <w:p>
            <w:pPr>
              <w:jc w:val="right"/>
              <w:spacing w:after="0" w:line="183" w:lineRule="exact"/>
              <w:rPr>
                <w:sz w:val="20"/>
                <w:szCs w:val="20"/>
                <w:color w:val="auto"/>
              </w:rPr>
            </w:pPr>
            <w:r>
              <w:rPr>
                <w:rFonts w:ascii="Arial" w:cs="Arial" w:eastAsia="Arial" w:hAnsi="Arial"/>
                <w:sz w:val="16"/>
                <w:szCs w:val="16"/>
                <w:color w:val="auto"/>
              </w:rPr>
              <w:t>270,510</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251,625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Recycled Paperboard</w:t>
            </w:r>
          </w:p>
        </w:tc>
        <w:tc>
          <w:tcPr>
            <w:tcW w:w="380" w:type="dxa"/>
            <w:vAlign w:val="bottom"/>
            <w:tcBorders>
              <w:bottom w:val="single" w:sz="8" w:color="004483"/>
            </w:tcBorders>
          </w:tcPr>
          <w:p>
            <w:pPr>
              <w:spacing w:after="0"/>
              <w:rPr>
                <w:sz w:val="18"/>
                <w:szCs w:val="18"/>
                <w:color w:val="auto"/>
              </w:rPr>
            </w:pP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11,041</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004483"/>
            </w:tcBorders>
          </w:tcPr>
          <w:p>
            <w:pPr>
              <w:spacing w:after="0"/>
              <w:rPr>
                <w:sz w:val="18"/>
                <w:szCs w:val="18"/>
                <w:color w:val="auto"/>
              </w:rPr>
            </w:pPr>
          </w:p>
        </w:tc>
        <w:tc>
          <w:tcPr>
            <w:tcW w:w="700" w:type="dxa"/>
            <w:vAlign w:val="bottom"/>
            <w:tcBorders>
              <w:bottom w:val="single" w:sz="8" w:color="004483"/>
            </w:tcBorders>
            <w:gridSpan w:val="2"/>
          </w:tcPr>
          <w:p>
            <w:pPr>
              <w:jc w:val="right"/>
              <w:spacing w:after="0" w:line="183" w:lineRule="exact"/>
              <w:rPr>
                <w:sz w:val="20"/>
                <w:szCs w:val="20"/>
                <w:color w:val="auto"/>
              </w:rPr>
            </w:pPr>
            <w:r>
              <w:rPr>
                <w:rFonts w:ascii="Arial" w:cs="Arial" w:eastAsia="Arial" w:hAnsi="Arial"/>
                <w:sz w:val="16"/>
                <w:szCs w:val="16"/>
                <w:color w:val="auto"/>
              </w:rPr>
              <w:t>7,524</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160" w:type="dxa"/>
            <w:vAlign w:val="bottom"/>
            <w:tcBorders>
              <w:bottom w:val="single" w:sz="8" w:color="004483"/>
            </w:tcBorders>
            <w:gridSpan w:val="3"/>
          </w:tcPr>
          <w:p>
            <w:pPr>
              <w:jc w:val="right"/>
              <w:spacing w:after="0" w:line="183" w:lineRule="exact"/>
              <w:rPr>
                <w:sz w:val="20"/>
                <w:szCs w:val="20"/>
                <w:color w:val="auto"/>
              </w:rPr>
            </w:pPr>
            <w:r>
              <w:rPr>
                <w:rFonts w:ascii="Arial" w:cs="Arial" w:eastAsia="Arial" w:hAnsi="Arial"/>
                <w:sz w:val="16"/>
                <w:szCs w:val="16"/>
                <w:color w:val="auto"/>
              </w:rPr>
              <w:t>27,585</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20" w:type="dxa"/>
            <w:vAlign w:val="bottom"/>
            <w:tcBorders>
              <w:bottom w:val="single" w:sz="8" w:color="004483"/>
            </w:tcBorders>
          </w:tcPr>
          <w:p>
            <w:pPr>
              <w:spacing w:after="0"/>
              <w:rPr>
                <w:sz w:val="18"/>
                <w:szCs w:val="18"/>
                <w:color w:val="auto"/>
              </w:rPr>
            </w:pPr>
          </w:p>
        </w:tc>
        <w:tc>
          <w:tcPr>
            <w:tcW w:w="7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22,316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gridSpan w:val="2"/>
          </w:tcPr>
          <w:p>
            <w:pPr>
              <w:ind w:left="380"/>
              <w:spacing w:after="0" w:line="183" w:lineRule="exact"/>
              <w:rPr>
                <w:sz w:val="20"/>
                <w:szCs w:val="20"/>
                <w:color w:val="auto"/>
              </w:rPr>
            </w:pPr>
            <w:r>
              <w:rPr>
                <w:rFonts w:ascii="Arial" w:cs="Arial" w:eastAsia="Arial" w:hAnsi="Arial"/>
                <w:sz w:val="16"/>
                <w:szCs w:val="16"/>
                <w:color w:val="004483"/>
              </w:rPr>
              <w:t>Sub-Total</w:t>
            </w: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182,800</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189,913</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gridSpan w:val="3"/>
          </w:tcPr>
          <w:p>
            <w:pPr>
              <w:jc w:val="right"/>
              <w:spacing w:after="0" w:line="183" w:lineRule="exact"/>
              <w:rPr>
                <w:sz w:val="20"/>
                <w:szCs w:val="20"/>
                <w:color w:val="auto"/>
              </w:rPr>
            </w:pPr>
            <w:r>
              <w:rPr>
                <w:rFonts w:ascii="Arial" w:cs="Arial" w:eastAsia="Arial" w:hAnsi="Arial"/>
                <w:sz w:val="16"/>
                <w:szCs w:val="16"/>
                <w:color w:val="auto"/>
              </w:rPr>
              <w:t>590,504</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588,431</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Corporate General and Administrative Expense</w:t>
            </w: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(20,818</w:t>
            </w:r>
          </w:p>
        </w:tc>
        <w:tc>
          <w:tcPr>
            <w:tcW w:w="120" w:type="dxa"/>
            <w:vAlign w:val="bottom"/>
            <w:vMerge w:val="continue"/>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(14,201</w:t>
            </w:r>
          </w:p>
        </w:tc>
        <w:tc>
          <w:tcPr>
            <w:tcW w:w="120" w:type="dxa"/>
            <w:vAlign w:val="bottom"/>
            <w:vMerge w:val="continue"/>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gridSpan w:val="3"/>
          </w:tcPr>
          <w:p>
            <w:pPr>
              <w:jc w:val="right"/>
              <w:spacing w:after="0" w:line="183" w:lineRule="exact"/>
              <w:rPr>
                <w:sz w:val="20"/>
                <w:szCs w:val="20"/>
                <w:color w:val="auto"/>
              </w:rPr>
            </w:pPr>
            <w:r>
              <w:rPr>
                <w:rFonts w:ascii="Arial" w:cs="Arial" w:eastAsia="Arial" w:hAnsi="Arial"/>
                <w:sz w:val="16"/>
                <w:szCs w:val="16"/>
                <w:color w:val="auto"/>
              </w:rPr>
              <w:t>(54,346</w:t>
            </w:r>
          </w:p>
        </w:tc>
        <w:tc>
          <w:tcPr>
            <w:tcW w:w="100" w:type="dxa"/>
            <w:vAlign w:val="bottom"/>
            <w:vMerge w:val="continue"/>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(42,456</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Other Non-Operating Income (Loss)</w:t>
            </w:r>
          </w:p>
        </w:tc>
        <w:tc>
          <w:tcPr>
            <w:tcW w:w="380" w:type="dxa"/>
            <w:vAlign w:val="bottom"/>
            <w:tcBorders>
              <w:bottom w:val="single" w:sz="8" w:color="004483"/>
            </w:tcBorders>
          </w:tcPr>
          <w:p>
            <w:pPr>
              <w:spacing w:after="0"/>
              <w:rPr>
                <w:sz w:val="18"/>
                <w:szCs w:val="18"/>
                <w:color w:val="auto"/>
              </w:rPr>
            </w:pP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1,381</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004483"/>
            </w:tcBorders>
          </w:tcPr>
          <w:p>
            <w:pPr>
              <w:spacing w:after="0"/>
              <w:rPr>
                <w:sz w:val="18"/>
                <w:szCs w:val="18"/>
                <w:color w:val="auto"/>
              </w:rPr>
            </w:pPr>
          </w:p>
        </w:tc>
        <w:tc>
          <w:tcPr>
            <w:tcW w:w="700" w:type="dxa"/>
            <w:vAlign w:val="bottom"/>
            <w:tcBorders>
              <w:bottom w:val="single" w:sz="8" w:color="004483"/>
            </w:tcBorders>
            <w:gridSpan w:val="2"/>
          </w:tcPr>
          <w:p>
            <w:pPr>
              <w:jc w:val="right"/>
              <w:spacing w:after="0" w:line="183" w:lineRule="exact"/>
              <w:rPr>
                <w:sz w:val="20"/>
                <w:szCs w:val="20"/>
                <w:color w:val="auto"/>
              </w:rPr>
            </w:pPr>
            <w:r>
              <w:rPr>
                <w:rFonts w:ascii="Arial" w:cs="Arial" w:eastAsia="Arial" w:hAnsi="Arial"/>
                <w:sz w:val="16"/>
                <w:szCs w:val="16"/>
                <w:color w:val="auto"/>
              </w:rPr>
              <w:t>1,019</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160" w:type="dxa"/>
            <w:vAlign w:val="bottom"/>
            <w:tcBorders>
              <w:bottom w:val="single" w:sz="8" w:color="004483"/>
            </w:tcBorders>
            <w:gridSpan w:val="3"/>
          </w:tcPr>
          <w:p>
            <w:pPr>
              <w:jc w:val="right"/>
              <w:spacing w:after="0" w:line="183" w:lineRule="exact"/>
              <w:rPr>
                <w:sz w:val="20"/>
                <w:szCs w:val="20"/>
                <w:color w:val="auto"/>
              </w:rPr>
            </w:pPr>
            <w:r>
              <w:rPr>
                <w:rFonts w:ascii="Arial" w:cs="Arial" w:eastAsia="Arial" w:hAnsi="Arial"/>
                <w:sz w:val="16"/>
                <w:szCs w:val="16"/>
                <w:color w:val="auto"/>
              </w:rPr>
              <w:t>4,788</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20" w:type="dxa"/>
            <w:vAlign w:val="bottom"/>
            <w:tcBorders>
              <w:bottom w:val="single" w:sz="8" w:color="004483"/>
            </w:tcBorders>
          </w:tcPr>
          <w:p>
            <w:pPr>
              <w:spacing w:after="0"/>
              <w:rPr>
                <w:sz w:val="18"/>
                <w:szCs w:val="18"/>
                <w:color w:val="auto"/>
              </w:rPr>
            </w:pPr>
          </w:p>
        </w:tc>
        <w:tc>
          <w:tcPr>
            <w:tcW w:w="7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Earnings Before Interest and Income Taxes</w:t>
            </w: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163,363</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176,731</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gridSpan w:val="3"/>
          </w:tcPr>
          <w:p>
            <w:pPr>
              <w:jc w:val="right"/>
              <w:spacing w:after="0" w:line="183" w:lineRule="exact"/>
              <w:rPr>
                <w:sz w:val="20"/>
                <w:szCs w:val="20"/>
                <w:color w:val="auto"/>
              </w:rPr>
            </w:pPr>
            <w:r>
              <w:rPr>
                <w:rFonts w:ascii="Arial" w:cs="Arial" w:eastAsia="Arial" w:hAnsi="Arial"/>
                <w:sz w:val="16"/>
                <w:szCs w:val="16"/>
                <w:color w:val="auto"/>
              </w:rPr>
              <w:t>540,946</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548,812</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5340" w:type="dxa"/>
            <w:vAlign w:val="bottom"/>
            <w:gridSpan w:val="2"/>
          </w:tcPr>
          <w:p>
            <w:pPr>
              <w:ind w:left="200"/>
              <w:spacing w:after="0" w:line="183" w:lineRule="exact"/>
              <w:rPr>
                <w:sz w:val="20"/>
                <w:szCs w:val="20"/>
                <w:color w:val="auto"/>
              </w:rPr>
            </w:pPr>
            <w:r>
              <w:rPr>
                <w:rFonts w:ascii="Arial" w:cs="Arial" w:eastAsia="Arial" w:hAnsi="Arial"/>
                <w:sz w:val="16"/>
                <w:szCs w:val="16"/>
                <w:color w:val="004483"/>
              </w:rPr>
              <w:t>Interest Expense, net</w:t>
            </w:r>
          </w:p>
        </w:tc>
        <w:tc>
          <w:tcPr>
            <w:tcW w:w="38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(9,061</w:t>
            </w:r>
          </w:p>
        </w:tc>
        <w:tc>
          <w:tcPr>
            <w:tcW w:w="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(10,128</w:t>
            </w:r>
          </w:p>
        </w:tc>
        <w:tc>
          <w:tcPr>
            <w:tcW w:w="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(30,459</w:t>
            </w: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(32,571</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220" w:type="dxa"/>
            <w:vAlign w:val="bottom"/>
            <w:tcBorders>
              <w:bottom w:val="single" w:sz="8" w:color="A6A6A6"/>
            </w:tcBorders>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38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560" w:type="dxa"/>
            <w:vAlign w:val="bottom"/>
            <w:tcBorders>
              <w:bottom w:val="single" w:sz="8" w:color="004483"/>
            </w:tcBorders>
            <w:shd w:val="clear" w:color="auto" w:fill="004483"/>
          </w:tcPr>
          <w:p>
            <w:pPr>
              <w:spacing w:after="0"/>
              <w:rPr>
                <w:sz w:val="2"/>
                <w:szCs w:val="2"/>
                <w:color w:val="auto"/>
              </w:rPr>
            </w:pPr>
          </w:p>
        </w:tc>
        <w:tc>
          <w:tcPr>
            <w:tcW w:w="300" w:type="dxa"/>
            <w:vAlign w:val="bottom"/>
            <w:tcBorders>
              <w:bottom w:val="single" w:sz="8" w:color="004483"/>
            </w:tcBorders>
            <w:shd w:val="clear" w:color="auto" w:fill="004483"/>
          </w:tcPr>
          <w:p>
            <w:pPr>
              <w:spacing w:after="0"/>
              <w:rPr>
                <w:sz w:val="2"/>
                <w:szCs w:val="2"/>
                <w:color w:val="auto"/>
              </w:rPr>
            </w:pPr>
          </w:p>
        </w:tc>
        <w:tc>
          <w:tcPr>
            <w:tcW w:w="40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20" w:type="dxa"/>
            <w:vAlign w:val="bottom"/>
            <w:tcBorders>
              <w:bottom w:val="single" w:sz="8" w:color="004483"/>
            </w:tcBorders>
            <w:shd w:val="clear" w:color="auto" w:fill="004483"/>
          </w:tcPr>
          <w:p>
            <w:pPr>
              <w:spacing w:after="0"/>
              <w:rPr>
                <w:sz w:val="2"/>
                <w:szCs w:val="2"/>
                <w:color w:val="auto"/>
              </w:rPr>
            </w:pPr>
          </w:p>
        </w:tc>
        <w:tc>
          <w:tcPr>
            <w:tcW w:w="920" w:type="dxa"/>
            <w:vAlign w:val="bottom"/>
            <w:tcBorders>
              <w:bottom w:val="single" w:sz="8" w:color="004483"/>
            </w:tcBorders>
            <w:gridSpan w:val="2"/>
            <w:shd w:val="clear" w:color="auto" w:fill="004483"/>
          </w:tcPr>
          <w:p>
            <w:pPr>
              <w:spacing w:after="0"/>
              <w:rPr>
                <w:sz w:val="2"/>
                <w:szCs w:val="2"/>
                <w:color w:val="auto"/>
              </w:rPr>
            </w:pPr>
          </w:p>
        </w:tc>
        <w:tc>
          <w:tcPr>
            <w:tcW w:w="240" w:type="dxa"/>
            <w:vAlign w:val="bottom"/>
            <w:tcBorders>
              <w:bottom w:val="single" w:sz="8" w:color="004483"/>
              <w:right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520" w:type="dxa"/>
            <w:vAlign w:val="bottom"/>
            <w:tcBorders>
              <w:bottom w:val="single" w:sz="8" w:color="004483"/>
            </w:tcBorders>
            <w:shd w:val="clear" w:color="auto" w:fill="004483"/>
          </w:tcPr>
          <w:p>
            <w:pPr>
              <w:spacing w:after="0"/>
              <w:rPr>
                <w:sz w:val="2"/>
                <w:szCs w:val="2"/>
                <w:color w:val="auto"/>
              </w:rPr>
            </w:pPr>
          </w:p>
        </w:tc>
        <w:tc>
          <w:tcPr>
            <w:tcW w:w="7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340" w:type="dxa"/>
            <w:vAlign w:val="bottom"/>
            <w:gridSpan w:val="2"/>
          </w:tcPr>
          <w:p>
            <w:pPr>
              <w:ind w:left="200"/>
              <w:spacing w:after="0" w:line="183" w:lineRule="exact"/>
              <w:rPr>
                <w:sz w:val="20"/>
                <w:szCs w:val="20"/>
                <w:color w:val="auto"/>
              </w:rPr>
            </w:pPr>
            <w:r>
              <w:rPr>
                <w:rFonts w:ascii="Arial" w:cs="Arial" w:eastAsia="Arial" w:hAnsi="Arial"/>
                <w:sz w:val="16"/>
                <w:szCs w:val="16"/>
                <w:b w:val="1"/>
                <w:bCs w:val="1"/>
                <w:color w:val="auto"/>
              </w:rPr>
              <w:t>Earnings Before Income Taxes</w:t>
            </w:r>
          </w:p>
        </w:tc>
        <w:tc>
          <w:tcPr>
            <w:tcW w:w="380" w:type="dxa"/>
            <w:vAlign w:val="bottom"/>
            <w:tcBorders>
              <w:bottom w:val="single" w:sz="8" w:color="004483"/>
            </w:tcBorders>
          </w:tcPr>
          <w:p>
            <w:pPr>
              <w:jc w:val="right"/>
              <w:ind w:right="201"/>
              <w:spacing w:after="0" w:line="183"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154,302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004483"/>
            </w:tcBorders>
          </w:tcPr>
          <w:p>
            <w:pPr>
              <w:jc w:val="right"/>
              <w:ind w:right="379"/>
              <w:spacing w:after="0" w:line="183" w:lineRule="exact"/>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166,603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gridSpan w:val="3"/>
          </w:tcPr>
          <w:p>
            <w:pPr>
              <w:jc w:val="right"/>
              <w:spacing w:after="0" w:line="183" w:lineRule="exact"/>
              <w:rPr>
                <w:sz w:val="20"/>
                <w:szCs w:val="20"/>
                <w:color w:val="auto"/>
              </w:rPr>
            </w:pPr>
            <w:r>
              <w:rPr>
                <w:rFonts w:ascii="Arial" w:cs="Arial" w:eastAsia="Arial" w:hAnsi="Arial"/>
                <w:sz w:val="16"/>
                <w:szCs w:val="16"/>
                <w:b w:val="1"/>
                <w:bCs w:val="1"/>
                <w:color w:val="auto"/>
              </w:rPr>
              <w:t>510,487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bottom w:val="single" w:sz="8" w:color="004483"/>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516,241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004483"/>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40" w:type="dxa"/>
            <w:vAlign w:val="bottom"/>
            <w:tcBorders>
              <w:bottom w:val="single" w:sz="8" w:color="A6A6A6"/>
            </w:tcBorders>
            <w:gridSpan w:val="2"/>
          </w:tcPr>
          <w:p>
            <w:pPr>
              <w:ind w:left="20"/>
              <w:spacing w:after="0" w:line="170" w:lineRule="exact"/>
              <w:rPr>
                <w:sz w:val="20"/>
                <w:szCs w:val="20"/>
                <w:color w:val="auto"/>
              </w:rPr>
            </w:pPr>
            <w:r>
              <w:rPr>
                <w:rFonts w:ascii="Arial" w:cs="Arial" w:eastAsia="Arial" w:hAnsi="Arial"/>
                <w:sz w:val="16"/>
                <w:szCs w:val="16"/>
                <w:color w:val="004483"/>
              </w:rPr>
              <w:t>Cement Operating Earnings</w:t>
            </w:r>
          </w:p>
        </w:tc>
        <w:tc>
          <w:tcPr>
            <w:tcW w:w="380" w:type="dxa"/>
            <w:vAlign w:val="bottom"/>
            <w:tcBorders>
              <w:bottom w:val="single" w:sz="8" w:color="A6A6A6"/>
            </w:tcBorders>
          </w:tcPr>
          <w:p>
            <w:pPr>
              <w:spacing w:after="0"/>
              <w:rPr>
                <w:sz w:val="14"/>
                <w:szCs w:val="14"/>
                <w:color w:val="auto"/>
              </w:rPr>
            </w:pPr>
          </w:p>
        </w:tc>
        <w:tc>
          <w:tcPr>
            <w:tcW w:w="880" w:type="dxa"/>
            <w:vAlign w:val="bottom"/>
            <w:tcBorders>
              <w:bottom w:val="single" w:sz="8" w:color="A6A6A6"/>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560" w:type="dxa"/>
            <w:vAlign w:val="bottom"/>
            <w:tcBorders>
              <w:bottom w:val="single" w:sz="8" w:color="A6A6A6"/>
            </w:tcBorders>
          </w:tcPr>
          <w:p>
            <w:pPr>
              <w:spacing w:after="0"/>
              <w:rPr>
                <w:sz w:val="14"/>
                <w:szCs w:val="14"/>
                <w:color w:val="auto"/>
              </w:rPr>
            </w:pPr>
          </w:p>
        </w:tc>
        <w:tc>
          <w:tcPr>
            <w:tcW w:w="300" w:type="dxa"/>
            <w:vAlign w:val="bottom"/>
            <w:tcBorders>
              <w:bottom w:val="single" w:sz="8" w:color="A6A6A6"/>
            </w:tcBorders>
          </w:tcPr>
          <w:p>
            <w:pPr>
              <w:spacing w:after="0"/>
              <w:rPr>
                <w:sz w:val="14"/>
                <w:szCs w:val="14"/>
                <w:color w:val="auto"/>
              </w:rPr>
            </w:pPr>
          </w:p>
        </w:tc>
        <w:tc>
          <w:tcPr>
            <w:tcW w:w="400" w:type="dxa"/>
            <w:vAlign w:val="bottom"/>
            <w:tcBorders>
              <w:bottom w:val="single" w:sz="8" w:color="A6A6A6"/>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800" w:type="dxa"/>
            <w:vAlign w:val="bottom"/>
            <w:tcBorders>
              <w:bottom w:val="single" w:sz="8" w:color="A6A6A6"/>
            </w:tcBorders>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24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520" w:type="dxa"/>
            <w:vAlign w:val="bottom"/>
            <w:tcBorders>
              <w:bottom w:val="single" w:sz="8" w:color="A6A6A6"/>
            </w:tcBorders>
          </w:tcPr>
          <w:p>
            <w:pPr>
              <w:spacing w:after="0"/>
              <w:rPr>
                <w:sz w:val="14"/>
                <w:szCs w:val="14"/>
                <w:color w:val="auto"/>
              </w:rPr>
            </w:pPr>
          </w:p>
        </w:tc>
        <w:tc>
          <w:tcPr>
            <w:tcW w:w="78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Wholly Owned</w:t>
            </w:r>
          </w:p>
        </w:tc>
        <w:tc>
          <w:tcPr>
            <w:tcW w:w="380" w:type="dxa"/>
            <w:vAlign w:val="bottom"/>
            <w:tcBorders>
              <w:bottom w:val="single" w:sz="8" w:color="A6A6A6"/>
            </w:tcBorders>
          </w:tcPr>
          <w:p>
            <w:pPr>
              <w:jc w:val="right"/>
              <w:ind w:right="201"/>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81,776</w:t>
            </w:r>
          </w:p>
        </w:tc>
        <w:tc>
          <w:tcPr>
            <w:tcW w:w="120" w:type="dxa"/>
            <w:vAlign w:val="bottom"/>
          </w:tcPr>
          <w:p>
            <w:pPr>
              <w:spacing w:after="0"/>
              <w:rPr>
                <w:sz w:val="15"/>
                <w:szCs w:val="15"/>
                <w:color w:val="auto"/>
              </w:rPr>
            </w:pPr>
          </w:p>
        </w:tc>
        <w:tc>
          <w:tcPr>
            <w:tcW w:w="680" w:type="dxa"/>
            <w:vAlign w:val="bottom"/>
            <w:tcBorders>
              <w:bottom w:val="single" w:sz="8" w:color="A6A6A6"/>
            </w:tcBorders>
            <w:gridSpan w:val="2"/>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96,281</w:t>
            </w:r>
          </w:p>
        </w:tc>
        <w:tc>
          <w:tcPr>
            <w:tcW w:w="120" w:type="dxa"/>
            <w:vAlign w:val="bottom"/>
          </w:tcPr>
          <w:p>
            <w:pPr>
              <w:spacing w:after="0"/>
              <w:rPr>
                <w:sz w:val="15"/>
                <w:szCs w:val="15"/>
                <w:color w:val="auto"/>
              </w:rPr>
            </w:pPr>
          </w:p>
        </w:tc>
        <w:tc>
          <w:tcPr>
            <w:tcW w:w="24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gridSpan w:val="3"/>
          </w:tcPr>
          <w:p>
            <w:pPr>
              <w:jc w:val="right"/>
              <w:spacing w:after="0" w:line="183" w:lineRule="exact"/>
              <w:rPr>
                <w:sz w:val="20"/>
                <w:szCs w:val="20"/>
                <w:color w:val="auto"/>
              </w:rPr>
            </w:pPr>
            <w:r>
              <w:rPr>
                <w:rFonts w:ascii="Arial" w:cs="Arial" w:eastAsia="Arial" w:hAnsi="Arial"/>
                <w:sz w:val="16"/>
                <w:szCs w:val="16"/>
                <w:color w:val="auto"/>
              </w:rPr>
              <w:t>269,842</w:t>
            </w:r>
          </w:p>
        </w:tc>
        <w:tc>
          <w:tcPr>
            <w:tcW w:w="100" w:type="dxa"/>
            <w:vAlign w:val="bottom"/>
          </w:tcPr>
          <w:p>
            <w:pPr>
              <w:spacing w:after="0"/>
              <w:rPr>
                <w:sz w:val="15"/>
                <w:szCs w:val="15"/>
                <w:color w:val="auto"/>
              </w:rPr>
            </w:pPr>
          </w:p>
        </w:tc>
        <w:tc>
          <w:tcPr>
            <w:tcW w:w="640" w:type="dxa"/>
            <w:vAlign w:val="bottom"/>
            <w:tcBorders>
              <w:bottom w:val="single" w:sz="8" w:color="A6A6A6"/>
            </w:tcBorders>
            <w:gridSpan w:val="2"/>
          </w:tcPr>
          <w:p>
            <w:pPr>
              <w:jc w:val="right"/>
              <w:ind w:right="319"/>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278,266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gridSpan w:val="2"/>
          </w:tcPr>
          <w:p>
            <w:pPr>
              <w:ind w:left="200"/>
              <w:spacing w:after="0" w:line="183" w:lineRule="exact"/>
              <w:rPr>
                <w:sz w:val="20"/>
                <w:szCs w:val="20"/>
                <w:color w:val="auto"/>
              </w:rPr>
            </w:pPr>
            <w:r>
              <w:rPr>
                <w:rFonts w:ascii="Arial" w:cs="Arial" w:eastAsia="Arial" w:hAnsi="Arial"/>
                <w:sz w:val="16"/>
                <w:szCs w:val="16"/>
                <w:color w:val="004483"/>
              </w:rPr>
              <w:t>Joint Venture</w:t>
            </w:r>
          </w:p>
        </w:tc>
        <w:tc>
          <w:tcPr>
            <w:tcW w:w="38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4,987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9,285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21,979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22,790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220" w:type="dxa"/>
            <w:vAlign w:val="bottom"/>
            <w:tcBorders>
              <w:bottom w:val="single" w:sz="8" w:color="A6A6A6"/>
            </w:tcBorders>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38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560" w:type="dxa"/>
            <w:vAlign w:val="bottom"/>
            <w:tcBorders>
              <w:bottom w:val="single" w:sz="8" w:color="004483"/>
            </w:tcBorders>
            <w:shd w:val="clear" w:color="auto" w:fill="004483"/>
          </w:tcPr>
          <w:p>
            <w:pPr>
              <w:spacing w:after="0"/>
              <w:rPr>
                <w:sz w:val="2"/>
                <w:szCs w:val="2"/>
                <w:color w:val="auto"/>
              </w:rPr>
            </w:pPr>
          </w:p>
        </w:tc>
        <w:tc>
          <w:tcPr>
            <w:tcW w:w="300" w:type="dxa"/>
            <w:vAlign w:val="bottom"/>
            <w:tcBorders>
              <w:bottom w:val="single" w:sz="8" w:color="004483"/>
            </w:tcBorders>
            <w:shd w:val="clear" w:color="auto" w:fill="004483"/>
          </w:tcPr>
          <w:p>
            <w:pPr>
              <w:spacing w:after="0"/>
              <w:rPr>
                <w:sz w:val="2"/>
                <w:szCs w:val="2"/>
                <w:color w:val="auto"/>
              </w:rPr>
            </w:pPr>
          </w:p>
        </w:tc>
        <w:tc>
          <w:tcPr>
            <w:tcW w:w="40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20" w:type="dxa"/>
            <w:vAlign w:val="bottom"/>
            <w:tcBorders>
              <w:bottom w:val="single" w:sz="8" w:color="004483"/>
            </w:tcBorders>
            <w:shd w:val="clear" w:color="auto" w:fill="004483"/>
          </w:tcPr>
          <w:p>
            <w:pPr>
              <w:spacing w:after="0"/>
              <w:rPr>
                <w:sz w:val="2"/>
                <w:szCs w:val="2"/>
                <w:color w:val="auto"/>
              </w:rPr>
            </w:pPr>
          </w:p>
        </w:tc>
        <w:tc>
          <w:tcPr>
            <w:tcW w:w="920" w:type="dxa"/>
            <w:vAlign w:val="bottom"/>
            <w:tcBorders>
              <w:bottom w:val="single" w:sz="8" w:color="004483"/>
            </w:tcBorders>
            <w:gridSpan w:val="2"/>
            <w:shd w:val="clear" w:color="auto" w:fill="004483"/>
          </w:tcPr>
          <w:p>
            <w:pPr>
              <w:spacing w:after="0"/>
              <w:rPr>
                <w:sz w:val="2"/>
                <w:szCs w:val="2"/>
                <w:color w:val="auto"/>
              </w:rPr>
            </w:pPr>
          </w:p>
        </w:tc>
        <w:tc>
          <w:tcPr>
            <w:tcW w:w="240" w:type="dxa"/>
            <w:vAlign w:val="bottom"/>
            <w:tcBorders>
              <w:bottom w:val="single" w:sz="8" w:color="004483"/>
              <w:right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520" w:type="dxa"/>
            <w:vAlign w:val="bottom"/>
            <w:tcBorders>
              <w:bottom w:val="single" w:sz="8" w:color="004483"/>
            </w:tcBorders>
            <w:shd w:val="clear" w:color="auto" w:fill="004483"/>
          </w:tcPr>
          <w:p>
            <w:pPr>
              <w:spacing w:after="0"/>
              <w:rPr>
                <w:sz w:val="2"/>
                <w:szCs w:val="2"/>
                <w:color w:val="auto"/>
              </w:rPr>
            </w:pPr>
          </w:p>
        </w:tc>
        <w:tc>
          <w:tcPr>
            <w:tcW w:w="7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004483"/>
            </w:tcBorders>
          </w:tcPr>
          <w:p>
            <w:pPr>
              <w:jc w:val="right"/>
              <w:ind w:right="201"/>
              <w:spacing w:after="0" w:line="183"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86,763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004483"/>
            </w:tcBorders>
          </w:tcPr>
          <w:p>
            <w:pPr>
              <w:jc w:val="right"/>
              <w:ind w:right="379"/>
              <w:spacing w:after="0" w:line="183" w:lineRule="exact"/>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105,566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gridSpan w:val="3"/>
          </w:tcPr>
          <w:p>
            <w:pPr>
              <w:jc w:val="right"/>
              <w:spacing w:after="0" w:line="183" w:lineRule="exact"/>
              <w:rPr>
                <w:sz w:val="20"/>
                <w:szCs w:val="20"/>
                <w:color w:val="auto"/>
              </w:rPr>
            </w:pPr>
            <w:r>
              <w:rPr>
                <w:rFonts w:ascii="Arial" w:cs="Arial" w:eastAsia="Arial" w:hAnsi="Arial"/>
                <w:sz w:val="16"/>
                <w:szCs w:val="16"/>
                <w:b w:val="1"/>
                <w:bCs w:val="1"/>
                <w:color w:val="auto"/>
              </w:rPr>
              <w:t>291,821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bottom w:val="single" w:sz="8" w:color="004483"/>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301,056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004483"/>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40" w:type="dxa"/>
            <w:vAlign w:val="bottom"/>
            <w:tcBorders>
              <w:bottom w:val="single" w:sz="8" w:color="A6A6A6"/>
            </w:tcBorders>
            <w:gridSpan w:val="2"/>
          </w:tcPr>
          <w:p>
            <w:pPr>
              <w:ind w:left="20"/>
              <w:spacing w:after="0" w:line="170" w:lineRule="exact"/>
              <w:rPr>
                <w:sz w:val="20"/>
                <w:szCs w:val="20"/>
                <w:color w:val="auto"/>
              </w:rPr>
            </w:pPr>
            <w:r>
              <w:rPr>
                <w:rFonts w:ascii="Arial" w:cs="Arial" w:eastAsia="Arial" w:hAnsi="Arial"/>
                <w:sz w:val="16"/>
                <w:szCs w:val="16"/>
                <w:b w:val="1"/>
                <w:bCs w:val="1"/>
                <w:color w:val="auto"/>
              </w:rPr>
              <w:t>Capital Expenditures</w:t>
            </w:r>
          </w:p>
        </w:tc>
        <w:tc>
          <w:tcPr>
            <w:tcW w:w="380" w:type="dxa"/>
            <w:vAlign w:val="bottom"/>
            <w:tcBorders>
              <w:bottom w:val="single" w:sz="8" w:color="A6A6A6"/>
            </w:tcBorders>
          </w:tcPr>
          <w:p>
            <w:pPr>
              <w:spacing w:after="0"/>
              <w:rPr>
                <w:sz w:val="14"/>
                <w:szCs w:val="14"/>
                <w:color w:val="auto"/>
              </w:rPr>
            </w:pPr>
          </w:p>
        </w:tc>
        <w:tc>
          <w:tcPr>
            <w:tcW w:w="880" w:type="dxa"/>
            <w:vAlign w:val="bottom"/>
            <w:tcBorders>
              <w:bottom w:val="single" w:sz="8" w:color="A6A6A6"/>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560" w:type="dxa"/>
            <w:vAlign w:val="bottom"/>
            <w:tcBorders>
              <w:bottom w:val="single" w:sz="8" w:color="A6A6A6"/>
            </w:tcBorders>
          </w:tcPr>
          <w:p>
            <w:pPr>
              <w:spacing w:after="0"/>
              <w:rPr>
                <w:sz w:val="14"/>
                <w:szCs w:val="14"/>
                <w:color w:val="auto"/>
              </w:rPr>
            </w:pPr>
          </w:p>
        </w:tc>
        <w:tc>
          <w:tcPr>
            <w:tcW w:w="300" w:type="dxa"/>
            <w:vAlign w:val="bottom"/>
            <w:tcBorders>
              <w:bottom w:val="single" w:sz="8" w:color="A6A6A6"/>
            </w:tcBorders>
          </w:tcPr>
          <w:p>
            <w:pPr>
              <w:spacing w:after="0"/>
              <w:rPr>
                <w:sz w:val="14"/>
                <w:szCs w:val="14"/>
                <w:color w:val="auto"/>
              </w:rPr>
            </w:pPr>
          </w:p>
        </w:tc>
        <w:tc>
          <w:tcPr>
            <w:tcW w:w="400" w:type="dxa"/>
            <w:vAlign w:val="bottom"/>
            <w:tcBorders>
              <w:bottom w:val="single" w:sz="8" w:color="A6A6A6"/>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800" w:type="dxa"/>
            <w:vAlign w:val="bottom"/>
            <w:tcBorders>
              <w:bottom w:val="single" w:sz="8" w:color="A6A6A6"/>
            </w:tcBorders>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24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520" w:type="dxa"/>
            <w:vAlign w:val="bottom"/>
            <w:tcBorders>
              <w:bottom w:val="single" w:sz="8" w:color="A6A6A6"/>
            </w:tcBorders>
          </w:tcPr>
          <w:p>
            <w:pPr>
              <w:spacing w:after="0"/>
              <w:rPr>
                <w:sz w:val="14"/>
                <w:szCs w:val="14"/>
                <w:color w:val="auto"/>
              </w:rPr>
            </w:pPr>
          </w:p>
        </w:tc>
        <w:tc>
          <w:tcPr>
            <w:tcW w:w="78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Cement</w:t>
            </w:r>
          </w:p>
        </w:tc>
        <w:tc>
          <w:tcPr>
            <w:tcW w:w="380" w:type="dxa"/>
            <w:vAlign w:val="bottom"/>
            <w:tcBorders>
              <w:bottom w:val="single" w:sz="8" w:color="A6A6A6"/>
            </w:tcBorders>
          </w:tcPr>
          <w:p>
            <w:pPr>
              <w:jc w:val="right"/>
              <w:ind w:right="201"/>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35,609</w:t>
            </w:r>
          </w:p>
        </w:tc>
        <w:tc>
          <w:tcPr>
            <w:tcW w:w="120" w:type="dxa"/>
            <w:vAlign w:val="bottom"/>
          </w:tcPr>
          <w:p>
            <w:pPr>
              <w:spacing w:after="0"/>
              <w:rPr>
                <w:sz w:val="15"/>
                <w:szCs w:val="15"/>
                <w:color w:val="auto"/>
              </w:rPr>
            </w:pPr>
          </w:p>
        </w:tc>
        <w:tc>
          <w:tcPr>
            <w:tcW w:w="680" w:type="dxa"/>
            <w:vAlign w:val="bottom"/>
            <w:tcBorders>
              <w:bottom w:val="single" w:sz="8" w:color="A6A6A6"/>
            </w:tcBorders>
            <w:gridSpan w:val="2"/>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11,571</w:t>
            </w:r>
          </w:p>
        </w:tc>
        <w:tc>
          <w:tcPr>
            <w:tcW w:w="120" w:type="dxa"/>
            <w:vAlign w:val="bottom"/>
          </w:tcPr>
          <w:p>
            <w:pPr>
              <w:spacing w:after="0"/>
              <w:rPr>
                <w:sz w:val="15"/>
                <w:szCs w:val="15"/>
                <w:color w:val="auto"/>
              </w:rPr>
            </w:pPr>
          </w:p>
        </w:tc>
        <w:tc>
          <w:tcPr>
            <w:tcW w:w="24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gridSpan w:val="3"/>
          </w:tcPr>
          <w:p>
            <w:pPr>
              <w:jc w:val="right"/>
              <w:spacing w:after="0" w:line="183" w:lineRule="exact"/>
              <w:rPr>
                <w:sz w:val="20"/>
                <w:szCs w:val="20"/>
                <w:color w:val="auto"/>
              </w:rPr>
            </w:pPr>
            <w:r>
              <w:rPr>
                <w:rFonts w:ascii="Arial" w:cs="Arial" w:eastAsia="Arial" w:hAnsi="Arial"/>
                <w:sz w:val="16"/>
                <w:szCs w:val="16"/>
                <w:color w:val="auto"/>
              </w:rPr>
              <w:t>102,384</w:t>
            </w:r>
          </w:p>
        </w:tc>
        <w:tc>
          <w:tcPr>
            <w:tcW w:w="100" w:type="dxa"/>
            <w:vAlign w:val="bottom"/>
          </w:tcPr>
          <w:p>
            <w:pPr>
              <w:spacing w:after="0"/>
              <w:rPr>
                <w:sz w:val="15"/>
                <w:szCs w:val="15"/>
                <w:color w:val="auto"/>
              </w:rPr>
            </w:pPr>
          </w:p>
        </w:tc>
        <w:tc>
          <w:tcPr>
            <w:tcW w:w="640" w:type="dxa"/>
            <w:vAlign w:val="bottom"/>
            <w:tcBorders>
              <w:bottom w:val="single" w:sz="8" w:color="A6A6A6"/>
            </w:tcBorders>
            <w:gridSpan w:val="2"/>
          </w:tcPr>
          <w:p>
            <w:pPr>
              <w:jc w:val="right"/>
              <w:ind w:right="319"/>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38,288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Concrete and Aggregates</w:t>
            </w: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4,668</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1,207</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gridSpan w:val="3"/>
          </w:tcPr>
          <w:p>
            <w:pPr>
              <w:jc w:val="right"/>
              <w:spacing w:after="0" w:line="183" w:lineRule="exact"/>
              <w:rPr>
                <w:sz w:val="20"/>
                <w:szCs w:val="20"/>
                <w:color w:val="auto"/>
              </w:rPr>
            </w:pPr>
            <w:r>
              <w:rPr>
                <w:rFonts w:ascii="Arial" w:cs="Arial" w:eastAsia="Arial" w:hAnsi="Arial"/>
                <w:sz w:val="16"/>
                <w:szCs w:val="16"/>
                <w:color w:val="auto"/>
              </w:rPr>
              <w:t>18,795</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10,281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gridSpan w:val="2"/>
          </w:tcPr>
          <w:p>
            <w:pPr>
              <w:ind w:left="200"/>
              <w:spacing w:after="0" w:line="183" w:lineRule="exact"/>
              <w:rPr>
                <w:sz w:val="20"/>
                <w:szCs w:val="20"/>
                <w:color w:val="auto"/>
              </w:rPr>
            </w:pPr>
            <w:r>
              <w:rPr>
                <w:rFonts w:ascii="Arial" w:cs="Arial" w:eastAsia="Arial" w:hAnsi="Arial"/>
                <w:sz w:val="16"/>
                <w:szCs w:val="16"/>
                <w:color w:val="004483"/>
              </w:rPr>
              <w:t>Gypsum Wallboard</w:t>
            </w:r>
          </w:p>
        </w:tc>
        <w:tc>
          <w:tcPr>
            <w:tcW w:w="38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2,560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7,386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9,925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23,866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20" w:type="dxa"/>
            <w:vAlign w:val="bottom"/>
            <w:tcBorders>
              <w:top w:val="single" w:sz="8" w:color="A6A6A6"/>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Recycled Paperboard</w:t>
            </w:r>
          </w:p>
        </w:tc>
        <w:tc>
          <w:tcPr>
            <w:tcW w:w="120" w:type="dxa"/>
            <w:vAlign w:val="bottom"/>
            <w:tcBorders>
              <w:bottom w:val="single" w:sz="8" w:color="A6A6A6"/>
            </w:tcBorders>
          </w:tcPr>
          <w:p>
            <w:pPr>
              <w:spacing w:after="0"/>
              <w:rPr>
                <w:sz w:val="15"/>
                <w:szCs w:val="15"/>
                <w:color w:val="auto"/>
              </w:rPr>
            </w:pPr>
          </w:p>
        </w:tc>
        <w:tc>
          <w:tcPr>
            <w:tcW w:w="380" w:type="dxa"/>
            <w:vAlign w:val="bottom"/>
            <w:tcBorders>
              <w:top w:val="single" w:sz="8" w:color="A6A6A6"/>
              <w:bottom w:val="single" w:sz="8" w:color="A6A6A6"/>
            </w:tcBorders>
          </w:tcPr>
          <w:p>
            <w:pPr>
              <w:spacing w:after="0"/>
              <w:rPr>
                <w:sz w:val="15"/>
                <w:szCs w:val="15"/>
                <w:color w:val="auto"/>
              </w:rPr>
            </w:pPr>
          </w:p>
        </w:tc>
        <w:tc>
          <w:tcPr>
            <w:tcW w:w="8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4,309</w:t>
            </w:r>
          </w:p>
        </w:tc>
        <w:tc>
          <w:tcPr>
            <w:tcW w:w="12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560" w:type="dxa"/>
            <w:vAlign w:val="bottom"/>
            <w:tcBorders>
              <w:top w:val="single" w:sz="8" w:color="A6A6A6"/>
              <w:bottom w:val="single" w:sz="8" w:color="A6A6A6"/>
            </w:tcBorders>
          </w:tcPr>
          <w:p>
            <w:pPr>
              <w:spacing w:after="0"/>
              <w:rPr>
                <w:sz w:val="15"/>
                <w:szCs w:val="15"/>
                <w:color w:val="auto"/>
              </w:rPr>
            </w:pPr>
          </w:p>
        </w:tc>
        <w:tc>
          <w:tcPr>
            <w:tcW w:w="700" w:type="dxa"/>
            <w:vAlign w:val="bottom"/>
            <w:tcBorders>
              <w:top w:val="single" w:sz="8" w:color="A6A6A6"/>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1,868</w:t>
            </w:r>
          </w:p>
        </w:tc>
        <w:tc>
          <w:tcPr>
            <w:tcW w:w="12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1160" w:type="dxa"/>
            <w:vAlign w:val="bottom"/>
            <w:tcBorders>
              <w:top w:val="single" w:sz="8" w:color="A6A6A6"/>
              <w:bottom w:val="single" w:sz="8" w:color="A6A6A6"/>
            </w:tcBorders>
            <w:gridSpan w:val="3"/>
          </w:tcPr>
          <w:p>
            <w:pPr>
              <w:jc w:val="right"/>
              <w:spacing w:after="0" w:line="183" w:lineRule="exact"/>
              <w:rPr>
                <w:sz w:val="20"/>
                <w:szCs w:val="20"/>
                <w:color w:val="auto"/>
              </w:rPr>
            </w:pPr>
            <w:r>
              <w:rPr>
                <w:rFonts w:ascii="Arial" w:cs="Arial" w:eastAsia="Arial" w:hAnsi="Arial"/>
                <w:sz w:val="16"/>
                <w:szCs w:val="16"/>
                <w:color w:val="auto"/>
              </w:rPr>
              <w:t>12,425</w:t>
            </w:r>
          </w:p>
        </w:tc>
        <w:tc>
          <w:tcPr>
            <w:tcW w:w="10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520" w:type="dxa"/>
            <w:vAlign w:val="bottom"/>
            <w:tcBorders>
              <w:top w:val="single" w:sz="8" w:color="A6A6A6"/>
              <w:bottom w:val="single" w:sz="8" w:color="A6A6A6"/>
            </w:tcBorders>
          </w:tcPr>
          <w:p>
            <w:pPr>
              <w:spacing w:after="0"/>
              <w:rPr>
                <w:sz w:val="15"/>
                <w:szCs w:val="15"/>
                <w:color w:val="auto"/>
              </w:rPr>
            </w:pPr>
          </w:p>
        </w:tc>
        <w:tc>
          <w:tcPr>
            <w:tcW w:w="7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7,733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gridSpan w:val="2"/>
          </w:tcPr>
          <w:p>
            <w:pPr>
              <w:ind w:left="200"/>
              <w:spacing w:after="0" w:line="183" w:lineRule="exact"/>
              <w:rPr>
                <w:sz w:val="20"/>
                <w:szCs w:val="20"/>
                <w:color w:val="auto"/>
              </w:rPr>
            </w:pPr>
            <w:r>
              <w:rPr>
                <w:rFonts w:ascii="Arial" w:cs="Arial" w:eastAsia="Arial" w:hAnsi="Arial"/>
                <w:sz w:val="16"/>
                <w:szCs w:val="16"/>
                <w:color w:val="004483"/>
              </w:rPr>
              <w:t>Corporate and Other</w:t>
            </w:r>
          </w:p>
        </w:tc>
        <w:tc>
          <w:tcPr>
            <w:tcW w:w="38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224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403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3,446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7,680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220" w:type="dxa"/>
            <w:vAlign w:val="bottom"/>
            <w:tcBorders>
              <w:bottom w:val="single" w:sz="8" w:color="A6A6A6"/>
            </w:tcBorders>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38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560" w:type="dxa"/>
            <w:vAlign w:val="bottom"/>
            <w:tcBorders>
              <w:bottom w:val="single" w:sz="8" w:color="004483"/>
            </w:tcBorders>
            <w:shd w:val="clear" w:color="auto" w:fill="004483"/>
          </w:tcPr>
          <w:p>
            <w:pPr>
              <w:spacing w:after="0"/>
              <w:rPr>
                <w:sz w:val="2"/>
                <w:szCs w:val="2"/>
                <w:color w:val="auto"/>
              </w:rPr>
            </w:pPr>
          </w:p>
        </w:tc>
        <w:tc>
          <w:tcPr>
            <w:tcW w:w="300" w:type="dxa"/>
            <w:vAlign w:val="bottom"/>
            <w:tcBorders>
              <w:bottom w:val="single" w:sz="8" w:color="004483"/>
            </w:tcBorders>
            <w:shd w:val="clear" w:color="auto" w:fill="004483"/>
          </w:tcPr>
          <w:p>
            <w:pPr>
              <w:spacing w:after="0"/>
              <w:rPr>
                <w:sz w:val="2"/>
                <w:szCs w:val="2"/>
                <w:color w:val="auto"/>
              </w:rPr>
            </w:pPr>
          </w:p>
        </w:tc>
        <w:tc>
          <w:tcPr>
            <w:tcW w:w="40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20" w:type="dxa"/>
            <w:vAlign w:val="bottom"/>
            <w:tcBorders>
              <w:bottom w:val="single" w:sz="8" w:color="004483"/>
            </w:tcBorders>
            <w:shd w:val="clear" w:color="auto" w:fill="004483"/>
          </w:tcPr>
          <w:p>
            <w:pPr>
              <w:spacing w:after="0"/>
              <w:rPr>
                <w:sz w:val="2"/>
                <w:szCs w:val="2"/>
                <w:color w:val="auto"/>
              </w:rPr>
            </w:pPr>
          </w:p>
        </w:tc>
        <w:tc>
          <w:tcPr>
            <w:tcW w:w="920" w:type="dxa"/>
            <w:vAlign w:val="bottom"/>
            <w:tcBorders>
              <w:bottom w:val="single" w:sz="8" w:color="004483"/>
            </w:tcBorders>
            <w:gridSpan w:val="2"/>
            <w:shd w:val="clear" w:color="auto" w:fill="004483"/>
          </w:tcPr>
          <w:p>
            <w:pPr>
              <w:spacing w:after="0"/>
              <w:rPr>
                <w:sz w:val="2"/>
                <w:szCs w:val="2"/>
                <w:color w:val="auto"/>
              </w:rPr>
            </w:pPr>
          </w:p>
        </w:tc>
        <w:tc>
          <w:tcPr>
            <w:tcW w:w="240" w:type="dxa"/>
            <w:vAlign w:val="bottom"/>
            <w:tcBorders>
              <w:bottom w:val="single" w:sz="8" w:color="004483"/>
              <w:right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520" w:type="dxa"/>
            <w:vAlign w:val="bottom"/>
            <w:tcBorders>
              <w:bottom w:val="single" w:sz="8" w:color="004483"/>
            </w:tcBorders>
            <w:shd w:val="clear" w:color="auto" w:fill="004483"/>
          </w:tcPr>
          <w:p>
            <w:pPr>
              <w:spacing w:after="0"/>
              <w:rPr>
                <w:sz w:val="2"/>
                <w:szCs w:val="2"/>
                <w:color w:val="auto"/>
              </w:rPr>
            </w:pPr>
          </w:p>
        </w:tc>
        <w:tc>
          <w:tcPr>
            <w:tcW w:w="7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004483"/>
            </w:tcBorders>
          </w:tcPr>
          <w:p>
            <w:pPr>
              <w:jc w:val="right"/>
              <w:ind w:right="201"/>
              <w:spacing w:after="0" w:line="183"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47,370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004483"/>
            </w:tcBorders>
          </w:tcPr>
          <w:p>
            <w:pPr>
              <w:jc w:val="right"/>
              <w:ind w:right="379"/>
              <w:spacing w:after="0" w:line="183" w:lineRule="exact"/>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22,435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gridSpan w:val="3"/>
          </w:tcPr>
          <w:p>
            <w:pPr>
              <w:jc w:val="right"/>
              <w:spacing w:after="0" w:line="183" w:lineRule="exact"/>
              <w:rPr>
                <w:sz w:val="20"/>
                <w:szCs w:val="20"/>
                <w:color w:val="auto"/>
              </w:rPr>
            </w:pPr>
            <w:r>
              <w:rPr>
                <w:rFonts w:ascii="Arial" w:cs="Arial" w:eastAsia="Arial" w:hAnsi="Arial"/>
                <w:sz w:val="16"/>
                <w:szCs w:val="16"/>
                <w:b w:val="1"/>
                <w:bCs w:val="1"/>
                <w:color w:val="auto"/>
              </w:rPr>
              <w:t>146,975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bottom w:val="single" w:sz="8" w:color="004483"/>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87,848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004483"/>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340" w:type="dxa"/>
            <w:vAlign w:val="bottom"/>
            <w:tcBorders>
              <w:bottom w:val="single" w:sz="8" w:color="A6A6A6"/>
            </w:tcBorders>
            <w:gridSpan w:val="2"/>
          </w:tcPr>
          <w:p>
            <w:pPr>
              <w:ind w:left="20"/>
              <w:spacing w:after="0" w:line="170" w:lineRule="exact"/>
              <w:rPr>
                <w:sz w:val="20"/>
                <w:szCs w:val="20"/>
                <w:color w:val="auto"/>
              </w:rPr>
            </w:pPr>
            <w:r>
              <w:rPr>
                <w:rFonts w:ascii="Arial" w:cs="Arial" w:eastAsia="Arial" w:hAnsi="Arial"/>
                <w:sz w:val="16"/>
                <w:szCs w:val="16"/>
                <w:b w:val="1"/>
                <w:bCs w:val="1"/>
                <w:color w:val="auto"/>
              </w:rPr>
              <w:t>Depreciation, Depletion, and Amortization</w:t>
            </w:r>
          </w:p>
        </w:tc>
        <w:tc>
          <w:tcPr>
            <w:tcW w:w="380" w:type="dxa"/>
            <w:vAlign w:val="bottom"/>
            <w:tcBorders>
              <w:bottom w:val="single" w:sz="8" w:color="A6A6A6"/>
            </w:tcBorders>
          </w:tcPr>
          <w:p>
            <w:pPr>
              <w:spacing w:after="0"/>
              <w:rPr>
                <w:sz w:val="14"/>
                <w:szCs w:val="14"/>
                <w:color w:val="auto"/>
              </w:rPr>
            </w:pPr>
          </w:p>
        </w:tc>
        <w:tc>
          <w:tcPr>
            <w:tcW w:w="880" w:type="dxa"/>
            <w:vAlign w:val="bottom"/>
            <w:tcBorders>
              <w:bottom w:val="single" w:sz="8" w:color="A6A6A6"/>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560" w:type="dxa"/>
            <w:vAlign w:val="bottom"/>
            <w:tcBorders>
              <w:bottom w:val="single" w:sz="8" w:color="A6A6A6"/>
            </w:tcBorders>
          </w:tcPr>
          <w:p>
            <w:pPr>
              <w:spacing w:after="0"/>
              <w:rPr>
                <w:sz w:val="14"/>
                <w:szCs w:val="14"/>
                <w:color w:val="auto"/>
              </w:rPr>
            </w:pPr>
          </w:p>
        </w:tc>
        <w:tc>
          <w:tcPr>
            <w:tcW w:w="300" w:type="dxa"/>
            <w:vAlign w:val="bottom"/>
            <w:tcBorders>
              <w:bottom w:val="single" w:sz="8" w:color="A6A6A6"/>
            </w:tcBorders>
          </w:tcPr>
          <w:p>
            <w:pPr>
              <w:spacing w:after="0"/>
              <w:rPr>
                <w:sz w:val="14"/>
                <w:szCs w:val="14"/>
                <w:color w:val="auto"/>
              </w:rPr>
            </w:pPr>
          </w:p>
        </w:tc>
        <w:tc>
          <w:tcPr>
            <w:tcW w:w="400" w:type="dxa"/>
            <w:vAlign w:val="bottom"/>
            <w:tcBorders>
              <w:bottom w:val="single" w:sz="8" w:color="A6A6A6"/>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800" w:type="dxa"/>
            <w:vAlign w:val="bottom"/>
            <w:tcBorders>
              <w:bottom w:val="single" w:sz="8" w:color="A6A6A6"/>
            </w:tcBorders>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24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520" w:type="dxa"/>
            <w:vAlign w:val="bottom"/>
            <w:tcBorders>
              <w:bottom w:val="single" w:sz="8" w:color="A6A6A6"/>
            </w:tcBorders>
          </w:tcPr>
          <w:p>
            <w:pPr>
              <w:spacing w:after="0"/>
              <w:rPr>
                <w:sz w:val="14"/>
                <w:szCs w:val="14"/>
                <w:color w:val="auto"/>
              </w:rPr>
            </w:pPr>
          </w:p>
        </w:tc>
        <w:tc>
          <w:tcPr>
            <w:tcW w:w="78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Cement</w:t>
            </w:r>
          </w:p>
        </w:tc>
        <w:tc>
          <w:tcPr>
            <w:tcW w:w="380" w:type="dxa"/>
            <w:vAlign w:val="bottom"/>
            <w:tcBorders>
              <w:bottom w:val="single" w:sz="8" w:color="A6A6A6"/>
            </w:tcBorders>
          </w:tcPr>
          <w:p>
            <w:pPr>
              <w:jc w:val="right"/>
              <w:ind w:right="201"/>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23,029</w:t>
            </w:r>
          </w:p>
        </w:tc>
        <w:tc>
          <w:tcPr>
            <w:tcW w:w="120" w:type="dxa"/>
            <w:vAlign w:val="bottom"/>
          </w:tcPr>
          <w:p>
            <w:pPr>
              <w:spacing w:after="0"/>
              <w:rPr>
                <w:sz w:val="15"/>
                <w:szCs w:val="15"/>
                <w:color w:val="auto"/>
              </w:rPr>
            </w:pPr>
          </w:p>
        </w:tc>
        <w:tc>
          <w:tcPr>
            <w:tcW w:w="680" w:type="dxa"/>
            <w:vAlign w:val="bottom"/>
            <w:tcBorders>
              <w:bottom w:val="single" w:sz="8" w:color="A6A6A6"/>
            </w:tcBorders>
            <w:gridSpan w:val="2"/>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22,514</w:t>
            </w:r>
          </w:p>
        </w:tc>
        <w:tc>
          <w:tcPr>
            <w:tcW w:w="120" w:type="dxa"/>
            <w:vAlign w:val="bottom"/>
          </w:tcPr>
          <w:p>
            <w:pPr>
              <w:spacing w:after="0"/>
              <w:rPr>
                <w:sz w:val="15"/>
                <w:szCs w:val="15"/>
                <w:color w:val="auto"/>
              </w:rPr>
            </w:pPr>
          </w:p>
        </w:tc>
        <w:tc>
          <w:tcPr>
            <w:tcW w:w="24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gridSpan w:val="3"/>
          </w:tcPr>
          <w:p>
            <w:pPr>
              <w:jc w:val="right"/>
              <w:spacing w:after="0" w:line="183" w:lineRule="exact"/>
              <w:rPr>
                <w:sz w:val="20"/>
                <w:szCs w:val="20"/>
                <w:color w:val="auto"/>
              </w:rPr>
            </w:pPr>
            <w:r>
              <w:rPr>
                <w:rFonts w:ascii="Arial" w:cs="Arial" w:eastAsia="Arial" w:hAnsi="Arial"/>
                <w:sz w:val="16"/>
                <w:szCs w:val="16"/>
                <w:color w:val="auto"/>
              </w:rPr>
              <w:t>68,853</w:t>
            </w:r>
          </w:p>
        </w:tc>
        <w:tc>
          <w:tcPr>
            <w:tcW w:w="100" w:type="dxa"/>
            <w:vAlign w:val="bottom"/>
          </w:tcPr>
          <w:p>
            <w:pPr>
              <w:spacing w:after="0"/>
              <w:rPr>
                <w:sz w:val="15"/>
                <w:szCs w:val="15"/>
                <w:color w:val="auto"/>
              </w:rPr>
            </w:pPr>
          </w:p>
        </w:tc>
        <w:tc>
          <w:tcPr>
            <w:tcW w:w="640" w:type="dxa"/>
            <w:vAlign w:val="bottom"/>
            <w:tcBorders>
              <w:bottom w:val="single" w:sz="8" w:color="A6A6A6"/>
            </w:tcBorders>
            <w:gridSpan w:val="2"/>
          </w:tcPr>
          <w:p>
            <w:pPr>
              <w:jc w:val="right"/>
              <w:ind w:right="319"/>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66,380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Concrete and Aggregates</w:t>
            </w: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5,261</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4,857</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gridSpan w:val="3"/>
          </w:tcPr>
          <w:p>
            <w:pPr>
              <w:jc w:val="right"/>
              <w:spacing w:after="0" w:line="183" w:lineRule="exact"/>
              <w:rPr>
                <w:sz w:val="20"/>
                <w:szCs w:val="20"/>
                <w:color w:val="auto"/>
              </w:rPr>
            </w:pPr>
            <w:r>
              <w:rPr>
                <w:rFonts w:ascii="Arial" w:cs="Arial" w:eastAsia="Arial" w:hAnsi="Arial"/>
                <w:sz w:val="16"/>
                <w:szCs w:val="16"/>
                <w:color w:val="auto"/>
              </w:rPr>
              <w:t>15,074</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14,850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Gypsum Wallboard</w:t>
            </w: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6,414</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5,611</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gridSpan w:val="3"/>
          </w:tcPr>
          <w:p>
            <w:pPr>
              <w:jc w:val="right"/>
              <w:spacing w:after="0" w:line="183" w:lineRule="exact"/>
              <w:rPr>
                <w:sz w:val="20"/>
                <w:szCs w:val="20"/>
                <w:color w:val="auto"/>
              </w:rPr>
            </w:pPr>
            <w:r>
              <w:rPr>
                <w:rFonts w:ascii="Arial" w:cs="Arial" w:eastAsia="Arial" w:hAnsi="Arial"/>
                <w:sz w:val="16"/>
                <w:szCs w:val="16"/>
                <w:color w:val="auto"/>
              </w:rPr>
              <w:t>19,338</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16,620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Recycled Paperboard</w:t>
            </w: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3,723</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3,694</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gridSpan w:val="3"/>
          </w:tcPr>
          <w:p>
            <w:pPr>
              <w:jc w:val="right"/>
              <w:spacing w:after="0" w:line="183" w:lineRule="exact"/>
              <w:rPr>
                <w:sz w:val="20"/>
                <w:szCs w:val="20"/>
                <w:color w:val="auto"/>
              </w:rPr>
            </w:pPr>
            <w:r>
              <w:rPr>
                <w:rFonts w:ascii="Arial" w:cs="Arial" w:eastAsia="Arial" w:hAnsi="Arial"/>
                <w:sz w:val="16"/>
                <w:szCs w:val="16"/>
                <w:color w:val="auto"/>
              </w:rPr>
              <w:t>11,082</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11,121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gridSpan w:val="2"/>
          </w:tcPr>
          <w:p>
            <w:pPr>
              <w:ind w:left="200"/>
              <w:spacing w:after="0" w:line="183" w:lineRule="exact"/>
              <w:rPr>
                <w:sz w:val="20"/>
                <w:szCs w:val="20"/>
                <w:color w:val="auto"/>
              </w:rPr>
            </w:pPr>
            <w:r>
              <w:rPr>
                <w:rFonts w:ascii="Arial" w:cs="Arial" w:eastAsia="Arial" w:hAnsi="Arial"/>
                <w:sz w:val="16"/>
                <w:szCs w:val="16"/>
                <w:color w:val="004483"/>
              </w:rPr>
              <w:t>Corporate and Other</w:t>
            </w:r>
          </w:p>
        </w:tc>
        <w:tc>
          <w:tcPr>
            <w:tcW w:w="38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807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792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2,314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2,376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220" w:type="dxa"/>
            <w:vAlign w:val="bottom"/>
            <w:tcBorders>
              <w:bottom w:val="single" w:sz="8" w:color="A6A6A6"/>
            </w:tcBorders>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38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560" w:type="dxa"/>
            <w:vAlign w:val="bottom"/>
            <w:tcBorders>
              <w:bottom w:val="single" w:sz="8" w:color="004483"/>
            </w:tcBorders>
            <w:shd w:val="clear" w:color="auto" w:fill="004483"/>
          </w:tcPr>
          <w:p>
            <w:pPr>
              <w:spacing w:after="0"/>
              <w:rPr>
                <w:sz w:val="2"/>
                <w:szCs w:val="2"/>
                <w:color w:val="auto"/>
              </w:rPr>
            </w:pPr>
          </w:p>
        </w:tc>
        <w:tc>
          <w:tcPr>
            <w:tcW w:w="300" w:type="dxa"/>
            <w:vAlign w:val="bottom"/>
            <w:tcBorders>
              <w:bottom w:val="single" w:sz="8" w:color="004483"/>
            </w:tcBorders>
            <w:shd w:val="clear" w:color="auto" w:fill="004483"/>
          </w:tcPr>
          <w:p>
            <w:pPr>
              <w:spacing w:after="0"/>
              <w:rPr>
                <w:sz w:val="2"/>
                <w:szCs w:val="2"/>
                <w:color w:val="auto"/>
              </w:rPr>
            </w:pPr>
          </w:p>
        </w:tc>
        <w:tc>
          <w:tcPr>
            <w:tcW w:w="40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20" w:type="dxa"/>
            <w:vAlign w:val="bottom"/>
            <w:tcBorders>
              <w:bottom w:val="single" w:sz="8" w:color="004483"/>
            </w:tcBorders>
            <w:shd w:val="clear" w:color="auto" w:fill="004483"/>
          </w:tcPr>
          <w:p>
            <w:pPr>
              <w:spacing w:after="0"/>
              <w:rPr>
                <w:sz w:val="2"/>
                <w:szCs w:val="2"/>
                <w:color w:val="auto"/>
              </w:rPr>
            </w:pPr>
          </w:p>
        </w:tc>
        <w:tc>
          <w:tcPr>
            <w:tcW w:w="920" w:type="dxa"/>
            <w:vAlign w:val="bottom"/>
            <w:tcBorders>
              <w:bottom w:val="single" w:sz="8" w:color="004483"/>
            </w:tcBorders>
            <w:gridSpan w:val="2"/>
            <w:shd w:val="clear" w:color="auto" w:fill="004483"/>
          </w:tcPr>
          <w:p>
            <w:pPr>
              <w:spacing w:after="0"/>
              <w:rPr>
                <w:sz w:val="2"/>
                <w:szCs w:val="2"/>
                <w:color w:val="auto"/>
              </w:rPr>
            </w:pPr>
          </w:p>
        </w:tc>
        <w:tc>
          <w:tcPr>
            <w:tcW w:w="240" w:type="dxa"/>
            <w:vAlign w:val="bottom"/>
            <w:tcBorders>
              <w:bottom w:val="single" w:sz="8" w:color="004483"/>
              <w:right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520" w:type="dxa"/>
            <w:vAlign w:val="bottom"/>
            <w:tcBorders>
              <w:bottom w:val="single" w:sz="8" w:color="004483"/>
            </w:tcBorders>
            <w:shd w:val="clear" w:color="auto" w:fill="004483"/>
          </w:tcPr>
          <w:p>
            <w:pPr>
              <w:spacing w:after="0"/>
              <w:rPr>
                <w:sz w:val="2"/>
                <w:szCs w:val="2"/>
                <w:color w:val="auto"/>
              </w:rPr>
            </w:pPr>
          </w:p>
        </w:tc>
        <w:tc>
          <w:tcPr>
            <w:tcW w:w="7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004483"/>
            </w:tcBorders>
          </w:tcPr>
          <w:p>
            <w:pPr>
              <w:jc w:val="right"/>
              <w:ind w:right="201"/>
              <w:spacing w:after="0" w:line="183"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39,234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004483"/>
            </w:tcBorders>
          </w:tcPr>
          <w:p>
            <w:pPr>
              <w:jc w:val="right"/>
              <w:ind w:right="379"/>
              <w:spacing w:after="0" w:line="183" w:lineRule="exact"/>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37,468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gridSpan w:val="3"/>
          </w:tcPr>
          <w:p>
            <w:pPr>
              <w:jc w:val="right"/>
              <w:spacing w:after="0" w:line="183" w:lineRule="exact"/>
              <w:rPr>
                <w:sz w:val="20"/>
                <w:szCs w:val="20"/>
                <w:color w:val="auto"/>
              </w:rPr>
            </w:pPr>
            <w:r>
              <w:rPr>
                <w:rFonts w:ascii="Arial" w:cs="Arial" w:eastAsia="Arial" w:hAnsi="Arial"/>
                <w:sz w:val="16"/>
                <w:szCs w:val="16"/>
                <w:b w:val="1"/>
                <w:bCs w:val="1"/>
                <w:color w:val="auto"/>
              </w:rPr>
              <w:t>116,661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bottom w:val="single" w:sz="8" w:color="004483"/>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111,347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004483"/>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shd w:val="clear" w:color="auto" w:fill="004483"/>
          </w:tcPr>
          <w:p>
            <w:pPr>
              <w:spacing w:after="0"/>
              <w:rPr>
                <w:sz w:val="11"/>
                <w:szCs w:val="11"/>
                <w:color w:val="auto"/>
              </w:rPr>
            </w:pPr>
          </w:p>
        </w:tc>
        <w:tc>
          <w:tcPr>
            <w:tcW w:w="120" w:type="dxa"/>
            <w:vAlign w:val="bottom"/>
            <w:shd w:val="clear" w:color="auto" w:fill="004483"/>
          </w:tcPr>
          <w:p>
            <w:pPr>
              <w:spacing w:after="0"/>
              <w:rPr>
                <w:sz w:val="11"/>
                <w:szCs w:val="11"/>
                <w:color w:val="auto"/>
              </w:rPr>
            </w:pPr>
          </w:p>
        </w:tc>
        <w:tc>
          <w:tcPr>
            <w:tcW w:w="120" w:type="dxa"/>
            <w:vAlign w:val="bottom"/>
            <w:shd w:val="clear" w:color="auto" w:fill="004483"/>
          </w:tcPr>
          <w:p>
            <w:pPr>
              <w:spacing w:after="0"/>
              <w:rPr>
                <w:sz w:val="11"/>
                <w:szCs w:val="11"/>
                <w:color w:val="auto"/>
              </w:rPr>
            </w:pPr>
          </w:p>
        </w:tc>
        <w:tc>
          <w:tcPr>
            <w:tcW w:w="920" w:type="dxa"/>
            <w:vAlign w:val="bottom"/>
            <w:gridSpan w:val="2"/>
            <w:shd w:val="clear" w:color="auto" w:fill="004483"/>
          </w:tcPr>
          <w:p>
            <w:pPr>
              <w:jc w:val="right"/>
              <w:spacing w:after="0" w:line="135" w:lineRule="exact"/>
              <w:rPr>
                <w:sz w:val="20"/>
                <w:szCs w:val="20"/>
                <w:color w:val="auto"/>
              </w:rPr>
            </w:pPr>
            <w:r>
              <w:rPr>
                <w:rFonts w:ascii="Arial" w:cs="Arial" w:eastAsia="Arial" w:hAnsi="Arial"/>
                <w:sz w:val="13"/>
                <w:szCs w:val="13"/>
                <w:b w:val="1"/>
                <w:bCs w:val="1"/>
                <w:color w:val="FFFFFF"/>
              </w:rPr>
              <w:t>December 31,</w:t>
            </w:r>
          </w:p>
        </w:tc>
        <w:tc>
          <w:tcPr>
            <w:tcW w:w="120" w:type="dxa"/>
            <w:vAlign w:val="bottom"/>
            <w:shd w:val="clear" w:color="auto" w:fill="004483"/>
          </w:tcPr>
          <w:p>
            <w:pPr>
              <w:spacing w:after="0"/>
              <w:rPr>
                <w:sz w:val="11"/>
                <w:szCs w:val="11"/>
                <w:color w:val="auto"/>
              </w:rPr>
            </w:pPr>
          </w:p>
        </w:tc>
        <w:tc>
          <w:tcPr>
            <w:tcW w:w="240" w:type="dxa"/>
            <w:vAlign w:val="bottom"/>
            <w:tcBorders>
              <w:right w:val="single" w:sz="8" w:color="004483"/>
            </w:tcBorders>
            <w:shd w:val="clear" w:color="auto" w:fill="004483"/>
          </w:tcPr>
          <w:p>
            <w:pPr>
              <w:spacing w:after="0"/>
              <w:rPr>
                <w:sz w:val="11"/>
                <w:szCs w:val="11"/>
                <w:color w:val="auto"/>
              </w:rPr>
            </w:pPr>
          </w:p>
        </w:tc>
        <w:tc>
          <w:tcPr>
            <w:tcW w:w="100" w:type="dxa"/>
            <w:vAlign w:val="bottom"/>
            <w:shd w:val="clear" w:color="auto" w:fill="004483"/>
          </w:tcPr>
          <w:p>
            <w:pPr>
              <w:spacing w:after="0"/>
              <w:rPr>
                <w:sz w:val="11"/>
                <w:szCs w:val="11"/>
                <w:color w:val="auto"/>
              </w:rPr>
            </w:pPr>
          </w:p>
        </w:tc>
        <w:tc>
          <w:tcPr>
            <w:tcW w:w="120" w:type="dxa"/>
            <w:vAlign w:val="bottom"/>
            <w:shd w:val="clear" w:color="auto" w:fill="004483"/>
          </w:tcPr>
          <w:p>
            <w:pPr>
              <w:spacing w:after="0"/>
              <w:rPr>
                <w:sz w:val="11"/>
                <w:szCs w:val="11"/>
                <w:color w:val="auto"/>
              </w:rPr>
            </w:pPr>
          </w:p>
        </w:tc>
        <w:tc>
          <w:tcPr>
            <w:tcW w:w="520" w:type="dxa"/>
            <w:vAlign w:val="bottom"/>
            <w:shd w:val="clear" w:color="auto" w:fill="004483"/>
          </w:tcPr>
          <w:p>
            <w:pPr>
              <w:spacing w:after="0"/>
              <w:rPr>
                <w:sz w:val="11"/>
                <w:szCs w:val="11"/>
                <w:color w:val="auto"/>
              </w:rPr>
            </w:pPr>
          </w:p>
        </w:tc>
        <w:tc>
          <w:tcPr>
            <w:tcW w:w="880" w:type="dxa"/>
            <w:vAlign w:val="bottom"/>
            <w:gridSpan w:val="2"/>
            <w:shd w:val="clear" w:color="auto" w:fill="004483"/>
          </w:tcPr>
          <w:p>
            <w:pPr>
              <w:jc w:val="right"/>
              <w:ind w:right="59"/>
              <w:spacing w:after="0" w:line="135" w:lineRule="exact"/>
              <w:rPr>
                <w:sz w:val="20"/>
                <w:szCs w:val="20"/>
                <w:color w:val="auto"/>
              </w:rPr>
            </w:pPr>
            <w:r>
              <w:rPr>
                <w:rFonts w:ascii="Arial" w:cs="Arial" w:eastAsia="Arial" w:hAnsi="Arial"/>
                <w:sz w:val="13"/>
                <w:szCs w:val="13"/>
                <w:b w:val="1"/>
                <w:bCs w:val="1"/>
                <w:color w:val="FFFFFF"/>
              </w:rPr>
              <w:t>March 31,</w:t>
            </w:r>
          </w:p>
        </w:tc>
        <w:tc>
          <w:tcPr>
            <w:tcW w:w="0" w:type="dxa"/>
            <w:vAlign w:val="bottom"/>
          </w:tcPr>
          <w:p>
            <w:pPr>
              <w:spacing w:after="0"/>
              <w:rPr>
                <w:sz w:val="1"/>
                <w:szCs w:val="1"/>
                <w:color w:val="auto"/>
              </w:rPr>
            </w:pPr>
          </w:p>
        </w:tc>
      </w:tr>
      <w:tr>
        <w:trPr>
          <w:trHeight w:val="117"/>
        </w:trPr>
        <w:tc>
          <w:tcPr>
            <w:tcW w:w="5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560" w:type="dxa"/>
            <w:vAlign w:val="bottom"/>
            <w:tcBorders>
              <w:bottom w:val="single" w:sz="8" w:color="004483"/>
            </w:tcBorders>
          </w:tcPr>
          <w:p>
            <w:pPr>
              <w:spacing w:after="0"/>
              <w:rPr>
                <w:sz w:val="15"/>
                <w:szCs w:val="15"/>
                <w:color w:val="auto"/>
              </w:rPr>
            </w:pPr>
          </w:p>
        </w:tc>
        <w:tc>
          <w:tcPr>
            <w:tcW w:w="30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900" w:type="dxa"/>
            <w:vAlign w:val="bottom"/>
            <w:tcBorders>
              <w:bottom w:val="single" w:sz="8" w:color="004483"/>
            </w:tcBorders>
            <w:gridSpan w:val="6"/>
          </w:tcPr>
          <w:p>
            <w:pPr>
              <w:jc w:val="right"/>
              <w:ind w:right="259"/>
              <w:spacing w:after="0"/>
              <w:rPr>
                <w:sz w:val="20"/>
                <w:szCs w:val="20"/>
                <w:color w:val="auto"/>
              </w:rPr>
            </w:pPr>
            <w:r>
              <w:rPr>
                <w:rFonts w:ascii="Arial" w:cs="Arial" w:eastAsia="Arial" w:hAnsi="Arial"/>
                <w:sz w:val="13"/>
                <w:szCs w:val="13"/>
                <w:color w:val="auto"/>
              </w:rPr>
              <w:t>(dollars in thousands)</w:t>
            </w:r>
          </w:p>
        </w:tc>
        <w:tc>
          <w:tcPr>
            <w:tcW w:w="7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4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380" w:type="dxa"/>
            <w:vAlign w:val="bottom"/>
            <w:tcBorders>
              <w:bottom w:val="single" w:sz="8" w:color="A6A6A6"/>
            </w:tcBorders>
          </w:tcPr>
          <w:p>
            <w:pPr>
              <w:spacing w:after="0"/>
              <w:rPr>
                <w:sz w:val="16"/>
                <w:szCs w:val="16"/>
                <w:color w:val="auto"/>
              </w:rPr>
            </w:pPr>
          </w:p>
        </w:tc>
        <w:tc>
          <w:tcPr>
            <w:tcW w:w="88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560" w:type="dxa"/>
            <w:vAlign w:val="bottom"/>
            <w:tcBorders>
              <w:bottom w:val="single" w:sz="8" w:color="A6A6A6"/>
            </w:tcBorders>
          </w:tcPr>
          <w:p>
            <w:pPr>
              <w:spacing w:after="0"/>
              <w:rPr>
                <w:sz w:val="16"/>
                <w:szCs w:val="16"/>
                <w:color w:val="auto"/>
              </w:rPr>
            </w:pPr>
          </w:p>
        </w:tc>
        <w:tc>
          <w:tcPr>
            <w:tcW w:w="300" w:type="dxa"/>
            <w:vAlign w:val="bottom"/>
            <w:tcBorders>
              <w:bottom w:val="single" w:sz="8" w:color="A6A6A6"/>
            </w:tcBorders>
          </w:tcPr>
          <w:p>
            <w:pPr>
              <w:spacing w:after="0"/>
              <w:rPr>
                <w:sz w:val="16"/>
                <w:szCs w:val="16"/>
                <w:color w:val="auto"/>
              </w:rPr>
            </w:pPr>
          </w:p>
        </w:tc>
        <w:tc>
          <w:tcPr>
            <w:tcW w:w="40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80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6A6A6"/>
            </w:tcBorders>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520" w:type="dxa"/>
            <w:vAlign w:val="bottom"/>
            <w:tcBorders>
              <w:bottom w:val="single" w:sz="8" w:color="A6A6A6"/>
            </w:tcBorders>
          </w:tcPr>
          <w:p>
            <w:pPr>
              <w:spacing w:after="0"/>
              <w:rPr>
                <w:sz w:val="16"/>
                <w:szCs w:val="16"/>
                <w:color w:val="auto"/>
              </w:rPr>
            </w:pPr>
          </w:p>
        </w:tc>
        <w:tc>
          <w:tcPr>
            <w:tcW w:w="78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Cement</w:t>
            </w: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gridSpan w:val="2"/>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2,115,736</w:t>
            </w:r>
          </w:p>
        </w:tc>
        <w:tc>
          <w:tcPr>
            <w:tcW w:w="120" w:type="dxa"/>
            <w:vAlign w:val="bottom"/>
          </w:tcPr>
          <w:p>
            <w:pPr>
              <w:spacing w:after="0"/>
              <w:rPr>
                <w:sz w:val="15"/>
                <w:szCs w:val="15"/>
                <w:color w:val="auto"/>
              </w:rPr>
            </w:pPr>
          </w:p>
        </w:tc>
        <w:tc>
          <w:tcPr>
            <w:tcW w:w="34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2,042,499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Concrete and Aggregates</w:t>
            </w: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259,266</w:t>
            </w:r>
          </w:p>
        </w:tc>
        <w:tc>
          <w:tcPr>
            <w:tcW w:w="120" w:type="dxa"/>
            <w:vAlign w:val="bottom"/>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225,485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Gypsum Wallboard</w:t>
            </w: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409,056</w:t>
            </w:r>
          </w:p>
        </w:tc>
        <w:tc>
          <w:tcPr>
            <w:tcW w:w="120" w:type="dxa"/>
            <w:vAlign w:val="bottom"/>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432,122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Recycled Paperboard</w:t>
            </w: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168,690</w:t>
            </w:r>
          </w:p>
        </w:tc>
        <w:tc>
          <w:tcPr>
            <w:tcW w:w="120" w:type="dxa"/>
            <w:vAlign w:val="bottom"/>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170,832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Other, net</w:t>
            </w: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400" w:type="dxa"/>
            <w:vAlign w:val="bottom"/>
            <w:tcBorders>
              <w:bottom w:val="single" w:sz="8" w:color="004483"/>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8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90,922</w:t>
            </w:r>
          </w:p>
        </w:tc>
        <w:tc>
          <w:tcPr>
            <w:tcW w:w="120" w:type="dxa"/>
            <w:vAlign w:val="bottom"/>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520" w:type="dxa"/>
            <w:vAlign w:val="bottom"/>
            <w:tcBorders>
              <w:bottom w:val="single" w:sz="8" w:color="004483"/>
            </w:tcBorders>
          </w:tcPr>
          <w:p>
            <w:pPr>
              <w:spacing w:after="0"/>
              <w:rPr>
                <w:sz w:val="18"/>
                <w:szCs w:val="18"/>
                <w:color w:val="auto"/>
              </w:rPr>
            </w:pPr>
          </w:p>
        </w:tc>
        <w:tc>
          <w:tcPr>
            <w:tcW w:w="7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76,081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Borders>
              <w:bottom w:val="single" w:sz="8" w:color="004483"/>
            </w:tcBorders>
          </w:tcPr>
          <w:p>
            <w:pPr>
              <w:jc w:val="right"/>
              <w:ind w:right="219"/>
              <w:spacing w:after="0" w:line="183" w:lineRule="exact"/>
              <w:rPr>
                <w:sz w:val="20"/>
                <w:szCs w:val="20"/>
                <w:color w:val="auto"/>
              </w:rPr>
            </w:pPr>
            <w:r>
              <w:rPr>
                <w:rFonts w:ascii="Arial" w:cs="Arial" w:eastAsia="Arial" w:hAnsi="Arial"/>
                <w:sz w:val="16"/>
                <w:szCs w:val="16"/>
                <w:b w:val="1"/>
                <w:bCs w:val="1"/>
                <w:color w:val="auto"/>
                <w:w w:val="89"/>
              </w:rPr>
              <w:t>$</w:t>
            </w: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3,043,670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120" w:type="dxa"/>
            <w:vAlign w:val="bottom"/>
            <w:tcBorders>
              <w:bottom w:val="single" w:sz="8" w:color="004483"/>
            </w:tcBorders>
          </w:tcPr>
          <w:p>
            <w:pPr>
              <w:spacing w:after="0"/>
              <w:rPr>
                <w:sz w:val="15"/>
                <w:szCs w:val="15"/>
                <w:color w:val="auto"/>
              </w:rPr>
            </w:pPr>
          </w:p>
        </w:tc>
        <w:tc>
          <w:tcPr>
            <w:tcW w:w="520" w:type="dxa"/>
            <w:vAlign w:val="bottom"/>
            <w:tcBorders>
              <w:bottom w:val="single" w:sz="8" w:color="004483"/>
            </w:tcBorders>
          </w:tcPr>
          <w:p>
            <w:pPr>
              <w:spacing w:after="0"/>
              <w:rPr>
                <w:sz w:val="15"/>
                <w:szCs w:val="15"/>
                <w:color w:val="auto"/>
              </w:rPr>
            </w:pPr>
          </w:p>
        </w:tc>
        <w:tc>
          <w:tcPr>
            <w:tcW w:w="7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2,947,019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Segment Operating Earnings, including the proportionately consolidated 50% interest in the revenue and expenses of the Joint Venture, represent Revenue, less direct operating expenses, segment Depreciation, and segment Selling, General, and Administrative expenses. We account for intersegment sales at market prices. Corporate assets consist mainly of cash and cash equivalents, general office assets, and miscellaneous other assets.</w:t>
      </w:r>
    </w:p>
    <w:p>
      <w:pPr>
        <w:spacing w:after="0" w:line="6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basis used to disclose Identifiable Assets; Capital Expenditures; and Depreciation, Depletion, and Amortization conforms with the equity method, and is similar to how we disclose these accounts in our Unaudited Consolidated Balance Sheets and Unaudited Consolidated Statements of Earnings.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segment breakdown of Goodwill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3"/>
                <w:szCs w:val="13"/>
                <w:color w:val="auto"/>
              </w:rPr>
            </w:pPr>
          </w:p>
        </w:tc>
        <w:tc>
          <w:tcPr>
            <w:tcW w:w="420" w:type="dxa"/>
            <w:vAlign w:val="bottom"/>
            <w:shd w:val="clear" w:color="auto" w:fill="004483"/>
          </w:tcPr>
          <w:p>
            <w:pPr>
              <w:spacing w:after="0"/>
              <w:rPr>
                <w:sz w:val="13"/>
                <w:szCs w:val="13"/>
                <w:color w:val="auto"/>
              </w:rPr>
            </w:pPr>
          </w:p>
        </w:tc>
        <w:tc>
          <w:tcPr>
            <w:tcW w:w="114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December 31,</w:t>
            </w:r>
          </w:p>
        </w:tc>
        <w:tc>
          <w:tcPr>
            <w:tcW w:w="120" w:type="dxa"/>
            <w:vAlign w:val="bottom"/>
            <w:shd w:val="clear" w:color="auto" w:fill="004483"/>
          </w:tcPr>
          <w:p>
            <w:pPr>
              <w:spacing w:after="0"/>
              <w:rPr>
                <w:sz w:val="13"/>
                <w:szCs w:val="13"/>
                <w:color w:val="auto"/>
              </w:rPr>
            </w:pPr>
          </w:p>
        </w:tc>
        <w:tc>
          <w:tcPr>
            <w:tcW w:w="180" w:type="dxa"/>
            <w:vAlign w:val="bottom"/>
            <w:shd w:val="clear" w:color="auto" w:fill="004483"/>
          </w:tcPr>
          <w:p>
            <w:pPr>
              <w:spacing w:after="0"/>
              <w:rPr>
                <w:sz w:val="13"/>
                <w:szCs w:val="13"/>
                <w:color w:val="auto"/>
              </w:rPr>
            </w:pPr>
          </w:p>
        </w:tc>
        <w:tc>
          <w:tcPr>
            <w:tcW w:w="700" w:type="dxa"/>
            <w:vAlign w:val="bottom"/>
            <w:shd w:val="clear" w:color="auto" w:fill="004483"/>
          </w:tcPr>
          <w:p>
            <w:pPr>
              <w:spacing w:after="0"/>
              <w:rPr>
                <w:sz w:val="13"/>
                <w:szCs w:val="13"/>
                <w:color w:val="auto"/>
              </w:rPr>
            </w:pPr>
          </w:p>
        </w:tc>
        <w:tc>
          <w:tcPr>
            <w:tcW w:w="980" w:type="dxa"/>
            <w:vAlign w:val="bottom"/>
            <w:gridSpan w:val="2"/>
            <w:shd w:val="clear" w:color="auto" w:fill="004483"/>
          </w:tcPr>
          <w:p>
            <w:pPr>
              <w:ind w:left="260"/>
              <w:spacing w:after="0"/>
              <w:rPr>
                <w:sz w:val="20"/>
                <w:szCs w:val="20"/>
                <w:color w:val="auto"/>
              </w:rPr>
            </w:pPr>
            <w:r>
              <w:rPr>
                <w:rFonts w:ascii="Arial" w:cs="Arial" w:eastAsia="Arial" w:hAnsi="Arial"/>
                <w:sz w:val="13"/>
                <w:szCs w:val="13"/>
                <w:b w:val="1"/>
                <w:bCs w:val="1"/>
                <w:color w:val="FFFFFF"/>
              </w:rPr>
              <w:t>March 31,</w:t>
            </w:r>
          </w:p>
        </w:tc>
        <w:tc>
          <w:tcPr>
            <w:tcW w:w="0" w:type="dxa"/>
            <w:vAlign w:val="bottom"/>
          </w:tcPr>
          <w:p>
            <w:pPr>
              <w:spacing w:after="0"/>
              <w:rPr>
                <w:sz w:val="1"/>
                <w:szCs w:val="1"/>
                <w:color w:val="auto"/>
              </w:rPr>
            </w:pPr>
          </w:p>
        </w:tc>
      </w:tr>
      <w:tr>
        <w:trPr>
          <w:trHeight w:val="117"/>
        </w:trPr>
        <w:tc>
          <w:tcPr>
            <w:tcW w:w="7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70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2140" w:type="dxa"/>
            <w:vAlign w:val="bottom"/>
            <w:tcBorders>
              <w:bottom w:val="single" w:sz="8" w:color="004483"/>
            </w:tcBorders>
            <w:gridSpan w:val="4"/>
          </w:tcPr>
          <w:p>
            <w:pPr>
              <w:jc w:val="right"/>
              <w:ind w:right="159"/>
              <w:spacing w:after="0"/>
              <w:rPr>
                <w:sz w:val="20"/>
                <w:szCs w:val="20"/>
                <w:color w:val="auto"/>
              </w:rPr>
            </w:pPr>
            <w:r>
              <w:rPr>
                <w:rFonts w:ascii="Arial" w:cs="Arial" w:eastAsia="Arial" w:hAnsi="Arial"/>
                <w:sz w:val="13"/>
                <w:szCs w:val="13"/>
                <w:color w:val="auto"/>
              </w:rPr>
              <w:t>(dollars in thousands)</w:t>
            </w:r>
          </w:p>
        </w:tc>
        <w:tc>
          <w:tcPr>
            <w:tcW w:w="8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6"/>
                <w:szCs w:val="16"/>
                <w:color w:val="004483"/>
              </w:rPr>
              <w:t>Cement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227,639</w:t>
            </w:r>
          </w:p>
        </w:tc>
        <w:tc>
          <w:tcPr>
            <w:tcW w:w="1000" w:type="dxa"/>
            <w:vAlign w:val="bottom"/>
            <w:gridSpan w:val="3"/>
          </w:tcPr>
          <w:p>
            <w:pPr>
              <w:jc w:val="right"/>
              <w:ind w:right="5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227,639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0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Concrete and Aggregates</w:t>
            </w:r>
          </w:p>
        </w:tc>
        <w:tc>
          <w:tcPr>
            <w:tcW w:w="420" w:type="dxa"/>
            <w:vAlign w:val="bottom"/>
            <w:tcBorders>
              <w:top w:val="single" w:sz="8" w:color="A6A6A6"/>
              <w:bottom w:val="single" w:sz="8" w:color="A6A6A6"/>
            </w:tcBorders>
          </w:tcPr>
          <w:p>
            <w:pPr>
              <w:spacing w:after="0"/>
              <w:rPr>
                <w:sz w:val="15"/>
                <w:szCs w:val="15"/>
                <w:color w:val="auto"/>
              </w:rPr>
            </w:pPr>
          </w:p>
        </w:tc>
        <w:tc>
          <w:tcPr>
            <w:tcW w:w="11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46,534</w:t>
            </w:r>
          </w:p>
        </w:tc>
        <w:tc>
          <w:tcPr>
            <w:tcW w:w="120" w:type="dxa"/>
            <w:vAlign w:val="bottom"/>
          </w:tcPr>
          <w:p>
            <w:pPr>
              <w:spacing w:after="0"/>
              <w:rPr>
                <w:sz w:val="15"/>
                <w:szCs w:val="15"/>
                <w:color w:val="auto"/>
              </w:rPr>
            </w:pPr>
          </w:p>
        </w:tc>
        <w:tc>
          <w:tcPr>
            <w:tcW w:w="180" w:type="dxa"/>
            <w:vAlign w:val="bottom"/>
            <w:tcBorders>
              <w:top w:val="single" w:sz="8" w:color="A6A6A6"/>
              <w:bottom w:val="single" w:sz="8" w:color="A6A6A6"/>
            </w:tcBorders>
          </w:tcPr>
          <w:p>
            <w:pPr>
              <w:spacing w:after="0"/>
              <w:rPr>
                <w:sz w:val="15"/>
                <w:szCs w:val="15"/>
                <w:color w:val="auto"/>
              </w:rPr>
            </w:pPr>
          </w:p>
        </w:tc>
        <w:tc>
          <w:tcPr>
            <w:tcW w:w="700" w:type="dxa"/>
            <w:vAlign w:val="bottom"/>
            <w:tcBorders>
              <w:top w:val="single" w:sz="8" w:color="A6A6A6"/>
              <w:bottom w:val="single" w:sz="8" w:color="A6A6A6"/>
            </w:tcBorders>
          </w:tcPr>
          <w:p>
            <w:pPr>
              <w:spacing w:after="0"/>
              <w:rPr>
                <w:sz w:val="15"/>
                <w:szCs w:val="15"/>
                <w:color w:val="auto"/>
              </w:rPr>
            </w:pPr>
          </w:p>
        </w:tc>
        <w:tc>
          <w:tcPr>
            <w:tcW w:w="8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40,774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Gypsum Wallboard</w:t>
            </w:r>
          </w:p>
        </w:tc>
        <w:tc>
          <w:tcPr>
            <w:tcW w:w="42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116,618</w:t>
            </w:r>
          </w:p>
        </w:tc>
        <w:tc>
          <w:tcPr>
            <w:tcW w:w="12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116,618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00" w:type="dxa"/>
            <w:vAlign w:val="bottom"/>
          </w:tcPr>
          <w:p>
            <w:pPr>
              <w:ind w:left="20"/>
              <w:spacing w:after="0" w:line="183" w:lineRule="exact"/>
              <w:rPr>
                <w:sz w:val="20"/>
                <w:szCs w:val="20"/>
                <w:color w:val="auto"/>
              </w:rPr>
            </w:pPr>
            <w:r>
              <w:rPr>
                <w:rFonts w:ascii="Arial" w:cs="Arial" w:eastAsia="Arial" w:hAnsi="Arial"/>
                <w:sz w:val="16"/>
                <w:szCs w:val="16"/>
                <w:color w:val="004483"/>
              </w:rPr>
              <w:t>Recycled Paperboard</w:t>
            </w:r>
          </w:p>
        </w:tc>
        <w:tc>
          <w:tcPr>
            <w:tcW w:w="42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7,538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7,538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700" w:type="dxa"/>
            <w:vAlign w:val="bottom"/>
            <w:tcBorders>
              <w:bottom w:val="single" w:sz="8" w:color="A6A6A6"/>
            </w:tcBorders>
          </w:tcPr>
          <w:p>
            <w:pPr>
              <w:spacing w:after="0"/>
              <w:rPr>
                <w:sz w:val="2"/>
                <w:szCs w:val="2"/>
                <w:color w:val="auto"/>
              </w:rPr>
            </w:pPr>
          </w:p>
        </w:tc>
        <w:tc>
          <w:tcPr>
            <w:tcW w:w="420" w:type="dxa"/>
            <w:vAlign w:val="bottom"/>
            <w:tcBorders>
              <w:bottom w:val="single" w:sz="8" w:color="004483"/>
            </w:tcBorders>
            <w:shd w:val="clear" w:color="auto" w:fill="004483"/>
          </w:tcPr>
          <w:p>
            <w:pPr>
              <w:spacing w:after="0"/>
              <w:rPr>
                <w:sz w:val="2"/>
                <w:szCs w:val="2"/>
                <w:color w:val="auto"/>
              </w:rPr>
            </w:pPr>
          </w:p>
        </w:tc>
        <w:tc>
          <w:tcPr>
            <w:tcW w:w="1140" w:type="dxa"/>
            <w:vAlign w:val="bottom"/>
            <w:tcBorders>
              <w:bottom w:val="single" w:sz="8" w:color="004483"/>
            </w:tcBorders>
            <w:shd w:val="clear" w:color="auto" w:fill="004483"/>
          </w:tcPr>
          <w:p>
            <w:pPr>
              <w:spacing w:after="0"/>
              <w:rPr>
                <w:sz w:val="2"/>
                <w:szCs w:val="2"/>
                <w:color w:val="auto"/>
              </w:rPr>
            </w:pPr>
          </w:p>
        </w:tc>
        <w:tc>
          <w:tcPr>
            <w:tcW w:w="120" w:type="dxa"/>
            <w:vAlign w:val="bottom"/>
            <w:vMerge w:val="restart"/>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70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700" w:type="dxa"/>
            <w:vAlign w:val="bottom"/>
          </w:tcPr>
          <w:p>
            <w:pPr>
              <w:spacing w:after="0"/>
              <w:rPr>
                <w:sz w:val="15"/>
                <w:szCs w:val="15"/>
                <w:color w:val="auto"/>
              </w:rPr>
            </w:pPr>
          </w:p>
        </w:tc>
        <w:tc>
          <w:tcPr>
            <w:tcW w:w="420" w:type="dxa"/>
            <w:vAlign w:val="bottom"/>
            <w:tcBorders>
              <w:bottom w:val="single" w:sz="8" w:color="004483"/>
            </w:tcBorders>
          </w:tcPr>
          <w:p>
            <w:pPr>
              <w:jc w:val="right"/>
              <w:ind w:right="239"/>
              <w:spacing w:after="0" w:line="183" w:lineRule="exact"/>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398,329</w:t>
            </w:r>
          </w:p>
        </w:tc>
        <w:tc>
          <w:tcPr>
            <w:tcW w:w="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Borders>
              <w:bottom w:val="single" w:sz="8" w:color="004483"/>
            </w:tcBorders>
          </w:tcPr>
          <w:p>
            <w:pPr>
              <w:jc w:val="right"/>
              <w:ind w:right="519"/>
              <w:spacing w:after="0" w:line="183"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392,569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increase in Goodwill in the Concrete and Aggregates segment is related to the Kentucky Acquisition. The purchase price allocation is still in progress, and may affect the recorded balance of Goodwill when completed.</w:t>
      </w:r>
    </w:p>
    <w:p>
      <w:pPr>
        <w:spacing w:after="0" w:line="46"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Summarized financial information for the Joint Venture that is not consolidated is set out below. This summarized financial information includes the total amount for the Joint Venture and not our 50% interest in those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40" w:type="dxa"/>
            <w:vAlign w:val="bottom"/>
          </w:tcPr>
          <w:p>
            <w:pPr>
              <w:spacing w:after="0"/>
              <w:rPr>
                <w:sz w:val="13"/>
                <w:szCs w:val="13"/>
                <w:color w:val="auto"/>
              </w:rPr>
            </w:pPr>
          </w:p>
        </w:tc>
        <w:tc>
          <w:tcPr>
            <w:tcW w:w="2880" w:type="dxa"/>
            <w:vAlign w:val="bottom"/>
            <w:gridSpan w:val="7"/>
            <w:shd w:val="clear" w:color="auto" w:fill="004483"/>
          </w:tcPr>
          <w:p>
            <w:pPr>
              <w:ind w:left="100"/>
              <w:spacing w:after="0"/>
              <w:rPr>
                <w:sz w:val="20"/>
                <w:szCs w:val="20"/>
                <w:color w:val="auto"/>
              </w:rPr>
            </w:pPr>
            <w:r>
              <w:rPr>
                <w:rFonts w:ascii="Arial" w:cs="Arial" w:eastAsia="Arial" w:hAnsi="Arial"/>
                <w:sz w:val="13"/>
                <w:szCs w:val="13"/>
                <w:b w:val="1"/>
                <w:bCs w:val="1"/>
                <w:color w:val="FFFFFF"/>
              </w:rPr>
              <w:t>For the Three Months Ended December 31,</w:t>
            </w:r>
          </w:p>
        </w:tc>
        <w:tc>
          <w:tcPr>
            <w:tcW w:w="120" w:type="dxa"/>
            <w:vAlign w:val="bottom"/>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2780" w:type="dxa"/>
            <w:vAlign w:val="bottom"/>
            <w:gridSpan w:val="7"/>
            <w:shd w:val="clear" w:color="auto" w:fill="004483"/>
          </w:tcPr>
          <w:p>
            <w:pPr>
              <w:ind w:left="20"/>
              <w:spacing w:after="0"/>
              <w:rPr>
                <w:sz w:val="20"/>
                <w:szCs w:val="20"/>
                <w:color w:val="auto"/>
              </w:rPr>
            </w:pPr>
            <w:r>
              <w:rPr>
                <w:rFonts w:ascii="Arial" w:cs="Arial" w:eastAsia="Arial" w:hAnsi="Arial"/>
                <w:sz w:val="13"/>
                <w:szCs w:val="13"/>
                <w:b w:val="1"/>
                <w:bCs w:val="1"/>
                <w:color w:val="FFFFFF"/>
              </w:rPr>
              <w:t>For the Nine Months Ended December 31,</w:t>
            </w:r>
          </w:p>
        </w:tc>
      </w:tr>
      <w:tr>
        <w:trPr>
          <w:trHeight w:val="117"/>
        </w:trPr>
        <w:tc>
          <w:tcPr>
            <w:tcW w:w="5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gridSpan w:val="2"/>
          </w:tcPr>
          <w:p>
            <w:pPr>
              <w:jc w:val="right"/>
              <w:ind w:right="20"/>
              <w:spacing w:after="0" w:line="117" w:lineRule="exact"/>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gridSpan w:val="2"/>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0"/>
                <w:szCs w:val="10"/>
                <w:color w:val="auto"/>
              </w:rPr>
            </w:pPr>
          </w:p>
        </w:tc>
      </w:tr>
      <w:tr>
        <w:trPr>
          <w:trHeight w:val="173"/>
        </w:trPr>
        <w:tc>
          <w:tcPr>
            <w:tcW w:w="534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1700" w:type="dxa"/>
            <w:vAlign w:val="bottom"/>
            <w:tcBorders>
              <w:bottom w:val="single" w:sz="8" w:color="004483"/>
            </w:tcBorders>
            <w:gridSpan w:val="3"/>
          </w:tcPr>
          <w:p>
            <w:pPr>
              <w:jc w:val="right"/>
              <w:ind w:right="59"/>
              <w:spacing w:after="0"/>
              <w:rPr>
                <w:sz w:val="20"/>
                <w:szCs w:val="20"/>
                <w:color w:val="auto"/>
              </w:rPr>
            </w:pPr>
            <w:r>
              <w:rPr>
                <w:rFonts w:ascii="Arial" w:cs="Arial" w:eastAsia="Arial" w:hAnsi="Arial"/>
                <w:sz w:val="13"/>
                <w:szCs w:val="13"/>
                <w:color w:val="auto"/>
              </w:rPr>
              <w:t>(dollars in thousands)</w:t>
            </w:r>
          </w:p>
        </w:tc>
        <w:tc>
          <w:tcPr>
            <w:tcW w:w="24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960" w:type="dxa"/>
            <w:vAlign w:val="bottom"/>
            <w:tcBorders>
              <w:bottom w:val="single" w:sz="8" w:color="004483"/>
            </w:tcBorders>
            <w:gridSpan w:val="5"/>
          </w:tcPr>
          <w:p>
            <w:pPr>
              <w:jc w:val="right"/>
              <w:spacing w:after="0"/>
              <w:rPr>
                <w:sz w:val="20"/>
                <w:szCs w:val="20"/>
                <w:color w:val="auto"/>
              </w:rPr>
            </w:pPr>
            <w:r>
              <w:rPr>
                <w:rFonts w:ascii="Arial" w:cs="Arial" w:eastAsia="Arial" w:hAnsi="Arial"/>
                <w:sz w:val="13"/>
                <w:szCs w:val="13"/>
                <w:color w:val="auto"/>
              </w:rPr>
              <w:t>(dollars in thousands)</w:t>
            </w:r>
          </w:p>
        </w:tc>
        <w:tc>
          <w:tcPr>
            <w:tcW w:w="72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5340" w:type="dxa"/>
            <w:vAlign w:val="bottom"/>
          </w:tcPr>
          <w:p>
            <w:pPr>
              <w:ind w:left="20"/>
              <w:spacing w:after="0"/>
              <w:rPr>
                <w:sz w:val="20"/>
                <w:szCs w:val="20"/>
                <w:color w:val="auto"/>
              </w:rPr>
            </w:pPr>
            <w:r>
              <w:rPr>
                <w:rFonts w:ascii="Arial" w:cs="Arial" w:eastAsia="Arial" w:hAnsi="Arial"/>
                <w:sz w:val="16"/>
                <w:szCs w:val="16"/>
                <w:color w:val="004483"/>
              </w:rPr>
              <w:t>Revenue</w:t>
            </w:r>
          </w:p>
        </w:tc>
        <w:tc>
          <w:tcPr>
            <w:tcW w:w="420" w:type="dxa"/>
            <w:vAlign w:val="bottom"/>
          </w:tcPr>
          <w:p>
            <w:pPr>
              <w:jc w:val="right"/>
              <w:ind w:right="244"/>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52,852</w:t>
            </w:r>
          </w:p>
        </w:tc>
        <w:tc>
          <w:tcPr>
            <w:tcW w:w="86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53,366</w:t>
            </w:r>
          </w:p>
        </w:tc>
        <w:tc>
          <w:tcPr>
            <w:tcW w:w="12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153,619</w:t>
            </w:r>
          </w:p>
        </w:tc>
        <w:tc>
          <w:tcPr>
            <w:tcW w:w="100" w:type="dxa"/>
            <w:vAlign w:val="bottom"/>
          </w:tcPr>
          <w:p>
            <w:pPr>
              <w:spacing w:after="0"/>
              <w:rPr>
                <w:sz w:val="16"/>
                <w:szCs w:val="16"/>
                <w:color w:val="auto"/>
              </w:rPr>
            </w:pPr>
          </w:p>
        </w:tc>
        <w:tc>
          <w:tcPr>
            <w:tcW w:w="70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165,426</w:t>
            </w:r>
          </w:p>
        </w:tc>
        <w:tc>
          <w:tcPr>
            <w:tcW w:w="100" w:type="dxa"/>
            <w:vAlign w:val="bottom"/>
          </w:tcPr>
          <w:p>
            <w:pPr>
              <w:spacing w:after="0"/>
              <w:rPr>
                <w:sz w:val="16"/>
                <w:szCs w:val="16"/>
                <w:color w:val="auto"/>
              </w:rPr>
            </w:pPr>
          </w:p>
        </w:tc>
      </w:tr>
      <w:tr>
        <w:trPr>
          <w:trHeight w:val="183"/>
        </w:trPr>
        <w:tc>
          <w:tcPr>
            <w:tcW w:w="534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Gross Margin</w:t>
            </w:r>
          </w:p>
        </w:tc>
        <w:tc>
          <w:tcPr>
            <w:tcW w:w="420" w:type="dxa"/>
            <w:vAlign w:val="bottom"/>
            <w:tcBorders>
              <w:top w:val="single" w:sz="8" w:color="A6A6A6"/>
              <w:bottom w:val="single" w:sz="8" w:color="A6A6A6"/>
            </w:tcBorders>
          </w:tcPr>
          <w:p>
            <w:pPr>
              <w:jc w:val="right"/>
              <w:ind w:right="244"/>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12,483</w:t>
            </w:r>
          </w:p>
        </w:tc>
        <w:tc>
          <w:tcPr>
            <w:tcW w:w="120" w:type="dxa"/>
            <w:vAlign w:val="bottom"/>
          </w:tcPr>
          <w:p>
            <w:pPr>
              <w:spacing w:after="0"/>
              <w:rPr>
                <w:sz w:val="15"/>
                <w:szCs w:val="15"/>
                <w:color w:val="auto"/>
              </w:rPr>
            </w:pPr>
          </w:p>
        </w:tc>
        <w:tc>
          <w:tcPr>
            <w:tcW w:w="740" w:type="dxa"/>
            <w:vAlign w:val="bottom"/>
            <w:tcBorders>
              <w:top w:val="single" w:sz="8" w:color="A6A6A6"/>
              <w:bottom w:val="single" w:sz="8" w:color="A6A6A6"/>
            </w:tcBorders>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top w:val="single" w:sz="8" w:color="A6A6A6"/>
              <w:bottom w:val="single" w:sz="8" w:color="A6A6A6"/>
            </w:tcBorders>
            <w:gridSpan w:val="2"/>
          </w:tcPr>
          <w:p>
            <w:pPr>
              <w:jc w:val="right"/>
              <w:ind w:right="20"/>
              <w:spacing w:after="0" w:line="183" w:lineRule="exact"/>
              <w:rPr>
                <w:sz w:val="20"/>
                <w:szCs w:val="20"/>
                <w:color w:val="auto"/>
              </w:rPr>
            </w:pPr>
            <w:r>
              <w:rPr>
                <w:rFonts w:ascii="Arial" w:cs="Arial" w:eastAsia="Arial" w:hAnsi="Arial"/>
                <w:sz w:val="16"/>
                <w:szCs w:val="16"/>
                <w:color w:val="auto"/>
              </w:rPr>
              <w:t>19,465</w:t>
            </w:r>
          </w:p>
        </w:tc>
        <w:tc>
          <w:tcPr>
            <w:tcW w:w="120" w:type="dxa"/>
            <w:vAlign w:val="bottom"/>
          </w:tcPr>
          <w:p>
            <w:pPr>
              <w:spacing w:after="0"/>
              <w:rPr>
                <w:sz w:val="15"/>
                <w:szCs w:val="15"/>
                <w:color w:val="auto"/>
              </w:rPr>
            </w:pPr>
          </w:p>
        </w:tc>
        <w:tc>
          <w:tcPr>
            <w:tcW w:w="240" w:type="dxa"/>
            <w:vAlign w:val="bottom"/>
            <w:tcBorders>
              <w:top w:val="single" w:sz="8" w:color="A6A6A6"/>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top w:val="single" w:sz="8" w:color="A6A6A6"/>
              <w:bottom w:val="single" w:sz="8" w:color="A6A6A6"/>
            </w:tcBorders>
            <w:gridSpan w:val="3"/>
          </w:tcPr>
          <w:p>
            <w:pPr>
              <w:jc w:val="right"/>
              <w:spacing w:after="0" w:line="183" w:lineRule="exact"/>
              <w:rPr>
                <w:sz w:val="20"/>
                <w:szCs w:val="20"/>
                <w:color w:val="auto"/>
              </w:rPr>
            </w:pPr>
            <w:r>
              <w:rPr>
                <w:rFonts w:ascii="Arial" w:cs="Arial" w:eastAsia="Arial" w:hAnsi="Arial"/>
                <w:sz w:val="16"/>
                <w:szCs w:val="16"/>
                <w:color w:val="auto"/>
              </w:rPr>
              <w:t>45,948</w:t>
            </w:r>
          </w:p>
        </w:tc>
        <w:tc>
          <w:tcPr>
            <w:tcW w:w="100" w:type="dxa"/>
            <w:vAlign w:val="bottom"/>
          </w:tcPr>
          <w:p>
            <w:pPr>
              <w:spacing w:after="0"/>
              <w:rPr>
                <w:sz w:val="15"/>
                <w:szCs w:val="15"/>
                <w:color w:val="auto"/>
              </w:rPr>
            </w:pPr>
          </w:p>
        </w:tc>
        <w:tc>
          <w:tcPr>
            <w:tcW w:w="700" w:type="dxa"/>
            <w:vAlign w:val="bottom"/>
            <w:tcBorders>
              <w:top w:val="single" w:sz="8" w:color="A6A6A6"/>
              <w:bottom w:val="single" w:sz="8" w:color="A6A6A6"/>
            </w:tcBorders>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51,512</w:t>
            </w:r>
          </w:p>
        </w:tc>
        <w:tc>
          <w:tcPr>
            <w:tcW w:w="100" w:type="dxa"/>
            <w:vAlign w:val="bottom"/>
          </w:tcPr>
          <w:p>
            <w:pPr>
              <w:spacing w:after="0"/>
              <w:rPr>
                <w:sz w:val="15"/>
                <w:szCs w:val="15"/>
                <w:color w:val="auto"/>
              </w:rPr>
            </w:pPr>
          </w:p>
        </w:tc>
      </w:tr>
      <w:tr>
        <w:trPr>
          <w:trHeight w:val="183"/>
        </w:trPr>
        <w:tc>
          <w:tcPr>
            <w:tcW w:w="53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Earnings Before Income Taxes</w:t>
            </w:r>
          </w:p>
        </w:tc>
        <w:tc>
          <w:tcPr>
            <w:tcW w:w="420" w:type="dxa"/>
            <w:vAlign w:val="bottom"/>
            <w:tcBorders>
              <w:bottom w:val="single" w:sz="8" w:color="A6A6A6"/>
            </w:tcBorders>
          </w:tcPr>
          <w:p>
            <w:pPr>
              <w:jc w:val="right"/>
              <w:ind w:right="244"/>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10,058</w:t>
            </w:r>
          </w:p>
        </w:tc>
        <w:tc>
          <w:tcPr>
            <w:tcW w:w="120" w:type="dxa"/>
            <w:vAlign w:val="bottom"/>
          </w:tcPr>
          <w:p>
            <w:pPr>
              <w:spacing w:after="0"/>
              <w:rPr>
                <w:sz w:val="15"/>
                <w:szCs w:val="15"/>
                <w:color w:val="auto"/>
              </w:rPr>
            </w:pPr>
          </w:p>
        </w:tc>
        <w:tc>
          <w:tcPr>
            <w:tcW w:w="740" w:type="dxa"/>
            <w:vAlign w:val="bottom"/>
            <w:tcBorders>
              <w:bottom w:val="single" w:sz="8" w:color="A6A6A6"/>
            </w:tcBorders>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gridSpan w:val="2"/>
          </w:tcPr>
          <w:p>
            <w:pPr>
              <w:jc w:val="right"/>
              <w:ind w:right="20"/>
              <w:spacing w:after="0" w:line="183" w:lineRule="exact"/>
              <w:rPr>
                <w:sz w:val="20"/>
                <w:szCs w:val="20"/>
                <w:color w:val="auto"/>
              </w:rPr>
            </w:pPr>
            <w:r>
              <w:rPr>
                <w:rFonts w:ascii="Arial" w:cs="Arial" w:eastAsia="Arial" w:hAnsi="Arial"/>
                <w:sz w:val="16"/>
                <w:szCs w:val="16"/>
                <w:color w:val="auto"/>
              </w:rPr>
              <w:t>18,711</w:t>
            </w:r>
          </w:p>
        </w:tc>
        <w:tc>
          <w:tcPr>
            <w:tcW w:w="120" w:type="dxa"/>
            <w:vAlign w:val="bottom"/>
          </w:tcPr>
          <w:p>
            <w:pPr>
              <w:spacing w:after="0"/>
              <w:rPr>
                <w:sz w:val="15"/>
                <w:szCs w:val="15"/>
                <w:color w:val="auto"/>
              </w:rPr>
            </w:pPr>
          </w:p>
        </w:tc>
        <w:tc>
          <w:tcPr>
            <w:tcW w:w="24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gridSpan w:val="3"/>
          </w:tcPr>
          <w:p>
            <w:pPr>
              <w:jc w:val="right"/>
              <w:spacing w:after="0" w:line="183" w:lineRule="exact"/>
              <w:rPr>
                <w:sz w:val="20"/>
                <w:szCs w:val="20"/>
                <w:color w:val="auto"/>
              </w:rPr>
            </w:pPr>
            <w:r>
              <w:rPr>
                <w:rFonts w:ascii="Arial" w:cs="Arial" w:eastAsia="Arial" w:hAnsi="Arial"/>
                <w:sz w:val="16"/>
                <w:szCs w:val="16"/>
                <w:color w:val="auto"/>
              </w:rPr>
              <w:t>41,733</w:t>
            </w:r>
          </w:p>
        </w:tc>
        <w:tc>
          <w:tcPr>
            <w:tcW w:w="100" w:type="dxa"/>
            <w:vAlign w:val="bottom"/>
          </w:tcPr>
          <w:p>
            <w:pPr>
              <w:spacing w:after="0"/>
              <w:rPr>
                <w:sz w:val="15"/>
                <w:szCs w:val="15"/>
                <w:color w:val="auto"/>
              </w:rPr>
            </w:pPr>
          </w:p>
        </w:tc>
        <w:tc>
          <w:tcPr>
            <w:tcW w:w="700" w:type="dxa"/>
            <w:vAlign w:val="bottom"/>
            <w:tcBorders>
              <w:bottom w:val="single" w:sz="8" w:color="A6A6A6"/>
            </w:tcBorders>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45,925</w:t>
            </w:r>
          </w:p>
        </w:tc>
        <w:tc>
          <w:tcPr>
            <w:tcW w:w="100" w:type="dxa"/>
            <w:vAlign w:val="bottom"/>
          </w:tcPr>
          <w:p>
            <w:pPr>
              <w:spacing w:after="0"/>
              <w:rPr>
                <w:sz w:val="15"/>
                <w:szCs w:val="15"/>
                <w:color w:val="auto"/>
              </w:rPr>
            </w:pPr>
          </w:p>
        </w:tc>
      </w:tr>
      <w:tr>
        <w:trPr>
          <w:trHeight w:val="426"/>
        </w:trPr>
        <w:tc>
          <w:tcPr>
            <w:tcW w:w="5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r>
      <w:tr>
        <w:trPr>
          <w:trHeight w:val="135"/>
        </w:trPr>
        <w:tc>
          <w:tcPr>
            <w:tcW w:w="5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shd w:val="clear" w:color="auto" w:fill="004483"/>
          </w:tcPr>
          <w:p>
            <w:pPr>
              <w:spacing w:after="0"/>
              <w:rPr>
                <w:sz w:val="11"/>
                <w:szCs w:val="11"/>
                <w:color w:val="auto"/>
              </w:rPr>
            </w:pPr>
          </w:p>
        </w:tc>
        <w:tc>
          <w:tcPr>
            <w:tcW w:w="120" w:type="dxa"/>
            <w:vAlign w:val="bottom"/>
            <w:shd w:val="clear" w:color="auto" w:fill="004483"/>
          </w:tcPr>
          <w:p>
            <w:pPr>
              <w:spacing w:after="0"/>
              <w:rPr>
                <w:sz w:val="11"/>
                <w:szCs w:val="11"/>
                <w:color w:val="auto"/>
              </w:rPr>
            </w:pPr>
          </w:p>
        </w:tc>
        <w:tc>
          <w:tcPr>
            <w:tcW w:w="120" w:type="dxa"/>
            <w:vAlign w:val="bottom"/>
            <w:shd w:val="clear" w:color="auto" w:fill="004483"/>
          </w:tcPr>
          <w:p>
            <w:pPr>
              <w:spacing w:after="0"/>
              <w:rPr>
                <w:sz w:val="11"/>
                <w:szCs w:val="11"/>
                <w:color w:val="auto"/>
              </w:rPr>
            </w:pPr>
          </w:p>
        </w:tc>
        <w:tc>
          <w:tcPr>
            <w:tcW w:w="920" w:type="dxa"/>
            <w:vAlign w:val="bottom"/>
            <w:gridSpan w:val="2"/>
            <w:shd w:val="clear" w:color="auto" w:fill="004483"/>
          </w:tcPr>
          <w:p>
            <w:pPr>
              <w:jc w:val="right"/>
              <w:spacing w:after="0" w:line="135" w:lineRule="exact"/>
              <w:rPr>
                <w:sz w:val="20"/>
                <w:szCs w:val="20"/>
                <w:color w:val="auto"/>
              </w:rPr>
            </w:pPr>
            <w:r>
              <w:rPr>
                <w:rFonts w:ascii="Arial" w:cs="Arial" w:eastAsia="Arial" w:hAnsi="Arial"/>
                <w:sz w:val="13"/>
                <w:szCs w:val="13"/>
                <w:b w:val="1"/>
                <w:bCs w:val="1"/>
                <w:color w:val="FFFFFF"/>
              </w:rPr>
              <w:t>December 31,</w:t>
            </w:r>
          </w:p>
        </w:tc>
        <w:tc>
          <w:tcPr>
            <w:tcW w:w="120" w:type="dxa"/>
            <w:vAlign w:val="bottom"/>
            <w:shd w:val="clear" w:color="auto" w:fill="004483"/>
          </w:tcPr>
          <w:p>
            <w:pPr>
              <w:spacing w:after="0"/>
              <w:rPr>
                <w:sz w:val="11"/>
                <w:szCs w:val="11"/>
                <w:color w:val="auto"/>
              </w:rPr>
            </w:pPr>
          </w:p>
        </w:tc>
        <w:tc>
          <w:tcPr>
            <w:tcW w:w="240" w:type="dxa"/>
            <w:vAlign w:val="bottom"/>
            <w:shd w:val="clear" w:color="auto" w:fill="004483"/>
          </w:tcPr>
          <w:p>
            <w:pPr>
              <w:spacing w:after="0"/>
              <w:rPr>
                <w:sz w:val="11"/>
                <w:szCs w:val="11"/>
                <w:color w:val="auto"/>
              </w:rPr>
            </w:pPr>
          </w:p>
        </w:tc>
        <w:tc>
          <w:tcPr>
            <w:tcW w:w="100" w:type="dxa"/>
            <w:vAlign w:val="bottom"/>
            <w:shd w:val="clear" w:color="auto" w:fill="004483"/>
          </w:tcPr>
          <w:p>
            <w:pPr>
              <w:spacing w:after="0"/>
              <w:rPr>
                <w:sz w:val="11"/>
                <w:szCs w:val="11"/>
                <w:color w:val="auto"/>
              </w:rPr>
            </w:pPr>
          </w:p>
        </w:tc>
        <w:tc>
          <w:tcPr>
            <w:tcW w:w="700" w:type="dxa"/>
            <w:vAlign w:val="bottom"/>
            <w:shd w:val="clear" w:color="auto" w:fill="004483"/>
          </w:tcPr>
          <w:p>
            <w:pPr>
              <w:spacing w:after="0"/>
              <w:rPr>
                <w:sz w:val="11"/>
                <w:szCs w:val="11"/>
                <w:color w:val="auto"/>
              </w:rPr>
            </w:pPr>
          </w:p>
        </w:tc>
        <w:tc>
          <w:tcPr>
            <w:tcW w:w="820" w:type="dxa"/>
            <w:vAlign w:val="bottom"/>
            <w:gridSpan w:val="2"/>
            <w:shd w:val="clear" w:color="auto" w:fill="004483"/>
          </w:tcPr>
          <w:p>
            <w:pPr>
              <w:ind w:left="100"/>
              <w:spacing w:after="0" w:line="135" w:lineRule="exact"/>
              <w:rPr>
                <w:sz w:val="20"/>
                <w:szCs w:val="20"/>
                <w:color w:val="auto"/>
              </w:rPr>
            </w:pPr>
            <w:r>
              <w:rPr>
                <w:rFonts w:ascii="Arial" w:cs="Arial" w:eastAsia="Arial" w:hAnsi="Arial"/>
                <w:sz w:val="13"/>
                <w:szCs w:val="13"/>
                <w:b w:val="1"/>
                <w:bCs w:val="1"/>
                <w:color w:val="FFFFFF"/>
              </w:rPr>
              <w:t>March 31,</w:t>
            </w:r>
          </w:p>
        </w:tc>
      </w:tr>
      <w:tr>
        <w:trPr>
          <w:trHeight w:val="117"/>
        </w:trPr>
        <w:tc>
          <w:tcPr>
            <w:tcW w:w="5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0"/>
                <w:szCs w:val="10"/>
                <w:color w:val="auto"/>
              </w:rPr>
            </w:pPr>
          </w:p>
        </w:tc>
      </w:tr>
      <w:tr>
        <w:trPr>
          <w:trHeight w:val="173"/>
        </w:trPr>
        <w:tc>
          <w:tcPr>
            <w:tcW w:w="534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8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740" w:type="dxa"/>
            <w:vAlign w:val="bottom"/>
            <w:tcBorders>
              <w:bottom w:val="single" w:sz="8" w:color="004483"/>
            </w:tcBorders>
          </w:tcPr>
          <w:p>
            <w:pPr>
              <w:spacing w:after="0"/>
              <w:rPr>
                <w:sz w:val="15"/>
                <w:szCs w:val="15"/>
                <w:color w:val="auto"/>
              </w:rPr>
            </w:pPr>
          </w:p>
        </w:tc>
        <w:tc>
          <w:tcPr>
            <w:tcW w:w="24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960" w:type="dxa"/>
            <w:vAlign w:val="bottom"/>
            <w:tcBorders>
              <w:bottom w:val="single" w:sz="8" w:color="004483"/>
            </w:tcBorders>
            <w:gridSpan w:val="5"/>
          </w:tcPr>
          <w:p>
            <w:pPr>
              <w:jc w:val="right"/>
              <w:ind w:right="319"/>
              <w:spacing w:after="0"/>
              <w:rPr>
                <w:sz w:val="20"/>
                <w:szCs w:val="20"/>
                <w:color w:val="auto"/>
              </w:rPr>
            </w:pPr>
            <w:r>
              <w:rPr>
                <w:rFonts w:ascii="Arial" w:cs="Arial" w:eastAsia="Arial" w:hAnsi="Arial"/>
                <w:sz w:val="13"/>
                <w:szCs w:val="13"/>
                <w:color w:val="auto"/>
              </w:rPr>
              <w:t>(dollars in thousands)</w:t>
            </w:r>
          </w:p>
        </w:tc>
        <w:tc>
          <w:tcPr>
            <w:tcW w:w="72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5340" w:type="dxa"/>
            <w:vAlign w:val="bottom"/>
          </w:tcPr>
          <w:p>
            <w:pPr>
              <w:ind w:left="20"/>
              <w:spacing w:after="0"/>
              <w:rPr>
                <w:sz w:val="20"/>
                <w:szCs w:val="20"/>
                <w:color w:val="auto"/>
              </w:rPr>
            </w:pPr>
            <w:r>
              <w:rPr>
                <w:rFonts w:ascii="Arial" w:cs="Arial" w:eastAsia="Arial" w:hAnsi="Arial"/>
                <w:sz w:val="16"/>
                <w:szCs w:val="16"/>
                <w:color w:val="004483"/>
              </w:rPr>
              <w:t>Current Assets</w:t>
            </w: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117,957</w:t>
            </w:r>
          </w:p>
        </w:tc>
        <w:tc>
          <w:tcPr>
            <w:tcW w:w="4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111,164</w:t>
            </w:r>
          </w:p>
        </w:tc>
        <w:tc>
          <w:tcPr>
            <w:tcW w:w="100" w:type="dxa"/>
            <w:vAlign w:val="bottom"/>
          </w:tcPr>
          <w:p>
            <w:pPr>
              <w:spacing w:after="0"/>
              <w:rPr>
                <w:sz w:val="16"/>
                <w:szCs w:val="16"/>
                <w:color w:val="auto"/>
              </w:rPr>
            </w:pPr>
          </w:p>
        </w:tc>
      </w:tr>
      <w:tr>
        <w:trPr>
          <w:trHeight w:val="183"/>
        </w:trPr>
        <w:tc>
          <w:tcPr>
            <w:tcW w:w="534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Noncurrent Assets</w:t>
            </w:r>
          </w:p>
        </w:tc>
        <w:tc>
          <w:tcPr>
            <w:tcW w:w="420" w:type="dxa"/>
            <w:vAlign w:val="bottom"/>
            <w:tcBorders>
              <w:top w:val="single" w:sz="8" w:color="A6A6A6"/>
              <w:bottom w:val="single" w:sz="8" w:color="A6A6A6"/>
            </w:tcBorders>
          </w:tcPr>
          <w:p>
            <w:pPr>
              <w:spacing w:after="0"/>
              <w:rPr>
                <w:sz w:val="15"/>
                <w:szCs w:val="15"/>
                <w:color w:val="auto"/>
              </w:rPr>
            </w:pPr>
          </w:p>
        </w:tc>
        <w:tc>
          <w:tcPr>
            <w:tcW w:w="840" w:type="dxa"/>
            <w:vAlign w:val="bottom"/>
            <w:tcBorders>
              <w:top w:val="single" w:sz="8" w:color="A6A6A6"/>
              <w:bottom w:val="single" w:sz="8" w:color="A6A6A6"/>
            </w:tcBorders>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740" w:type="dxa"/>
            <w:vAlign w:val="bottom"/>
            <w:tcBorders>
              <w:top w:val="single" w:sz="8" w:color="A6A6A6"/>
              <w:bottom w:val="single" w:sz="8" w:color="A6A6A6"/>
            </w:tcBorders>
          </w:tcPr>
          <w:p>
            <w:pPr>
              <w:spacing w:after="0"/>
              <w:rPr>
                <w:sz w:val="15"/>
                <w:szCs w:val="15"/>
                <w:color w:val="auto"/>
              </w:rPr>
            </w:pPr>
          </w:p>
        </w:tc>
        <w:tc>
          <w:tcPr>
            <w:tcW w:w="640" w:type="dxa"/>
            <w:vAlign w:val="bottom"/>
            <w:tcBorders>
              <w:top w:val="single" w:sz="8" w:color="A6A6A6"/>
              <w:bottom w:val="single" w:sz="8" w:color="A6A6A6"/>
            </w:tcBorders>
            <w:gridSpan w:val="2"/>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A6A6A6"/>
              <w:bottom w:val="single" w:sz="8" w:color="A6A6A6"/>
            </w:tcBorders>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8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206,037</w:t>
            </w:r>
          </w:p>
        </w:tc>
        <w:tc>
          <w:tcPr>
            <w:tcW w:w="120" w:type="dxa"/>
            <w:vAlign w:val="bottom"/>
          </w:tcPr>
          <w:p>
            <w:pPr>
              <w:spacing w:after="0"/>
              <w:rPr>
                <w:sz w:val="15"/>
                <w:szCs w:val="15"/>
                <w:color w:val="auto"/>
              </w:rPr>
            </w:pPr>
          </w:p>
        </w:tc>
        <w:tc>
          <w:tcPr>
            <w:tcW w:w="340" w:type="dxa"/>
            <w:vAlign w:val="bottom"/>
            <w:tcBorders>
              <w:top w:val="single" w:sz="8" w:color="A6A6A6"/>
              <w:bottom w:val="single" w:sz="8" w:color="A6A6A6"/>
            </w:tcBorders>
            <w:gridSpan w:val="2"/>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top w:val="single" w:sz="8" w:color="A6A6A6"/>
              <w:bottom w:val="single" w:sz="8" w:color="A6A6A6"/>
            </w:tcBorders>
          </w:tcPr>
          <w:p>
            <w:pPr>
              <w:spacing w:after="0"/>
              <w:rPr>
                <w:sz w:val="15"/>
                <w:szCs w:val="15"/>
                <w:color w:val="auto"/>
              </w:rPr>
            </w:pPr>
          </w:p>
        </w:tc>
        <w:tc>
          <w:tcPr>
            <w:tcW w:w="7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158,618</w:t>
            </w:r>
          </w:p>
        </w:tc>
        <w:tc>
          <w:tcPr>
            <w:tcW w:w="100" w:type="dxa"/>
            <w:vAlign w:val="bottom"/>
          </w:tcPr>
          <w:p>
            <w:pPr>
              <w:spacing w:after="0"/>
              <w:rPr>
                <w:sz w:val="15"/>
                <w:szCs w:val="15"/>
                <w:color w:val="auto"/>
              </w:rPr>
            </w:pPr>
          </w:p>
        </w:tc>
      </w:tr>
      <w:tr>
        <w:trPr>
          <w:trHeight w:val="183"/>
        </w:trPr>
        <w:tc>
          <w:tcPr>
            <w:tcW w:w="53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Current Liabilities</w:t>
            </w:r>
          </w:p>
        </w:tc>
        <w:tc>
          <w:tcPr>
            <w:tcW w:w="42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74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gridSpan w:val="2"/>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47,579</w:t>
            </w:r>
          </w:p>
        </w:tc>
        <w:tc>
          <w:tcPr>
            <w:tcW w:w="120" w:type="dxa"/>
            <w:vAlign w:val="bottom"/>
          </w:tcPr>
          <w:p>
            <w:pPr>
              <w:spacing w:after="0"/>
              <w:rPr>
                <w:sz w:val="15"/>
                <w:szCs w:val="15"/>
                <w:color w:val="auto"/>
              </w:rPr>
            </w:pPr>
          </w:p>
        </w:tc>
        <w:tc>
          <w:tcPr>
            <w:tcW w:w="340" w:type="dxa"/>
            <w:vAlign w:val="bottom"/>
            <w:tcBorders>
              <w:bottom w:val="single" w:sz="8" w:color="A6A6A6"/>
            </w:tcBorders>
            <w:gridSpan w:val="2"/>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27,994</w:t>
            </w:r>
          </w:p>
        </w:tc>
        <w:tc>
          <w:tcPr>
            <w:tcW w:w="100" w:type="dxa"/>
            <w:vAlign w:val="bottom"/>
          </w:tcPr>
          <w:p>
            <w:pPr>
              <w:spacing w:after="0"/>
              <w:rPr>
                <w:sz w:val="15"/>
                <w:szCs w:val="15"/>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 INTEREST EXPENSE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components are included in Interest Expense, net: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40" w:type="dxa"/>
            <w:vAlign w:val="bottom"/>
          </w:tcPr>
          <w:p>
            <w:pPr>
              <w:spacing w:after="0"/>
              <w:rPr>
                <w:sz w:val="12"/>
                <w:szCs w:val="12"/>
                <w:color w:val="auto"/>
              </w:rPr>
            </w:pPr>
          </w:p>
        </w:tc>
        <w:tc>
          <w:tcPr>
            <w:tcW w:w="2880" w:type="dxa"/>
            <w:vAlign w:val="bottom"/>
            <w:gridSpan w:val="7"/>
            <w:shd w:val="clear" w:color="auto" w:fill="004483"/>
          </w:tcPr>
          <w:p>
            <w:pPr>
              <w:jc w:val="right"/>
              <w:ind w:right="139"/>
              <w:spacing w:after="0"/>
              <w:rPr>
                <w:sz w:val="20"/>
                <w:szCs w:val="20"/>
                <w:color w:val="auto"/>
              </w:rPr>
            </w:pPr>
            <w:r>
              <w:rPr>
                <w:rFonts w:ascii="Arial" w:cs="Arial" w:eastAsia="Arial" w:hAnsi="Arial"/>
                <w:sz w:val="13"/>
                <w:szCs w:val="13"/>
                <w:b w:val="1"/>
                <w:bCs w:val="1"/>
                <w:color w:val="FFFFFF"/>
                <w:w w:val="99"/>
              </w:rPr>
              <w:t>For the Three Months Ended December 31,</w:t>
            </w:r>
          </w:p>
        </w:tc>
        <w:tc>
          <w:tcPr>
            <w:tcW w:w="120" w:type="dxa"/>
            <w:vAlign w:val="bottom"/>
          </w:tcPr>
          <w:p>
            <w:pPr>
              <w:spacing w:after="0"/>
              <w:rPr>
                <w:sz w:val="12"/>
                <w:szCs w:val="12"/>
                <w:color w:val="auto"/>
              </w:rPr>
            </w:pPr>
          </w:p>
        </w:tc>
        <w:tc>
          <w:tcPr>
            <w:tcW w:w="120" w:type="dxa"/>
            <w:vAlign w:val="bottom"/>
            <w:shd w:val="clear" w:color="auto" w:fill="004483"/>
          </w:tcPr>
          <w:p>
            <w:pPr>
              <w:spacing w:after="0"/>
              <w:rPr>
                <w:sz w:val="12"/>
                <w:szCs w:val="12"/>
                <w:color w:val="auto"/>
              </w:rPr>
            </w:pPr>
          </w:p>
        </w:tc>
        <w:tc>
          <w:tcPr>
            <w:tcW w:w="2780" w:type="dxa"/>
            <w:vAlign w:val="bottom"/>
            <w:gridSpan w:val="6"/>
            <w:shd w:val="clear" w:color="auto" w:fill="004483"/>
          </w:tcPr>
          <w:p>
            <w:pPr>
              <w:jc w:val="right"/>
              <w:ind w:right="179"/>
              <w:spacing w:after="0"/>
              <w:rPr>
                <w:sz w:val="20"/>
                <w:szCs w:val="20"/>
                <w:color w:val="auto"/>
              </w:rPr>
            </w:pPr>
            <w:r>
              <w:rPr>
                <w:rFonts w:ascii="Arial" w:cs="Arial" w:eastAsia="Arial" w:hAnsi="Arial"/>
                <w:sz w:val="13"/>
                <w:szCs w:val="13"/>
                <w:b w:val="1"/>
                <w:bCs w:val="1"/>
                <w:color w:val="FFFFFF"/>
                <w:w w:val="97"/>
              </w:rPr>
              <w:t>For the Nine Months Ended December 31,</w:t>
            </w:r>
          </w:p>
        </w:tc>
      </w:tr>
      <w:tr>
        <w:trPr>
          <w:trHeight w:val="117"/>
        </w:trPr>
        <w:tc>
          <w:tcPr>
            <w:tcW w:w="5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0"/>
                <w:szCs w:val="10"/>
                <w:color w:val="auto"/>
              </w:rPr>
            </w:pPr>
          </w:p>
        </w:tc>
      </w:tr>
      <w:tr>
        <w:trPr>
          <w:trHeight w:val="173"/>
        </w:trPr>
        <w:tc>
          <w:tcPr>
            <w:tcW w:w="5340" w:type="dxa"/>
            <w:vAlign w:val="bottom"/>
            <w:tcBorders>
              <w:bottom w:val="single" w:sz="8" w:color="004483"/>
            </w:tcBorders>
          </w:tcPr>
          <w:p>
            <w:pPr>
              <w:spacing w:after="0"/>
              <w:rPr>
                <w:sz w:val="15"/>
                <w:szCs w:val="15"/>
                <w:color w:val="auto"/>
              </w:rPr>
            </w:pPr>
          </w:p>
        </w:tc>
        <w:tc>
          <w:tcPr>
            <w:tcW w:w="440" w:type="dxa"/>
            <w:vAlign w:val="bottom"/>
            <w:tcBorders>
              <w:bottom w:val="single" w:sz="8" w:color="004483"/>
            </w:tcBorders>
          </w:tcPr>
          <w:p>
            <w:pPr>
              <w:spacing w:after="0"/>
              <w:rPr>
                <w:sz w:val="15"/>
                <w:szCs w:val="15"/>
                <w:color w:val="auto"/>
              </w:rPr>
            </w:pPr>
          </w:p>
        </w:tc>
        <w:tc>
          <w:tcPr>
            <w:tcW w:w="1680" w:type="dxa"/>
            <w:vAlign w:val="bottom"/>
            <w:tcBorders>
              <w:bottom w:val="single" w:sz="8" w:color="004483"/>
            </w:tcBorders>
            <w:gridSpan w:val="4"/>
          </w:tcPr>
          <w:p>
            <w:pPr>
              <w:jc w:val="right"/>
              <w:ind w:right="59"/>
              <w:spacing w:after="0"/>
              <w:rPr>
                <w:sz w:val="20"/>
                <w:szCs w:val="20"/>
                <w:color w:val="auto"/>
              </w:rPr>
            </w:pPr>
            <w:r>
              <w:rPr>
                <w:rFonts w:ascii="Arial" w:cs="Arial" w:eastAsia="Arial" w:hAnsi="Arial"/>
                <w:sz w:val="13"/>
                <w:szCs w:val="13"/>
                <w:color w:val="auto"/>
              </w:rPr>
              <w:t>(dollars in thousands)</w:t>
            </w:r>
          </w:p>
        </w:tc>
        <w:tc>
          <w:tcPr>
            <w:tcW w:w="640" w:type="dxa"/>
            <w:vAlign w:val="bottom"/>
            <w:tcBorders>
              <w:bottom w:val="single" w:sz="8" w:color="004483"/>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2020" w:type="dxa"/>
            <w:vAlign w:val="bottom"/>
            <w:tcBorders>
              <w:bottom w:val="single" w:sz="8" w:color="004483"/>
            </w:tcBorders>
            <w:gridSpan w:val="4"/>
          </w:tcPr>
          <w:p>
            <w:pPr>
              <w:jc w:val="right"/>
              <w:ind w:right="59"/>
              <w:spacing w:after="0"/>
              <w:rPr>
                <w:sz w:val="20"/>
                <w:szCs w:val="20"/>
                <w:color w:val="auto"/>
              </w:rPr>
            </w:pPr>
            <w:r>
              <w:rPr>
                <w:rFonts w:ascii="Arial" w:cs="Arial" w:eastAsia="Arial" w:hAnsi="Arial"/>
                <w:sz w:val="13"/>
                <w:szCs w:val="13"/>
                <w:color w:val="auto"/>
              </w:rPr>
              <w:t>(dollars in thousands)</w:t>
            </w:r>
          </w:p>
        </w:tc>
        <w:tc>
          <w:tcPr>
            <w:tcW w:w="6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5340" w:type="dxa"/>
            <w:vAlign w:val="bottom"/>
          </w:tcPr>
          <w:p>
            <w:pPr>
              <w:ind w:left="20"/>
              <w:spacing w:after="0"/>
              <w:rPr>
                <w:sz w:val="20"/>
                <w:szCs w:val="20"/>
                <w:color w:val="auto"/>
              </w:rPr>
            </w:pPr>
            <w:r>
              <w:rPr>
                <w:rFonts w:ascii="Arial" w:cs="Arial" w:eastAsia="Arial" w:hAnsi="Arial"/>
                <w:sz w:val="16"/>
                <w:szCs w:val="16"/>
                <w:color w:val="004483"/>
              </w:rPr>
              <w:t>Interest Income</w:t>
            </w:r>
          </w:p>
        </w:tc>
        <w:tc>
          <w:tcPr>
            <w:tcW w:w="440" w:type="dxa"/>
            <w:vAlign w:val="bottom"/>
          </w:tcPr>
          <w:p>
            <w:pPr>
              <w:jc w:val="right"/>
              <w:ind w:right="265"/>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(223 )</w:t>
            </w:r>
          </w:p>
        </w:tc>
        <w:tc>
          <w:tcPr>
            <w:tcW w:w="74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(963 )</w:t>
            </w:r>
          </w:p>
        </w:tc>
        <w:tc>
          <w:tcPr>
            <w:tcW w:w="76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183"/>
        </w:trPr>
        <w:tc>
          <w:tcPr>
            <w:tcW w:w="534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Interest Expense</w:t>
            </w:r>
          </w:p>
        </w:tc>
        <w:tc>
          <w:tcPr>
            <w:tcW w:w="440" w:type="dxa"/>
            <w:vAlign w:val="bottom"/>
            <w:tcBorders>
              <w:top w:val="single" w:sz="8" w:color="A6A6A6"/>
              <w:bottom w:val="single" w:sz="8" w:color="A6A6A6"/>
            </w:tcBorders>
          </w:tcPr>
          <w:p>
            <w:pPr>
              <w:spacing w:after="0"/>
              <w:rPr>
                <w:sz w:val="15"/>
                <w:szCs w:val="15"/>
                <w:color w:val="auto"/>
              </w:rPr>
            </w:pPr>
          </w:p>
        </w:tc>
        <w:tc>
          <w:tcPr>
            <w:tcW w:w="8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8,810</w:t>
            </w:r>
          </w:p>
        </w:tc>
        <w:tc>
          <w:tcPr>
            <w:tcW w:w="12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620" w:type="dxa"/>
            <w:vAlign w:val="bottom"/>
            <w:tcBorders>
              <w:top w:val="single" w:sz="8" w:color="A6A6A6"/>
              <w:bottom w:val="single" w:sz="8" w:color="A6A6A6"/>
            </w:tcBorders>
          </w:tcPr>
          <w:p>
            <w:pPr>
              <w:spacing w:after="0"/>
              <w:rPr>
                <w:sz w:val="15"/>
                <w:szCs w:val="15"/>
                <w:color w:val="auto"/>
              </w:rPr>
            </w:pPr>
          </w:p>
        </w:tc>
        <w:tc>
          <w:tcPr>
            <w:tcW w:w="6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9,804</w:t>
            </w:r>
          </w:p>
        </w:tc>
        <w:tc>
          <w:tcPr>
            <w:tcW w:w="12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11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29,998</w:t>
            </w:r>
          </w:p>
        </w:tc>
        <w:tc>
          <w:tcPr>
            <w:tcW w:w="10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640" w:type="dxa"/>
            <w:vAlign w:val="bottom"/>
            <w:tcBorders>
              <w:top w:val="single" w:sz="8" w:color="A6A6A6"/>
              <w:bottom w:val="single" w:sz="8" w:color="A6A6A6"/>
            </w:tcBorders>
          </w:tcPr>
          <w:p>
            <w:pPr>
              <w:spacing w:after="0"/>
              <w:rPr>
                <w:sz w:val="15"/>
                <w:szCs w:val="15"/>
                <w:color w:val="auto"/>
              </w:rPr>
            </w:pPr>
          </w:p>
        </w:tc>
        <w:tc>
          <w:tcPr>
            <w:tcW w:w="6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31,671</w:t>
            </w:r>
          </w:p>
        </w:tc>
        <w:tc>
          <w:tcPr>
            <w:tcW w:w="100" w:type="dxa"/>
            <w:vAlign w:val="bottom"/>
          </w:tcPr>
          <w:p>
            <w:pPr>
              <w:spacing w:after="0"/>
              <w:rPr>
                <w:sz w:val="15"/>
                <w:szCs w:val="15"/>
                <w:color w:val="auto"/>
              </w:rPr>
            </w:pPr>
          </w:p>
        </w:tc>
      </w:tr>
      <w:tr>
        <w:trPr>
          <w:trHeight w:val="183"/>
        </w:trPr>
        <w:tc>
          <w:tcPr>
            <w:tcW w:w="5340" w:type="dxa"/>
            <w:vAlign w:val="bottom"/>
          </w:tcPr>
          <w:p>
            <w:pPr>
              <w:ind w:left="20"/>
              <w:spacing w:after="0" w:line="183" w:lineRule="exact"/>
              <w:rPr>
                <w:sz w:val="20"/>
                <w:szCs w:val="20"/>
                <w:color w:val="auto"/>
              </w:rPr>
            </w:pPr>
            <w:r>
              <w:rPr>
                <w:rFonts w:ascii="Arial" w:cs="Arial" w:eastAsia="Arial" w:hAnsi="Arial"/>
                <w:sz w:val="16"/>
                <w:szCs w:val="16"/>
                <w:color w:val="004483"/>
              </w:rPr>
              <w:t>Other Expenses</w:t>
            </w:r>
          </w:p>
        </w:tc>
        <w:tc>
          <w:tcPr>
            <w:tcW w:w="44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474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474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1,424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1,423</w:t>
            </w:r>
          </w:p>
        </w:tc>
        <w:tc>
          <w:tcPr>
            <w:tcW w:w="100" w:type="dxa"/>
            <w:vAlign w:val="bottom"/>
          </w:tcPr>
          <w:p>
            <w:pPr>
              <w:spacing w:after="0"/>
              <w:rPr>
                <w:sz w:val="15"/>
                <w:szCs w:val="15"/>
                <w:color w:val="auto"/>
              </w:rPr>
            </w:pPr>
          </w:p>
        </w:tc>
      </w:tr>
      <w:tr>
        <w:trPr>
          <w:trHeight w:val="27"/>
        </w:trPr>
        <w:tc>
          <w:tcPr>
            <w:tcW w:w="5340" w:type="dxa"/>
            <w:vAlign w:val="bottom"/>
            <w:tcBorders>
              <w:bottom w:val="single" w:sz="8" w:color="A6A6A6"/>
            </w:tcBorders>
          </w:tcPr>
          <w:p>
            <w:pPr>
              <w:spacing w:after="0"/>
              <w:rPr>
                <w:sz w:val="2"/>
                <w:szCs w:val="2"/>
                <w:color w:val="auto"/>
              </w:rPr>
            </w:pPr>
          </w:p>
        </w:tc>
        <w:tc>
          <w:tcPr>
            <w:tcW w:w="440" w:type="dxa"/>
            <w:vAlign w:val="bottom"/>
            <w:tcBorders>
              <w:bottom w:val="single" w:sz="8" w:color="004483"/>
            </w:tcBorders>
            <w:shd w:val="clear" w:color="auto" w:fill="004483"/>
          </w:tcPr>
          <w:p>
            <w:pPr>
              <w:spacing w:after="0"/>
              <w:rPr>
                <w:sz w:val="2"/>
                <w:szCs w:val="2"/>
                <w:color w:val="auto"/>
              </w:rPr>
            </w:pPr>
          </w:p>
        </w:tc>
        <w:tc>
          <w:tcPr>
            <w:tcW w:w="82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620" w:type="dxa"/>
            <w:vAlign w:val="bottom"/>
            <w:tcBorders>
              <w:bottom w:val="single" w:sz="8" w:color="004483"/>
            </w:tcBorders>
            <w:shd w:val="clear" w:color="auto" w:fill="004483"/>
          </w:tcPr>
          <w:p>
            <w:pPr>
              <w:spacing w:after="0"/>
              <w:rPr>
                <w:sz w:val="2"/>
                <w:szCs w:val="2"/>
                <w:color w:val="auto"/>
              </w:rPr>
            </w:pPr>
          </w:p>
        </w:tc>
        <w:tc>
          <w:tcPr>
            <w:tcW w:w="64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20" w:type="dxa"/>
            <w:vAlign w:val="bottom"/>
            <w:tcBorders>
              <w:bottom w:val="single" w:sz="8" w:color="004483"/>
            </w:tcBorders>
            <w:shd w:val="clear" w:color="auto" w:fill="004483"/>
          </w:tcPr>
          <w:p>
            <w:pPr>
              <w:spacing w:after="0"/>
              <w:rPr>
                <w:sz w:val="2"/>
                <w:szCs w:val="2"/>
                <w:color w:val="auto"/>
              </w:rPr>
            </w:pPr>
          </w:p>
        </w:tc>
        <w:tc>
          <w:tcPr>
            <w:tcW w:w="11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640" w:type="dxa"/>
            <w:vAlign w:val="bottom"/>
            <w:tcBorders>
              <w:bottom w:val="single" w:sz="8" w:color="004483"/>
            </w:tcBorders>
            <w:shd w:val="clear" w:color="auto" w:fill="004483"/>
          </w:tcPr>
          <w:p>
            <w:pPr>
              <w:spacing w:after="0"/>
              <w:rPr>
                <w:sz w:val="2"/>
                <w:szCs w:val="2"/>
                <w:color w:val="auto"/>
              </w:rPr>
            </w:pPr>
          </w:p>
        </w:tc>
        <w:tc>
          <w:tcPr>
            <w:tcW w:w="6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53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Interest Expense, net</w:t>
            </w:r>
          </w:p>
        </w:tc>
        <w:tc>
          <w:tcPr>
            <w:tcW w:w="440" w:type="dxa"/>
            <w:vAlign w:val="bottom"/>
            <w:tcBorders>
              <w:bottom w:val="single" w:sz="8" w:color="004483"/>
            </w:tcBorders>
          </w:tcPr>
          <w:p>
            <w:pPr>
              <w:jc w:val="right"/>
              <w:ind w:right="265"/>
              <w:spacing w:after="0" w:line="183" w:lineRule="exact"/>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9,061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bottom w:val="single" w:sz="8" w:color="004483"/>
            </w:tcBorders>
          </w:tcPr>
          <w:p>
            <w:pPr>
              <w:jc w:val="right"/>
              <w:ind w:right="439"/>
              <w:spacing w:after="0" w:line="183" w:lineRule="exact"/>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10,128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30,459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004483"/>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32,571</w:t>
            </w:r>
          </w:p>
        </w:tc>
        <w:tc>
          <w:tcPr>
            <w:tcW w:w="100" w:type="dxa"/>
            <w:vAlign w:val="bottom"/>
          </w:tcPr>
          <w:p>
            <w:pPr>
              <w:spacing w:after="0"/>
              <w:rPr>
                <w:sz w:val="15"/>
                <w:szCs w:val="15"/>
                <w:color w:val="auto"/>
              </w:rPr>
            </w:pPr>
          </w:p>
        </w:tc>
      </w:tr>
      <w:tr>
        <w:trPr>
          <w:trHeight w:val="20"/>
        </w:trPr>
        <w:tc>
          <w:tcPr>
            <w:tcW w:w="534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8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Interest Income includes interest earned on investments of excess cash. Components of Interest Expense include interest associated with the Revolving Credit Facility, Term Loan, Senior Unsecured Notes, and commitment fees based on the unused portion of the Revolving Credit Facility. Other Expenses include amortization of debt issuance costs and Revolving Credit Facility costs.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(P) COMMITMENTS AND CONTINGENCIES</w:t>
      </w:r>
    </w:p>
    <w:p>
      <w:pPr>
        <w:spacing w:after="0" w:line="9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auto, and general liability self-insurance. At December 31, 2024, we had contingent liabilities under these outstanding letters of credit of approximately $10.0 million.</w:t>
      </w:r>
    </w:p>
    <w:p>
      <w:pPr>
        <w:spacing w:after="0" w:line="6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the ordinary course of business, we execute contracts involving indemnifications that are both standard in the industry and specific to a transaction, such as the sale of a business. These indemnifications may include claims relating to any of the following: environmental and tax matters; intellectual property rights; governmental regulations and employment-related matters; customer, supplier, and other commercial contractual relationships; and construction contracts and financial matters. While the maximum amount to which the Company may be exposed under such agreements cannot be estimated, management believes these indemnifications will not have a material adverse effect on our consolidated financial position, results of operations, or cash flows. We currently have no outstanding guarantees.</w:t>
      </w:r>
    </w:p>
    <w:p>
      <w:pPr>
        <w:spacing w:after="0" w:line="7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are currently contingently liable for performance under $30.0 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experience, no material claims have been made against these financial instruments.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 FAIR VALUE OF FINANCIAL INSTRUMENTS</w:t>
      </w:r>
    </w:p>
    <w:p>
      <w:pPr>
        <w:spacing w:after="0" w:line="99"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fair value of our long-term debt has been determined using market transactions (level 1 inputs). The fair value of our 2.500% Senior Unsecured Notes at December 31, 2024, was as follows:</w:t>
      </w:r>
    </w:p>
    <w:p>
      <w:pPr>
        <w:spacing w:after="0" w:line="44" w:lineRule="exact"/>
        <w:rPr>
          <w:sz w:val="20"/>
          <w:szCs w:val="20"/>
          <w:color w:val="auto"/>
        </w:rPr>
      </w:pPr>
    </w:p>
    <w:p>
      <w:pPr>
        <w:jc w:val="right"/>
        <w:ind w:right="100"/>
        <w:spacing w:after="0"/>
        <w:rPr>
          <w:sz w:val="20"/>
          <w:szCs w:val="20"/>
          <w:color w:val="auto"/>
        </w:rPr>
      </w:pPr>
      <w:r>
        <w:rPr>
          <w:rFonts w:ascii="Arial" w:cs="Arial" w:eastAsia="Arial" w:hAnsi="Arial"/>
          <w:sz w:val="13"/>
          <w:szCs w:val="13"/>
          <w:b w:val="1"/>
          <w:bCs w:val="1"/>
          <w:color w:val="auto"/>
        </w:rPr>
        <w:t>Fair Value</w:t>
      </w:r>
    </w:p>
    <w:p>
      <w:pPr>
        <w:jc w:val="right"/>
        <w:ind w:right="10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06374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63740" cy="26035"/>
                    </a:xfrm>
                    <a:prstGeom prst="rect">
                      <a:avLst/>
                    </a:prstGeom>
                    <a:noFill/>
                  </pic:spPr>
                </pic:pic>
              </a:graphicData>
            </a:graphic>
          </wp:anchor>
        </w:drawing>
      </w:r>
    </w:p>
    <w:p>
      <w:pPr>
        <w:ind w:left="20"/>
        <w:spacing w:after="0"/>
        <w:tabs>
          <w:tab w:leader="none" w:pos="8920" w:val="left"/>
          <w:tab w:leader="none" w:pos="10500" w:val="left"/>
        </w:tabs>
        <w:rPr>
          <w:sz w:val="20"/>
          <w:szCs w:val="20"/>
          <w:color w:val="auto"/>
        </w:rPr>
      </w:pPr>
      <w:r>
        <w:rPr>
          <w:rFonts w:ascii="Arial" w:cs="Arial" w:eastAsia="Arial" w:hAnsi="Arial"/>
          <w:sz w:val="16"/>
          <w:szCs w:val="16"/>
          <w:color w:val="004483"/>
        </w:rPr>
        <w:t>2.500% Senior Unsecured Notes Due 2031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639,000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0637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10"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The carrying values of Cash and Cash Equivalents, Accounts Receivable, Accounts Payable, and Accrued Liabilities approximate their fair values at December 31, 2024, due to the short-term maturities of these assets and liabilities. The fair value of our Revolving Credit Facility and Term Loan also approximates the carrying value at December 31, 2024.</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3" w:right="379" w:bottom="1440" w:gutter="0" w:footer="0" w:header="0"/>
        </w:sectPr>
      </w:pPr>
    </w:p>
    <w:bookmarkStart w:id="21" w:name="page22"/>
    <w:bookmarkEnd w:id="21"/>
    <w:p>
      <w:pPr>
        <w:spacing w:after="0"/>
        <w:rPr>
          <w:sz w:val="20"/>
          <w:szCs w:val="20"/>
          <w:color w:val="auto"/>
        </w:rPr>
      </w:pPr>
      <w:r>
        <w:rPr>
          <w:rFonts w:ascii="Arial" w:cs="Arial" w:eastAsia="Arial" w:hAnsi="Arial"/>
          <w:sz w:val="23"/>
          <w:szCs w:val="23"/>
          <w:b w:val="1"/>
          <w:bCs w:val="1"/>
          <w:color w:val="auto"/>
        </w:rPr>
        <w:t>ITEM 2. Management’s Discussion and Analysis of Financial Condition and Results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are a leading manufacturer of heavy construction materials and light building materials in the United States. Our primary products, portland cement and gypsum wallboard,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throughout most of the United States, except the Northeast, which provides us with regional economic diversification. However, general economic downturns or localized downturns in the regions where we have operations may have a material adverse effect on our business, financial condition, and results of operations.</w:t>
      </w:r>
    </w:p>
    <w:p>
      <w:pPr>
        <w:spacing w:after="0" w:line="7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Our business is organized into two sectors: Heavy Materials, which includes the Cement and Concrete and Aggregates segments; and Light Materials, which includes the Gypsum Wallboard and Recycled Paperboard segments. Financial results and other information for the three and nine months ended December 31, 2024, and 2023, are presented on a consolidated basis and by these business segments – Cement, Concrete and Aggregates, Gypsum Wallboard, and Recycled Paperboard.</w:t>
      </w:r>
    </w:p>
    <w:p>
      <w:pPr>
        <w:spacing w:after="0" w:line="66"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conduct one of our cement operations through a joint venture, Texas Lehigh Cement Company LP, which is located in Buda, Texas (the Joint Venture).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the segments within the Company for making operating decisions and assessing performance.</w:t>
      </w:r>
    </w:p>
    <w:p>
      <w:pPr>
        <w:spacing w:after="0" w:line="68"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All our business activities are conducted in the United States. These activities include the mining of limestone for the manufacture, production, distribution, and sale of portland cement, including portland limestone cement (portland cement and portland limestone cement are basic construction materials that are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6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On August 9, 2024, we finalized the acquisition of an aggregates operation in Battletown, Kentucky. The purchase price of the Kentucky Acquisition was approximately $24.9 million. The Kentucky Acquisition is included in our Heavy Materials sector, and its results of operations are reported in the Concrete and Aggregates business segment. See Footnote (C) in the Unaudited Consolidated Financial Statements for more information regarding the Kentucky Acquisition.</w:t>
      </w:r>
    </w:p>
    <w:p>
      <w:pPr>
        <w:spacing w:after="0" w:line="17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On January 7, 2025, we purchased Bullskin Stone &amp; Lime, LLC, a pure-play aggregates business located in Western Pennsylvania (the Pennsylvania Acquisition), which will be accounted for under the acquisition method. The purchase price of the Pennsylvania Acquisition was approximately $152.5 million, subject to customary post-closing adjustments. The Pennsylvania Acquisition will be included in our Heavy Materials sector, and its results of operations will be reported in the Concrete and Aggregates business segment beginning in the fourth quarter of fiscal 2025. See Footnote (C) in the Unaudited Consolidated Financial Statements for more information regarding the Pennsylvania Acquisition.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 AND OUTLOOK</w:t>
      </w:r>
    </w:p>
    <w:p>
      <w:pPr>
        <w:spacing w:after="0" w:line="10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Our end markets remained generally resilient despite adverse weather conditions, primarily in our Midwest and Great Plains markets, as well as the uncertainty around future monetary policy changes. The adverse weather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4" w:right="359" w:bottom="1440" w:gutter="0" w:footer="0" w:header="0"/>
        </w:sectPr>
      </w:pPr>
    </w:p>
    <w:bookmarkStart w:id="22" w:name="page23"/>
    <w:bookmarkEnd w:id="22"/>
    <w:p>
      <w:pPr>
        <w:ind w:right="460"/>
        <w:spacing w:after="0" w:line="271" w:lineRule="auto"/>
        <w:rPr>
          <w:sz w:val="20"/>
          <w:szCs w:val="20"/>
          <w:color w:val="auto"/>
        </w:rPr>
      </w:pPr>
      <w:r>
        <w:rPr>
          <w:rFonts w:ascii="Arial" w:cs="Arial" w:eastAsia="Arial" w:hAnsi="Arial"/>
          <w:sz w:val="18"/>
          <w:szCs w:val="18"/>
          <w:color w:val="auto"/>
        </w:rPr>
        <w:t>resulted in lower Cement Sales Volume in the third quarter of fiscal 2025, while Gypsum Wallboard Sales Volume increased during the quarter.</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Outlook</w:t>
      </w:r>
    </w:p>
    <w:p>
      <w:pPr>
        <w:spacing w:after="0" w:line="10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 xml:space="preserve">The macroeconomic environment continues to be constructive for our products. We expect demand for cement to remain steady in the near term given federal, state and local support for public infrastructure projects and continued spending on heavy manufacturing and private-nonresidential construction. To date, only approximately 25% of federal funding from the trillion-dollar </w:t>
      </w:r>
      <w:r>
        <w:rPr>
          <w:rFonts w:ascii="Arial" w:cs="Arial" w:eastAsia="Arial" w:hAnsi="Arial"/>
          <w:sz w:val="17"/>
          <w:szCs w:val="17"/>
          <w:i w:val="1"/>
          <w:iCs w:val="1"/>
          <w:color w:val="auto"/>
        </w:rPr>
        <w:t>Infrastructure Investment and Jobs Act</w:t>
      </w:r>
      <w:r>
        <w:rPr>
          <w:rFonts w:ascii="Arial" w:cs="Arial" w:eastAsia="Arial" w:hAnsi="Arial"/>
          <w:sz w:val="17"/>
          <w:szCs w:val="17"/>
          <w:color w:val="auto"/>
        </w:rPr>
        <w:t xml:space="preserve"> (IIJA) has been spent. We anticipate a pick-up in demand as the remaining IIJA funds get spent on public construction and repair projects.</w:t>
      </w:r>
    </w:p>
    <w:p>
      <w:pPr>
        <w:spacing w:after="0" w:line="51"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In residential construction, activity has remained steady. While the higher interest rate environment has been a headwind for housing demand and affordability, several factors, including the chronic housing shortage caused by more than a decade of underproduction and exacerbated by the "rate lock-in", have supported housing construction activity. While the path ahead for US Federal Reserve monetary policy is less certain than a quarter ago, we believe that continued healthy consumer balance sheets should also support residential construction. We believe our geographic footprint across the U.S. heartland and fast-growing Sun Belt region positions us to capitalize on these market dynamics.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Outlook</w:t>
      </w:r>
    </w:p>
    <w:p>
      <w:pPr>
        <w:spacing w:after="0" w:line="10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believe we are well-positioned to manage our cost structure and meet our customers’ needs. Our substantial raw material reserves for our Cement, Aggregates, and Gypsum Wallboard businesses, and their proximity to our respective manufacturing facilities, support our low-cost producer position across all our business segments.</w:t>
      </w:r>
    </w:p>
    <w:p>
      <w:pPr>
        <w:spacing w:after="0" w:line="61"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Energy costs decreased in all our businesses during the first nine months of fiscal 2025 compared with fiscal 2024; however, natural gas prices have recently increased and are expected to remain elevated during the winter months.</w:t>
      </w:r>
    </w:p>
    <w:p>
      <w:pPr>
        <w:spacing w:after="0" w:line="46"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primary raw material used to produce paperboard is old corrugated cardboard (OCC). Recycled fiber prices are subject to change upon short notice due to several factors, including supply of OCC and demand for OCC from both domestic and international companies. Our current customer contracts for gypsum liner include price adjustments that partially compensate for changes in the cost of raw materials, such as recycled fiber, natural gas, and electricity. However, because these price adjustments are not realized until future quarters, material costs in our Gypsum Wallboard segment are likely to fluctuate until the effects of these price adjustments are realized.</w:t>
      </w:r>
    </w:p>
    <w:p>
      <w:pPr>
        <w:spacing w:after="0" w:line="6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Maintenance costs increased during the first nine months of the fiscal year as equipment and contractor costs remain high, and we expect maintenance costs to remain elevated next fiscal year.</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3" w:right="41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2024, COMPARED WITH THREE MONTHS ENDED DECEMBER 31,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shd w:val="clear" w:color="auto" w:fill="004483"/>
          </w:tcPr>
          <w:p>
            <w:pPr>
              <w:spacing w:after="0"/>
              <w:rPr>
                <w:sz w:val="13"/>
                <w:szCs w:val="13"/>
                <w:color w:val="auto"/>
              </w:rPr>
            </w:pPr>
          </w:p>
        </w:tc>
        <w:tc>
          <w:tcPr>
            <w:tcW w:w="3200" w:type="dxa"/>
            <w:vAlign w:val="bottom"/>
            <w:gridSpan w:val="6"/>
            <w:shd w:val="clear" w:color="auto" w:fill="004483"/>
          </w:tcPr>
          <w:p>
            <w:pPr>
              <w:jc w:val="right"/>
              <w:ind w:right="419"/>
              <w:spacing w:after="0"/>
              <w:rPr>
                <w:sz w:val="20"/>
                <w:szCs w:val="20"/>
                <w:color w:val="auto"/>
              </w:rPr>
            </w:pPr>
            <w:r>
              <w:rPr>
                <w:rFonts w:ascii="Arial" w:cs="Arial" w:eastAsia="Arial" w:hAnsi="Arial"/>
                <w:sz w:val="13"/>
                <w:szCs w:val="13"/>
                <w:b w:val="1"/>
                <w:bCs w:val="1"/>
                <w:color w:val="FFFFFF"/>
              </w:rPr>
              <w:t>For the Three Months Ended December 31,</w:t>
            </w:r>
          </w:p>
        </w:tc>
        <w:tc>
          <w:tcPr>
            <w:tcW w:w="1460" w:type="dxa"/>
            <w:vAlign w:val="bottom"/>
            <w:gridSpan w:val="2"/>
            <w:vMerge w:val="restart"/>
          </w:tcPr>
          <w:p>
            <w:pPr>
              <w:jc w:val="right"/>
              <w:ind w:right="15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0" w:type="dxa"/>
            <w:vAlign w:val="bottom"/>
            <w:gridSpan w:val="6"/>
          </w:tcPr>
          <w:p>
            <w:pPr>
              <w:jc w:val="right"/>
              <w:ind w:right="579"/>
              <w:spacing w:after="0"/>
              <w:rPr>
                <w:sz w:val="20"/>
                <w:szCs w:val="20"/>
                <w:color w:val="auto"/>
              </w:rPr>
            </w:pPr>
            <w:r>
              <w:rPr>
                <w:rFonts w:ascii="Arial" w:cs="Arial" w:eastAsia="Arial" w:hAnsi="Arial"/>
                <w:sz w:val="13"/>
                <w:szCs w:val="13"/>
                <w:color w:val="auto"/>
              </w:rPr>
              <w:t>(dollars in thousands, except per share)</w:t>
            </w: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20" w:type="dxa"/>
            <w:vAlign w:val="bottom"/>
            <w:tcBorders>
              <w:top w:val="single" w:sz="8" w:color="004483"/>
              <w:bottom w:val="single" w:sz="8" w:color="A6A6A6"/>
            </w:tcBorders>
            <w:gridSpan w:val="2"/>
          </w:tcPr>
          <w:p>
            <w:pPr>
              <w:ind w:left="20"/>
              <w:spacing w:after="0"/>
              <w:rPr>
                <w:sz w:val="20"/>
                <w:szCs w:val="20"/>
                <w:color w:val="auto"/>
              </w:rPr>
            </w:pPr>
            <w:r>
              <w:rPr>
                <w:rFonts w:ascii="Arial" w:cs="Arial" w:eastAsia="Arial" w:hAnsi="Arial"/>
                <w:sz w:val="16"/>
                <w:szCs w:val="16"/>
                <w:color w:val="004483"/>
              </w:rPr>
              <w:t>Revenue</w:t>
            </w:r>
          </w:p>
        </w:tc>
        <w:tc>
          <w:tcPr>
            <w:tcW w:w="240" w:type="dxa"/>
            <w:vAlign w:val="bottom"/>
            <w:tcBorders>
              <w:top w:val="single" w:sz="8" w:color="004483"/>
              <w:bottom w:val="single" w:sz="8" w:color="A6A6A6"/>
            </w:tcBorders>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558,025</w:t>
            </w:r>
          </w:p>
        </w:tc>
        <w:tc>
          <w:tcPr>
            <w:tcW w:w="120" w:type="dxa"/>
            <w:vAlign w:val="bottom"/>
            <w:tcBorders>
              <w:top w:val="single" w:sz="8" w:color="004483"/>
              <w:bottom w:val="single" w:sz="8" w:color="004483"/>
            </w:tcBorders>
            <w:vMerge w:val="restart"/>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004483"/>
              <w:bottom w:val="single" w:sz="8" w:color="A6A6A6"/>
            </w:tcBorders>
            <w:gridSpan w:val="2"/>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558,833</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20" w:type="dxa"/>
            <w:vAlign w:val="bottom"/>
            <w:gridSpan w:val="2"/>
          </w:tcPr>
          <w:p>
            <w:pPr>
              <w:ind w:left="20"/>
              <w:spacing w:after="0" w:line="183" w:lineRule="exact"/>
              <w:rPr>
                <w:sz w:val="20"/>
                <w:szCs w:val="20"/>
                <w:color w:val="auto"/>
              </w:rPr>
            </w:pPr>
            <w:r>
              <w:rPr>
                <w:rFonts w:ascii="Arial" w:cs="Arial" w:eastAsia="Arial" w:hAnsi="Arial"/>
                <w:sz w:val="16"/>
                <w:szCs w:val="16"/>
                <w:color w:val="004483"/>
              </w:rPr>
              <w:t>Cost of Goods Sold</w:t>
            </w:r>
          </w:p>
        </w:tc>
        <w:tc>
          <w:tcPr>
            <w:tcW w:w="240" w:type="dxa"/>
            <w:vAlign w:val="bottom"/>
            <w:tcBorders>
              <w:bottom w:val="single" w:sz="8" w:color="004483"/>
            </w:tcBorders>
          </w:tcPr>
          <w:p>
            <w:pPr>
              <w:spacing w:after="0"/>
              <w:rPr>
                <w:sz w:val="18"/>
                <w:szCs w:val="18"/>
                <w:color w:val="auto"/>
              </w:rPr>
            </w:pPr>
          </w:p>
        </w:tc>
        <w:tc>
          <w:tcPr>
            <w:tcW w:w="13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(380,212</w:t>
            </w:r>
          </w:p>
        </w:tc>
        <w:tc>
          <w:tcPr>
            <w:tcW w:w="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bottom w:val="single" w:sz="8" w:color="004483"/>
            </w:tcBorders>
          </w:tcPr>
          <w:p>
            <w:pPr>
              <w:spacing w:after="0"/>
              <w:rPr>
                <w:sz w:val="18"/>
                <w:szCs w:val="18"/>
                <w:color w:val="auto"/>
              </w:rPr>
            </w:pPr>
          </w:p>
        </w:tc>
        <w:tc>
          <w:tcPr>
            <w:tcW w:w="10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(378,205</w:t>
            </w:r>
          </w:p>
        </w:tc>
        <w:tc>
          <w:tcPr>
            <w:tcW w:w="100" w:type="dxa"/>
            <w:vAlign w:val="bottom"/>
            <w:vMerge w:val="continue"/>
          </w:tcPr>
          <w:p>
            <w:pPr>
              <w:spacing w:after="0"/>
              <w:rPr>
                <w:sz w:val="18"/>
                <w:szCs w:val="18"/>
                <w:color w:val="auto"/>
              </w:rPr>
            </w:pPr>
          </w:p>
        </w:tc>
        <w:tc>
          <w:tcPr>
            <w:tcW w:w="14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183"/>
        </w:trPr>
        <w:tc>
          <w:tcPr>
            <w:tcW w:w="6320" w:type="dxa"/>
            <w:vAlign w:val="bottom"/>
            <w:tcBorders>
              <w:top w:val="single" w:sz="8" w:color="A6A6A6"/>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Gross Profit</w:t>
            </w:r>
          </w:p>
        </w:tc>
        <w:tc>
          <w:tcPr>
            <w:tcW w:w="240" w:type="dxa"/>
            <w:vAlign w:val="bottom"/>
            <w:tcBorders>
              <w:top w:val="single" w:sz="8" w:color="004483"/>
              <w:bottom w:val="single" w:sz="8" w:color="A6A6A6"/>
            </w:tcBorders>
          </w:tcPr>
          <w:p>
            <w:pPr>
              <w:spacing w:after="0"/>
              <w:rPr>
                <w:sz w:val="15"/>
                <w:szCs w:val="15"/>
                <w:color w:val="auto"/>
              </w:rPr>
            </w:pPr>
          </w:p>
        </w:tc>
        <w:tc>
          <w:tcPr>
            <w:tcW w:w="130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177,813</w:t>
            </w:r>
          </w:p>
        </w:tc>
        <w:tc>
          <w:tcPr>
            <w:tcW w:w="12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500" w:type="dxa"/>
            <w:vAlign w:val="bottom"/>
            <w:tcBorders>
              <w:top w:val="single" w:sz="8" w:color="004483"/>
              <w:bottom w:val="single" w:sz="8" w:color="A6A6A6"/>
            </w:tcBorders>
          </w:tcPr>
          <w:p>
            <w:pPr>
              <w:spacing w:after="0"/>
              <w:rPr>
                <w:sz w:val="15"/>
                <w:szCs w:val="15"/>
                <w:color w:val="auto"/>
              </w:rPr>
            </w:pPr>
          </w:p>
        </w:tc>
        <w:tc>
          <w:tcPr>
            <w:tcW w:w="104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180,628</w:t>
            </w:r>
          </w:p>
        </w:tc>
        <w:tc>
          <w:tcPr>
            <w:tcW w:w="100" w:type="dxa"/>
            <w:vAlign w:val="bottom"/>
          </w:tcPr>
          <w:p>
            <w:pPr>
              <w:spacing w:after="0"/>
              <w:rPr>
                <w:sz w:val="15"/>
                <w:szCs w:val="15"/>
                <w:color w:val="auto"/>
              </w:rPr>
            </w:pPr>
          </w:p>
        </w:tc>
        <w:tc>
          <w:tcPr>
            <w:tcW w:w="12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w:t>
            </w:r>
          </w:p>
        </w:tc>
        <w:tc>
          <w:tcPr>
            <w:tcW w:w="200" w:type="dxa"/>
            <w:vAlign w:val="bottom"/>
          </w:tcPr>
          <w:p>
            <w:pPr>
              <w:spacing w:after="0" w:line="183" w:lineRule="exact"/>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83"/>
        </w:trPr>
        <w:tc>
          <w:tcPr>
            <w:tcW w:w="632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Equity in Earnings of Unconsolidated Joint Venture</w:t>
            </w:r>
          </w:p>
        </w:tc>
        <w:tc>
          <w:tcPr>
            <w:tcW w:w="240" w:type="dxa"/>
            <w:vAlign w:val="bottom"/>
            <w:tcBorders>
              <w:bottom w:val="single" w:sz="8" w:color="A6A6A6"/>
            </w:tcBorders>
          </w:tcPr>
          <w:p>
            <w:pPr>
              <w:spacing w:after="0"/>
              <w:rPr>
                <w:sz w:val="15"/>
                <w:szCs w:val="15"/>
                <w:color w:val="auto"/>
              </w:rPr>
            </w:pPr>
          </w:p>
        </w:tc>
        <w:tc>
          <w:tcPr>
            <w:tcW w:w="13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4,987</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9,285</w:t>
            </w:r>
          </w:p>
        </w:tc>
        <w:tc>
          <w:tcPr>
            <w:tcW w:w="100" w:type="dxa"/>
            <w:vAlign w:val="bottom"/>
          </w:tcPr>
          <w:p>
            <w:pPr>
              <w:spacing w:after="0"/>
              <w:rPr>
                <w:sz w:val="15"/>
                <w:szCs w:val="15"/>
                <w:color w:val="auto"/>
              </w:rPr>
            </w:pP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(46</w:t>
            </w:r>
          </w:p>
        </w:tc>
        <w:tc>
          <w:tcPr>
            <w:tcW w:w="200" w:type="dxa"/>
            <w:vAlign w:val="bottom"/>
          </w:tcPr>
          <w:p>
            <w:pPr>
              <w:spacing w:after="0" w:line="183" w:lineRule="exact"/>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83"/>
        </w:trPr>
        <w:tc>
          <w:tcPr>
            <w:tcW w:w="632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Corporate General and Administrative Expense</w:t>
            </w:r>
          </w:p>
        </w:tc>
        <w:tc>
          <w:tcPr>
            <w:tcW w:w="240" w:type="dxa"/>
            <w:vAlign w:val="bottom"/>
            <w:tcBorders>
              <w:bottom w:val="single" w:sz="8" w:color="A6A6A6"/>
            </w:tcBorders>
          </w:tcPr>
          <w:p>
            <w:pPr>
              <w:spacing w:after="0"/>
              <w:rPr>
                <w:sz w:val="15"/>
                <w:szCs w:val="15"/>
                <w:color w:val="auto"/>
              </w:rPr>
            </w:pPr>
          </w:p>
        </w:tc>
        <w:tc>
          <w:tcPr>
            <w:tcW w:w="13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(20,818</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(14,201</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47</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32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Other Non-Operating Income</w:t>
            </w:r>
          </w:p>
        </w:tc>
        <w:tc>
          <w:tcPr>
            <w:tcW w:w="240" w:type="dxa"/>
            <w:vAlign w:val="bottom"/>
            <w:tcBorders>
              <w:bottom w:val="single" w:sz="8" w:color="A6A6A6"/>
            </w:tcBorders>
          </w:tcPr>
          <w:p>
            <w:pPr>
              <w:spacing w:after="0"/>
              <w:rPr>
                <w:sz w:val="15"/>
                <w:szCs w:val="15"/>
                <w:color w:val="auto"/>
              </w:rPr>
            </w:pPr>
          </w:p>
        </w:tc>
        <w:tc>
          <w:tcPr>
            <w:tcW w:w="13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1,381</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1,019</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36</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320" w:type="dxa"/>
            <w:vAlign w:val="bottom"/>
            <w:gridSpan w:val="2"/>
          </w:tcPr>
          <w:p>
            <w:pPr>
              <w:ind w:left="20"/>
              <w:spacing w:after="0" w:line="183" w:lineRule="exact"/>
              <w:rPr>
                <w:sz w:val="20"/>
                <w:szCs w:val="20"/>
                <w:color w:val="auto"/>
              </w:rPr>
            </w:pPr>
            <w:r>
              <w:rPr>
                <w:rFonts w:ascii="Arial" w:cs="Arial" w:eastAsia="Arial" w:hAnsi="Arial"/>
                <w:sz w:val="16"/>
                <w:szCs w:val="16"/>
                <w:color w:val="004483"/>
              </w:rPr>
              <w:t>Interest Expense, net</w:t>
            </w:r>
          </w:p>
        </w:tc>
        <w:tc>
          <w:tcPr>
            <w:tcW w:w="240" w:type="dxa"/>
            <w:vAlign w:val="bottom"/>
            <w:tcBorders>
              <w:bottom w:val="single" w:sz="8" w:color="004483"/>
            </w:tcBorders>
          </w:tcPr>
          <w:p>
            <w:pPr>
              <w:spacing w:after="0"/>
              <w:rPr>
                <w:sz w:val="18"/>
                <w:szCs w:val="18"/>
                <w:color w:val="auto"/>
              </w:rPr>
            </w:pPr>
          </w:p>
        </w:tc>
        <w:tc>
          <w:tcPr>
            <w:tcW w:w="13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(9,061</w:t>
            </w:r>
          </w:p>
        </w:tc>
        <w:tc>
          <w:tcPr>
            <w:tcW w:w="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bottom w:val="single" w:sz="8" w:color="004483"/>
            </w:tcBorders>
          </w:tcPr>
          <w:p>
            <w:pPr>
              <w:spacing w:after="0"/>
              <w:rPr>
                <w:sz w:val="18"/>
                <w:szCs w:val="18"/>
                <w:color w:val="auto"/>
              </w:rPr>
            </w:pPr>
          </w:p>
        </w:tc>
        <w:tc>
          <w:tcPr>
            <w:tcW w:w="10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(10,128</w:t>
            </w:r>
          </w:p>
        </w:tc>
        <w:tc>
          <w:tcPr>
            <w:tcW w:w="100" w:type="dxa"/>
            <w:vAlign w:val="bottom"/>
            <w:vMerge w:val="continue"/>
          </w:tcPr>
          <w:p>
            <w:pPr>
              <w:spacing w:after="0"/>
              <w:rPr>
                <w:sz w:val="18"/>
                <w:szCs w:val="18"/>
                <w:color w:val="auto"/>
              </w:rPr>
            </w:pPr>
          </w:p>
        </w:tc>
        <w:tc>
          <w:tcPr>
            <w:tcW w:w="14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183"/>
        </w:trPr>
        <w:tc>
          <w:tcPr>
            <w:tcW w:w="6320" w:type="dxa"/>
            <w:vAlign w:val="bottom"/>
            <w:tcBorders>
              <w:top w:val="single" w:sz="8" w:color="A6A6A6"/>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Earnings Before Income Taxes</w:t>
            </w:r>
          </w:p>
        </w:tc>
        <w:tc>
          <w:tcPr>
            <w:tcW w:w="240" w:type="dxa"/>
            <w:vAlign w:val="bottom"/>
            <w:tcBorders>
              <w:top w:val="single" w:sz="8" w:color="004483"/>
              <w:bottom w:val="single" w:sz="8" w:color="A6A6A6"/>
            </w:tcBorders>
          </w:tcPr>
          <w:p>
            <w:pPr>
              <w:spacing w:after="0"/>
              <w:rPr>
                <w:sz w:val="15"/>
                <w:szCs w:val="15"/>
                <w:color w:val="auto"/>
              </w:rPr>
            </w:pPr>
          </w:p>
        </w:tc>
        <w:tc>
          <w:tcPr>
            <w:tcW w:w="130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154,302</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6A6A6"/>
              <w:bottom w:val="single" w:sz="8" w:color="A6A6A6"/>
            </w:tcBorders>
          </w:tcPr>
          <w:p>
            <w:pPr>
              <w:spacing w:after="0"/>
              <w:rPr>
                <w:sz w:val="15"/>
                <w:szCs w:val="15"/>
                <w:color w:val="auto"/>
              </w:rPr>
            </w:pPr>
          </w:p>
        </w:tc>
        <w:tc>
          <w:tcPr>
            <w:tcW w:w="500" w:type="dxa"/>
            <w:vAlign w:val="bottom"/>
            <w:tcBorders>
              <w:top w:val="single" w:sz="8" w:color="004483"/>
              <w:bottom w:val="single" w:sz="8" w:color="A6A6A6"/>
            </w:tcBorders>
          </w:tcPr>
          <w:p>
            <w:pPr>
              <w:spacing w:after="0"/>
              <w:rPr>
                <w:sz w:val="15"/>
                <w:szCs w:val="15"/>
                <w:color w:val="auto"/>
              </w:rPr>
            </w:pPr>
          </w:p>
        </w:tc>
        <w:tc>
          <w:tcPr>
            <w:tcW w:w="104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166,603</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w:t>
            </w:r>
          </w:p>
        </w:tc>
        <w:tc>
          <w:tcPr>
            <w:tcW w:w="200" w:type="dxa"/>
            <w:vAlign w:val="bottom"/>
          </w:tcPr>
          <w:p>
            <w:pPr>
              <w:spacing w:after="0" w:line="183" w:lineRule="exact"/>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83"/>
        </w:trPr>
        <w:tc>
          <w:tcPr>
            <w:tcW w:w="6320" w:type="dxa"/>
            <w:vAlign w:val="bottom"/>
            <w:gridSpan w:val="2"/>
          </w:tcPr>
          <w:p>
            <w:pPr>
              <w:ind w:left="20"/>
              <w:spacing w:after="0" w:line="183" w:lineRule="exact"/>
              <w:rPr>
                <w:sz w:val="20"/>
                <w:szCs w:val="20"/>
                <w:color w:val="auto"/>
              </w:rPr>
            </w:pPr>
            <w:r>
              <w:rPr>
                <w:rFonts w:ascii="Arial" w:cs="Arial" w:eastAsia="Arial" w:hAnsi="Arial"/>
                <w:sz w:val="16"/>
                <w:szCs w:val="16"/>
                <w:color w:val="004483"/>
              </w:rPr>
              <w:t>Income Tax Expense</w:t>
            </w:r>
          </w:p>
        </w:tc>
        <w:tc>
          <w:tcPr>
            <w:tcW w:w="240" w:type="dxa"/>
            <w:vAlign w:val="bottom"/>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(34,728</w:t>
            </w:r>
          </w:p>
        </w:tc>
        <w:tc>
          <w:tcPr>
            <w:tcW w:w="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(37,465</w:t>
            </w:r>
          </w:p>
        </w:tc>
        <w:tc>
          <w:tcPr>
            <w:tcW w:w="100" w:type="dxa"/>
            <w:vAlign w:val="bottom"/>
            <w:vMerge w:val="continue"/>
          </w:tcPr>
          <w:p>
            <w:pPr>
              <w:spacing w:after="0"/>
              <w:rPr>
                <w:sz w:val="15"/>
                <w:szCs w:val="15"/>
                <w:color w:val="auto"/>
              </w:rPr>
            </w:pPr>
          </w:p>
        </w:tc>
        <w:tc>
          <w:tcPr>
            <w:tcW w:w="14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7"/>
        </w:trPr>
        <w:tc>
          <w:tcPr>
            <w:tcW w:w="6180" w:type="dxa"/>
            <w:vAlign w:val="bottom"/>
            <w:tcBorders>
              <w:bottom w:val="single" w:sz="8" w:color="A6A6A6"/>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130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500" w:type="dxa"/>
            <w:vAlign w:val="bottom"/>
            <w:tcBorders>
              <w:bottom w:val="single" w:sz="8" w:color="004483"/>
            </w:tcBorders>
            <w:shd w:val="clear" w:color="auto" w:fill="004483"/>
          </w:tcPr>
          <w:p>
            <w:pPr>
              <w:spacing w:after="0"/>
              <w:rPr>
                <w:sz w:val="2"/>
                <w:szCs w:val="2"/>
                <w:color w:val="auto"/>
              </w:rPr>
            </w:pPr>
          </w:p>
        </w:tc>
        <w:tc>
          <w:tcPr>
            <w:tcW w:w="10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6A6A6"/>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1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Net Earnings</w:t>
            </w:r>
          </w:p>
        </w:tc>
        <w:tc>
          <w:tcPr>
            <w:tcW w:w="140" w:type="dxa"/>
            <w:vAlign w:val="bottom"/>
            <w:vMerge w:val="continue"/>
          </w:tcPr>
          <w:p>
            <w:pPr>
              <w:spacing w:after="0"/>
              <w:rPr>
                <w:sz w:val="15"/>
                <w:szCs w:val="15"/>
                <w:color w:val="auto"/>
              </w:rPr>
            </w:pPr>
          </w:p>
        </w:tc>
        <w:tc>
          <w:tcPr>
            <w:tcW w:w="240" w:type="dxa"/>
            <w:vAlign w:val="bottom"/>
            <w:tcBorders>
              <w:bottom w:val="single" w:sz="8" w:color="004483"/>
            </w:tcBorders>
          </w:tcPr>
          <w:p>
            <w:pPr>
              <w:jc w:val="right"/>
              <w:ind w:right="59"/>
              <w:spacing w:after="0" w:line="183" w:lineRule="exact"/>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119,574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bottom w:val="single" w:sz="8" w:color="004483"/>
            </w:tcBorders>
          </w:tcPr>
          <w:p>
            <w:pPr>
              <w:jc w:val="right"/>
              <w:ind w:right="319"/>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129,138</w:t>
            </w:r>
          </w:p>
        </w:tc>
        <w:tc>
          <w:tcPr>
            <w:tcW w:w="100" w:type="dxa"/>
            <w:vAlign w:val="bottom"/>
          </w:tcPr>
          <w:p>
            <w:pPr>
              <w:spacing w:after="0"/>
              <w:rPr>
                <w:sz w:val="15"/>
                <w:szCs w:val="15"/>
                <w:color w:val="auto"/>
              </w:rPr>
            </w:pPr>
          </w:p>
        </w:tc>
        <w:tc>
          <w:tcPr>
            <w:tcW w:w="146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(7 )%</w:t>
            </w:r>
          </w:p>
        </w:tc>
        <w:tc>
          <w:tcPr>
            <w:tcW w:w="0" w:type="dxa"/>
            <w:vAlign w:val="bottom"/>
          </w:tcPr>
          <w:p>
            <w:pPr>
              <w:spacing w:after="0"/>
              <w:rPr>
                <w:sz w:val="1"/>
                <w:szCs w:val="1"/>
                <w:color w:val="auto"/>
              </w:rPr>
            </w:pPr>
          </w:p>
        </w:tc>
      </w:tr>
      <w:tr>
        <w:trPr>
          <w:trHeight w:val="20"/>
        </w:trPr>
        <w:tc>
          <w:tcPr>
            <w:tcW w:w="618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3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320" w:type="dxa"/>
            <w:vAlign w:val="bottom"/>
            <w:gridSpan w:val="2"/>
          </w:tcPr>
          <w:p>
            <w:pPr>
              <w:ind w:left="20"/>
              <w:spacing w:after="0" w:line="170" w:lineRule="exact"/>
              <w:rPr>
                <w:sz w:val="20"/>
                <w:szCs w:val="20"/>
                <w:color w:val="auto"/>
              </w:rPr>
            </w:pPr>
            <w:r>
              <w:rPr>
                <w:rFonts w:ascii="Arial" w:cs="Arial" w:eastAsia="Arial" w:hAnsi="Arial"/>
                <w:sz w:val="16"/>
                <w:szCs w:val="16"/>
                <w:b w:val="1"/>
                <w:bCs w:val="1"/>
                <w:color w:val="auto"/>
              </w:rPr>
              <w:t>Diluted Earnings per Share</w:t>
            </w:r>
          </w:p>
        </w:tc>
        <w:tc>
          <w:tcPr>
            <w:tcW w:w="240" w:type="dxa"/>
            <w:vAlign w:val="bottom"/>
            <w:tcBorders>
              <w:bottom w:val="single" w:sz="8" w:color="004483"/>
            </w:tcBorders>
          </w:tcPr>
          <w:p>
            <w:pPr>
              <w:jc w:val="right"/>
              <w:ind w:right="59"/>
              <w:spacing w:after="0" w:line="170" w:lineRule="exact"/>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3.56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004483"/>
            </w:tcBorders>
          </w:tcPr>
          <w:p>
            <w:pPr>
              <w:jc w:val="right"/>
              <w:ind w:right="319"/>
              <w:spacing w:after="0" w:line="170"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3.72</w:t>
            </w:r>
          </w:p>
        </w:tc>
        <w:tc>
          <w:tcPr>
            <w:tcW w:w="100" w:type="dxa"/>
            <w:vAlign w:val="bottom"/>
          </w:tcPr>
          <w:p>
            <w:pPr>
              <w:spacing w:after="0"/>
              <w:rPr>
                <w:sz w:val="14"/>
                <w:szCs w:val="14"/>
                <w:color w:val="auto"/>
              </w:rPr>
            </w:pPr>
          </w:p>
        </w:tc>
        <w:tc>
          <w:tcPr>
            <w:tcW w:w="1460" w:type="dxa"/>
            <w:vAlign w:val="bottom"/>
            <w:gridSpan w:val="2"/>
          </w:tcPr>
          <w:p>
            <w:pPr>
              <w:jc w:val="right"/>
              <w:spacing w:after="0" w:line="170" w:lineRule="exact"/>
              <w:rPr>
                <w:sz w:val="20"/>
                <w:szCs w:val="20"/>
                <w:color w:val="auto"/>
              </w:rPr>
            </w:pPr>
            <w:r>
              <w:rPr>
                <w:rFonts w:ascii="Arial" w:cs="Arial" w:eastAsia="Arial" w:hAnsi="Arial"/>
                <w:sz w:val="16"/>
                <w:szCs w:val="16"/>
                <w:b w:val="1"/>
                <w:bCs w:val="1"/>
                <w:color w:val="auto"/>
              </w:rPr>
              <w:t>(4 )%</w:t>
            </w:r>
          </w:p>
        </w:tc>
        <w:tc>
          <w:tcPr>
            <w:tcW w:w="0" w:type="dxa"/>
            <w:vAlign w:val="bottom"/>
          </w:tcPr>
          <w:p>
            <w:pPr>
              <w:spacing w:after="0"/>
              <w:rPr>
                <w:sz w:val="1"/>
                <w:szCs w:val="1"/>
                <w:color w:val="auto"/>
              </w:rPr>
            </w:pPr>
          </w:p>
        </w:tc>
      </w:tr>
      <w:tr>
        <w:trPr>
          <w:trHeight w:val="20"/>
        </w:trPr>
        <w:tc>
          <w:tcPr>
            <w:tcW w:w="618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3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04"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Revenue decreased by $0.8 million to $558.0 million for the three months ended December 31, 2024. The Kentucky Acquisition contributed $3.1 million of Revenue during the three months ended December 31, 2024. Excluding the Kentucky Acquisition, Revenue decreased by $3.9 million. This decrease was due to lower Sales Volume, which adversely affected Revenue by approximately $18.1 million, and was partially offset by higher gross sales prices, which increased Revenue by $14.2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04"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Cost of Goods Sold increased by $ 2.0 million, or 1%, to $380.2 million for the three months ended December 31, 2024. The Kentucky Acquisition contributed $3.4 million of Cost of Goods Sold during the three months ended December 31, 2024. Excluding the Kentucky Acquisition, Cost of Goods Sold decreased by $1.4 million. The decrease was due to lower Sales Volume of $12.0 million, partially offset by higher operating costs of $10.6 million. Higher operating costs were primarily related to our Cement and Concrete and Aggregates businesses and are discussed further in the segment analysis.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Gross Profit decreased 2% to $177.8 million during the three months ended December 31, 2024. The decrease was primarily related to higher operating costs and lower Sales Volume, partially offset by higher gross sales prices. The gross margin remained consistent at 32%, with higher operating costs being offset by a rise in gross sales prices.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OF UNCONSOLIDATED JOINT VENTURE</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Equity in Earnings of our Unconsolidated Joint Venture decreased $4.3 million, or 46%, for the three months ended December 31, 2024. The decrease was primarily due to lower gross sales prices and higher operating costs, which reduced earnings by approximately $0.2 million and $4.1 million, respectively. The increase in operating costs was primarily due to higher maintenance costs of approximately $4.5 million.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3"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CORPORATE GENERAL AND ADMINISTRATIVE</w:t>
      </w:r>
    </w:p>
    <w:p>
      <w:pPr>
        <w:spacing w:after="0" w:line="10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Corporate General and Administrative expenses increased by approximately $6.6 million, or 47%, for the three months ended December 31, 2024, primarily because of increases in information technology, compensation, and professional costs of $1.9 million, $1.7 million, and $1.3 million, respectively. The increase in professional costs includes costs associated with business development and transaction related activities.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Other Non-Operating Income consists of a variety of items that are unrelated to segment operations and include non-inventoried Aggregates income, asset sales, and other miscellaneous income and cost items.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0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Interest Expense, net decreased by approximately $1.0 million, or 11%, during the three months ended December 31, 2024. The decrease resulted from lower interest on our Revolving Credit Facility, which was due to both lower interest rates and lower average balances outstanding during the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INCOME TAXES</w:t>
      </w:r>
    </w:p>
    <w:p>
      <w:pPr>
        <w:spacing w:after="0" w:line="10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Earnings Before Income Taxes decreased to $154.3 million during the three months ended December 31, 2024, primarily because of lower Gross Profit and Equity in Earnings of Unconsolidated Joint Venture and higher Corporate General and Administrative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0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Income Tax Expense was $ 34.7 million for the three months ended December 31, 2024, compared with $37.5 million for the three months ended December 31, 2023. The effective tax rate was consistent at 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Net Earnings decreased 7% to $119.6 million for the three months ended December 31, 2024, as discussed above.</w:t>
      </w: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8" w:right="41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DECEMBER 31, 2024, COMPARED WITH NINE MONTHS ENDED DECEMBER 31, 2023</w:t>
      </w:r>
    </w:p>
    <w:tbl>
      <w:tblPr>
        <w:tblLayout w:type="fixed"/>
        <w:tblInd w:w="0" w:type="dxa"/>
        <w:tblCellMar>
          <w:top w:w="0" w:type="dxa"/>
          <w:left w:w="0" w:type="dxa"/>
          <w:bottom w:w="0" w:type="dxa"/>
          <w:right w:w="0" w:type="dxa"/>
        </w:tblCellMar>
      </w:tblPr>
      <w:tr>
        <w:trPr>
          <w:trHeight w:val="149"/>
        </w:trPr>
        <w:tc>
          <w:tcPr>
            <w:tcW w:w="6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shd w:val="clear" w:color="auto" w:fill="004483"/>
          </w:tcPr>
          <w:p>
            <w:pPr>
              <w:spacing w:after="0"/>
              <w:rPr>
                <w:sz w:val="12"/>
                <w:szCs w:val="12"/>
                <w:color w:val="auto"/>
              </w:rPr>
            </w:pPr>
          </w:p>
        </w:tc>
        <w:tc>
          <w:tcPr>
            <w:tcW w:w="3180" w:type="dxa"/>
            <w:vAlign w:val="bottom"/>
            <w:gridSpan w:val="6"/>
            <w:shd w:val="clear" w:color="auto" w:fill="004483"/>
          </w:tcPr>
          <w:p>
            <w:pPr>
              <w:jc w:val="right"/>
              <w:ind w:right="439"/>
              <w:spacing w:after="0"/>
              <w:rPr>
                <w:sz w:val="20"/>
                <w:szCs w:val="20"/>
                <w:color w:val="auto"/>
              </w:rPr>
            </w:pPr>
            <w:r>
              <w:rPr>
                <w:rFonts w:ascii="Arial" w:cs="Arial" w:eastAsia="Arial" w:hAnsi="Arial"/>
                <w:sz w:val="13"/>
                <w:szCs w:val="13"/>
                <w:b w:val="1"/>
                <w:bCs w:val="1"/>
                <w:color w:val="FFFFFF"/>
              </w:rPr>
              <w:t>For the Nine Months Ended December 31,</w:t>
            </w:r>
          </w:p>
        </w:tc>
        <w:tc>
          <w:tcPr>
            <w:tcW w:w="1460" w:type="dxa"/>
            <w:vAlign w:val="bottom"/>
            <w:gridSpan w:val="2"/>
            <w:vMerge w:val="restart"/>
          </w:tcPr>
          <w:p>
            <w:pPr>
              <w:jc w:val="right"/>
              <w:ind w:right="15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80" w:type="dxa"/>
            <w:vAlign w:val="bottom"/>
            <w:gridSpan w:val="6"/>
          </w:tcPr>
          <w:p>
            <w:pPr>
              <w:jc w:val="right"/>
              <w:ind w:right="579"/>
              <w:spacing w:after="0"/>
              <w:rPr>
                <w:sz w:val="20"/>
                <w:szCs w:val="20"/>
                <w:color w:val="auto"/>
              </w:rPr>
            </w:pPr>
            <w:r>
              <w:rPr>
                <w:rFonts w:ascii="Arial" w:cs="Arial" w:eastAsia="Arial" w:hAnsi="Arial"/>
                <w:sz w:val="13"/>
                <w:szCs w:val="13"/>
                <w:color w:val="auto"/>
              </w:rPr>
              <w:t>(dollars in thousands, except per share)</w:t>
            </w: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20" w:type="dxa"/>
            <w:vAlign w:val="bottom"/>
            <w:tcBorders>
              <w:top w:val="single" w:sz="8" w:color="004483"/>
              <w:bottom w:val="single" w:sz="8" w:color="A6A6A6"/>
            </w:tcBorders>
            <w:gridSpan w:val="2"/>
          </w:tcPr>
          <w:p>
            <w:pPr>
              <w:ind w:left="20"/>
              <w:spacing w:after="0"/>
              <w:rPr>
                <w:sz w:val="20"/>
                <w:szCs w:val="20"/>
                <w:color w:val="auto"/>
              </w:rPr>
            </w:pPr>
            <w:r>
              <w:rPr>
                <w:rFonts w:ascii="Arial" w:cs="Arial" w:eastAsia="Arial" w:hAnsi="Arial"/>
                <w:sz w:val="16"/>
                <w:szCs w:val="16"/>
                <w:color w:val="004483"/>
              </w:rPr>
              <w:t>Revenue</w:t>
            </w:r>
          </w:p>
        </w:tc>
        <w:tc>
          <w:tcPr>
            <w:tcW w:w="260" w:type="dxa"/>
            <w:vAlign w:val="bottom"/>
            <w:tcBorders>
              <w:top w:val="single" w:sz="8" w:color="004483"/>
              <w:bottom w:val="single" w:sz="8" w:color="A6A6A6"/>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1,790,333</w:t>
            </w:r>
          </w:p>
        </w:tc>
        <w:tc>
          <w:tcPr>
            <w:tcW w:w="120" w:type="dxa"/>
            <w:vAlign w:val="bottom"/>
            <w:tcBorders>
              <w:top w:val="single" w:sz="8" w:color="004483"/>
              <w:bottom w:val="single" w:sz="8" w:color="004483"/>
            </w:tcBorders>
            <w:vMerge w:val="restart"/>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004483"/>
              <w:bottom w:val="single" w:sz="8" w:color="A6A6A6"/>
            </w:tcBorders>
            <w:gridSpan w:val="2"/>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1,782,590</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320" w:type="dxa"/>
            <w:vAlign w:val="bottom"/>
            <w:gridSpan w:val="2"/>
          </w:tcPr>
          <w:p>
            <w:pPr>
              <w:ind w:left="20"/>
              <w:spacing w:after="0" w:line="183" w:lineRule="exact"/>
              <w:rPr>
                <w:sz w:val="20"/>
                <w:szCs w:val="20"/>
                <w:color w:val="auto"/>
              </w:rPr>
            </w:pPr>
            <w:r>
              <w:rPr>
                <w:rFonts w:ascii="Arial" w:cs="Arial" w:eastAsia="Arial" w:hAnsi="Arial"/>
                <w:sz w:val="16"/>
                <w:szCs w:val="16"/>
                <w:color w:val="004483"/>
              </w:rPr>
              <w:t>Cost of Goods Sold</w:t>
            </w:r>
          </w:p>
        </w:tc>
        <w:tc>
          <w:tcPr>
            <w:tcW w:w="260" w:type="dxa"/>
            <w:vAlign w:val="bottom"/>
            <w:tcBorders>
              <w:bottom w:val="single" w:sz="8" w:color="004483"/>
            </w:tcBorders>
          </w:tcPr>
          <w:p>
            <w:pPr>
              <w:spacing w:after="0"/>
              <w:rPr>
                <w:sz w:val="18"/>
                <w:szCs w:val="18"/>
                <w:color w:val="auto"/>
              </w:rPr>
            </w:pPr>
          </w:p>
        </w:tc>
        <w:tc>
          <w:tcPr>
            <w:tcW w:w="12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(1,221,808</w:t>
            </w:r>
          </w:p>
        </w:tc>
        <w:tc>
          <w:tcPr>
            <w:tcW w:w="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(1,216,949</w:t>
            </w:r>
          </w:p>
        </w:tc>
        <w:tc>
          <w:tcPr>
            <w:tcW w:w="100" w:type="dxa"/>
            <w:vAlign w:val="bottom"/>
            <w:vMerge w:val="continue"/>
          </w:tcPr>
          <w:p>
            <w:pPr>
              <w:spacing w:after="0"/>
              <w:rPr>
                <w:sz w:val="18"/>
                <w:szCs w:val="18"/>
                <w:color w:val="auto"/>
              </w:rPr>
            </w:pPr>
          </w:p>
        </w:tc>
        <w:tc>
          <w:tcPr>
            <w:tcW w:w="1460" w:type="dxa"/>
            <w:vAlign w:val="bottom"/>
            <w:gridSpan w:val="2"/>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320" w:type="dxa"/>
            <w:vAlign w:val="bottom"/>
            <w:tcBorders>
              <w:top w:val="single" w:sz="8" w:color="A6A6A6"/>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Gross Profit</w:t>
            </w:r>
          </w:p>
        </w:tc>
        <w:tc>
          <w:tcPr>
            <w:tcW w:w="260" w:type="dxa"/>
            <w:vAlign w:val="bottom"/>
            <w:tcBorders>
              <w:top w:val="single" w:sz="8" w:color="004483"/>
              <w:bottom w:val="single" w:sz="8" w:color="A6A6A6"/>
            </w:tcBorders>
          </w:tcPr>
          <w:p>
            <w:pPr>
              <w:spacing w:after="0"/>
              <w:rPr>
                <w:sz w:val="15"/>
                <w:szCs w:val="15"/>
                <w:color w:val="auto"/>
              </w:rPr>
            </w:pPr>
          </w:p>
        </w:tc>
        <w:tc>
          <w:tcPr>
            <w:tcW w:w="128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568,525</w:t>
            </w:r>
          </w:p>
        </w:tc>
        <w:tc>
          <w:tcPr>
            <w:tcW w:w="12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420" w:type="dxa"/>
            <w:vAlign w:val="bottom"/>
            <w:tcBorders>
              <w:top w:val="single" w:sz="8" w:color="004483"/>
              <w:bottom w:val="single" w:sz="8" w:color="A6A6A6"/>
            </w:tcBorders>
          </w:tcPr>
          <w:p>
            <w:pPr>
              <w:spacing w:after="0"/>
              <w:rPr>
                <w:sz w:val="15"/>
                <w:szCs w:val="15"/>
                <w:color w:val="auto"/>
              </w:rPr>
            </w:pPr>
          </w:p>
        </w:tc>
        <w:tc>
          <w:tcPr>
            <w:tcW w:w="112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565,641</w:t>
            </w:r>
          </w:p>
        </w:tc>
        <w:tc>
          <w:tcPr>
            <w:tcW w:w="100" w:type="dxa"/>
            <w:vAlign w:val="bottom"/>
          </w:tcPr>
          <w:p>
            <w:pPr>
              <w:spacing w:after="0"/>
              <w:rPr>
                <w:sz w:val="15"/>
                <w:szCs w:val="15"/>
                <w:color w:val="auto"/>
              </w:rPr>
            </w:pPr>
          </w:p>
        </w:tc>
        <w:tc>
          <w:tcPr>
            <w:tcW w:w="12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32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Equity in Earnings of Unconsolidated Joint Venture</w:t>
            </w:r>
          </w:p>
        </w:tc>
        <w:tc>
          <w:tcPr>
            <w:tcW w:w="260" w:type="dxa"/>
            <w:vAlign w:val="bottom"/>
            <w:tcBorders>
              <w:bottom w:val="single" w:sz="8" w:color="A6A6A6"/>
            </w:tcBorders>
          </w:tcPr>
          <w:p>
            <w:pPr>
              <w:spacing w:after="0"/>
              <w:rPr>
                <w:sz w:val="15"/>
                <w:szCs w:val="15"/>
                <w:color w:val="auto"/>
              </w:rPr>
            </w:pPr>
          </w:p>
        </w:tc>
        <w:tc>
          <w:tcPr>
            <w:tcW w:w="12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21,979</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22,790</w:t>
            </w:r>
          </w:p>
        </w:tc>
        <w:tc>
          <w:tcPr>
            <w:tcW w:w="100" w:type="dxa"/>
            <w:vAlign w:val="bottom"/>
          </w:tcPr>
          <w:p>
            <w:pPr>
              <w:spacing w:after="0"/>
              <w:rPr>
                <w:sz w:val="15"/>
                <w:szCs w:val="15"/>
                <w:color w:val="auto"/>
              </w:rPr>
            </w:pP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w:t>
            </w:r>
          </w:p>
        </w:tc>
        <w:tc>
          <w:tcPr>
            <w:tcW w:w="200" w:type="dxa"/>
            <w:vAlign w:val="bottom"/>
          </w:tcPr>
          <w:p>
            <w:pPr>
              <w:spacing w:after="0" w:line="183" w:lineRule="exact"/>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83"/>
        </w:trPr>
        <w:tc>
          <w:tcPr>
            <w:tcW w:w="632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Corporate General and Administrative Expense</w:t>
            </w:r>
          </w:p>
        </w:tc>
        <w:tc>
          <w:tcPr>
            <w:tcW w:w="260" w:type="dxa"/>
            <w:vAlign w:val="bottom"/>
            <w:tcBorders>
              <w:bottom w:val="single" w:sz="8" w:color="A6A6A6"/>
            </w:tcBorders>
          </w:tcPr>
          <w:p>
            <w:pPr>
              <w:spacing w:after="0"/>
              <w:rPr>
                <w:sz w:val="15"/>
                <w:szCs w:val="15"/>
                <w:color w:val="auto"/>
              </w:rPr>
            </w:pPr>
          </w:p>
        </w:tc>
        <w:tc>
          <w:tcPr>
            <w:tcW w:w="12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(54,346</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(42,456</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28</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32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Other Non-Operating Income</w:t>
            </w:r>
          </w:p>
        </w:tc>
        <w:tc>
          <w:tcPr>
            <w:tcW w:w="260" w:type="dxa"/>
            <w:vAlign w:val="bottom"/>
            <w:tcBorders>
              <w:bottom w:val="single" w:sz="8" w:color="A6A6A6"/>
            </w:tcBorders>
          </w:tcPr>
          <w:p>
            <w:pPr>
              <w:spacing w:after="0"/>
              <w:rPr>
                <w:sz w:val="15"/>
                <w:szCs w:val="15"/>
                <w:color w:val="auto"/>
              </w:rPr>
            </w:pPr>
          </w:p>
        </w:tc>
        <w:tc>
          <w:tcPr>
            <w:tcW w:w="12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4,788</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2,837</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69</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320" w:type="dxa"/>
            <w:vAlign w:val="bottom"/>
            <w:gridSpan w:val="2"/>
          </w:tcPr>
          <w:p>
            <w:pPr>
              <w:ind w:left="20"/>
              <w:spacing w:after="0" w:line="183" w:lineRule="exact"/>
              <w:rPr>
                <w:sz w:val="20"/>
                <w:szCs w:val="20"/>
                <w:color w:val="auto"/>
              </w:rPr>
            </w:pPr>
            <w:r>
              <w:rPr>
                <w:rFonts w:ascii="Arial" w:cs="Arial" w:eastAsia="Arial" w:hAnsi="Arial"/>
                <w:sz w:val="16"/>
                <w:szCs w:val="16"/>
                <w:color w:val="004483"/>
              </w:rPr>
              <w:t>Interest Expense, net</w:t>
            </w:r>
          </w:p>
        </w:tc>
        <w:tc>
          <w:tcPr>
            <w:tcW w:w="260" w:type="dxa"/>
            <w:vAlign w:val="bottom"/>
            <w:tcBorders>
              <w:bottom w:val="single" w:sz="8" w:color="004483"/>
            </w:tcBorders>
          </w:tcPr>
          <w:p>
            <w:pPr>
              <w:spacing w:after="0"/>
              <w:rPr>
                <w:sz w:val="18"/>
                <w:szCs w:val="18"/>
                <w:color w:val="auto"/>
              </w:rPr>
            </w:pPr>
          </w:p>
        </w:tc>
        <w:tc>
          <w:tcPr>
            <w:tcW w:w="12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(30,459</w:t>
            </w:r>
          </w:p>
        </w:tc>
        <w:tc>
          <w:tcPr>
            <w:tcW w:w="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(32,571</w:t>
            </w:r>
          </w:p>
        </w:tc>
        <w:tc>
          <w:tcPr>
            <w:tcW w:w="100" w:type="dxa"/>
            <w:vAlign w:val="bottom"/>
            <w:vMerge w:val="continue"/>
          </w:tcPr>
          <w:p>
            <w:pPr>
              <w:spacing w:after="0"/>
              <w:rPr>
                <w:sz w:val="18"/>
                <w:szCs w:val="18"/>
                <w:color w:val="auto"/>
              </w:rPr>
            </w:pPr>
          </w:p>
        </w:tc>
        <w:tc>
          <w:tcPr>
            <w:tcW w:w="14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183"/>
        </w:trPr>
        <w:tc>
          <w:tcPr>
            <w:tcW w:w="6320" w:type="dxa"/>
            <w:vAlign w:val="bottom"/>
            <w:tcBorders>
              <w:top w:val="single" w:sz="8" w:color="A6A6A6"/>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Earnings Before Income Taxes</w:t>
            </w:r>
          </w:p>
        </w:tc>
        <w:tc>
          <w:tcPr>
            <w:tcW w:w="260" w:type="dxa"/>
            <w:vAlign w:val="bottom"/>
            <w:tcBorders>
              <w:top w:val="single" w:sz="8" w:color="004483"/>
              <w:bottom w:val="single" w:sz="8" w:color="A6A6A6"/>
            </w:tcBorders>
          </w:tcPr>
          <w:p>
            <w:pPr>
              <w:spacing w:after="0"/>
              <w:rPr>
                <w:sz w:val="15"/>
                <w:szCs w:val="15"/>
                <w:color w:val="auto"/>
              </w:rPr>
            </w:pPr>
          </w:p>
        </w:tc>
        <w:tc>
          <w:tcPr>
            <w:tcW w:w="128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510,487</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6A6A6"/>
              <w:bottom w:val="single" w:sz="8" w:color="A6A6A6"/>
            </w:tcBorders>
          </w:tcPr>
          <w:p>
            <w:pPr>
              <w:spacing w:after="0"/>
              <w:rPr>
                <w:sz w:val="15"/>
                <w:szCs w:val="15"/>
                <w:color w:val="auto"/>
              </w:rPr>
            </w:pPr>
          </w:p>
        </w:tc>
        <w:tc>
          <w:tcPr>
            <w:tcW w:w="420" w:type="dxa"/>
            <w:vAlign w:val="bottom"/>
            <w:tcBorders>
              <w:top w:val="single" w:sz="8" w:color="004483"/>
              <w:bottom w:val="single" w:sz="8" w:color="A6A6A6"/>
            </w:tcBorders>
          </w:tcPr>
          <w:p>
            <w:pPr>
              <w:spacing w:after="0"/>
              <w:rPr>
                <w:sz w:val="15"/>
                <w:szCs w:val="15"/>
                <w:color w:val="auto"/>
              </w:rPr>
            </w:pPr>
          </w:p>
        </w:tc>
        <w:tc>
          <w:tcPr>
            <w:tcW w:w="112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516,241</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w:t>
            </w:r>
          </w:p>
        </w:tc>
        <w:tc>
          <w:tcPr>
            <w:tcW w:w="200" w:type="dxa"/>
            <w:vAlign w:val="bottom"/>
          </w:tcPr>
          <w:p>
            <w:pPr>
              <w:spacing w:after="0" w:line="183" w:lineRule="exact"/>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83"/>
        </w:trPr>
        <w:tc>
          <w:tcPr>
            <w:tcW w:w="6320" w:type="dxa"/>
            <w:vAlign w:val="bottom"/>
            <w:gridSpan w:val="2"/>
          </w:tcPr>
          <w:p>
            <w:pPr>
              <w:ind w:left="20"/>
              <w:spacing w:after="0" w:line="183" w:lineRule="exact"/>
              <w:rPr>
                <w:sz w:val="20"/>
                <w:szCs w:val="20"/>
                <w:color w:val="auto"/>
              </w:rPr>
            </w:pPr>
            <w:r>
              <w:rPr>
                <w:rFonts w:ascii="Arial" w:cs="Arial" w:eastAsia="Arial" w:hAnsi="Arial"/>
                <w:sz w:val="16"/>
                <w:szCs w:val="16"/>
                <w:color w:val="004483"/>
              </w:rPr>
              <w:t>Income Tax Expense</w:t>
            </w:r>
          </w:p>
        </w:tc>
        <w:tc>
          <w:tcPr>
            <w:tcW w:w="260" w:type="dxa"/>
            <w:vAlign w:val="bottom"/>
          </w:tcPr>
          <w:p>
            <w:pPr>
              <w:spacing w:after="0"/>
              <w:rPr>
                <w:sz w:val="15"/>
                <w:szCs w:val="15"/>
                <w:color w:val="auto"/>
              </w:rPr>
            </w:pP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(113,551</w:t>
            </w:r>
          </w:p>
        </w:tc>
        <w:tc>
          <w:tcPr>
            <w:tcW w:w="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(115,701</w:t>
            </w:r>
          </w:p>
        </w:tc>
        <w:tc>
          <w:tcPr>
            <w:tcW w:w="100" w:type="dxa"/>
            <w:vAlign w:val="bottom"/>
            <w:vMerge w:val="continue"/>
          </w:tcPr>
          <w:p>
            <w:pPr>
              <w:spacing w:after="0"/>
              <w:rPr>
                <w:sz w:val="15"/>
                <w:szCs w:val="15"/>
                <w:color w:val="auto"/>
              </w:rPr>
            </w:pPr>
          </w:p>
        </w:tc>
        <w:tc>
          <w:tcPr>
            <w:tcW w:w="14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7"/>
        </w:trPr>
        <w:tc>
          <w:tcPr>
            <w:tcW w:w="6180" w:type="dxa"/>
            <w:vAlign w:val="bottom"/>
            <w:tcBorders>
              <w:bottom w:val="single" w:sz="8" w:color="A6A6A6"/>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60" w:type="dxa"/>
            <w:vAlign w:val="bottom"/>
            <w:tcBorders>
              <w:bottom w:val="single" w:sz="8" w:color="004483"/>
            </w:tcBorders>
            <w:shd w:val="clear" w:color="auto" w:fill="004483"/>
          </w:tcPr>
          <w:p>
            <w:pPr>
              <w:spacing w:after="0"/>
              <w:rPr>
                <w:sz w:val="2"/>
                <w:szCs w:val="2"/>
                <w:color w:val="auto"/>
              </w:rPr>
            </w:pPr>
          </w:p>
        </w:tc>
        <w:tc>
          <w:tcPr>
            <w:tcW w:w="128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420" w:type="dxa"/>
            <w:vAlign w:val="bottom"/>
            <w:tcBorders>
              <w:bottom w:val="single" w:sz="8" w:color="004483"/>
            </w:tcBorders>
            <w:shd w:val="clear" w:color="auto" w:fill="004483"/>
          </w:tcPr>
          <w:p>
            <w:pPr>
              <w:spacing w:after="0"/>
              <w:rPr>
                <w:sz w:val="2"/>
                <w:szCs w:val="2"/>
                <w:color w:val="auto"/>
              </w:rPr>
            </w:pPr>
          </w:p>
        </w:tc>
        <w:tc>
          <w:tcPr>
            <w:tcW w:w="112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6A6A6"/>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1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Net Earnings</w:t>
            </w:r>
          </w:p>
        </w:tc>
        <w:tc>
          <w:tcPr>
            <w:tcW w:w="140" w:type="dxa"/>
            <w:vAlign w:val="bottom"/>
            <w:vMerge w:val="continue"/>
          </w:tcPr>
          <w:p>
            <w:pPr>
              <w:spacing w:after="0"/>
              <w:rPr>
                <w:sz w:val="15"/>
                <w:szCs w:val="15"/>
                <w:color w:val="auto"/>
              </w:rPr>
            </w:pPr>
          </w:p>
        </w:tc>
        <w:tc>
          <w:tcPr>
            <w:tcW w:w="260" w:type="dxa"/>
            <w:vAlign w:val="bottom"/>
            <w:tcBorders>
              <w:bottom w:val="single" w:sz="8" w:color="004483"/>
            </w:tcBorders>
          </w:tcPr>
          <w:p>
            <w:pPr>
              <w:jc w:val="right"/>
              <w:ind w:right="79"/>
              <w:spacing w:after="0" w:line="183" w:lineRule="exact"/>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396,936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Borders>
              <w:bottom w:val="single" w:sz="8" w:color="004483"/>
            </w:tcBorders>
          </w:tcPr>
          <w:p>
            <w:pPr>
              <w:jc w:val="right"/>
              <w:ind w:right="239"/>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400,540</w:t>
            </w:r>
          </w:p>
        </w:tc>
        <w:tc>
          <w:tcPr>
            <w:tcW w:w="100" w:type="dxa"/>
            <w:vAlign w:val="bottom"/>
          </w:tcPr>
          <w:p>
            <w:pPr>
              <w:spacing w:after="0"/>
              <w:rPr>
                <w:sz w:val="15"/>
                <w:szCs w:val="15"/>
                <w:color w:val="auto"/>
              </w:rPr>
            </w:pPr>
          </w:p>
        </w:tc>
        <w:tc>
          <w:tcPr>
            <w:tcW w:w="146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(1 )%</w:t>
            </w:r>
          </w:p>
        </w:tc>
        <w:tc>
          <w:tcPr>
            <w:tcW w:w="0" w:type="dxa"/>
            <w:vAlign w:val="bottom"/>
          </w:tcPr>
          <w:p>
            <w:pPr>
              <w:spacing w:after="0"/>
              <w:rPr>
                <w:sz w:val="1"/>
                <w:szCs w:val="1"/>
                <w:color w:val="auto"/>
              </w:rPr>
            </w:pPr>
          </w:p>
        </w:tc>
      </w:tr>
      <w:tr>
        <w:trPr>
          <w:trHeight w:val="20"/>
        </w:trPr>
        <w:tc>
          <w:tcPr>
            <w:tcW w:w="618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20" w:type="dxa"/>
            <w:vAlign w:val="bottom"/>
            <w:gridSpan w:val="2"/>
          </w:tcPr>
          <w:p>
            <w:pPr>
              <w:ind w:left="20"/>
              <w:spacing w:after="0" w:line="170" w:lineRule="exact"/>
              <w:rPr>
                <w:sz w:val="20"/>
                <w:szCs w:val="20"/>
                <w:color w:val="auto"/>
              </w:rPr>
            </w:pPr>
            <w:r>
              <w:rPr>
                <w:rFonts w:ascii="Arial" w:cs="Arial" w:eastAsia="Arial" w:hAnsi="Arial"/>
                <w:sz w:val="16"/>
                <w:szCs w:val="16"/>
                <w:b w:val="1"/>
                <w:bCs w:val="1"/>
                <w:color w:val="auto"/>
              </w:rPr>
              <w:t>Diluted Earnings per Share</w:t>
            </w:r>
          </w:p>
        </w:tc>
        <w:tc>
          <w:tcPr>
            <w:tcW w:w="260" w:type="dxa"/>
            <w:vAlign w:val="bottom"/>
            <w:tcBorders>
              <w:bottom w:val="single" w:sz="8" w:color="004483"/>
            </w:tcBorders>
          </w:tcPr>
          <w:p>
            <w:pPr>
              <w:jc w:val="right"/>
              <w:ind w:right="79"/>
              <w:spacing w:after="0" w:line="170" w:lineRule="exact"/>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11.75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bottom w:val="single" w:sz="8" w:color="004483"/>
            </w:tcBorders>
          </w:tcPr>
          <w:p>
            <w:pPr>
              <w:jc w:val="right"/>
              <w:ind w:right="239"/>
              <w:spacing w:after="0" w:line="170" w:lineRule="exact"/>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11.38</w:t>
            </w:r>
          </w:p>
        </w:tc>
        <w:tc>
          <w:tcPr>
            <w:tcW w:w="100" w:type="dxa"/>
            <w:vAlign w:val="bottom"/>
          </w:tcPr>
          <w:p>
            <w:pPr>
              <w:spacing w:after="0"/>
              <w:rPr>
                <w:sz w:val="14"/>
                <w:szCs w:val="14"/>
                <w:color w:val="auto"/>
              </w:rPr>
            </w:pPr>
          </w:p>
        </w:tc>
        <w:tc>
          <w:tcPr>
            <w:tcW w:w="1460" w:type="dxa"/>
            <w:vAlign w:val="bottom"/>
            <w:gridSpan w:val="2"/>
          </w:tcPr>
          <w:p>
            <w:pPr>
              <w:jc w:val="right"/>
              <w:spacing w:after="0" w:line="170" w:lineRule="exact"/>
              <w:rPr>
                <w:sz w:val="20"/>
                <w:szCs w:val="20"/>
                <w:color w:val="auto"/>
              </w:rPr>
            </w:pPr>
            <w:r>
              <w:rPr>
                <w:rFonts w:ascii="Arial" w:cs="Arial" w:eastAsia="Arial" w:hAnsi="Arial"/>
                <w:sz w:val="16"/>
                <w:szCs w:val="16"/>
                <w:b w:val="1"/>
                <w:bCs w:val="1"/>
                <w:color w:val="auto"/>
              </w:rPr>
              <w:t>3 %</w:t>
            </w:r>
          </w:p>
        </w:tc>
        <w:tc>
          <w:tcPr>
            <w:tcW w:w="0" w:type="dxa"/>
            <w:vAlign w:val="bottom"/>
          </w:tcPr>
          <w:p>
            <w:pPr>
              <w:spacing w:after="0"/>
              <w:rPr>
                <w:sz w:val="1"/>
                <w:szCs w:val="1"/>
                <w:color w:val="auto"/>
              </w:rPr>
            </w:pPr>
          </w:p>
        </w:tc>
      </w:tr>
      <w:tr>
        <w:trPr>
          <w:trHeight w:val="20"/>
        </w:trPr>
        <w:tc>
          <w:tcPr>
            <w:tcW w:w="618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0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Revenue increased by $7.7 million to $1,790.3 million for the nine months ended December 31, 2024. The Kentucky Acquisition contributed $4.8 million of Revenue during the nine months ended December 31, 2024. Excluding the Kentucky Acquisition, Revenue increased by $2.9 million. The Revenue increase was due to higher gross sales prices, which positively affected Revenue by $54.0 million, partially offset by lower Sales Volume, which adversely affected Revenue by approximately $51.1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04"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Cost of Goods Sold increased by $4.9 million to $1,221.8 million for the nine months ended December 31, 2024. The Kentucky Acquisition contributed $5.5 million of Cost of Goods Sold during the nine months ended December 31, 2024. Excluding the Kentucky Acquisition, Cost of Goods Sold decreased by $0.6 million. The decrease was due to lower Sales Volume of $37.4 million, partially offset by higher operating costs of $36.8 million. Higher operating costs were primarily related to our Cement and Concrete and Aggregates businesses and are discussed further in the segment analysis.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4"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Gross Profit increased 1% to $568.5 million during the nine months ended December 31, 2024. The increase was primarily related to higher gross sales prices, partially offset by lower Sales Volume and increased operating costs. The gross margin remained consistent at 32%, with higher gross sales prices being offset by a rise in operating costs.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OF UNCONSOLIDATED JOINT VENTURE</w:t>
      </w:r>
    </w:p>
    <w:p>
      <w:pPr>
        <w:spacing w:after="0" w:line="104"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Equity in Earnings of our Unconsolidated Joint Venture decreased $0.8 million, or 4%, for the nine months ended December 31, 2024. The decrease was primarily due to lower gross sales prices and Sales Volume, which negatively affected earnings by $1.5 million and $1.2 million, respectively. This was partially offset by lower operating costs, which positively affected earnings by approximately $1.9 million. The decrease in operating costs was primarily related to freight and distribution costs of approximately $2.1 million.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3"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CORPORATE GENERAL AND ADMINISTRATIVE</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Corporate General and Administrative expenses increased by approximately $11.8 million, or 28%, for the nine months ended December 31, 2024. The increase was primarily due to higher compensation of $2.6 million, information technology upgrades of $2.4 million, and legal costs, including those associated with business development and transaction related activities of $4.5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Other Non-Operating Income consists of a variety of items that are unrelated to segment operations and include non-inventoried Aggregates income, asset sales, and other miscellaneous income and cost items.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04" w:lineRule="exact"/>
        <w:rPr>
          <w:sz w:val="20"/>
          <w:szCs w:val="20"/>
          <w:color w:val="auto"/>
        </w:rPr>
      </w:pPr>
    </w:p>
    <w:p>
      <w:pPr>
        <w:jc w:val="both"/>
        <w:ind w:right="360"/>
        <w:spacing w:after="0" w:line="253" w:lineRule="auto"/>
        <w:rPr>
          <w:sz w:val="20"/>
          <w:szCs w:val="20"/>
          <w:color w:val="auto"/>
        </w:rPr>
      </w:pPr>
      <w:r>
        <w:rPr>
          <w:rFonts w:ascii="Arial" w:cs="Arial" w:eastAsia="Arial" w:hAnsi="Arial"/>
          <w:sz w:val="18"/>
          <w:szCs w:val="18"/>
          <w:color w:val="auto"/>
        </w:rPr>
        <w:t>Interest Expense, net decreased by approximately $2.1 million, or 6%, during the nine months ended December 31, 2024. This decrease was primarily due to approximately $ 1.6 million of lower interest on our Revolving Credit Facility, which was related to both lower interest rates and lower average outstanding borrowings, as well as increased interest income of $0.5 million on cash deposits.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INCOME TAXES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Earnings Before Income Taxes decreased to $510.5 million during the nine months ended December 31, 2024, primarily because of higher Corporate General and Administrative Expense and lower Equity in Earnings of Unconsolidated Joint Venture, partially offset by higher Gross Profit and lower Interest Expense, net.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0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Income Tax Expense was $ 113.6 million for the nine months ended December 31, 2024, compared with $115.7 million for the nine months ended December 31, 2023. The effective tax rate of 22% remained consistent with the prior-year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Net Earnings decreased 1% to $396.9 million for the nine months ended December 31, 2024, as discussed above.</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27" w:name="page28"/>
    <w:bookmarkEnd w:id="27"/>
    <w:p>
      <w:pPr>
        <w:ind w:right="220"/>
        <w:spacing w:after="0" w:line="281" w:lineRule="auto"/>
        <w:rPr>
          <w:sz w:val="20"/>
          <w:szCs w:val="20"/>
          <w:color w:val="auto"/>
        </w:rPr>
      </w:pPr>
      <w:r>
        <w:rPr>
          <w:rFonts w:ascii="Arial" w:cs="Arial" w:eastAsia="Arial" w:hAnsi="Arial"/>
          <w:sz w:val="18"/>
          <w:szCs w:val="18"/>
          <w:b w:val="1"/>
          <w:bCs w:val="1"/>
          <w:color w:val="auto"/>
        </w:rPr>
        <w:t>THREE AND NINE MONTHS ENDED DECEMBER 31, 2024, COMPARED WITH THREE AND NINE MONTHS ENDED DECEMBER 31, 2023, BY SEGMENT</w:t>
      </w:r>
    </w:p>
    <w:p>
      <w:pPr>
        <w:spacing w:after="0" w:line="2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following presents results within our two business sectors for the three and nine months ended December 31, 2024, and 2023. Revenue and operating results are organized by sector and discussed by individual business segments.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Heavy Materials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CEMENT </w:t>
      </w:r>
      <w:r>
        <w:rPr>
          <w:rFonts w:ascii="Arial" w:cs="Arial" w:eastAsia="Arial" w:hAnsi="Arial"/>
          <w:sz w:val="24"/>
          <w:szCs w:val="24"/>
          <w:b w:val="1"/>
          <w:bCs w:val="1"/>
          <w:color w:val="auto"/>
          <w:vertAlign w:val="superscript"/>
        </w:rPr>
        <w:t>(1)</w:t>
      </w:r>
    </w:p>
    <w:tbl>
      <w:tblPr>
        <w:tblLayout w:type="fixed"/>
        <w:tblInd w:w="0" w:type="dxa"/>
        <w:tblCellMar>
          <w:top w:w="0" w:type="dxa"/>
          <w:left w:w="0" w:type="dxa"/>
          <w:bottom w:w="0" w:type="dxa"/>
          <w:right w:w="0" w:type="dxa"/>
        </w:tblCellMar>
      </w:tblPr>
      <w:tr>
        <w:trPr>
          <w:trHeight w:val="123"/>
        </w:trPr>
        <w:tc>
          <w:tcPr>
            <w:tcW w:w="4300" w:type="dxa"/>
            <w:vAlign w:val="bottom"/>
          </w:tcPr>
          <w:p>
            <w:pPr>
              <w:spacing w:after="0"/>
              <w:rPr>
                <w:sz w:val="10"/>
                <w:szCs w:val="10"/>
                <w:color w:val="auto"/>
              </w:rPr>
            </w:pPr>
          </w:p>
        </w:tc>
        <w:tc>
          <w:tcPr>
            <w:tcW w:w="160" w:type="dxa"/>
            <w:vAlign w:val="bottom"/>
            <w:shd w:val="clear" w:color="auto" w:fill="004483"/>
          </w:tcPr>
          <w:p>
            <w:pPr>
              <w:spacing w:after="0"/>
              <w:rPr>
                <w:sz w:val="10"/>
                <w:szCs w:val="10"/>
                <w:color w:val="auto"/>
              </w:rPr>
            </w:pPr>
          </w:p>
        </w:tc>
        <w:tc>
          <w:tcPr>
            <w:tcW w:w="2160" w:type="dxa"/>
            <w:vAlign w:val="bottom"/>
            <w:gridSpan w:val="6"/>
            <w:shd w:val="clear" w:color="auto" w:fill="004483"/>
          </w:tcPr>
          <w:p>
            <w:pPr>
              <w:jc w:val="center"/>
              <w:ind w:right="219"/>
              <w:spacing w:after="0" w:line="123" w:lineRule="exact"/>
              <w:rPr>
                <w:sz w:val="20"/>
                <w:szCs w:val="20"/>
                <w:color w:val="auto"/>
              </w:rPr>
            </w:pPr>
            <w:r>
              <w:rPr>
                <w:rFonts w:ascii="Arial" w:cs="Arial" w:eastAsia="Arial" w:hAnsi="Arial"/>
                <w:sz w:val="13"/>
                <w:szCs w:val="13"/>
                <w:b w:val="1"/>
                <w:bCs w:val="1"/>
                <w:color w:val="FFFFFF"/>
                <w:w w:val="96"/>
              </w:rPr>
              <w:t>For the Three Months Ended</w:t>
            </w: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shd w:val="clear" w:color="auto" w:fill="004483"/>
          </w:tcPr>
          <w:p>
            <w:pPr>
              <w:spacing w:after="0"/>
              <w:rPr>
                <w:sz w:val="10"/>
                <w:szCs w:val="10"/>
                <w:color w:val="auto"/>
              </w:rPr>
            </w:pPr>
          </w:p>
        </w:tc>
        <w:tc>
          <w:tcPr>
            <w:tcW w:w="2140" w:type="dxa"/>
            <w:vAlign w:val="bottom"/>
            <w:gridSpan w:val="6"/>
            <w:shd w:val="clear" w:color="auto" w:fill="004483"/>
          </w:tcPr>
          <w:p>
            <w:pPr>
              <w:jc w:val="center"/>
              <w:ind w:right="259"/>
              <w:spacing w:after="0" w:line="123" w:lineRule="exact"/>
              <w:rPr>
                <w:sz w:val="20"/>
                <w:szCs w:val="20"/>
                <w:color w:val="auto"/>
              </w:rPr>
            </w:pPr>
            <w:r>
              <w:rPr>
                <w:rFonts w:ascii="Arial" w:cs="Arial" w:eastAsia="Arial" w:hAnsi="Arial"/>
                <w:sz w:val="13"/>
                <w:szCs w:val="13"/>
                <w:b w:val="1"/>
                <w:bCs w:val="1"/>
                <w:color w:val="FFFFFF"/>
                <w:w w:val="97"/>
              </w:rPr>
              <w:t>For the Nine Months Ended</w:t>
            </w: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300" w:type="dxa"/>
            <w:vAlign w:val="bottom"/>
          </w:tcPr>
          <w:p>
            <w:pPr>
              <w:spacing w:after="0"/>
              <w:rPr>
                <w:sz w:val="13"/>
                <w:szCs w:val="13"/>
                <w:color w:val="auto"/>
              </w:rPr>
            </w:pPr>
          </w:p>
        </w:tc>
        <w:tc>
          <w:tcPr>
            <w:tcW w:w="160" w:type="dxa"/>
            <w:vAlign w:val="bottom"/>
            <w:tcBorders>
              <w:bottom w:val="single" w:sz="8" w:color="auto"/>
            </w:tcBorders>
            <w:shd w:val="clear" w:color="auto" w:fill="004483"/>
          </w:tcPr>
          <w:p>
            <w:pPr>
              <w:spacing w:after="0"/>
              <w:rPr>
                <w:sz w:val="13"/>
                <w:szCs w:val="13"/>
                <w:color w:val="auto"/>
              </w:rPr>
            </w:pPr>
          </w:p>
        </w:tc>
        <w:tc>
          <w:tcPr>
            <w:tcW w:w="1400" w:type="dxa"/>
            <w:vAlign w:val="bottom"/>
            <w:tcBorders>
              <w:bottom w:val="single" w:sz="8" w:color="auto"/>
            </w:tcBorders>
            <w:gridSpan w:val="4"/>
            <w:shd w:val="clear" w:color="auto" w:fill="004483"/>
          </w:tcPr>
          <w:p>
            <w:pPr>
              <w:jc w:val="center"/>
              <w:ind w:left="425"/>
              <w:spacing w:after="0"/>
              <w:rPr>
                <w:sz w:val="20"/>
                <w:szCs w:val="20"/>
                <w:color w:val="auto"/>
              </w:rPr>
            </w:pPr>
            <w:r>
              <w:rPr>
                <w:rFonts w:ascii="Arial" w:cs="Arial" w:eastAsia="Arial" w:hAnsi="Arial"/>
                <w:sz w:val="13"/>
                <w:szCs w:val="13"/>
                <w:b w:val="1"/>
                <w:bCs w:val="1"/>
                <w:color w:val="FFFFFF"/>
                <w:w w:val="96"/>
              </w:rPr>
              <w:t>December 31,</w:t>
            </w:r>
          </w:p>
        </w:tc>
        <w:tc>
          <w:tcPr>
            <w:tcW w:w="660" w:type="dxa"/>
            <w:vAlign w:val="bottom"/>
            <w:tcBorders>
              <w:bottom w:val="single" w:sz="8" w:color="auto"/>
            </w:tcBorders>
            <w:shd w:val="clear" w:color="auto" w:fill="004483"/>
          </w:tcPr>
          <w:p>
            <w:pPr>
              <w:spacing w:after="0"/>
              <w:rPr>
                <w:sz w:val="13"/>
                <w:szCs w:val="13"/>
                <w:color w:val="auto"/>
              </w:rPr>
            </w:pPr>
          </w:p>
        </w:tc>
        <w:tc>
          <w:tcPr>
            <w:tcW w:w="100" w:type="dxa"/>
            <w:vAlign w:val="bottom"/>
            <w:tcBorders>
              <w:bottom w:val="single" w:sz="8" w:color="004483"/>
            </w:tcBorders>
            <w:shd w:val="clear" w:color="auto" w:fill="004483"/>
          </w:tcPr>
          <w:p>
            <w:pPr>
              <w:spacing w:after="0"/>
              <w:rPr>
                <w:sz w:val="13"/>
                <w:szCs w:val="13"/>
                <w:color w:val="auto"/>
              </w:rPr>
            </w:pPr>
          </w:p>
        </w:tc>
        <w:tc>
          <w:tcPr>
            <w:tcW w:w="1200" w:type="dxa"/>
            <w:vAlign w:val="bottom"/>
            <w:gridSpan w:val="3"/>
            <w:vMerge w:val="restart"/>
          </w:tcPr>
          <w:p>
            <w:pPr>
              <w:jc w:val="center"/>
              <w:ind w:right="280"/>
              <w:spacing w:after="0"/>
              <w:rPr>
                <w:sz w:val="20"/>
                <w:szCs w:val="20"/>
                <w:color w:val="auto"/>
              </w:rPr>
            </w:pPr>
            <w:r>
              <w:rPr>
                <w:rFonts w:ascii="Arial" w:cs="Arial" w:eastAsia="Arial" w:hAnsi="Arial"/>
                <w:sz w:val="13"/>
                <w:szCs w:val="13"/>
                <w:b w:val="1"/>
                <w:bCs w:val="1"/>
                <w:color w:val="auto"/>
                <w:w w:val="96"/>
              </w:rPr>
              <w:t>Percentage</w:t>
            </w:r>
          </w:p>
        </w:tc>
        <w:tc>
          <w:tcPr>
            <w:tcW w:w="180" w:type="dxa"/>
            <w:vAlign w:val="bottom"/>
            <w:tcBorders>
              <w:bottom w:val="single" w:sz="8" w:color="auto"/>
            </w:tcBorders>
            <w:shd w:val="clear" w:color="auto" w:fill="004483"/>
          </w:tcPr>
          <w:p>
            <w:pPr>
              <w:spacing w:after="0"/>
              <w:rPr>
                <w:sz w:val="13"/>
                <w:szCs w:val="13"/>
                <w:color w:val="auto"/>
              </w:rPr>
            </w:pPr>
          </w:p>
        </w:tc>
        <w:tc>
          <w:tcPr>
            <w:tcW w:w="1380" w:type="dxa"/>
            <w:vAlign w:val="bottom"/>
            <w:tcBorders>
              <w:bottom w:val="single" w:sz="8" w:color="auto"/>
            </w:tcBorders>
            <w:gridSpan w:val="4"/>
            <w:shd w:val="clear" w:color="auto" w:fill="004483"/>
          </w:tcPr>
          <w:p>
            <w:pPr>
              <w:jc w:val="center"/>
              <w:ind w:left="405"/>
              <w:spacing w:after="0"/>
              <w:rPr>
                <w:sz w:val="20"/>
                <w:szCs w:val="20"/>
                <w:color w:val="auto"/>
              </w:rPr>
            </w:pPr>
            <w:r>
              <w:rPr>
                <w:rFonts w:ascii="Arial" w:cs="Arial" w:eastAsia="Arial" w:hAnsi="Arial"/>
                <w:sz w:val="13"/>
                <w:szCs w:val="13"/>
                <w:b w:val="1"/>
                <w:bCs w:val="1"/>
                <w:color w:val="FFFFFF"/>
                <w:w w:val="96"/>
              </w:rPr>
              <w:t>December 31,</w:t>
            </w:r>
          </w:p>
        </w:tc>
        <w:tc>
          <w:tcPr>
            <w:tcW w:w="660" w:type="dxa"/>
            <w:vAlign w:val="bottom"/>
            <w:tcBorders>
              <w:bottom w:val="single" w:sz="8" w:color="auto"/>
            </w:tcBorders>
            <w:shd w:val="clear" w:color="auto" w:fill="004483"/>
          </w:tcPr>
          <w:p>
            <w:pPr>
              <w:spacing w:after="0"/>
              <w:rPr>
                <w:sz w:val="13"/>
                <w:szCs w:val="13"/>
                <w:color w:val="auto"/>
              </w:rPr>
            </w:pPr>
          </w:p>
        </w:tc>
        <w:tc>
          <w:tcPr>
            <w:tcW w:w="100" w:type="dxa"/>
            <w:vAlign w:val="bottom"/>
            <w:tcBorders>
              <w:bottom w:val="single" w:sz="8" w:color="004483"/>
            </w:tcBorders>
            <w:shd w:val="clear" w:color="auto" w:fill="004483"/>
          </w:tcPr>
          <w:p>
            <w:pPr>
              <w:spacing w:after="0"/>
              <w:rPr>
                <w:sz w:val="13"/>
                <w:szCs w:val="13"/>
                <w:color w:val="auto"/>
              </w:rPr>
            </w:pPr>
          </w:p>
        </w:tc>
        <w:tc>
          <w:tcPr>
            <w:tcW w:w="1080" w:type="dxa"/>
            <w:vAlign w:val="bottom"/>
            <w:gridSpan w:val="2"/>
            <w:vMerge w:val="restart"/>
          </w:tcPr>
          <w:p>
            <w:pPr>
              <w:jc w:val="right"/>
              <w:ind w:right="199"/>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11"/>
        </w:trPr>
        <w:tc>
          <w:tcPr>
            <w:tcW w:w="4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Change</w:t>
            </w:r>
          </w:p>
        </w:tc>
        <w:tc>
          <w:tcPr>
            <w:tcW w:w="1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279"/>
              <w:spacing w:after="0" w:line="135"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gridSpan w:val="6"/>
          </w:tcPr>
          <w:p>
            <w:pPr>
              <w:jc w:val="center"/>
              <w:ind w:right="219"/>
              <w:spacing w:after="0" w:line="135" w:lineRule="exact"/>
              <w:rPr>
                <w:sz w:val="20"/>
                <w:szCs w:val="20"/>
                <w:color w:val="auto"/>
              </w:rPr>
            </w:pPr>
            <w:r>
              <w:rPr>
                <w:rFonts w:ascii="Arial" w:cs="Arial" w:eastAsia="Arial" w:hAnsi="Arial"/>
                <w:sz w:val="13"/>
                <w:szCs w:val="13"/>
                <w:color w:val="auto"/>
                <w:w w:val="96"/>
              </w:rPr>
              <w:t>(in thousands, except per ton</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40" w:type="dxa"/>
            <w:vAlign w:val="bottom"/>
            <w:gridSpan w:val="6"/>
          </w:tcPr>
          <w:p>
            <w:pPr>
              <w:jc w:val="center"/>
              <w:ind w:right="239"/>
              <w:spacing w:after="0" w:line="135" w:lineRule="exact"/>
              <w:rPr>
                <w:sz w:val="20"/>
                <w:szCs w:val="20"/>
                <w:color w:val="auto"/>
              </w:rPr>
            </w:pPr>
            <w:r>
              <w:rPr>
                <w:rFonts w:ascii="Arial" w:cs="Arial" w:eastAsia="Arial" w:hAnsi="Arial"/>
                <w:sz w:val="13"/>
                <w:szCs w:val="13"/>
                <w:color w:val="auto"/>
                <w:w w:val="96"/>
              </w:rPr>
              <w:t>(in thousands, except per ton</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00" w:type="dxa"/>
            <w:vAlign w:val="bottom"/>
            <w:tcBorders>
              <w:bottom w:val="single" w:sz="8" w:color="17385E"/>
            </w:tcBorders>
          </w:tcPr>
          <w:p>
            <w:pPr>
              <w:spacing w:after="0"/>
              <w:rPr>
                <w:sz w:val="15"/>
                <w:szCs w:val="15"/>
                <w:color w:val="auto"/>
              </w:rPr>
            </w:pPr>
          </w:p>
        </w:tc>
        <w:tc>
          <w:tcPr>
            <w:tcW w:w="160" w:type="dxa"/>
            <w:vAlign w:val="bottom"/>
            <w:tcBorders>
              <w:bottom w:val="single" w:sz="8" w:color="17385E"/>
            </w:tcBorders>
          </w:tcPr>
          <w:p>
            <w:pPr>
              <w:spacing w:after="0"/>
              <w:rPr>
                <w:sz w:val="15"/>
                <w:szCs w:val="15"/>
                <w:color w:val="auto"/>
              </w:rPr>
            </w:pPr>
          </w:p>
        </w:tc>
        <w:tc>
          <w:tcPr>
            <w:tcW w:w="1400" w:type="dxa"/>
            <w:vAlign w:val="bottom"/>
            <w:tcBorders>
              <w:bottom w:val="single" w:sz="8" w:color="17385E"/>
            </w:tcBorders>
            <w:gridSpan w:val="4"/>
          </w:tcPr>
          <w:p>
            <w:pPr>
              <w:jc w:val="center"/>
              <w:ind w:left="405"/>
              <w:spacing w:after="0"/>
              <w:rPr>
                <w:sz w:val="20"/>
                <w:szCs w:val="20"/>
                <w:color w:val="auto"/>
              </w:rPr>
            </w:pPr>
            <w:r>
              <w:rPr>
                <w:rFonts w:ascii="Arial" w:cs="Arial" w:eastAsia="Arial" w:hAnsi="Arial"/>
                <w:sz w:val="13"/>
                <w:szCs w:val="13"/>
                <w:color w:val="auto"/>
                <w:w w:val="99"/>
              </w:rPr>
              <w:t>information)</w:t>
            </w:r>
          </w:p>
        </w:tc>
        <w:tc>
          <w:tcPr>
            <w:tcW w:w="660" w:type="dxa"/>
            <w:vAlign w:val="bottom"/>
            <w:tcBorders>
              <w:bottom w:val="single" w:sz="8" w:color="17385E"/>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17385E"/>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17385E"/>
            </w:tcBorders>
          </w:tcPr>
          <w:p>
            <w:pPr>
              <w:spacing w:after="0"/>
              <w:rPr>
                <w:sz w:val="15"/>
                <w:szCs w:val="15"/>
                <w:color w:val="auto"/>
              </w:rPr>
            </w:pPr>
          </w:p>
        </w:tc>
        <w:tc>
          <w:tcPr>
            <w:tcW w:w="180" w:type="dxa"/>
            <w:vAlign w:val="bottom"/>
            <w:tcBorders>
              <w:bottom w:val="single" w:sz="8" w:color="17385E"/>
            </w:tcBorders>
          </w:tcPr>
          <w:p>
            <w:pPr>
              <w:spacing w:after="0"/>
              <w:rPr>
                <w:sz w:val="15"/>
                <w:szCs w:val="15"/>
                <w:color w:val="auto"/>
              </w:rPr>
            </w:pPr>
          </w:p>
        </w:tc>
        <w:tc>
          <w:tcPr>
            <w:tcW w:w="1380" w:type="dxa"/>
            <w:vAlign w:val="bottom"/>
            <w:tcBorders>
              <w:bottom w:val="single" w:sz="8" w:color="17385E"/>
            </w:tcBorders>
            <w:gridSpan w:val="4"/>
          </w:tcPr>
          <w:p>
            <w:pPr>
              <w:jc w:val="center"/>
              <w:ind w:left="405"/>
              <w:spacing w:after="0"/>
              <w:rPr>
                <w:sz w:val="20"/>
                <w:szCs w:val="20"/>
                <w:color w:val="auto"/>
              </w:rPr>
            </w:pPr>
            <w:r>
              <w:rPr>
                <w:rFonts w:ascii="Arial" w:cs="Arial" w:eastAsia="Arial" w:hAnsi="Arial"/>
                <w:sz w:val="13"/>
                <w:szCs w:val="13"/>
                <w:color w:val="auto"/>
                <w:w w:val="96"/>
              </w:rPr>
              <w:t>information)</w:t>
            </w:r>
          </w:p>
        </w:tc>
        <w:tc>
          <w:tcPr>
            <w:tcW w:w="660" w:type="dxa"/>
            <w:vAlign w:val="bottom"/>
            <w:tcBorders>
              <w:bottom w:val="single" w:sz="8" w:color="17385E"/>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17385E"/>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Revenue, including Intersegment and Joint Venture</w:t>
            </w:r>
          </w:p>
        </w:tc>
        <w:tc>
          <w:tcPr>
            <w:tcW w:w="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295,400</w:t>
            </w:r>
          </w:p>
        </w:tc>
        <w:tc>
          <w:tcPr>
            <w:tcW w:w="120" w:type="dxa"/>
            <w:vAlign w:val="bottom"/>
          </w:tcPr>
          <w:p>
            <w:pPr>
              <w:spacing w:after="0"/>
              <w:rPr>
                <w:sz w:val="16"/>
                <w:szCs w:val="16"/>
                <w:color w:val="auto"/>
              </w:rPr>
            </w:pPr>
          </w:p>
        </w:tc>
        <w:tc>
          <w:tcPr>
            <w:tcW w:w="420" w:type="dxa"/>
            <w:vAlign w:val="bottom"/>
            <w:tcBorders>
              <w:bottom w:val="single" w:sz="8" w:color="A6A6A6"/>
            </w:tcBorders>
            <w:gridSpan w:val="2"/>
          </w:tcPr>
          <w:p>
            <w:pPr>
              <w:jc w:val="right"/>
              <w:ind w:right="1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308,654</w:t>
            </w:r>
          </w:p>
        </w:tc>
        <w:tc>
          <w:tcPr>
            <w:tcW w:w="100" w:type="dxa"/>
            <w:vAlign w:val="bottom"/>
          </w:tcPr>
          <w:p>
            <w:pPr>
              <w:spacing w:after="0"/>
              <w:rPr>
                <w:sz w:val="16"/>
                <w:szCs w:val="16"/>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6"/>
                <w:szCs w:val="16"/>
                <w:color w:val="auto"/>
              </w:rPr>
            </w:pP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987,342</w:t>
            </w:r>
          </w:p>
        </w:tc>
        <w:tc>
          <w:tcPr>
            <w:tcW w:w="100" w:type="dxa"/>
            <w:vAlign w:val="bottom"/>
          </w:tcPr>
          <w:p>
            <w:pPr>
              <w:spacing w:after="0"/>
              <w:rPr>
                <w:sz w:val="16"/>
                <w:szCs w:val="16"/>
                <w:color w:val="auto"/>
              </w:rPr>
            </w:pPr>
          </w:p>
        </w:tc>
        <w:tc>
          <w:tcPr>
            <w:tcW w:w="420" w:type="dxa"/>
            <w:vAlign w:val="bottom"/>
            <w:tcBorders>
              <w:bottom w:val="single" w:sz="8" w:color="A6A6A6"/>
            </w:tcBorders>
            <w:gridSpan w:val="2"/>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998,437</w:t>
            </w:r>
          </w:p>
        </w:tc>
        <w:tc>
          <w:tcPr>
            <w:tcW w:w="100" w:type="dxa"/>
            <w:vAlign w:val="bottom"/>
          </w:tcPr>
          <w:p>
            <w:pPr>
              <w:spacing w:after="0"/>
              <w:rPr>
                <w:sz w:val="16"/>
                <w:szCs w:val="16"/>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83"/>
        </w:trPr>
        <w:tc>
          <w:tcPr>
            <w:tcW w:w="43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Less Intersegment Revenue</w:t>
            </w:r>
          </w:p>
        </w:tc>
        <w:tc>
          <w:tcPr>
            <w:tcW w:w="16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(9,084</w:t>
            </w:r>
          </w:p>
        </w:tc>
        <w:tc>
          <w:tcPr>
            <w:tcW w:w="120" w:type="dxa"/>
            <w:vAlign w:val="bottom"/>
          </w:tcPr>
          <w:p>
            <w:pPr>
              <w:jc w:val="center"/>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(7,804</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w:t>
            </w:r>
          </w:p>
        </w:tc>
        <w:tc>
          <w:tcPr>
            <w:tcW w:w="24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(29,748</w:t>
            </w:r>
          </w:p>
        </w:tc>
        <w:tc>
          <w:tcPr>
            <w:tcW w:w="100" w:type="dxa"/>
            <w:vAlign w:val="bottom"/>
          </w:tcPr>
          <w:p>
            <w:pPr>
              <w:jc w:val="center"/>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(27,192</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300" w:type="dxa"/>
            <w:vAlign w:val="bottom"/>
          </w:tcPr>
          <w:p>
            <w:pPr>
              <w:ind w:left="20"/>
              <w:spacing w:after="0" w:line="183" w:lineRule="exact"/>
              <w:rPr>
                <w:sz w:val="20"/>
                <w:szCs w:val="20"/>
                <w:color w:val="auto"/>
              </w:rPr>
            </w:pPr>
            <w:r>
              <w:rPr>
                <w:rFonts w:ascii="Arial" w:cs="Arial" w:eastAsia="Arial" w:hAnsi="Arial"/>
                <w:sz w:val="16"/>
                <w:szCs w:val="16"/>
                <w:color w:val="004483"/>
              </w:rPr>
              <w:t>Less Joint Venture Revenue</w:t>
            </w:r>
          </w:p>
        </w:tc>
        <w:tc>
          <w:tcPr>
            <w:tcW w:w="16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(26,426</w:t>
            </w:r>
          </w:p>
        </w:tc>
        <w:tc>
          <w:tcPr>
            <w:tcW w:w="120" w:type="dxa"/>
            <w:vAlign w:val="bottom"/>
          </w:tcPr>
          <w:p>
            <w:pPr>
              <w:jc w:val="center"/>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(26,683</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1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(84,561</w:t>
            </w:r>
          </w:p>
        </w:tc>
        <w:tc>
          <w:tcPr>
            <w:tcW w:w="100" w:type="dxa"/>
            <w:vAlign w:val="bottom"/>
          </w:tcPr>
          <w:p>
            <w:pPr>
              <w:jc w:val="center"/>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(82,713</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0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6A6A6"/>
            </w:tcBorders>
          </w:tcPr>
          <w:p>
            <w:pPr>
              <w:spacing w:after="0"/>
              <w:rPr>
                <w:sz w:val="2"/>
                <w:szCs w:val="2"/>
                <w:color w:val="auto"/>
              </w:rPr>
            </w:pPr>
          </w:p>
        </w:tc>
        <w:tc>
          <w:tcPr>
            <w:tcW w:w="160" w:type="dxa"/>
            <w:vAlign w:val="bottom"/>
            <w:tcBorders>
              <w:bottom w:val="single" w:sz="8" w:color="004483"/>
            </w:tcBorders>
            <w:shd w:val="clear" w:color="auto" w:fill="004483"/>
          </w:tcPr>
          <w:p>
            <w:pPr>
              <w:spacing w:after="0"/>
              <w:rPr>
                <w:sz w:val="2"/>
                <w:szCs w:val="2"/>
                <w:color w:val="auto"/>
              </w:rPr>
            </w:pPr>
          </w:p>
        </w:tc>
        <w:tc>
          <w:tcPr>
            <w:tcW w:w="86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6A6A6"/>
            </w:tcBorders>
          </w:tcPr>
          <w:p>
            <w:pPr>
              <w:spacing w:after="0"/>
              <w:rPr>
                <w:sz w:val="2"/>
                <w:szCs w:val="2"/>
                <w:color w:val="auto"/>
              </w:rPr>
            </w:pPr>
          </w:p>
        </w:tc>
        <w:tc>
          <w:tcPr>
            <w:tcW w:w="320" w:type="dxa"/>
            <w:vAlign w:val="bottom"/>
            <w:tcBorders>
              <w:bottom w:val="single" w:sz="8" w:color="004483"/>
            </w:tcBorders>
            <w:shd w:val="clear" w:color="auto" w:fill="004483"/>
          </w:tcPr>
          <w:p>
            <w:pPr>
              <w:spacing w:after="0"/>
              <w:rPr>
                <w:sz w:val="2"/>
                <w:szCs w:val="2"/>
                <w:color w:val="auto"/>
              </w:rPr>
            </w:pPr>
          </w:p>
        </w:tc>
        <w:tc>
          <w:tcPr>
            <w:tcW w:w="6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6A6A6"/>
            </w:tcBorders>
          </w:tcPr>
          <w:p>
            <w:pPr>
              <w:spacing w:after="0"/>
              <w:rPr>
                <w:sz w:val="2"/>
                <w:szCs w:val="2"/>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2"/>
                <w:szCs w:val="2"/>
                <w:color w:val="auto"/>
              </w:rPr>
            </w:pPr>
          </w:p>
        </w:tc>
        <w:tc>
          <w:tcPr>
            <w:tcW w:w="180" w:type="dxa"/>
            <w:vAlign w:val="bottom"/>
            <w:tcBorders>
              <w:bottom w:val="single" w:sz="8" w:color="004483"/>
            </w:tcBorders>
            <w:shd w:val="clear" w:color="auto" w:fill="004483"/>
          </w:tcPr>
          <w:p>
            <w:pPr>
              <w:spacing w:after="0"/>
              <w:rPr>
                <w:sz w:val="2"/>
                <w:szCs w:val="2"/>
                <w:color w:val="auto"/>
              </w:rPr>
            </w:pPr>
          </w:p>
        </w:tc>
        <w:tc>
          <w:tcPr>
            <w:tcW w:w="8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6A6A6"/>
            </w:tcBorders>
          </w:tcPr>
          <w:p>
            <w:pPr>
              <w:spacing w:after="0"/>
              <w:rPr>
                <w:sz w:val="2"/>
                <w:szCs w:val="2"/>
                <w:color w:val="auto"/>
              </w:rPr>
            </w:pPr>
          </w:p>
        </w:tc>
        <w:tc>
          <w:tcPr>
            <w:tcW w:w="320" w:type="dxa"/>
            <w:vAlign w:val="bottom"/>
            <w:tcBorders>
              <w:bottom w:val="single" w:sz="8" w:color="004483"/>
            </w:tcBorders>
            <w:shd w:val="clear" w:color="auto" w:fill="004483"/>
          </w:tcPr>
          <w:p>
            <w:pPr>
              <w:spacing w:after="0"/>
              <w:rPr>
                <w:sz w:val="2"/>
                <w:szCs w:val="2"/>
                <w:color w:val="auto"/>
              </w:rPr>
            </w:pPr>
          </w:p>
        </w:tc>
        <w:tc>
          <w:tcPr>
            <w:tcW w:w="6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6A6A6"/>
            </w:tcBorders>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83"/>
        </w:trPr>
        <w:tc>
          <w:tcPr>
            <w:tcW w:w="43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Revenue</w:t>
            </w:r>
          </w:p>
        </w:tc>
        <w:tc>
          <w:tcPr>
            <w:tcW w:w="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259,890</w:t>
            </w:r>
          </w:p>
        </w:tc>
        <w:tc>
          <w:tcPr>
            <w:tcW w:w="12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274,167</w:t>
            </w:r>
          </w:p>
        </w:tc>
        <w:tc>
          <w:tcPr>
            <w:tcW w:w="100" w:type="dxa"/>
            <w:vAlign w:val="bottom"/>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w:t>
            </w:r>
          </w:p>
        </w:tc>
        <w:tc>
          <w:tcPr>
            <w:tcW w:w="240" w:type="dxa"/>
            <w:vAlign w:val="bottom"/>
            <w:vMerge w:val="continue"/>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873,033</w:t>
            </w: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888,532</w:t>
            </w:r>
          </w:p>
        </w:tc>
        <w:tc>
          <w:tcPr>
            <w:tcW w:w="100" w:type="dxa"/>
            <w:vAlign w:val="bottom"/>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w:t>
            </w: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300" w:type="dxa"/>
            <w:vAlign w:val="bottom"/>
            <w:tcBorders>
              <w:top w:val="single" w:sz="8" w:color="A6A6A6"/>
              <w:bottom w:val="single" w:sz="8" w:color="A6A6A6"/>
            </w:tcBorders>
          </w:tcPr>
          <w:p>
            <w:pPr>
              <w:spacing w:after="0"/>
              <w:rPr>
                <w:sz w:val="15"/>
                <w:szCs w:val="15"/>
                <w:color w:val="auto"/>
              </w:rPr>
            </w:pPr>
          </w:p>
        </w:tc>
        <w:tc>
          <w:tcPr>
            <w:tcW w:w="160" w:type="dxa"/>
            <w:vAlign w:val="bottom"/>
            <w:tcBorders>
              <w:top w:val="single" w:sz="8" w:color="A6A6A6"/>
              <w:bottom w:val="single" w:sz="8" w:color="A6A6A6"/>
            </w:tcBorders>
          </w:tcPr>
          <w:p>
            <w:pPr>
              <w:spacing w:after="0"/>
              <w:rPr>
                <w:sz w:val="15"/>
                <w:szCs w:val="15"/>
                <w:color w:val="auto"/>
              </w:rPr>
            </w:pPr>
          </w:p>
        </w:tc>
        <w:tc>
          <w:tcPr>
            <w:tcW w:w="860" w:type="dxa"/>
            <w:vAlign w:val="bottom"/>
            <w:tcBorders>
              <w:top w:val="single" w:sz="8" w:color="A6A6A6"/>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6A6A6"/>
              <w:bottom w:val="single" w:sz="8" w:color="A6A6A6"/>
            </w:tcBorders>
          </w:tcPr>
          <w:p>
            <w:pPr>
              <w:spacing w:after="0"/>
              <w:rPr>
                <w:sz w:val="15"/>
                <w:szCs w:val="15"/>
                <w:color w:val="auto"/>
              </w:rPr>
            </w:pPr>
          </w:p>
        </w:tc>
        <w:tc>
          <w:tcPr>
            <w:tcW w:w="320" w:type="dxa"/>
            <w:vAlign w:val="bottom"/>
            <w:tcBorders>
              <w:top w:val="single" w:sz="8" w:color="A6A6A6"/>
              <w:bottom w:val="single" w:sz="8" w:color="A6A6A6"/>
            </w:tcBorders>
          </w:tcPr>
          <w:p>
            <w:pPr>
              <w:spacing w:after="0"/>
              <w:rPr>
                <w:sz w:val="15"/>
                <w:szCs w:val="15"/>
                <w:color w:val="auto"/>
              </w:rPr>
            </w:pPr>
          </w:p>
        </w:tc>
        <w:tc>
          <w:tcPr>
            <w:tcW w:w="660" w:type="dxa"/>
            <w:vAlign w:val="bottom"/>
            <w:tcBorders>
              <w:top w:val="single" w:sz="8" w:color="A6A6A6"/>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6A6A6"/>
              <w:bottom w:val="single" w:sz="8" w:color="A6A6A6"/>
            </w:tcBorders>
          </w:tcPr>
          <w:p>
            <w:pPr>
              <w:spacing w:after="0"/>
              <w:rPr>
                <w:sz w:val="15"/>
                <w:szCs w:val="15"/>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6A6A6"/>
              <w:bottom w:val="single" w:sz="8" w:color="A6A6A6"/>
            </w:tcBorders>
          </w:tcPr>
          <w:p>
            <w:pPr>
              <w:spacing w:after="0"/>
              <w:rPr>
                <w:sz w:val="15"/>
                <w:szCs w:val="15"/>
                <w:color w:val="auto"/>
              </w:rPr>
            </w:pPr>
          </w:p>
        </w:tc>
        <w:tc>
          <w:tcPr>
            <w:tcW w:w="180" w:type="dxa"/>
            <w:vAlign w:val="bottom"/>
            <w:tcBorders>
              <w:top w:val="single" w:sz="8" w:color="A6A6A6"/>
              <w:bottom w:val="single" w:sz="8" w:color="A6A6A6"/>
            </w:tcBorders>
          </w:tcPr>
          <w:p>
            <w:pPr>
              <w:spacing w:after="0"/>
              <w:rPr>
                <w:sz w:val="15"/>
                <w:szCs w:val="15"/>
                <w:color w:val="auto"/>
              </w:rPr>
            </w:pPr>
          </w:p>
        </w:tc>
        <w:tc>
          <w:tcPr>
            <w:tcW w:w="860" w:type="dxa"/>
            <w:vAlign w:val="bottom"/>
            <w:tcBorders>
              <w:top w:val="single" w:sz="8" w:color="A6A6A6"/>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6A6A6"/>
              <w:bottom w:val="single" w:sz="8" w:color="A6A6A6"/>
            </w:tcBorders>
          </w:tcPr>
          <w:p>
            <w:pPr>
              <w:spacing w:after="0"/>
              <w:rPr>
                <w:sz w:val="15"/>
                <w:szCs w:val="15"/>
                <w:color w:val="auto"/>
              </w:rPr>
            </w:pPr>
          </w:p>
        </w:tc>
        <w:tc>
          <w:tcPr>
            <w:tcW w:w="320" w:type="dxa"/>
            <w:vAlign w:val="bottom"/>
            <w:tcBorders>
              <w:top w:val="single" w:sz="8" w:color="A6A6A6"/>
              <w:bottom w:val="single" w:sz="8" w:color="A6A6A6"/>
            </w:tcBorders>
          </w:tcPr>
          <w:p>
            <w:pPr>
              <w:spacing w:after="0"/>
              <w:rPr>
                <w:sz w:val="15"/>
                <w:szCs w:val="15"/>
                <w:color w:val="auto"/>
              </w:rPr>
            </w:pPr>
          </w:p>
        </w:tc>
        <w:tc>
          <w:tcPr>
            <w:tcW w:w="660" w:type="dxa"/>
            <w:vAlign w:val="bottom"/>
            <w:tcBorders>
              <w:top w:val="single" w:sz="8" w:color="A6A6A6"/>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A6A6A6"/>
              <w:bottom w:val="single" w:sz="8" w:color="A6A6A6"/>
            </w:tcBorders>
          </w:tcPr>
          <w:p>
            <w:pPr>
              <w:spacing w:after="0"/>
              <w:rPr>
                <w:sz w:val="15"/>
                <w:szCs w:val="15"/>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83"/>
        </w:trPr>
        <w:tc>
          <w:tcPr>
            <w:tcW w:w="43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Sales Volume (M Tons)</w:t>
            </w:r>
          </w:p>
        </w:tc>
        <w:tc>
          <w:tcPr>
            <w:tcW w:w="16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1,702</w:t>
            </w:r>
          </w:p>
        </w:tc>
        <w:tc>
          <w:tcPr>
            <w:tcW w:w="12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1,824</w:t>
            </w:r>
          </w:p>
        </w:tc>
        <w:tc>
          <w:tcPr>
            <w:tcW w:w="100" w:type="dxa"/>
            <w:vAlign w:val="bottom"/>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w:t>
            </w:r>
          </w:p>
        </w:tc>
        <w:tc>
          <w:tcPr>
            <w:tcW w:w="240" w:type="dxa"/>
            <w:vAlign w:val="bottom"/>
            <w:vMerge w:val="continue"/>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5,673</w:t>
            </w: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5,966</w:t>
            </w:r>
          </w:p>
        </w:tc>
        <w:tc>
          <w:tcPr>
            <w:tcW w:w="100" w:type="dxa"/>
            <w:vAlign w:val="bottom"/>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w:t>
            </w: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Freight and Delivery Costs billed to Customers</w:t>
            </w:r>
          </w:p>
        </w:tc>
        <w:tc>
          <w:tcPr>
            <w:tcW w:w="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(16,572</w:t>
            </w:r>
          </w:p>
        </w:tc>
        <w:tc>
          <w:tcPr>
            <w:tcW w:w="120" w:type="dxa"/>
            <w:vAlign w:val="bottom"/>
          </w:tcPr>
          <w:p>
            <w:pPr>
              <w:jc w:val="center"/>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6A6A6"/>
            </w:tcBorders>
            <w:gridSpan w:val="2"/>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(16,944</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w:t>
            </w:r>
          </w:p>
        </w:tc>
        <w:tc>
          <w:tcPr>
            <w:tcW w:w="24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(57,561</w:t>
            </w:r>
          </w:p>
        </w:tc>
        <w:tc>
          <w:tcPr>
            <w:tcW w:w="100" w:type="dxa"/>
            <w:vAlign w:val="bottom"/>
          </w:tcPr>
          <w:p>
            <w:pPr>
              <w:jc w:val="center"/>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6A6A6"/>
            </w:tcBorders>
            <w:gridSpan w:val="2"/>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(52,344</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3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 xml:space="preserve">Average Net Sales Price, per ton </w:t>
            </w:r>
            <w:r>
              <w:rPr>
                <w:rFonts w:ascii="Arial" w:cs="Arial" w:eastAsia="Arial" w:hAnsi="Arial"/>
                <w:sz w:val="21"/>
                <w:szCs w:val="21"/>
                <w:color w:val="004483"/>
                <w:vertAlign w:val="superscript"/>
              </w:rPr>
              <w:t>(2)</w:t>
            </w:r>
          </w:p>
        </w:tc>
        <w:tc>
          <w:tcPr>
            <w:tcW w:w="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156.82</w:t>
            </w:r>
          </w:p>
        </w:tc>
        <w:tc>
          <w:tcPr>
            <w:tcW w:w="120" w:type="dxa"/>
            <w:vAlign w:val="bottom"/>
          </w:tcPr>
          <w:p>
            <w:pPr>
              <w:spacing w:after="0"/>
              <w:rPr>
                <w:sz w:val="15"/>
                <w:szCs w:val="15"/>
                <w:color w:val="auto"/>
              </w:rPr>
            </w:pPr>
          </w:p>
        </w:tc>
        <w:tc>
          <w:tcPr>
            <w:tcW w:w="420" w:type="dxa"/>
            <w:vAlign w:val="bottom"/>
            <w:tcBorders>
              <w:bottom w:val="single" w:sz="8" w:color="A6A6A6"/>
            </w:tcBorders>
            <w:gridSpan w:val="2"/>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151.32</w:t>
            </w:r>
          </w:p>
        </w:tc>
        <w:tc>
          <w:tcPr>
            <w:tcW w:w="100" w:type="dxa"/>
            <w:vAlign w:val="bottom"/>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w:t>
            </w:r>
          </w:p>
        </w:tc>
        <w:tc>
          <w:tcPr>
            <w:tcW w:w="24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156.46</w:t>
            </w:r>
          </w:p>
        </w:tc>
        <w:tc>
          <w:tcPr>
            <w:tcW w:w="100" w:type="dxa"/>
            <w:vAlign w:val="bottom"/>
          </w:tcPr>
          <w:p>
            <w:pPr>
              <w:spacing w:after="0"/>
              <w:rPr>
                <w:sz w:val="15"/>
                <w:szCs w:val="15"/>
                <w:color w:val="auto"/>
              </w:rPr>
            </w:pPr>
          </w:p>
        </w:tc>
        <w:tc>
          <w:tcPr>
            <w:tcW w:w="420" w:type="dxa"/>
            <w:vAlign w:val="bottom"/>
            <w:tcBorders>
              <w:bottom w:val="single" w:sz="8" w:color="A6A6A6"/>
            </w:tcBorders>
            <w:gridSpan w:val="2"/>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150.20</w:t>
            </w:r>
          </w:p>
        </w:tc>
        <w:tc>
          <w:tcPr>
            <w:tcW w:w="100" w:type="dxa"/>
            <w:vAlign w:val="bottom"/>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3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Margin, per ton</w:t>
            </w:r>
          </w:p>
        </w:tc>
        <w:tc>
          <w:tcPr>
            <w:tcW w:w="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50.98</w:t>
            </w:r>
          </w:p>
        </w:tc>
        <w:tc>
          <w:tcPr>
            <w:tcW w:w="120" w:type="dxa"/>
            <w:vAlign w:val="bottom"/>
          </w:tcPr>
          <w:p>
            <w:pPr>
              <w:spacing w:after="0"/>
              <w:rPr>
                <w:sz w:val="15"/>
                <w:szCs w:val="15"/>
                <w:color w:val="auto"/>
              </w:rPr>
            </w:pPr>
          </w:p>
        </w:tc>
        <w:tc>
          <w:tcPr>
            <w:tcW w:w="420" w:type="dxa"/>
            <w:vAlign w:val="bottom"/>
            <w:tcBorders>
              <w:bottom w:val="single" w:sz="8" w:color="A6A6A6"/>
            </w:tcBorders>
            <w:gridSpan w:val="2"/>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57.88</w:t>
            </w:r>
          </w:p>
        </w:tc>
        <w:tc>
          <w:tcPr>
            <w:tcW w:w="100" w:type="dxa"/>
            <w:vAlign w:val="bottom"/>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w:t>
            </w:r>
          </w:p>
        </w:tc>
        <w:tc>
          <w:tcPr>
            <w:tcW w:w="24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51.44</w:t>
            </w:r>
          </w:p>
        </w:tc>
        <w:tc>
          <w:tcPr>
            <w:tcW w:w="100" w:type="dxa"/>
            <w:vAlign w:val="bottom"/>
          </w:tcPr>
          <w:p>
            <w:pPr>
              <w:spacing w:after="0"/>
              <w:rPr>
                <w:sz w:val="15"/>
                <w:szCs w:val="15"/>
                <w:color w:val="auto"/>
              </w:rPr>
            </w:pPr>
          </w:p>
        </w:tc>
        <w:tc>
          <w:tcPr>
            <w:tcW w:w="420" w:type="dxa"/>
            <w:vAlign w:val="bottom"/>
            <w:tcBorders>
              <w:bottom w:val="single" w:sz="8" w:color="A6A6A6"/>
            </w:tcBorders>
            <w:gridSpan w:val="2"/>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50.46</w:t>
            </w:r>
          </w:p>
        </w:tc>
        <w:tc>
          <w:tcPr>
            <w:tcW w:w="100" w:type="dxa"/>
            <w:vAlign w:val="bottom"/>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3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Earnings</w:t>
            </w:r>
          </w:p>
        </w:tc>
        <w:tc>
          <w:tcPr>
            <w:tcW w:w="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86,763</w:t>
            </w:r>
          </w:p>
        </w:tc>
        <w:tc>
          <w:tcPr>
            <w:tcW w:w="120" w:type="dxa"/>
            <w:vAlign w:val="bottom"/>
          </w:tcPr>
          <w:p>
            <w:pPr>
              <w:spacing w:after="0"/>
              <w:rPr>
                <w:sz w:val="15"/>
                <w:szCs w:val="15"/>
                <w:color w:val="auto"/>
              </w:rPr>
            </w:pPr>
          </w:p>
        </w:tc>
        <w:tc>
          <w:tcPr>
            <w:tcW w:w="420" w:type="dxa"/>
            <w:vAlign w:val="bottom"/>
            <w:tcBorders>
              <w:bottom w:val="single" w:sz="8" w:color="A6A6A6"/>
            </w:tcBorders>
            <w:gridSpan w:val="2"/>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105,566</w:t>
            </w:r>
          </w:p>
        </w:tc>
        <w:tc>
          <w:tcPr>
            <w:tcW w:w="100" w:type="dxa"/>
            <w:vAlign w:val="bottom"/>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w:t>
            </w:r>
          </w:p>
        </w:tc>
        <w:tc>
          <w:tcPr>
            <w:tcW w:w="24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291,821</w:t>
            </w:r>
          </w:p>
        </w:tc>
        <w:tc>
          <w:tcPr>
            <w:tcW w:w="100" w:type="dxa"/>
            <w:vAlign w:val="bottom"/>
          </w:tcPr>
          <w:p>
            <w:pPr>
              <w:spacing w:after="0"/>
              <w:rPr>
                <w:sz w:val="15"/>
                <w:szCs w:val="15"/>
                <w:color w:val="auto"/>
              </w:rPr>
            </w:pPr>
          </w:p>
        </w:tc>
        <w:tc>
          <w:tcPr>
            <w:tcW w:w="420" w:type="dxa"/>
            <w:vAlign w:val="bottom"/>
            <w:tcBorders>
              <w:bottom w:val="single" w:sz="8" w:color="A6A6A6"/>
            </w:tcBorders>
            <w:gridSpan w:val="2"/>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301,056</w:t>
            </w:r>
          </w:p>
        </w:tc>
        <w:tc>
          <w:tcPr>
            <w:tcW w:w="100" w:type="dxa"/>
            <w:vAlign w:val="bottom"/>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w:t>
            </w:r>
          </w:p>
        </w:tc>
        <w:tc>
          <w:tcPr>
            <w:tcW w:w="200" w:type="dxa"/>
            <w:vAlign w:val="bottom"/>
          </w:tcPr>
          <w:p>
            <w:pPr>
              <w:spacing w:after="0" w:line="183" w:lineRule="exact"/>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-1825625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-1825625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Total of wholly owned subsidiaries and proportionately consolidated 50% interest of the Joint Venture’s results.</w:t>
      </w:r>
    </w:p>
    <w:p>
      <w:pPr>
        <w:spacing w:after="0" w:line="37" w:lineRule="exact"/>
        <w:rPr>
          <w:rFonts w:ascii="Arial" w:cs="Arial" w:eastAsia="Arial" w:hAnsi="Arial"/>
          <w:sz w:val="12"/>
          <w:szCs w:val="12"/>
          <w:color w:val="auto"/>
        </w:rPr>
      </w:pPr>
    </w:p>
    <w:p>
      <w:pPr>
        <w:ind w:left="180" w:hanging="172"/>
        <w:spacing w:after="0"/>
        <w:tabs>
          <w:tab w:leader="none" w:pos="1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Net of freight per ton, including Joint Venture.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2024</w:t>
      </w:r>
    </w:p>
    <w:p>
      <w:pPr>
        <w:spacing w:after="0" w:line="1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Cement Revenue for the three months ended December 31, 2024 was $295.4 million, a 4% decrease from the prior-year period. The decrease was primarily due to lower Sales Volume, which reduced Cement Revenue by approximately $18.8 million, partially offset by higher gross sales prices of $5.6 million.</w:t>
      </w:r>
    </w:p>
    <w:p>
      <w:pPr>
        <w:spacing w:after="0" w:line="61"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Cement Operating Earnings decreased by $18.8 million to $86.8 million for the three months ended December 31, 2024. The decrease was due to lower Sales Volume and higher operating costs of $7.1 million and $17.3 million, respectively, partially offset by higher average sales prices of $ 5.6 million. Higher operating costs were primarily due to increased maintenance of $7.8 million, as well as $8.1 million related to increased fixed costs per unit, including labor, resulting from lower production during the quarter. The Operating Margin decreased to 33% from 39%, as a result of higher operating costs, partially offset by the higher gross sales prices.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31, 2024</w:t>
      </w:r>
    </w:p>
    <w:p>
      <w:pPr>
        <w:spacing w:after="0" w:line="1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Cement Revenue for the nine months ended December 31, 2024 was $987.3 million, a 1% decrease from the prior-year period. The decrease was primarily due to lower Sales Volume, which reduced Cement Revenue by approximately $45.0 million, partially offset by higher gross sales prices of $33.9 million.</w:t>
      </w:r>
    </w:p>
    <w:p>
      <w:pPr>
        <w:spacing w:after="0" w:line="6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Cement Operating Earnings decreased by $9.3 million to $291.8 million for the nine months ended December 31, 2024. The decrease was due to lower Sales Volume and higher operating costs of $15.0 million and $28.2 million, respectively, which was partially offset by higher gross sales prices of $33.9 million. Higher operating costs consisted of $ 12.9 million of increased maintenance, $4.9 million of higher freight costs, $2.8 million increase in purchased raw materials, and $8.3 million related to increased fixed costs, including labor, resulting from lower production. These higher costs were partially offset by the impact of recording in the prior year $2.8 million of acquired inventories at fair value. Cement Operating Margin remained flat at 30%, as the higher operating costs were offset by higher gross sales prices.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8"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CONCRETE AND AGGREGATES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00" w:type="dxa"/>
            <w:vAlign w:val="bottom"/>
          </w:tcPr>
          <w:p>
            <w:pPr>
              <w:spacing w:after="0"/>
              <w:rPr>
                <w:sz w:val="13"/>
                <w:szCs w:val="13"/>
                <w:color w:val="auto"/>
              </w:rPr>
            </w:pPr>
          </w:p>
        </w:tc>
        <w:tc>
          <w:tcPr>
            <w:tcW w:w="180" w:type="dxa"/>
            <w:vAlign w:val="bottom"/>
            <w:shd w:val="clear" w:color="auto" w:fill="004483"/>
          </w:tcPr>
          <w:p>
            <w:pPr>
              <w:spacing w:after="0"/>
              <w:rPr>
                <w:sz w:val="13"/>
                <w:szCs w:val="13"/>
                <w:color w:val="auto"/>
              </w:rPr>
            </w:pPr>
          </w:p>
        </w:tc>
        <w:tc>
          <w:tcPr>
            <w:tcW w:w="2140" w:type="dxa"/>
            <w:vAlign w:val="bottom"/>
            <w:gridSpan w:val="6"/>
            <w:shd w:val="clear" w:color="auto" w:fill="004483"/>
          </w:tcPr>
          <w:p>
            <w:pPr>
              <w:jc w:val="right"/>
              <w:ind w:right="279"/>
              <w:spacing w:after="0"/>
              <w:rPr>
                <w:sz w:val="20"/>
                <w:szCs w:val="20"/>
                <w:color w:val="auto"/>
              </w:rPr>
            </w:pPr>
            <w:r>
              <w:rPr>
                <w:rFonts w:ascii="Arial" w:cs="Arial" w:eastAsia="Arial" w:hAnsi="Arial"/>
                <w:sz w:val="13"/>
                <w:szCs w:val="13"/>
                <w:b w:val="1"/>
                <w:bCs w:val="1"/>
                <w:color w:val="FFFFFF"/>
                <w:w w:val="99"/>
              </w:rPr>
              <w:t>For the Three Months Ended</w:t>
            </w: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shd w:val="clear" w:color="auto" w:fill="004483"/>
          </w:tcPr>
          <w:p>
            <w:pPr>
              <w:spacing w:after="0"/>
              <w:rPr>
                <w:sz w:val="13"/>
                <w:szCs w:val="13"/>
                <w:color w:val="auto"/>
              </w:rPr>
            </w:pPr>
          </w:p>
        </w:tc>
        <w:tc>
          <w:tcPr>
            <w:tcW w:w="2120" w:type="dxa"/>
            <w:vAlign w:val="bottom"/>
            <w:gridSpan w:val="6"/>
            <w:shd w:val="clear" w:color="auto" w:fill="004483"/>
          </w:tcPr>
          <w:p>
            <w:pPr>
              <w:jc w:val="right"/>
              <w:ind w:right="319"/>
              <w:spacing w:after="0"/>
              <w:rPr>
                <w:sz w:val="20"/>
                <w:szCs w:val="20"/>
                <w:color w:val="auto"/>
              </w:rPr>
            </w:pPr>
            <w:r>
              <w:rPr>
                <w:rFonts w:ascii="Arial" w:cs="Arial" w:eastAsia="Arial" w:hAnsi="Arial"/>
                <w:sz w:val="13"/>
                <w:szCs w:val="13"/>
                <w:b w:val="1"/>
                <w:bCs w:val="1"/>
                <w:color w:val="FFFFFF"/>
              </w:rPr>
              <w:t>For the Nine Months Ended</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tcPr>
          <w:p>
            <w:pPr>
              <w:spacing w:after="0"/>
              <w:rPr>
                <w:sz w:val="13"/>
                <w:szCs w:val="13"/>
                <w:color w:val="auto"/>
              </w:rPr>
            </w:pPr>
          </w:p>
        </w:tc>
        <w:tc>
          <w:tcPr>
            <w:tcW w:w="180" w:type="dxa"/>
            <w:vAlign w:val="bottom"/>
            <w:tcBorders>
              <w:bottom w:val="single" w:sz="8" w:color="auto"/>
            </w:tcBorders>
            <w:shd w:val="clear" w:color="auto" w:fill="004483"/>
          </w:tcPr>
          <w:p>
            <w:pPr>
              <w:spacing w:after="0"/>
              <w:rPr>
                <w:sz w:val="13"/>
                <w:szCs w:val="13"/>
                <w:color w:val="auto"/>
              </w:rPr>
            </w:pPr>
          </w:p>
        </w:tc>
        <w:tc>
          <w:tcPr>
            <w:tcW w:w="1420" w:type="dxa"/>
            <w:vAlign w:val="bottom"/>
            <w:tcBorders>
              <w:bottom w:val="single" w:sz="8" w:color="auto"/>
            </w:tcBorders>
            <w:gridSpan w:val="4"/>
            <w:shd w:val="clear" w:color="auto" w:fill="004483"/>
          </w:tcPr>
          <w:p>
            <w:pPr>
              <w:jc w:val="right"/>
              <w:spacing w:after="0"/>
              <w:rPr>
                <w:sz w:val="20"/>
                <w:szCs w:val="20"/>
                <w:color w:val="auto"/>
              </w:rPr>
            </w:pPr>
            <w:r>
              <w:rPr>
                <w:rFonts w:ascii="Arial" w:cs="Arial" w:eastAsia="Arial" w:hAnsi="Arial"/>
                <w:sz w:val="13"/>
                <w:szCs w:val="13"/>
                <w:b w:val="1"/>
                <w:bCs w:val="1"/>
                <w:color w:val="FFFFFF"/>
              </w:rPr>
              <w:t>December 31,</w:t>
            </w:r>
          </w:p>
        </w:tc>
        <w:tc>
          <w:tcPr>
            <w:tcW w:w="620" w:type="dxa"/>
            <w:vAlign w:val="bottom"/>
            <w:tcBorders>
              <w:bottom w:val="single" w:sz="8" w:color="auto"/>
            </w:tcBorders>
            <w:shd w:val="clear" w:color="auto" w:fill="004483"/>
          </w:tcPr>
          <w:p>
            <w:pPr>
              <w:spacing w:after="0"/>
              <w:rPr>
                <w:sz w:val="13"/>
                <w:szCs w:val="13"/>
                <w:color w:val="auto"/>
              </w:rPr>
            </w:pPr>
          </w:p>
        </w:tc>
        <w:tc>
          <w:tcPr>
            <w:tcW w:w="100" w:type="dxa"/>
            <w:vAlign w:val="bottom"/>
            <w:tcBorders>
              <w:bottom w:val="single" w:sz="8" w:color="004483"/>
            </w:tcBorders>
            <w:shd w:val="clear" w:color="auto" w:fill="004483"/>
          </w:tcPr>
          <w:p>
            <w:pPr>
              <w:spacing w:after="0"/>
              <w:rPr>
                <w:sz w:val="13"/>
                <w:szCs w:val="13"/>
                <w:color w:val="auto"/>
              </w:rPr>
            </w:pPr>
          </w:p>
        </w:tc>
        <w:tc>
          <w:tcPr>
            <w:tcW w:w="1200" w:type="dxa"/>
            <w:vAlign w:val="bottom"/>
            <w:gridSpan w:val="3"/>
            <w:vMerge w:val="restart"/>
          </w:tcPr>
          <w:p>
            <w:pPr>
              <w:jc w:val="center"/>
              <w:ind w:right="280"/>
              <w:spacing w:after="0"/>
              <w:rPr>
                <w:sz w:val="20"/>
                <w:szCs w:val="20"/>
                <w:color w:val="auto"/>
              </w:rPr>
            </w:pPr>
            <w:r>
              <w:rPr>
                <w:rFonts w:ascii="Arial" w:cs="Arial" w:eastAsia="Arial" w:hAnsi="Arial"/>
                <w:sz w:val="13"/>
                <w:szCs w:val="13"/>
                <w:b w:val="1"/>
                <w:bCs w:val="1"/>
                <w:color w:val="auto"/>
                <w:w w:val="96"/>
              </w:rPr>
              <w:t>Percentage</w:t>
            </w:r>
          </w:p>
        </w:tc>
        <w:tc>
          <w:tcPr>
            <w:tcW w:w="200" w:type="dxa"/>
            <w:vAlign w:val="bottom"/>
            <w:tcBorders>
              <w:bottom w:val="single" w:sz="8" w:color="auto"/>
            </w:tcBorders>
            <w:shd w:val="clear" w:color="auto" w:fill="004483"/>
          </w:tcPr>
          <w:p>
            <w:pPr>
              <w:spacing w:after="0"/>
              <w:rPr>
                <w:sz w:val="13"/>
                <w:szCs w:val="13"/>
                <w:color w:val="auto"/>
              </w:rPr>
            </w:pPr>
          </w:p>
        </w:tc>
        <w:tc>
          <w:tcPr>
            <w:tcW w:w="1360" w:type="dxa"/>
            <w:vAlign w:val="bottom"/>
            <w:tcBorders>
              <w:bottom w:val="single" w:sz="8" w:color="auto"/>
            </w:tcBorders>
            <w:gridSpan w:val="4"/>
            <w:shd w:val="clear" w:color="auto" w:fill="004483"/>
          </w:tcPr>
          <w:p>
            <w:pPr>
              <w:jc w:val="right"/>
              <w:spacing w:after="0"/>
              <w:rPr>
                <w:sz w:val="20"/>
                <w:szCs w:val="20"/>
                <w:color w:val="auto"/>
              </w:rPr>
            </w:pPr>
            <w:r>
              <w:rPr>
                <w:rFonts w:ascii="Arial" w:cs="Arial" w:eastAsia="Arial" w:hAnsi="Arial"/>
                <w:sz w:val="13"/>
                <w:szCs w:val="13"/>
                <w:b w:val="1"/>
                <w:bCs w:val="1"/>
                <w:color w:val="FFFFFF"/>
              </w:rPr>
              <w:t>December 31,</w:t>
            </w:r>
          </w:p>
        </w:tc>
        <w:tc>
          <w:tcPr>
            <w:tcW w:w="660" w:type="dxa"/>
            <w:vAlign w:val="bottom"/>
            <w:tcBorders>
              <w:bottom w:val="single" w:sz="8" w:color="auto"/>
            </w:tcBorders>
            <w:shd w:val="clear" w:color="auto" w:fill="004483"/>
          </w:tcPr>
          <w:p>
            <w:pPr>
              <w:spacing w:after="0"/>
              <w:rPr>
                <w:sz w:val="13"/>
                <w:szCs w:val="13"/>
                <w:color w:val="auto"/>
              </w:rPr>
            </w:pPr>
          </w:p>
        </w:tc>
        <w:tc>
          <w:tcPr>
            <w:tcW w:w="100" w:type="dxa"/>
            <w:vAlign w:val="bottom"/>
            <w:tcBorders>
              <w:bottom w:val="single" w:sz="8" w:color="004483"/>
            </w:tcBorders>
            <w:shd w:val="clear" w:color="auto" w:fill="004483"/>
          </w:tcPr>
          <w:p>
            <w:pPr>
              <w:spacing w:after="0"/>
              <w:rPr>
                <w:sz w:val="13"/>
                <w:szCs w:val="13"/>
                <w:color w:val="auto"/>
              </w:rPr>
            </w:pPr>
          </w:p>
        </w:tc>
        <w:tc>
          <w:tcPr>
            <w:tcW w:w="1080" w:type="dxa"/>
            <w:vAlign w:val="bottom"/>
            <w:gridSpan w:val="2"/>
            <w:vMerge w:val="restart"/>
          </w:tcPr>
          <w:p>
            <w:pPr>
              <w:jc w:val="right"/>
              <w:ind w:right="199"/>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11"/>
        </w:trPr>
        <w:tc>
          <w:tcPr>
            <w:tcW w:w="4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Change</w:t>
            </w:r>
          </w:p>
        </w:tc>
        <w:tc>
          <w:tcPr>
            <w:tcW w:w="2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279"/>
              <w:spacing w:after="0" w:line="135"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2320" w:type="dxa"/>
            <w:vAlign w:val="bottom"/>
            <w:gridSpan w:val="7"/>
          </w:tcPr>
          <w:p>
            <w:pPr>
              <w:ind w:left="20"/>
              <w:spacing w:after="0"/>
              <w:rPr>
                <w:sz w:val="20"/>
                <w:szCs w:val="20"/>
                <w:color w:val="auto"/>
              </w:rPr>
            </w:pPr>
            <w:r>
              <w:rPr>
                <w:rFonts w:ascii="Arial" w:cs="Arial" w:eastAsia="Arial" w:hAnsi="Arial"/>
                <w:sz w:val="13"/>
                <w:szCs w:val="13"/>
                <w:color w:val="auto"/>
              </w:rPr>
              <w:t>(in thousands, except net sales prices)</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7"/>
          </w:tcPr>
          <w:p>
            <w:pPr>
              <w:ind w:left="40"/>
              <w:spacing w:after="0"/>
              <w:rPr>
                <w:sz w:val="20"/>
                <w:szCs w:val="20"/>
                <w:color w:val="auto"/>
              </w:rPr>
            </w:pPr>
            <w:r>
              <w:rPr>
                <w:rFonts w:ascii="Arial" w:cs="Arial" w:eastAsia="Arial" w:hAnsi="Arial"/>
                <w:sz w:val="13"/>
                <w:szCs w:val="13"/>
                <w:color w:val="auto"/>
              </w:rPr>
              <w:t>(in thousands, except net sales prices)</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00" w:type="dxa"/>
            <w:vAlign w:val="bottom"/>
            <w:tcBorders>
              <w:top w:val="single" w:sz="8" w:color="17385E"/>
              <w:bottom w:val="single" w:sz="8" w:color="A6A6A6"/>
            </w:tcBorders>
          </w:tcPr>
          <w:p>
            <w:pPr>
              <w:ind w:left="20"/>
              <w:spacing w:after="0"/>
              <w:rPr>
                <w:sz w:val="20"/>
                <w:szCs w:val="20"/>
                <w:color w:val="auto"/>
              </w:rPr>
            </w:pPr>
            <w:r>
              <w:rPr>
                <w:rFonts w:ascii="Arial" w:cs="Arial" w:eastAsia="Arial" w:hAnsi="Arial"/>
                <w:sz w:val="16"/>
                <w:szCs w:val="16"/>
                <w:color w:val="004483"/>
              </w:rPr>
              <w:t>Revenue, including Intersegment</w:t>
            </w:r>
          </w:p>
        </w:tc>
        <w:tc>
          <w:tcPr>
            <w:tcW w:w="180" w:type="dxa"/>
            <w:vAlign w:val="bottom"/>
            <w:tcBorders>
              <w:top w:val="single" w:sz="8" w:color="17385E"/>
              <w:bottom w:val="single" w:sz="8" w:color="A6A6A6"/>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60,716</w:t>
            </w:r>
          </w:p>
        </w:tc>
        <w:tc>
          <w:tcPr>
            <w:tcW w:w="120" w:type="dxa"/>
            <w:vAlign w:val="bottom"/>
            <w:tcBorders>
              <w:top w:val="single" w:sz="8" w:color="17385E"/>
              <w:bottom w:val="single" w:sz="8" w:color="17385E"/>
            </w:tcBorders>
            <w:vMerge w:val="restart"/>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17385E"/>
              <w:bottom w:val="single" w:sz="8" w:color="A6A6A6"/>
            </w:tcBorders>
            <w:gridSpan w:val="2"/>
          </w:tcPr>
          <w:p>
            <w:pPr>
              <w:jc w:val="right"/>
              <w:ind w:right="17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61,186</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17385E"/>
              <w:bottom w:val="single" w:sz="8" w:color="A6A6A6"/>
            </w:tcBorders>
          </w:tcPr>
          <w:p>
            <w:pPr>
              <w:spacing w:after="0"/>
              <w:rPr>
                <w:sz w:val="16"/>
                <w:szCs w:val="16"/>
                <w:color w:val="auto"/>
              </w:rPr>
            </w:pPr>
          </w:p>
        </w:tc>
        <w:tc>
          <w:tcPr>
            <w:tcW w:w="200" w:type="dxa"/>
            <w:vAlign w:val="bottom"/>
            <w:tcBorders>
              <w:top w:val="single" w:sz="8" w:color="17385E"/>
              <w:bottom w:val="single" w:sz="8" w:color="A6A6A6"/>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195,511</w:t>
            </w:r>
          </w:p>
        </w:tc>
        <w:tc>
          <w:tcPr>
            <w:tcW w:w="100" w:type="dxa"/>
            <w:vAlign w:val="bottom"/>
            <w:tcBorders>
              <w:top w:val="single" w:sz="8" w:color="17385E"/>
              <w:bottom w:val="single" w:sz="8" w:color="17385E"/>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17385E"/>
              <w:bottom w:val="single" w:sz="8" w:color="A6A6A6"/>
            </w:tcBorders>
            <w:gridSpan w:val="2"/>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201,526</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83"/>
        </w:trPr>
        <w:tc>
          <w:tcPr>
            <w:tcW w:w="4300" w:type="dxa"/>
            <w:vAlign w:val="bottom"/>
          </w:tcPr>
          <w:p>
            <w:pPr>
              <w:ind w:left="20"/>
              <w:spacing w:after="0" w:line="183" w:lineRule="exact"/>
              <w:rPr>
                <w:sz w:val="20"/>
                <w:szCs w:val="20"/>
                <w:color w:val="auto"/>
              </w:rPr>
            </w:pPr>
            <w:r>
              <w:rPr>
                <w:rFonts w:ascii="Arial" w:cs="Arial" w:eastAsia="Arial" w:hAnsi="Arial"/>
                <w:sz w:val="16"/>
                <w:szCs w:val="16"/>
                <w:color w:val="004483"/>
              </w:rPr>
              <w:t>Less Intersegment Revenue</w:t>
            </w:r>
          </w:p>
        </w:tc>
        <w:tc>
          <w:tcPr>
            <w:tcW w:w="18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(4,311</w:t>
            </w: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(3,414</w:t>
            </w:r>
          </w:p>
        </w:tc>
        <w:tc>
          <w:tcPr>
            <w:tcW w:w="100" w:type="dxa"/>
            <w:vAlign w:val="bottom"/>
            <w:vMerge w:val="continue"/>
          </w:tcPr>
          <w:p>
            <w:pPr>
              <w:spacing w:after="0"/>
              <w:rPr>
                <w:sz w:val="15"/>
                <w:szCs w:val="15"/>
                <w:color w:val="auto"/>
              </w:rPr>
            </w:pPr>
          </w:p>
        </w:tc>
        <w:tc>
          <w:tcPr>
            <w:tcW w:w="11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26 %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(12,138</w:t>
            </w:r>
          </w:p>
        </w:tc>
        <w:tc>
          <w:tcPr>
            <w:tcW w:w="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(10,235</w:t>
            </w:r>
          </w:p>
        </w:tc>
        <w:tc>
          <w:tcPr>
            <w:tcW w:w="100" w:type="dxa"/>
            <w:vAlign w:val="bottom"/>
            <w:vMerge w:val="continue"/>
          </w:tcPr>
          <w:p>
            <w:pPr>
              <w:spacing w:after="0"/>
              <w:rPr>
                <w:sz w:val="15"/>
                <w:szCs w:val="15"/>
                <w:color w:val="auto"/>
              </w:rPr>
            </w:pPr>
          </w:p>
        </w:tc>
        <w:tc>
          <w:tcPr>
            <w:tcW w:w="10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6A6A6"/>
            </w:tcBorders>
          </w:tcPr>
          <w:p>
            <w:pPr>
              <w:spacing w:after="0"/>
              <w:rPr>
                <w:sz w:val="2"/>
                <w:szCs w:val="2"/>
                <w:color w:val="auto"/>
              </w:rPr>
            </w:pPr>
          </w:p>
        </w:tc>
        <w:tc>
          <w:tcPr>
            <w:tcW w:w="180" w:type="dxa"/>
            <w:vAlign w:val="bottom"/>
            <w:tcBorders>
              <w:bottom w:val="single" w:sz="8" w:color="004483"/>
            </w:tcBorders>
            <w:shd w:val="clear" w:color="auto" w:fill="004483"/>
          </w:tcPr>
          <w:p>
            <w:pPr>
              <w:spacing w:after="0"/>
              <w:rPr>
                <w:sz w:val="2"/>
                <w:szCs w:val="2"/>
                <w:color w:val="auto"/>
              </w:rPr>
            </w:pPr>
          </w:p>
        </w:tc>
        <w:tc>
          <w:tcPr>
            <w:tcW w:w="84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6A6A6"/>
            </w:tcBorders>
          </w:tcPr>
          <w:p>
            <w:pPr>
              <w:spacing w:after="0"/>
              <w:rPr>
                <w:sz w:val="2"/>
                <w:szCs w:val="2"/>
                <w:color w:val="auto"/>
              </w:rPr>
            </w:pPr>
          </w:p>
        </w:tc>
        <w:tc>
          <w:tcPr>
            <w:tcW w:w="360" w:type="dxa"/>
            <w:vAlign w:val="bottom"/>
            <w:tcBorders>
              <w:bottom w:val="single" w:sz="8" w:color="004483"/>
            </w:tcBorders>
            <w:shd w:val="clear" w:color="auto" w:fill="004483"/>
          </w:tcPr>
          <w:p>
            <w:pPr>
              <w:spacing w:after="0"/>
              <w:rPr>
                <w:sz w:val="2"/>
                <w:szCs w:val="2"/>
                <w:color w:val="auto"/>
              </w:rPr>
            </w:pPr>
          </w:p>
        </w:tc>
        <w:tc>
          <w:tcPr>
            <w:tcW w:w="62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6A6A6"/>
            </w:tcBorders>
          </w:tcPr>
          <w:p>
            <w:pPr>
              <w:spacing w:after="0"/>
              <w:rPr>
                <w:sz w:val="2"/>
                <w:szCs w:val="2"/>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8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6A6A6"/>
            </w:tcBorders>
          </w:tcPr>
          <w:p>
            <w:pPr>
              <w:spacing w:after="0"/>
              <w:rPr>
                <w:sz w:val="2"/>
                <w:szCs w:val="2"/>
                <w:color w:val="auto"/>
              </w:rPr>
            </w:pPr>
          </w:p>
        </w:tc>
        <w:tc>
          <w:tcPr>
            <w:tcW w:w="320" w:type="dxa"/>
            <w:vAlign w:val="bottom"/>
            <w:tcBorders>
              <w:bottom w:val="single" w:sz="8" w:color="004483"/>
            </w:tcBorders>
            <w:shd w:val="clear" w:color="auto" w:fill="004483"/>
          </w:tcPr>
          <w:p>
            <w:pPr>
              <w:spacing w:after="0"/>
              <w:rPr>
                <w:sz w:val="2"/>
                <w:szCs w:val="2"/>
                <w:color w:val="auto"/>
              </w:rPr>
            </w:pPr>
          </w:p>
        </w:tc>
        <w:tc>
          <w:tcPr>
            <w:tcW w:w="6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6A6A6"/>
            </w:tcBorders>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83"/>
        </w:trPr>
        <w:tc>
          <w:tcPr>
            <w:tcW w:w="43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Revenue</w:t>
            </w:r>
          </w:p>
        </w:tc>
        <w:tc>
          <w:tcPr>
            <w:tcW w:w="1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56,405</w:t>
            </w:r>
          </w:p>
        </w:tc>
        <w:tc>
          <w:tcPr>
            <w:tcW w:w="12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60" w:type="dxa"/>
            <w:vAlign w:val="bottom"/>
            <w:tcBorders>
              <w:bottom w:val="single" w:sz="8" w:color="A6A6A6"/>
            </w:tcBorders>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57,772</w:t>
            </w:r>
          </w:p>
        </w:tc>
        <w:tc>
          <w:tcPr>
            <w:tcW w:w="100" w:type="dxa"/>
            <w:vAlign w:val="bottom"/>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w:t>
            </w:r>
          </w:p>
        </w:tc>
        <w:tc>
          <w:tcPr>
            <w:tcW w:w="240" w:type="dxa"/>
            <w:vAlign w:val="bottom"/>
            <w:vMerge w:val="continue"/>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183,373</w:t>
            </w: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191,291</w:t>
            </w:r>
          </w:p>
        </w:tc>
        <w:tc>
          <w:tcPr>
            <w:tcW w:w="100" w:type="dxa"/>
            <w:vAlign w:val="bottom"/>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w:t>
            </w: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0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60" w:type="dxa"/>
            <w:vAlign w:val="bottom"/>
            <w:tcBorders>
              <w:bottom w:val="single" w:sz="8" w:color="A6A6A6"/>
            </w:tcBorders>
          </w:tcPr>
          <w:p>
            <w:pPr>
              <w:spacing w:after="0"/>
              <w:rPr>
                <w:sz w:val="15"/>
                <w:szCs w:val="15"/>
                <w:color w:val="auto"/>
              </w:rPr>
            </w:pPr>
          </w:p>
        </w:tc>
        <w:tc>
          <w:tcPr>
            <w:tcW w:w="62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6A6A6"/>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Sales Volume</w:t>
            </w:r>
          </w:p>
        </w:tc>
        <w:tc>
          <w:tcPr>
            <w:tcW w:w="18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60" w:type="dxa"/>
            <w:vAlign w:val="bottom"/>
            <w:tcBorders>
              <w:bottom w:val="single" w:sz="8" w:color="A6A6A6"/>
            </w:tcBorders>
          </w:tcPr>
          <w:p>
            <w:pPr>
              <w:spacing w:after="0"/>
              <w:rPr>
                <w:sz w:val="15"/>
                <w:szCs w:val="15"/>
                <w:color w:val="auto"/>
              </w:rPr>
            </w:pPr>
          </w:p>
        </w:tc>
        <w:tc>
          <w:tcPr>
            <w:tcW w:w="62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6A6A6"/>
            </w:tcBorders>
          </w:tcPr>
          <w:p>
            <w:pPr>
              <w:spacing w:after="0"/>
              <w:rPr>
                <w:sz w:val="15"/>
                <w:szCs w:val="15"/>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83"/>
        </w:trPr>
        <w:tc>
          <w:tcPr>
            <w:tcW w:w="43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M Cubic Yards of Concrete</w:t>
            </w:r>
          </w:p>
        </w:tc>
        <w:tc>
          <w:tcPr>
            <w:tcW w:w="18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298</w:t>
            </w:r>
          </w:p>
        </w:tc>
        <w:tc>
          <w:tcPr>
            <w:tcW w:w="12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60" w:type="dxa"/>
            <w:vAlign w:val="bottom"/>
            <w:tcBorders>
              <w:bottom w:val="single" w:sz="8" w:color="A6A6A6"/>
            </w:tcBorders>
          </w:tcPr>
          <w:p>
            <w:pPr>
              <w:spacing w:after="0"/>
              <w:rPr>
                <w:sz w:val="15"/>
                <w:szCs w:val="15"/>
                <w:color w:val="auto"/>
              </w:rPr>
            </w:pPr>
          </w:p>
        </w:tc>
        <w:tc>
          <w:tcPr>
            <w:tcW w:w="6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308</w:t>
            </w:r>
          </w:p>
        </w:tc>
        <w:tc>
          <w:tcPr>
            <w:tcW w:w="100" w:type="dxa"/>
            <w:vAlign w:val="bottom"/>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w:t>
            </w:r>
          </w:p>
        </w:tc>
        <w:tc>
          <w:tcPr>
            <w:tcW w:w="240" w:type="dxa"/>
            <w:vAlign w:val="bottom"/>
            <w:vMerge w:val="continue"/>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989</w:t>
            </w: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1,055</w:t>
            </w:r>
          </w:p>
        </w:tc>
        <w:tc>
          <w:tcPr>
            <w:tcW w:w="100" w:type="dxa"/>
            <w:vAlign w:val="bottom"/>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w:t>
            </w: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M Tons of Aggregate</w:t>
            </w:r>
          </w:p>
        </w:tc>
        <w:tc>
          <w:tcPr>
            <w:tcW w:w="18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893</w:t>
            </w:r>
          </w:p>
        </w:tc>
        <w:tc>
          <w:tcPr>
            <w:tcW w:w="12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60" w:type="dxa"/>
            <w:vAlign w:val="bottom"/>
            <w:tcBorders>
              <w:bottom w:val="single" w:sz="8" w:color="A6A6A6"/>
            </w:tcBorders>
          </w:tcPr>
          <w:p>
            <w:pPr>
              <w:spacing w:after="0"/>
              <w:rPr>
                <w:sz w:val="15"/>
                <w:szCs w:val="15"/>
                <w:color w:val="auto"/>
              </w:rPr>
            </w:pPr>
          </w:p>
        </w:tc>
        <w:tc>
          <w:tcPr>
            <w:tcW w:w="6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1,034</w:t>
            </w:r>
          </w:p>
        </w:tc>
        <w:tc>
          <w:tcPr>
            <w:tcW w:w="100" w:type="dxa"/>
            <w:vAlign w:val="bottom"/>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w:t>
            </w:r>
          </w:p>
        </w:tc>
        <w:tc>
          <w:tcPr>
            <w:tcW w:w="24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2,671</w:t>
            </w: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3,362</w:t>
            </w:r>
          </w:p>
        </w:tc>
        <w:tc>
          <w:tcPr>
            <w:tcW w:w="100" w:type="dxa"/>
            <w:vAlign w:val="bottom"/>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(21</w:t>
            </w:r>
          </w:p>
        </w:tc>
        <w:tc>
          <w:tcPr>
            <w:tcW w:w="200" w:type="dxa"/>
            <w:vAlign w:val="bottom"/>
          </w:tcPr>
          <w:p>
            <w:pPr>
              <w:spacing w:after="0" w:line="183" w:lineRule="exact"/>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83"/>
        </w:trPr>
        <w:tc>
          <w:tcPr>
            <w:tcW w:w="43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Average Net Sales Price</w:t>
            </w:r>
          </w:p>
        </w:tc>
        <w:tc>
          <w:tcPr>
            <w:tcW w:w="18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60" w:type="dxa"/>
            <w:vAlign w:val="bottom"/>
            <w:tcBorders>
              <w:bottom w:val="single" w:sz="8" w:color="A6A6A6"/>
            </w:tcBorders>
          </w:tcPr>
          <w:p>
            <w:pPr>
              <w:spacing w:after="0"/>
              <w:rPr>
                <w:sz w:val="15"/>
                <w:szCs w:val="15"/>
                <w:color w:val="auto"/>
              </w:rPr>
            </w:pPr>
          </w:p>
        </w:tc>
        <w:tc>
          <w:tcPr>
            <w:tcW w:w="62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6A6A6"/>
            </w:tcBorders>
          </w:tcPr>
          <w:p>
            <w:pPr>
              <w:spacing w:after="0"/>
              <w:rPr>
                <w:sz w:val="15"/>
                <w:szCs w:val="15"/>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3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Concrete - Per Cubic Yard</w:t>
            </w:r>
          </w:p>
        </w:tc>
        <w:tc>
          <w:tcPr>
            <w:tcW w:w="1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147.53</w:t>
            </w:r>
          </w:p>
        </w:tc>
        <w:tc>
          <w:tcPr>
            <w:tcW w:w="120" w:type="dxa"/>
            <w:vAlign w:val="bottom"/>
          </w:tcPr>
          <w:p>
            <w:pPr>
              <w:spacing w:after="0"/>
              <w:rPr>
                <w:sz w:val="15"/>
                <w:szCs w:val="15"/>
                <w:color w:val="auto"/>
              </w:rPr>
            </w:pPr>
          </w:p>
        </w:tc>
        <w:tc>
          <w:tcPr>
            <w:tcW w:w="460" w:type="dxa"/>
            <w:vAlign w:val="bottom"/>
            <w:tcBorders>
              <w:bottom w:val="single" w:sz="8" w:color="A6A6A6"/>
            </w:tcBorders>
            <w:gridSpan w:val="2"/>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149.54</w:t>
            </w:r>
          </w:p>
        </w:tc>
        <w:tc>
          <w:tcPr>
            <w:tcW w:w="100" w:type="dxa"/>
            <w:vAlign w:val="bottom"/>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w:t>
            </w:r>
          </w:p>
        </w:tc>
        <w:tc>
          <w:tcPr>
            <w:tcW w:w="240" w:type="dxa"/>
            <w:vAlign w:val="bottom"/>
            <w:vMerge w:val="continue"/>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148.46</w:t>
            </w:r>
          </w:p>
        </w:tc>
        <w:tc>
          <w:tcPr>
            <w:tcW w:w="100" w:type="dxa"/>
            <w:vAlign w:val="bottom"/>
          </w:tcPr>
          <w:p>
            <w:pPr>
              <w:spacing w:after="0"/>
              <w:rPr>
                <w:sz w:val="15"/>
                <w:szCs w:val="15"/>
                <w:color w:val="auto"/>
              </w:rPr>
            </w:pPr>
          </w:p>
        </w:tc>
        <w:tc>
          <w:tcPr>
            <w:tcW w:w="420" w:type="dxa"/>
            <w:vAlign w:val="bottom"/>
            <w:tcBorders>
              <w:bottom w:val="single" w:sz="8" w:color="A6A6A6"/>
            </w:tcBorders>
            <w:gridSpan w:val="2"/>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145.29</w:t>
            </w:r>
          </w:p>
        </w:tc>
        <w:tc>
          <w:tcPr>
            <w:tcW w:w="100" w:type="dxa"/>
            <w:vAlign w:val="bottom"/>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w:t>
            </w: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Aggregates - Per Ton</w:t>
            </w:r>
          </w:p>
        </w:tc>
        <w:tc>
          <w:tcPr>
            <w:tcW w:w="1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13.19</w:t>
            </w:r>
          </w:p>
        </w:tc>
        <w:tc>
          <w:tcPr>
            <w:tcW w:w="120" w:type="dxa"/>
            <w:vAlign w:val="bottom"/>
          </w:tcPr>
          <w:p>
            <w:pPr>
              <w:spacing w:after="0"/>
              <w:rPr>
                <w:sz w:val="15"/>
                <w:szCs w:val="15"/>
                <w:color w:val="auto"/>
              </w:rPr>
            </w:pPr>
          </w:p>
        </w:tc>
        <w:tc>
          <w:tcPr>
            <w:tcW w:w="460" w:type="dxa"/>
            <w:vAlign w:val="bottom"/>
            <w:tcBorders>
              <w:bottom w:val="single" w:sz="8" w:color="A6A6A6"/>
            </w:tcBorders>
            <w:gridSpan w:val="2"/>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11.18</w:t>
            </w:r>
          </w:p>
        </w:tc>
        <w:tc>
          <w:tcPr>
            <w:tcW w:w="100" w:type="dxa"/>
            <w:vAlign w:val="bottom"/>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w:t>
            </w:r>
          </w:p>
        </w:tc>
        <w:tc>
          <w:tcPr>
            <w:tcW w:w="24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12.83</w:t>
            </w:r>
          </w:p>
        </w:tc>
        <w:tc>
          <w:tcPr>
            <w:tcW w:w="100" w:type="dxa"/>
            <w:vAlign w:val="bottom"/>
          </w:tcPr>
          <w:p>
            <w:pPr>
              <w:spacing w:after="0"/>
              <w:rPr>
                <w:sz w:val="15"/>
                <w:szCs w:val="15"/>
                <w:color w:val="auto"/>
              </w:rPr>
            </w:pPr>
          </w:p>
        </w:tc>
        <w:tc>
          <w:tcPr>
            <w:tcW w:w="420" w:type="dxa"/>
            <w:vAlign w:val="bottom"/>
            <w:tcBorders>
              <w:bottom w:val="single" w:sz="8" w:color="A6A6A6"/>
            </w:tcBorders>
            <w:gridSpan w:val="2"/>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11.20</w:t>
            </w:r>
          </w:p>
        </w:tc>
        <w:tc>
          <w:tcPr>
            <w:tcW w:w="100" w:type="dxa"/>
            <w:vAlign w:val="bottom"/>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30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6A6A6"/>
            </w:tcBorders>
            <w:gridSpan w:val="2"/>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6A6A6"/>
            </w:tcBorders>
          </w:tcPr>
          <w:p>
            <w:pPr>
              <w:spacing w:after="0"/>
              <w:rPr>
                <w:sz w:val="18"/>
                <w:szCs w:val="18"/>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6A6A6"/>
            </w:tcBorders>
            <w:gridSpan w:val="2"/>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83"/>
        </w:trPr>
        <w:tc>
          <w:tcPr>
            <w:tcW w:w="43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Earnings (Loss)</w:t>
            </w:r>
          </w:p>
        </w:tc>
        <w:tc>
          <w:tcPr>
            <w:tcW w:w="1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(1,397</w:t>
            </w:r>
          </w:p>
        </w:tc>
        <w:tc>
          <w:tcPr>
            <w:tcW w:w="120" w:type="dxa"/>
            <w:vAlign w:val="bottom"/>
            <w:vMerge w:val="continue"/>
          </w:tcPr>
          <w:p>
            <w:pPr>
              <w:spacing w:after="0"/>
              <w:rPr>
                <w:sz w:val="15"/>
                <w:szCs w:val="15"/>
                <w:color w:val="auto"/>
              </w:rPr>
            </w:pPr>
          </w:p>
        </w:tc>
        <w:tc>
          <w:tcPr>
            <w:tcW w:w="460" w:type="dxa"/>
            <w:vAlign w:val="bottom"/>
            <w:tcBorders>
              <w:bottom w:val="single" w:sz="8" w:color="A6A6A6"/>
            </w:tcBorders>
            <w:gridSpan w:val="2"/>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1,760</w:t>
            </w:r>
          </w:p>
        </w:tc>
        <w:tc>
          <w:tcPr>
            <w:tcW w:w="100" w:type="dxa"/>
            <w:vAlign w:val="bottom"/>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(179</w:t>
            </w:r>
          </w:p>
        </w:tc>
        <w:tc>
          <w:tcPr>
            <w:tcW w:w="240" w:type="dxa"/>
            <w:vAlign w:val="bottom"/>
            <w:vMerge w:val="continue"/>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588</w:t>
            </w:r>
          </w:p>
        </w:tc>
        <w:tc>
          <w:tcPr>
            <w:tcW w:w="100" w:type="dxa"/>
            <w:vAlign w:val="bottom"/>
          </w:tcPr>
          <w:p>
            <w:pPr>
              <w:spacing w:after="0"/>
              <w:rPr>
                <w:sz w:val="15"/>
                <w:szCs w:val="15"/>
                <w:color w:val="auto"/>
              </w:rPr>
            </w:pPr>
          </w:p>
        </w:tc>
        <w:tc>
          <w:tcPr>
            <w:tcW w:w="420" w:type="dxa"/>
            <w:vAlign w:val="bottom"/>
            <w:tcBorders>
              <w:bottom w:val="single" w:sz="8" w:color="A6A6A6"/>
            </w:tcBorders>
            <w:gridSpan w:val="2"/>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13,434</w:t>
            </w:r>
          </w:p>
        </w:tc>
        <w:tc>
          <w:tcPr>
            <w:tcW w:w="100" w:type="dxa"/>
            <w:vAlign w:val="bottom"/>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(96</w:t>
            </w: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-1868170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-1868170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2024</w:t>
      </w:r>
    </w:p>
    <w:p>
      <w:pPr>
        <w:spacing w:after="0" w:line="102"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Concrete and Aggregates Revenue declined 1% to $60.7 million for the three months ended December 31, 2024. Excluding the Kentucky Acquisition, Revenue declined $3.6 million. The decline was due to lower Sales Volume, which reduced Revenue by $4.6 million, partially offset by higher gross sales prices of $1.0 million.</w:t>
      </w:r>
    </w:p>
    <w:p>
      <w:pPr>
        <w:spacing w:after="0" w:line="61"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Operating Loss was approximately $1.4 million for the three months ended December 31, 2024. Excluding the Kentucky Acquisition, Operating Loss was $1.1 million. The decrease in Operating Earnings was due to lower Sales Volume and higher operating costs of $1.6 million and $2.3 million, respectively, partially offset by higher gross selling prices of $1.0 million. The increase in operating costs was primarily due to higher cost of materials, maintenance, and labor costs of approximately $0.2 million, $0.7 million, and $0.6 million,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31, 2024</w:t>
      </w:r>
    </w:p>
    <w:p>
      <w:pPr>
        <w:spacing w:after="0" w:line="102"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Concrete and Aggregates Revenue declined 3% to $195.5 million for the nine months ended December 31, 2024. Excluding the Kentucky Acquisition, Revenue declined $10.8 million. The decrease was due to lower Sales Volume, which reduced Revenue by $19.5 million. This was partially offset by higher gross sales prices of $8.7 million.</w:t>
      </w:r>
    </w:p>
    <w:p>
      <w:pPr>
        <w:spacing w:after="0" w:line="6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Operating Earnings were approximately $0.6 million for the nine months ended December 31, 2024. Excluding the Kentucky Acquisition, Operating Earnings decreased to $1.2 million. The decline in Operating Earnings was due to lower Sales Volume and higher operating costs of $4.9 million and $16.0 million, respectively. This was partially offset by higher gross selling prices of $8.7 million. The increase in operating costs was primarily due to higher cost of materials, maintenance, delivery, and labor expenses of approximately $4.5 million, $5.5 million, $1.8 million, and $1.7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8" w:right="35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u w:val="single" w:color="auto"/>
          <w:color w:val="auto"/>
        </w:rPr>
        <w:t>Light Materials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GYPSUM WALLBOARD</w:t>
      </w:r>
    </w:p>
    <w:tbl>
      <w:tblPr>
        <w:tblLayout w:type="fixed"/>
        <w:tblInd w:w="0" w:type="dxa"/>
        <w:tblCellMar>
          <w:top w:w="0" w:type="dxa"/>
          <w:left w:w="0" w:type="dxa"/>
          <w:bottom w:w="0" w:type="dxa"/>
          <w:right w:w="0" w:type="dxa"/>
        </w:tblCellMar>
      </w:tblPr>
      <w:tr>
        <w:trPr>
          <w:trHeight w:val="131"/>
        </w:trPr>
        <w:tc>
          <w:tcPr>
            <w:tcW w:w="4200" w:type="dxa"/>
            <w:vAlign w:val="bottom"/>
          </w:tcPr>
          <w:p>
            <w:pPr>
              <w:spacing w:after="0"/>
              <w:rPr>
                <w:sz w:val="11"/>
                <w:szCs w:val="11"/>
                <w:color w:val="auto"/>
              </w:rPr>
            </w:pPr>
          </w:p>
        </w:tc>
        <w:tc>
          <w:tcPr>
            <w:tcW w:w="160" w:type="dxa"/>
            <w:vAlign w:val="bottom"/>
            <w:shd w:val="clear" w:color="auto" w:fill="004483"/>
          </w:tcPr>
          <w:p>
            <w:pPr>
              <w:spacing w:after="0"/>
              <w:rPr>
                <w:sz w:val="11"/>
                <w:szCs w:val="11"/>
                <w:color w:val="auto"/>
              </w:rPr>
            </w:pPr>
          </w:p>
        </w:tc>
        <w:tc>
          <w:tcPr>
            <w:tcW w:w="2120" w:type="dxa"/>
            <w:vAlign w:val="bottom"/>
            <w:gridSpan w:val="5"/>
            <w:shd w:val="clear" w:color="auto" w:fill="004483"/>
          </w:tcPr>
          <w:p>
            <w:pPr>
              <w:jc w:val="center"/>
              <w:ind w:right="239"/>
              <w:spacing w:after="0" w:line="131" w:lineRule="exact"/>
              <w:rPr>
                <w:sz w:val="20"/>
                <w:szCs w:val="20"/>
                <w:color w:val="auto"/>
              </w:rPr>
            </w:pPr>
            <w:r>
              <w:rPr>
                <w:rFonts w:ascii="Arial" w:cs="Arial" w:eastAsia="Arial" w:hAnsi="Arial"/>
                <w:sz w:val="13"/>
                <w:szCs w:val="13"/>
                <w:b w:val="1"/>
                <w:bCs w:val="1"/>
                <w:color w:val="FFFFFF"/>
                <w:w w:val="97"/>
              </w:rPr>
              <w:t>For the Three Months Ended</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shd w:val="clear" w:color="auto" w:fill="004483"/>
          </w:tcPr>
          <w:p>
            <w:pPr>
              <w:spacing w:after="0"/>
              <w:rPr>
                <w:sz w:val="11"/>
                <w:szCs w:val="11"/>
                <w:color w:val="auto"/>
              </w:rPr>
            </w:pPr>
          </w:p>
        </w:tc>
        <w:tc>
          <w:tcPr>
            <w:tcW w:w="2120" w:type="dxa"/>
            <w:vAlign w:val="bottom"/>
            <w:gridSpan w:val="5"/>
            <w:shd w:val="clear" w:color="auto" w:fill="004483"/>
          </w:tcPr>
          <w:p>
            <w:pPr>
              <w:jc w:val="center"/>
              <w:ind w:right="239"/>
              <w:spacing w:after="0" w:line="131" w:lineRule="exact"/>
              <w:rPr>
                <w:sz w:val="20"/>
                <w:szCs w:val="20"/>
                <w:color w:val="auto"/>
              </w:rPr>
            </w:pPr>
            <w:r>
              <w:rPr>
                <w:rFonts w:ascii="Arial" w:cs="Arial" w:eastAsia="Arial" w:hAnsi="Arial"/>
                <w:sz w:val="13"/>
                <w:szCs w:val="13"/>
                <w:b w:val="1"/>
                <w:bCs w:val="1"/>
                <w:color w:val="FFFFFF"/>
                <w:w w:val="97"/>
              </w:rPr>
              <w:t>For the Nine Months Ended</w:t>
            </w: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00" w:type="dxa"/>
            <w:vAlign w:val="bottom"/>
          </w:tcPr>
          <w:p>
            <w:pPr>
              <w:spacing w:after="0"/>
              <w:rPr>
                <w:sz w:val="13"/>
                <w:szCs w:val="13"/>
                <w:color w:val="auto"/>
              </w:rPr>
            </w:pPr>
          </w:p>
        </w:tc>
        <w:tc>
          <w:tcPr>
            <w:tcW w:w="160" w:type="dxa"/>
            <w:vAlign w:val="bottom"/>
            <w:tcBorders>
              <w:bottom w:val="single" w:sz="8" w:color="auto"/>
            </w:tcBorders>
            <w:shd w:val="clear" w:color="auto" w:fill="004483"/>
          </w:tcPr>
          <w:p>
            <w:pPr>
              <w:spacing w:after="0"/>
              <w:rPr>
                <w:sz w:val="13"/>
                <w:szCs w:val="13"/>
                <w:color w:val="auto"/>
              </w:rPr>
            </w:pPr>
          </w:p>
        </w:tc>
        <w:tc>
          <w:tcPr>
            <w:tcW w:w="1360" w:type="dxa"/>
            <w:vAlign w:val="bottom"/>
            <w:tcBorders>
              <w:bottom w:val="single" w:sz="8" w:color="auto"/>
            </w:tcBorders>
            <w:gridSpan w:val="3"/>
            <w:shd w:val="clear" w:color="auto" w:fill="004483"/>
          </w:tcPr>
          <w:p>
            <w:pPr>
              <w:jc w:val="center"/>
              <w:ind w:left="407"/>
              <w:spacing w:after="0"/>
              <w:rPr>
                <w:sz w:val="20"/>
                <w:szCs w:val="20"/>
                <w:color w:val="auto"/>
              </w:rPr>
            </w:pPr>
            <w:r>
              <w:rPr>
                <w:rFonts w:ascii="Arial" w:cs="Arial" w:eastAsia="Arial" w:hAnsi="Arial"/>
                <w:sz w:val="13"/>
                <w:szCs w:val="13"/>
                <w:b w:val="1"/>
                <w:bCs w:val="1"/>
                <w:color w:val="FFFFFF"/>
                <w:w w:val="94"/>
              </w:rPr>
              <w:t>December 31,</w:t>
            </w:r>
          </w:p>
        </w:tc>
        <w:tc>
          <w:tcPr>
            <w:tcW w:w="640" w:type="dxa"/>
            <w:vAlign w:val="bottom"/>
            <w:tcBorders>
              <w:bottom w:val="single" w:sz="8" w:color="auto"/>
            </w:tcBorders>
            <w:shd w:val="clear" w:color="auto" w:fill="004483"/>
          </w:tcPr>
          <w:p>
            <w:pPr>
              <w:spacing w:after="0"/>
              <w:rPr>
                <w:sz w:val="13"/>
                <w:szCs w:val="13"/>
                <w:color w:val="auto"/>
              </w:rPr>
            </w:pPr>
          </w:p>
        </w:tc>
        <w:tc>
          <w:tcPr>
            <w:tcW w:w="120" w:type="dxa"/>
            <w:vAlign w:val="bottom"/>
            <w:tcBorders>
              <w:bottom w:val="single" w:sz="8" w:color="004483"/>
            </w:tcBorders>
            <w:shd w:val="clear" w:color="auto" w:fill="004483"/>
          </w:tcPr>
          <w:p>
            <w:pPr>
              <w:spacing w:after="0"/>
              <w:rPr>
                <w:sz w:val="13"/>
                <w:szCs w:val="13"/>
                <w:color w:val="auto"/>
              </w:rPr>
            </w:pPr>
          </w:p>
        </w:tc>
        <w:tc>
          <w:tcPr>
            <w:tcW w:w="1300" w:type="dxa"/>
            <w:vAlign w:val="bottom"/>
            <w:gridSpan w:val="3"/>
            <w:vMerge w:val="restart"/>
          </w:tcPr>
          <w:p>
            <w:pPr>
              <w:jc w:val="center"/>
              <w:ind w:right="300"/>
              <w:spacing w:after="0"/>
              <w:rPr>
                <w:sz w:val="20"/>
                <w:szCs w:val="20"/>
                <w:color w:val="auto"/>
              </w:rPr>
            </w:pPr>
            <w:r>
              <w:rPr>
                <w:rFonts w:ascii="Arial" w:cs="Arial" w:eastAsia="Arial" w:hAnsi="Arial"/>
                <w:sz w:val="13"/>
                <w:szCs w:val="13"/>
                <w:b w:val="1"/>
                <w:bCs w:val="1"/>
                <w:color w:val="auto"/>
                <w:w w:val="96"/>
              </w:rPr>
              <w:t>Percentage</w:t>
            </w:r>
          </w:p>
        </w:tc>
        <w:tc>
          <w:tcPr>
            <w:tcW w:w="140" w:type="dxa"/>
            <w:vAlign w:val="bottom"/>
            <w:tcBorders>
              <w:bottom w:val="single" w:sz="8" w:color="auto"/>
            </w:tcBorders>
            <w:shd w:val="clear" w:color="auto" w:fill="004483"/>
          </w:tcPr>
          <w:p>
            <w:pPr>
              <w:spacing w:after="0"/>
              <w:rPr>
                <w:sz w:val="13"/>
                <w:szCs w:val="13"/>
                <w:color w:val="auto"/>
              </w:rPr>
            </w:pPr>
          </w:p>
        </w:tc>
        <w:tc>
          <w:tcPr>
            <w:tcW w:w="1340" w:type="dxa"/>
            <w:vAlign w:val="bottom"/>
            <w:tcBorders>
              <w:bottom w:val="single" w:sz="8" w:color="auto"/>
            </w:tcBorders>
            <w:gridSpan w:val="3"/>
            <w:shd w:val="clear" w:color="auto" w:fill="004483"/>
          </w:tcPr>
          <w:p>
            <w:pPr>
              <w:jc w:val="center"/>
              <w:ind w:left="447"/>
              <w:spacing w:after="0"/>
              <w:rPr>
                <w:sz w:val="20"/>
                <w:szCs w:val="20"/>
                <w:color w:val="auto"/>
              </w:rPr>
            </w:pPr>
            <w:r>
              <w:rPr>
                <w:rFonts w:ascii="Arial" w:cs="Arial" w:eastAsia="Arial" w:hAnsi="Arial"/>
                <w:sz w:val="13"/>
                <w:szCs w:val="13"/>
                <w:b w:val="1"/>
                <w:bCs w:val="1"/>
                <w:color w:val="FFFFFF"/>
                <w:w w:val="96"/>
              </w:rPr>
              <w:t>December 31,</w:t>
            </w:r>
          </w:p>
        </w:tc>
        <w:tc>
          <w:tcPr>
            <w:tcW w:w="680" w:type="dxa"/>
            <w:vAlign w:val="bottom"/>
            <w:tcBorders>
              <w:bottom w:val="single" w:sz="8" w:color="auto"/>
            </w:tcBorders>
            <w:shd w:val="clear" w:color="auto" w:fill="004483"/>
          </w:tcPr>
          <w:p>
            <w:pPr>
              <w:spacing w:after="0"/>
              <w:rPr>
                <w:sz w:val="13"/>
                <w:szCs w:val="13"/>
                <w:color w:val="auto"/>
              </w:rPr>
            </w:pPr>
          </w:p>
        </w:tc>
        <w:tc>
          <w:tcPr>
            <w:tcW w:w="100" w:type="dxa"/>
            <w:vAlign w:val="bottom"/>
            <w:tcBorders>
              <w:bottom w:val="single" w:sz="8" w:color="004483"/>
            </w:tcBorders>
            <w:shd w:val="clear" w:color="auto" w:fill="004483"/>
          </w:tcPr>
          <w:p>
            <w:pPr>
              <w:spacing w:after="0"/>
              <w:rPr>
                <w:sz w:val="13"/>
                <w:szCs w:val="13"/>
                <w:color w:val="auto"/>
              </w:rPr>
            </w:pPr>
          </w:p>
        </w:tc>
        <w:tc>
          <w:tcPr>
            <w:tcW w:w="1180" w:type="dxa"/>
            <w:vAlign w:val="bottom"/>
            <w:gridSpan w:val="2"/>
            <w:vMerge w:val="restart"/>
          </w:tcPr>
          <w:p>
            <w:pPr>
              <w:jc w:val="center"/>
              <w:ind w:right="59"/>
              <w:spacing w:after="0"/>
              <w:rPr>
                <w:sz w:val="20"/>
                <w:szCs w:val="20"/>
                <w:color w:val="auto"/>
              </w:rPr>
            </w:pPr>
            <w:r>
              <w:rPr>
                <w:rFonts w:ascii="Arial" w:cs="Arial" w:eastAsia="Arial" w:hAnsi="Arial"/>
                <w:sz w:val="13"/>
                <w:szCs w:val="13"/>
                <w:b w:val="1"/>
                <w:bCs w:val="1"/>
                <w:color w:val="auto"/>
                <w:w w:val="96"/>
              </w:rPr>
              <w:t>Percentage</w:t>
            </w:r>
          </w:p>
        </w:tc>
        <w:tc>
          <w:tcPr>
            <w:tcW w:w="0" w:type="dxa"/>
            <w:vAlign w:val="bottom"/>
          </w:tcPr>
          <w:p>
            <w:pPr>
              <w:spacing w:after="0"/>
              <w:rPr>
                <w:sz w:val="1"/>
                <w:szCs w:val="1"/>
                <w:color w:val="auto"/>
              </w:rPr>
            </w:pPr>
          </w:p>
        </w:tc>
      </w:tr>
      <w:tr>
        <w:trPr>
          <w:trHeight w:val="111"/>
        </w:trPr>
        <w:tc>
          <w:tcPr>
            <w:tcW w:w="4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Change</w:t>
            </w: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39"/>
              <w:spacing w:after="0" w:line="135" w:lineRule="exact"/>
              <w:rPr>
                <w:sz w:val="20"/>
                <w:szCs w:val="20"/>
                <w:color w:val="auto"/>
              </w:rPr>
            </w:pPr>
            <w:r>
              <w:rPr>
                <w:rFonts w:ascii="Arial" w:cs="Arial" w:eastAsia="Arial" w:hAnsi="Arial"/>
                <w:sz w:val="13"/>
                <w:szCs w:val="13"/>
                <w:b w:val="1"/>
                <w:bCs w:val="1"/>
                <w:color w:val="auto"/>
                <w:w w:val="96"/>
              </w:rPr>
              <w:t>Change</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20" w:type="dxa"/>
            <w:vAlign w:val="bottom"/>
            <w:gridSpan w:val="5"/>
          </w:tcPr>
          <w:p>
            <w:pPr>
              <w:jc w:val="center"/>
              <w:ind w:right="239"/>
              <w:spacing w:after="0" w:line="135" w:lineRule="exact"/>
              <w:rPr>
                <w:sz w:val="20"/>
                <w:szCs w:val="20"/>
                <w:color w:val="auto"/>
              </w:rPr>
            </w:pPr>
            <w:r>
              <w:rPr>
                <w:rFonts w:ascii="Arial" w:cs="Arial" w:eastAsia="Arial" w:hAnsi="Arial"/>
                <w:sz w:val="13"/>
                <w:szCs w:val="13"/>
                <w:color w:val="auto"/>
                <w:w w:val="97"/>
              </w:rPr>
              <w:t>(in thousands, except per MSF</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gridSpan w:val="5"/>
          </w:tcPr>
          <w:p>
            <w:pPr>
              <w:jc w:val="center"/>
              <w:ind w:right="239"/>
              <w:spacing w:after="0" w:line="135" w:lineRule="exact"/>
              <w:rPr>
                <w:sz w:val="20"/>
                <w:szCs w:val="20"/>
                <w:color w:val="auto"/>
              </w:rPr>
            </w:pPr>
            <w:r>
              <w:rPr>
                <w:rFonts w:ascii="Arial" w:cs="Arial" w:eastAsia="Arial" w:hAnsi="Arial"/>
                <w:sz w:val="13"/>
                <w:szCs w:val="13"/>
                <w:color w:val="auto"/>
                <w:w w:val="97"/>
              </w:rPr>
              <w:t>(in thousands, except per MSF</w:t>
            </w: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200" w:type="dxa"/>
            <w:vAlign w:val="bottom"/>
            <w:tcBorders>
              <w:bottom w:val="single" w:sz="8" w:color="17385E"/>
            </w:tcBorders>
          </w:tcPr>
          <w:p>
            <w:pPr>
              <w:spacing w:after="0"/>
              <w:rPr>
                <w:sz w:val="15"/>
                <w:szCs w:val="15"/>
                <w:color w:val="auto"/>
              </w:rPr>
            </w:pPr>
          </w:p>
        </w:tc>
        <w:tc>
          <w:tcPr>
            <w:tcW w:w="160" w:type="dxa"/>
            <w:vAlign w:val="bottom"/>
            <w:tcBorders>
              <w:bottom w:val="single" w:sz="8" w:color="17385E"/>
            </w:tcBorders>
          </w:tcPr>
          <w:p>
            <w:pPr>
              <w:spacing w:after="0"/>
              <w:rPr>
                <w:sz w:val="15"/>
                <w:szCs w:val="15"/>
                <w:color w:val="auto"/>
              </w:rPr>
            </w:pPr>
          </w:p>
        </w:tc>
        <w:tc>
          <w:tcPr>
            <w:tcW w:w="1360" w:type="dxa"/>
            <w:vAlign w:val="bottom"/>
            <w:tcBorders>
              <w:bottom w:val="single" w:sz="8" w:color="17385E"/>
            </w:tcBorders>
            <w:gridSpan w:val="3"/>
          </w:tcPr>
          <w:p>
            <w:pPr>
              <w:jc w:val="center"/>
              <w:ind w:left="407"/>
              <w:spacing w:after="0"/>
              <w:rPr>
                <w:sz w:val="20"/>
                <w:szCs w:val="20"/>
                <w:color w:val="auto"/>
              </w:rPr>
            </w:pPr>
            <w:r>
              <w:rPr>
                <w:rFonts w:ascii="Arial" w:cs="Arial" w:eastAsia="Arial" w:hAnsi="Arial"/>
                <w:sz w:val="13"/>
                <w:szCs w:val="13"/>
                <w:color w:val="auto"/>
                <w:w w:val="99"/>
              </w:rPr>
              <w:t>information)</w:t>
            </w:r>
          </w:p>
        </w:tc>
        <w:tc>
          <w:tcPr>
            <w:tcW w:w="640" w:type="dxa"/>
            <w:vAlign w:val="bottom"/>
            <w:tcBorders>
              <w:bottom w:val="single" w:sz="8" w:color="17385E"/>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17385E"/>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17385E"/>
            </w:tcBorders>
          </w:tcPr>
          <w:p>
            <w:pPr>
              <w:spacing w:after="0"/>
              <w:rPr>
                <w:sz w:val="15"/>
                <w:szCs w:val="15"/>
                <w:color w:val="auto"/>
              </w:rPr>
            </w:pPr>
          </w:p>
        </w:tc>
        <w:tc>
          <w:tcPr>
            <w:tcW w:w="140" w:type="dxa"/>
            <w:vAlign w:val="bottom"/>
            <w:tcBorders>
              <w:bottom w:val="single" w:sz="8" w:color="17385E"/>
            </w:tcBorders>
          </w:tcPr>
          <w:p>
            <w:pPr>
              <w:spacing w:after="0"/>
              <w:rPr>
                <w:sz w:val="15"/>
                <w:szCs w:val="15"/>
                <w:color w:val="auto"/>
              </w:rPr>
            </w:pPr>
          </w:p>
        </w:tc>
        <w:tc>
          <w:tcPr>
            <w:tcW w:w="1340" w:type="dxa"/>
            <w:vAlign w:val="bottom"/>
            <w:tcBorders>
              <w:bottom w:val="single" w:sz="8" w:color="17385E"/>
            </w:tcBorders>
            <w:gridSpan w:val="3"/>
          </w:tcPr>
          <w:p>
            <w:pPr>
              <w:jc w:val="center"/>
              <w:ind w:left="447"/>
              <w:spacing w:after="0"/>
              <w:rPr>
                <w:sz w:val="20"/>
                <w:szCs w:val="20"/>
                <w:color w:val="auto"/>
              </w:rPr>
            </w:pPr>
            <w:r>
              <w:rPr>
                <w:rFonts w:ascii="Arial" w:cs="Arial" w:eastAsia="Arial" w:hAnsi="Arial"/>
                <w:sz w:val="13"/>
                <w:szCs w:val="13"/>
                <w:color w:val="auto"/>
                <w:w w:val="96"/>
              </w:rPr>
              <w:t>information)</w:t>
            </w:r>
          </w:p>
        </w:tc>
        <w:tc>
          <w:tcPr>
            <w:tcW w:w="680" w:type="dxa"/>
            <w:vAlign w:val="bottom"/>
            <w:tcBorders>
              <w:bottom w:val="single" w:sz="8" w:color="17385E"/>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17385E"/>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Revenue</w:t>
            </w:r>
          </w:p>
        </w:tc>
        <w:tc>
          <w:tcPr>
            <w:tcW w:w="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209,493</w:t>
            </w:r>
          </w:p>
        </w:tc>
        <w:tc>
          <w:tcPr>
            <w:tcW w:w="120" w:type="dxa"/>
            <w:vAlign w:val="bottom"/>
          </w:tcPr>
          <w:p>
            <w:pPr>
              <w:spacing w:after="0"/>
              <w:rPr>
                <w:sz w:val="16"/>
                <w:szCs w:val="16"/>
                <w:color w:val="auto"/>
              </w:rPr>
            </w:pPr>
          </w:p>
        </w:tc>
        <w:tc>
          <w:tcPr>
            <w:tcW w:w="400" w:type="dxa"/>
            <w:vAlign w:val="bottom"/>
            <w:tcBorders>
              <w:bottom w:val="single" w:sz="8" w:color="A6A6A6"/>
            </w:tcBorders>
          </w:tcPr>
          <w:p>
            <w:pPr>
              <w:jc w:val="right"/>
              <w:ind w:right="1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200,969</w:t>
            </w:r>
          </w:p>
        </w:tc>
        <w:tc>
          <w:tcPr>
            <w:tcW w:w="120" w:type="dxa"/>
            <w:vAlign w:val="bottom"/>
          </w:tcPr>
          <w:p>
            <w:pPr>
              <w:spacing w:after="0"/>
              <w:rPr>
                <w:sz w:val="16"/>
                <w:szCs w:val="16"/>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6"/>
                <w:szCs w:val="16"/>
                <w:color w:val="auto"/>
              </w:rPr>
            </w:pPr>
          </w:p>
        </w:tc>
        <w:tc>
          <w:tcPr>
            <w:tcW w:w="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642,294</w:t>
            </w:r>
          </w:p>
        </w:tc>
        <w:tc>
          <w:tcPr>
            <w:tcW w:w="120" w:type="dxa"/>
            <w:vAlign w:val="bottom"/>
          </w:tcPr>
          <w:p>
            <w:pPr>
              <w:spacing w:after="0"/>
              <w:rPr>
                <w:sz w:val="16"/>
                <w:szCs w:val="16"/>
                <w:color w:val="auto"/>
              </w:rPr>
            </w:pPr>
          </w:p>
        </w:tc>
        <w:tc>
          <w:tcPr>
            <w:tcW w:w="380" w:type="dxa"/>
            <w:vAlign w:val="bottom"/>
            <w:tcBorders>
              <w:bottom w:val="single" w:sz="8" w:color="A6A6A6"/>
            </w:tcBorders>
          </w:tcPr>
          <w:p>
            <w:pPr>
              <w:jc w:val="right"/>
              <w:ind w:right="9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629,299</w:t>
            </w:r>
          </w:p>
        </w:tc>
        <w:tc>
          <w:tcPr>
            <w:tcW w:w="100" w:type="dxa"/>
            <w:vAlign w:val="bottom"/>
          </w:tcPr>
          <w:p>
            <w:pPr>
              <w:spacing w:after="0"/>
              <w:rPr>
                <w:sz w:val="16"/>
                <w:szCs w:val="16"/>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20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6A6A6"/>
            </w:tcBorders>
          </w:tcPr>
          <w:p>
            <w:pPr>
              <w:spacing w:after="0"/>
              <w:rPr>
                <w:sz w:val="15"/>
                <w:szCs w:val="15"/>
                <w:color w:val="auto"/>
              </w:rPr>
            </w:pP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6A6A6"/>
            </w:tcBorders>
          </w:tcPr>
          <w:p>
            <w:pPr>
              <w:spacing w:after="0"/>
              <w:rPr>
                <w:sz w:val="15"/>
                <w:szCs w:val="15"/>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2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Sales Volume (MMSF)</w:t>
            </w:r>
          </w:p>
        </w:tc>
        <w:tc>
          <w:tcPr>
            <w:tcW w:w="16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737</w:t>
            </w:r>
          </w:p>
        </w:tc>
        <w:tc>
          <w:tcPr>
            <w:tcW w:w="120" w:type="dxa"/>
            <w:vAlign w:val="bottom"/>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722</w:t>
            </w:r>
          </w:p>
        </w:tc>
        <w:tc>
          <w:tcPr>
            <w:tcW w:w="120" w:type="dxa"/>
            <w:vAlign w:val="bottom"/>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w:t>
            </w:r>
          </w:p>
        </w:tc>
        <w:tc>
          <w:tcPr>
            <w:tcW w:w="220" w:type="dxa"/>
            <w:vAlign w:val="bottom"/>
            <w:vMerge w:val="continue"/>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2,246</w:t>
            </w:r>
          </w:p>
        </w:tc>
        <w:tc>
          <w:tcPr>
            <w:tcW w:w="120" w:type="dxa"/>
            <w:vAlign w:val="bottom"/>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2,218</w:t>
            </w:r>
          </w:p>
        </w:tc>
        <w:tc>
          <w:tcPr>
            <w:tcW w:w="100" w:type="dxa"/>
            <w:vAlign w:val="bottom"/>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w:t>
            </w: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Freight and Delivery Costs billed to Customers</w:t>
            </w:r>
          </w:p>
        </w:tc>
        <w:tc>
          <w:tcPr>
            <w:tcW w:w="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(35,506</w:t>
            </w:r>
          </w:p>
        </w:tc>
        <w:tc>
          <w:tcPr>
            <w:tcW w:w="120" w:type="dxa"/>
            <w:vAlign w:val="bottom"/>
          </w:tcPr>
          <w:p>
            <w:pPr>
              <w:jc w:val="center"/>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(36,569</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w:t>
            </w:r>
          </w:p>
        </w:tc>
        <w:tc>
          <w:tcPr>
            <w:tcW w:w="2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(108,854</w:t>
            </w:r>
          </w:p>
        </w:tc>
        <w:tc>
          <w:tcPr>
            <w:tcW w:w="120" w:type="dxa"/>
            <w:vAlign w:val="bottom"/>
          </w:tcPr>
          <w:p>
            <w:pPr>
              <w:jc w:val="cente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bottom w:val="single" w:sz="8" w:color="A6A6A6"/>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98"/>
              </w:rPr>
              <w:t>(112,979</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w:t>
            </w:r>
          </w:p>
        </w:tc>
        <w:tc>
          <w:tcPr>
            <w:tcW w:w="200" w:type="dxa"/>
            <w:vAlign w:val="bottom"/>
          </w:tcPr>
          <w:p>
            <w:pPr>
              <w:spacing w:after="0" w:line="183" w:lineRule="exact"/>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83"/>
        </w:trPr>
        <w:tc>
          <w:tcPr>
            <w:tcW w:w="42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 xml:space="preserve">Average Net Sales Price, per MSF </w:t>
            </w:r>
            <w:r>
              <w:rPr>
                <w:rFonts w:ascii="Arial" w:cs="Arial" w:eastAsia="Arial" w:hAnsi="Arial"/>
                <w:sz w:val="21"/>
                <w:szCs w:val="21"/>
                <w:color w:val="004483"/>
                <w:vertAlign w:val="superscript"/>
              </w:rPr>
              <w:t>(1)</w:t>
            </w:r>
          </w:p>
        </w:tc>
        <w:tc>
          <w:tcPr>
            <w:tcW w:w="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236.11</w:t>
            </w:r>
          </w:p>
        </w:tc>
        <w:tc>
          <w:tcPr>
            <w:tcW w:w="120" w:type="dxa"/>
            <w:vAlign w:val="bottom"/>
          </w:tcPr>
          <w:p>
            <w:pPr>
              <w:spacing w:after="0"/>
              <w:rPr>
                <w:sz w:val="15"/>
                <w:szCs w:val="15"/>
                <w:color w:val="auto"/>
              </w:rPr>
            </w:pPr>
          </w:p>
        </w:tc>
        <w:tc>
          <w:tcPr>
            <w:tcW w:w="400" w:type="dxa"/>
            <w:vAlign w:val="bottom"/>
            <w:tcBorders>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227.78</w:t>
            </w:r>
          </w:p>
        </w:tc>
        <w:tc>
          <w:tcPr>
            <w:tcW w:w="120" w:type="dxa"/>
            <w:vAlign w:val="bottom"/>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w:t>
            </w:r>
          </w:p>
        </w:tc>
        <w:tc>
          <w:tcPr>
            <w:tcW w:w="2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237.49</w:t>
            </w:r>
          </w:p>
        </w:tc>
        <w:tc>
          <w:tcPr>
            <w:tcW w:w="120" w:type="dxa"/>
            <w:vAlign w:val="bottom"/>
          </w:tcPr>
          <w:p>
            <w:pPr>
              <w:spacing w:after="0"/>
              <w:rPr>
                <w:sz w:val="15"/>
                <w:szCs w:val="15"/>
                <w:color w:val="auto"/>
              </w:rPr>
            </w:pPr>
          </w:p>
        </w:tc>
        <w:tc>
          <w:tcPr>
            <w:tcW w:w="380" w:type="dxa"/>
            <w:vAlign w:val="bottom"/>
            <w:tcBorders>
              <w:bottom w:val="single" w:sz="8" w:color="A6A6A6"/>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232.79</w:t>
            </w:r>
          </w:p>
        </w:tc>
        <w:tc>
          <w:tcPr>
            <w:tcW w:w="100" w:type="dxa"/>
            <w:vAlign w:val="bottom"/>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2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Freight, per MSF</w:t>
            </w:r>
          </w:p>
        </w:tc>
        <w:tc>
          <w:tcPr>
            <w:tcW w:w="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48.18</w:t>
            </w:r>
          </w:p>
        </w:tc>
        <w:tc>
          <w:tcPr>
            <w:tcW w:w="120" w:type="dxa"/>
            <w:vAlign w:val="bottom"/>
          </w:tcPr>
          <w:p>
            <w:pPr>
              <w:spacing w:after="0"/>
              <w:rPr>
                <w:sz w:val="15"/>
                <w:szCs w:val="15"/>
                <w:color w:val="auto"/>
              </w:rPr>
            </w:pPr>
          </w:p>
        </w:tc>
        <w:tc>
          <w:tcPr>
            <w:tcW w:w="400" w:type="dxa"/>
            <w:vAlign w:val="bottom"/>
            <w:tcBorders>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50.65</w:t>
            </w:r>
          </w:p>
        </w:tc>
        <w:tc>
          <w:tcPr>
            <w:tcW w:w="120" w:type="dxa"/>
            <w:vAlign w:val="bottom"/>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w:t>
            </w:r>
          </w:p>
        </w:tc>
        <w:tc>
          <w:tcPr>
            <w:tcW w:w="2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48.47</w:t>
            </w:r>
          </w:p>
        </w:tc>
        <w:tc>
          <w:tcPr>
            <w:tcW w:w="120" w:type="dxa"/>
            <w:vAlign w:val="bottom"/>
          </w:tcPr>
          <w:p>
            <w:pPr>
              <w:spacing w:after="0"/>
              <w:rPr>
                <w:sz w:val="15"/>
                <w:szCs w:val="15"/>
                <w:color w:val="auto"/>
              </w:rPr>
            </w:pPr>
          </w:p>
        </w:tc>
        <w:tc>
          <w:tcPr>
            <w:tcW w:w="380" w:type="dxa"/>
            <w:vAlign w:val="bottom"/>
            <w:tcBorders>
              <w:bottom w:val="single" w:sz="8" w:color="A6A6A6"/>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50.94</w:t>
            </w:r>
          </w:p>
        </w:tc>
        <w:tc>
          <w:tcPr>
            <w:tcW w:w="100" w:type="dxa"/>
            <w:vAlign w:val="bottom"/>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w:t>
            </w:r>
          </w:p>
        </w:tc>
        <w:tc>
          <w:tcPr>
            <w:tcW w:w="200" w:type="dxa"/>
            <w:vAlign w:val="bottom"/>
          </w:tcPr>
          <w:p>
            <w:pPr>
              <w:spacing w:after="0" w:line="183" w:lineRule="exact"/>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83"/>
        </w:trPr>
        <w:tc>
          <w:tcPr>
            <w:tcW w:w="42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Margin, per MSF</w:t>
            </w:r>
          </w:p>
        </w:tc>
        <w:tc>
          <w:tcPr>
            <w:tcW w:w="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117.22</w:t>
            </w:r>
          </w:p>
        </w:tc>
        <w:tc>
          <w:tcPr>
            <w:tcW w:w="120" w:type="dxa"/>
            <w:vAlign w:val="bottom"/>
          </w:tcPr>
          <w:p>
            <w:pPr>
              <w:spacing w:after="0"/>
              <w:rPr>
                <w:sz w:val="15"/>
                <w:szCs w:val="15"/>
                <w:color w:val="auto"/>
              </w:rPr>
            </w:pPr>
          </w:p>
        </w:tc>
        <w:tc>
          <w:tcPr>
            <w:tcW w:w="400" w:type="dxa"/>
            <w:vAlign w:val="bottom"/>
            <w:tcBorders>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103.97</w:t>
            </w:r>
          </w:p>
        </w:tc>
        <w:tc>
          <w:tcPr>
            <w:tcW w:w="120" w:type="dxa"/>
            <w:vAlign w:val="bottom"/>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w:t>
            </w:r>
          </w:p>
        </w:tc>
        <w:tc>
          <w:tcPr>
            <w:tcW w:w="2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120.44</w:t>
            </w:r>
          </w:p>
        </w:tc>
        <w:tc>
          <w:tcPr>
            <w:tcW w:w="120" w:type="dxa"/>
            <w:vAlign w:val="bottom"/>
          </w:tcPr>
          <w:p>
            <w:pPr>
              <w:spacing w:after="0"/>
              <w:rPr>
                <w:sz w:val="15"/>
                <w:szCs w:val="15"/>
                <w:color w:val="auto"/>
              </w:rPr>
            </w:pPr>
          </w:p>
        </w:tc>
        <w:tc>
          <w:tcPr>
            <w:tcW w:w="380" w:type="dxa"/>
            <w:vAlign w:val="bottom"/>
            <w:tcBorders>
              <w:bottom w:val="single" w:sz="8" w:color="A6A6A6"/>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113.45</w:t>
            </w:r>
          </w:p>
        </w:tc>
        <w:tc>
          <w:tcPr>
            <w:tcW w:w="100" w:type="dxa"/>
            <w:vAlign w:val="bottom"/>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2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Earnings</w:t>
            </w:r>
          </w:p>
        </w:tc>
        <w:tc>
          <w:tcPr>
            <w:tcW w:w="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86,393</w:t>
            </w:r>
          </w:p>
        </w:tc>
        <w:tc>
          <w:tcPr>
            <w:tcW w:w="120" w:type="dxa"/>
            <w:vAlign w:val="bottom"/>
          </w:tcPr>
          <w:p>
            <w:pPr>
              <w:spacing w:after="0"/>
              <w:rPr>
                <w:sz w:val="15"/>
                <w:szCs w:val="15"/>
                <w:color w:val="auto"/>
              </w:rPr>
            </w:pPr>
          </w:p>
        </w:tc>
        <w:tc>
          <w:tcPr>
            <w:tcW w:w="400" w:type="dxa"/>
            <w:vAlign w:val="bottom"/>
            <w:tcBorders>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75,063</w:t>
            </w:r>
          </w:p>
        </w:tc>
        <w:tc>
          <w:tcPr>
            <w:tcW w:w="120" w:type="dxa"/>
            <w:vAlign w:val="bottom"/>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w:t>
            </w:r>
          </w:p>
        </w:tc>
        <w:tc>
          <w:tcPr>
            <w:tcW w:w="2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270,510</w:t>
            </w:r>
          </w:p>
        </w:tc>
        <w:tc>
          <w:tcPr>
            <w:tcW w:w="120" w:type="dxa"/>
            <w:vAlign w:val="bottom"/>
          </w:tcPr>
          <w:p>
            <w:pPr>
              <w:spacing w:after="0"/>
              <w:rPr>
                <w:sz w:val="15"/>
                <w:szCs w:val="15"/>
                <w:color w:val="auto"/>
              </w:rPr>
            </w:pPr>
          </w:p>
        </w:tc>
        <w:tc>
          <w:tcPr>
            <w:tcW w:w="380" w:type="dxa"/>
            <w:vAlign w:val="bottom"/>
            <w:tcBorders>
              <w:bottom w:val="single" w:sz="8" w:color="A6A6A6"/>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251,625</w:t>
            </w:r>
          </w:p>
        </w:tc>
        <w:tc>
          <w:tcPr>
            <w:tcW w:w="100" w:type="dxa"/>
            <w:vAlign w:val="bottom"/>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-1405255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-1405255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(1) Net of freight per MSF.</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2024</w:t>
      </w:r>
    </w:p>
    <w:p>
      <w:pPr>
        <w:spacing w:after="0" w:line="102"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Gypsum Wallboard Revenue for the three months ended December 31, 2024 was $209.5 million, a 4% increase from the prior-year period. The increase was primarily due to higher gross sales prices and Sales Volume, which increased Revenue by $4.3 million and $4.2 million, respectively. Our market share remained relatively consistent during the three months ended December 31, 2024.</w:t>
      </w:r>
    </w:p>
    <w:p>
      <w:pPr>
        <w:spacing w:after="0" w:line="61"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Operating Earnings increased 15% to $86.4 million, due to $4.3 million of higher gross sales prices, a $1.6 million increase in Sales Volume, and a $5.4 million decrease in operating costs. Lower operating costs were primarily related to freight, energy, and maintenance, which increased Operating Earnings by approximately $1.8 million, $1.4 million, and $1.2 million, respectively. Operating Margin increased to 41% for the three months ended December 31, 2024, primarily because of lower operating costs and higher gross sales prices. Fixed costs are not a significant portion of the overall cost of wallboard; therefore, changes in utilization have a relatively minor impact on our operating cost per unit.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31, 2024</w:t>
      </w:r>
    </w:p>
    <w:p>
      <w:pPr>
        <w:spacing w:after="0" w:line="102"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Gypsum Wallboard Revenue for the nine months ended December 31, 2024 was $642.3 million, a 2% increase from the prior-year period. The increase was primarily due to higher gross sales prices and Sales Volume, which positively affected Revenue by $5.1 million and $7.9 million, respectively. Our market share remained relatively consistent during the nine months ended December 31, 2024.</w:t>
      </w:r>
    </w:p>
    <w:p>
      <w:pPr>
        <w:spacing w:after="0" w:line="61"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Operating Earnings increased 8% to $270.5 million, primarily because of $5.1 million higher gross sales prices, a $3.2 million increase in Sales Volume, and a $10.7 million decrease in operating costs. Lower operating costs were primarily related to freight and energy, which increased Operating Earnings by approximately $5.6 million and $3.9 million, respectively. Operating Margin increased to 42% for the nine months ended December 31, 2024, primarily because of higher gross sales prices and lower operating expenses. Fixed costs are not a significant portion of the overall cost of wallboard; therefore, changes in utilization have a relatively minor impact on our operating cost per unit.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3"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RECYCLED PAPERBOARD</w:t>
      </w:r>
    </w:p>
    <w:tbl>
      <w:tblPr>
        <w:tblLayout w:type="fixed"/>
        <w:tblInd w:w="0" w:type="dxa"/>
        <w:tblCellMar>
          <w:top w:w="0" w:type="dxa"/>
          <w:left w:w="0" w:type="dxa"/>
          <w:bottom w:w="0" w:type="dxa"/>
          <w:right w:w="0" w:type="dxa"/>
        </w:tblCellMar>
      </w:tblPr>
      <w:tr>
        <w:trPr>
          <w:trHeight w:val="131"/>
        </w:trPr>
        <w:tc>
          <w:tcPr>
            <w:tcW w:w="4240" w:type="dxa"/>
            <w:vAlign w:val="bottom"/>
          </w:tcPr>
          <w:p>
            <w:pPr>
              <w:spacing w:after="0"/>
              <w:rPr>
                <w:sz w:val="11"/>
                <w:szCs w:val="11"/>
                <w:color w:val="auto"/>
              </w:rPr>
            </w:pPr>
          </w:p>
        </w:tc>
        <w:tc>
          <w:tcPr>
            <w:tcW w:w="160" w:type="dxa"/>
            <w:vAlign w:val="bottom"/>
            <w:shd w:val="clear" w:color="auto" w:fill="004483"/>
          </w:tcPr>
          <w:p>
            <w:pPr>
              <w:spacing w:after="0"/>
              <w:rPr>
                <w:sz w:val="11"/>
                <w:szCs w:val="11"/>
                <w:color w:val="auto"/>
              </w:rPr>
            </w:pPr>
          </w:p>
        </w:tc>
        <w:tc>
          <w:tcPr>
            <w:tcW w:w="2140" w:type="dxa"/>
            <w:vAlign w:val="bottom"/>
            <w:gridSpan w:val="6"/>
            <w:shd w:val="clear" w:color="auto" w:fill="004483"/>
          </w:tcPr>
          <w:p>
            <w:pPr>
              <w:jc w:val="center"/>
              <w:ind w:right="219"/>
              <w:spacing w:after="0" w:line="131" w:lineRule="exact"/>
              <w:rPr>
                <w:sz w:val="20"/>
                <w:szCs w:val="20"/>
                <w:color w:val="auto"/>
              </w:rPr>
            </w:pPr>
            <w:r>
              <w:rPr>
                <w:rFonts w:ascii="Arial" w:cs="Arial" w:eastAsia="Arial" w:hAnsi="Arial"/>
                <w:sz w:val="13"/>
                <w:szCs w:val="13"/>
                <w:b w:val="1"/>
                <w:bCs w:val="1"/>
                <w:color w:val="FFFFFF"/>
                <w:w w:val="97"/>
              </w:rPr>
              <w:t>For the Three Months Ended</w:t>
            </w: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shd w:val="clear" w:color="auto" w:fill="004483"/>
          </w:tcPr>
          <w:p>
            <w:pPr>
              <w:spacing w:after="0"/>
              <w:rPr>
                <w:sz w:val="11"/>
                <w:szCs w:val="11"/>
                <w:color w:val="auto"/>
              </w:rPr>
            </w:pPr>
          </w:p>
        </w:tc>
        <w:tc>
          <w:tcPr>
            <w:tcW w:w="2120" w:type="dxa"/>
            <w:vAlign w:val="bottom"/>
            <w:gridSpan w:val="6"/>
            <w:shd w:val="clear" w:color="auto" w:fill="004483"/>
          </w:tcPr>
          <w:p>
            <w:pPr>
              <w:jc w:val="center"/>
              <w:ind w:right="279"/>
              <w:spacing w:after="0" w:line="131" w:lineRule="exact"/>
              <w:rPr>
                <w:sz w:val="20"/>
                <w:szCs w:val="20"/>
                <w:color w:val="auto"/>
              </w:rPr>
            </w:pPr>
            <w:r>
              <w:rPr>
                <w:rFonts w:ascii="Arial" w:cs="Arial" w:eastAsia="Arial" w:hAnsi="Arial"/>
                <w:sz w:val="13"/>
                <w:szCs w:val="13"/>
                <w:b w:val="1"/>
                <w:bCs w:val="1"/>
                <w:color w:val="FFFFFF"/>
                <w:w w:val="97"/>
              </w:rPr>
              <w:t>For the Nine Months Ended</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40" w:type="dxa"/>
            <w:vAlign w:val="bottom"/>
          </w:tcPr>
          <w:p>
            <w:pPr>
              <w:spacing w:after="0"/>
              <w:rPr>
                <w:sz w:val="13"/>
                <w:szCs w:val="13"/>
                <w:color w:val="auto"/>
              </w:rPr>
            </w:pPr>
          </w:p>
        </w:tc>
        <w:tc>
          <w:tcPr>
            <w:tcW w:w="160" w:type="dxa"/>
            <w:vAlign w:val="bottom"/>
            <w:tcBorders>
              <w:bottom w:val="single" w:sz="8" w:color="auto"/>
            </w:tcBorders>
            <w:shd w:val="clear" w:color="auto" w:fill="004483"/>
          </w:tcPr>
          <w:p>
            <w:pPr>
              <w:spacing w:after="0"/>
              <w:rPr>
                <w:sz w:val="13"/>
                <w:szCs w:val="13"/>
                <w:color w:val="auto"/>
              </w:rPr>
            </w:pPr>
          </w:p>
        </w:tc>
        <w:tc>
          <w:tcPr>
            <w:tcW w:w="1400" w:type="dxa"/>
            <w:vAlign w:val="bottom"/>
            <w:tcBorders>
              <w:bottom w:val="single" w:sz="8" w:color="auto"/>
            </w:tcBorders>
            <w:gridSpan w:val="4"/>
            <w:shd w:val="clear" w:color="auto" w:fill="004483"/>
          </w:tcPr>
          <w:p>
            <w:pPr>
              <w:jc w:val="center"/>
              <w:ind w:left="387"/>
              <w:spacing w:after="0"/>
              <w:rPr>
                <w:sz w:val="20"/>
                <w:szCs w:val="20"/>
                <w:color w:val="auto"/>
              </w:rPr>
            </w:pPr>
            <w:r>
              <w:rPr>
                <w:rFonts w:ascii="Arial" w:cs="Arial" w:eastAsia="Arial" w:hAnsi="Arial"/>
                <w:sz w:val="13"/>
                <w:szCs w:val="13"/>
                <w:b w:val="1"/>
                <w:bCs w:val="1"/>
                <w:color w:val="FFFFFF"/>
                <w:w w:val="96"/>
              </w:rPr>
              <w:t>December 31,</w:t>
            </w:r>
          </w:p>
        </w:tc>
        <w:tc>
          <w:tcPr>
            <w:tcW w:w="640" w:type="dxa"/>
            <w:vAlign w:val="bottom"/>
            <w:tcBorders>
              <w:bottom w:val="single" w:sz="8" w:color="auto"/>
            </w:tcBorders>
            <w:shd w:val="clear" w:color="auto" w:fill="004483"/>
          </w:tcPr>
          <w:p>
            <w:pPr>
              <w:spacing w:after="0"/>
              <w:rPr>
                <w:sz w:val="13"/>
                <w:szCs w:val="13"/>
                <w:color w:val="auto"/>
              </w:rPr>
            </w:pPr>
          </w:p>
        </w:tc>
        <w:tc>
          <w:tcPr>
            <w:tcW w:w="100" w:type="dxa"/>
            <w:vAlign w:val="bottom"/>
            <w:tcBorders>
              <w:bottom w:val="single" w:sz="8" w:color="004483"/>
            </w:tcBorders>
            <w:shd w:val="clear" w:color="auto" w:fill="004483"/>
          </w:tcPr>
          <w:p>
            <w:pPr>
              <w:spacing w:after="0"/>
              <w:rPr>
                <w:sz w:val="13"/>
                <w:szCs w:val="13"/>
                <w:color w:val="auto"/>
              </w:rPr>
            </w:pPr>
          </w:p>
        </w:tc>
        <w:tc>
          <w:tcPr>
            <w:tcW w:w="12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6"/>
              </w:rPr>
              <w:t>Percentage</w:t>
            </w:r>
          </w:p>
        </w:tc>
        <w:tc>
          <w:tcPr>
            <w:tcW w:w="180" w:type="dxa"/>
            <w:vAlign w:val="bottom"/>
            <w:tcBorders>
              <w:bottom w:val="single" w:sz="8" w:color="auto"/>
            </w:tcBorders>
            <w:shd w:val="clear" w:color="auto" w:fill="004483"/>
          </w:tcPr>
          <w:p>
            <w:pPr>
              <w:spacing w:after="0"/>
              <w:rPr>
                <w:sz w:val="13"/>
                <w:szCs w:val="13"/>
                <w:color w:val="auto"/>
              </w:rPr>
            </w:pPr>
          </w:p>
        </w:tc>
        <w:tc>
          <w:tcPr>
            <w:tcW w:w="1360" w:type="dxa"/>
            <w:vAlign w:val="bottom"/>
            <w:tcBorders>
              <w:bottom w:val="single" w:sz="8" w:color="auto"/>
            </w:tcBorders>
            <w:gridSpan w:val="4"/>
            <w:shd w:val="clear" w:color="auto" w:fill="004483"/>
          </w:tcPr>
          <w:p>
            <w:pPr>
              <w:jc w:val="center"/>
              <w:ind w:left="387"/>
              <w:spacing w:after="0"/>
              <w:rPr>
                <w:sz w:val="20"/>
                <w:szCs w:val="20"/>
                <w:color w:val="auto"/>
              </w:rPr>
            </w:pPr>
            <w:r>
              <w:rPr>
                <w:rFonts w:ascii="Arial" w:cs="Arial" w:eastAsia="Arial" w:hAnsi="Arial"/>
                <w:sz w:val="13"/>
                <w:szCs w:val="13"/>
                <w:b w:val="1"/>
                <w:bCs w:val="1"/>
                <w:color w:val="FFFFFF"/>
                <w:w w:val="96"/>
              </w:rPr>
              <w:t>December 31,</w:t>
            </w:r>
          </w:p>
        </w:tc>
        <w:tc>
          <w:tcPr>
            <w:tcW w:w="640" w:type="dxa"/>
            <w:vAlign w:val="bottom"/>
            <w:tcBorders>
              <w:bottom w:val="single" w:sz="8" w:color="auto"/>
            </w:tcBorders>
            <w:shd w:val="clear" w:color="auto" w:fill="004483"/>
          </w:tcPr>
          <w:p>
            <w:pPr>
              <w:spacing w:after="0"/>
              <w:rPr>
                <w:sz w:val="13"/>
                <w:szCs w:val="13"/>
                <w:color w:val="auto"/>
              </w:rPr>
            </w:pPr>
          </w:p>
        </w:tc>
        <w:tc>
          <w:tcPr>
            <w:tcW w:w="120" w:type="dxa"/>
            <w:vAlign w:val="bottom"/>
            <w:tcBorders>
              <w:bottom w:val="single" w:sz="8" w:color="004483"/>
            </w:tcBorders>
            <w:shd w:val="clear" w:color="auto" w:fill="004483"/>
          </w:tcPr>
          <w:p>
            <w:pPr>
              <w:spacing w:after="0"/>
              <w:rPr>
                <w:sz w:val="13"/>
                <w:szCs w:val="13"/>
                <w:color w:val="auto"/>
              </w:rPr>
            </w:pPr>
          </w:p>
        </w:tc>
        <w:tc>
          <w:tcPr>
            <w:tcW w:w="1120" w:type="dxa"/>
            <w:vAlign w:val="bottom"/>
            <w:gridSpan w:val="2"/>
            <w:vMerge w:val="restart"/>
          </w:tcPr>
          <w:p>
            <w:pPr>
              <w:jc w:val="right"/>
              <w:ind w:right="199"/>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11"/>
        </w:trPr>
        <w:tc>
          <w:tcPr>
            <w:tcW w:w="4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Change</w:t>
            </w:r>
          </w:p>
        </w:tc>
        <w:tc>
          <w:tcPr>
            <w:tcW w:w="1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279"/>
              <w:spacing w:after="0" w:line="135"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40" w:type="dxa"/>
            <w:vAlign w:val="bottom"/>
            <w:gridSpan w:val="6"/>
          </w:tcPr>
          <w:p>
            <w:pPr>
              <w:jc w:val="center"/>
              <w:ind w:right="239"/>
              <w:spacing w:after="0" w:line="135" w:lineRule="exact"/>
              <w:rPr>
                <w:sz w:val="20"/>
                <w:szCs w:val="20"/>
                <w:color w:val="auto"/>
              </w:rPr>
            </w:pPr>
            <w:r>
              <w:rPr>
                <w:rFonts w:ascii="Arial" w:cs="Arial" w:eastAsia="Arial" w:hAnsi="Arial"/>
                <w:sz w:val="13"/>
                <w:szCs w:val="13"/>
                <w:color w:val="auto"/>
                <w:w w:val="96"/>
              </w:rPr>
              <w:t>(in thousands, except per ton</w:t>
            </w: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20" w:type="dxa"/>
            <w:vAlign w:val="bottom"/>
            <w:gridSpan w:val="6"/>
          </w:tcPr>
          <w:p>
            <w:pPr>
              <w:jc w:val="center"/>
              <w:ind w:right="259"/>
              <w:spacing w:after="0" w:line="135" w:lineRule="exact"/>
              <w:rPr>
                <w:sz w:val="20"/>
                <w:szCs w:val="20"/>
                <w:color w:val="auto"/>
              </w:rPr>
            </w:pPr>
            <w:r>
              <w:rPr>
                <w:rFonts w:ascii="Arial" w:cs="Arial" w:eastAsia="Arial" w:hAnsi="Arial"/>
                <w:sz w:val="13"/>
                <w:szCs w:val="13"/>
                <w:color w:val="auto"/>
                <w:w w:val="96"/>
              </w:rPr>
              <w:t>(in thousands, except per ton</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240" w:type="dxa"/>
            <w:vAlign w:val="bottom"/>
            <w:tcBorders>
              <w:bottom w:val="single" w:sz="8" w:color="17385E"/>
            </w:tcBorders>
          </w:tcPr>
          <w:p>
            <w:pPr>
              <w:spacing w:after="0"/>
              <w:rPr>
                <w:sz w:val="15"/>
                <w:szCs w:val="15"/>
                <w:color w:val="auto"/>
              </w:rPr>
            </w:pPr>
          </w:p>
        </w:tc>
        <w:tc>
          <w:tcPr>
            <w:tcW w:w="160" w:type="dxa"/>
            <w:vAlign w:val="bottom"/>
            <w:tcBorders>
              <w:bottom w:val="single" w:sz="8" w:color="17385E"/>
            </w:tcBorders>
          </w:tcPr>
          <w:p>
            <w:pPr>
              <w:spacing w:after="0"/>
              <w:rPr>
                <w:sz w:val="15"/>
                <w:szCs w:val="15"/>
                <w:color w:val="auto"/>
              </w:rPr>
            </w:pPr>
          </w:p>
        </w:tc>
        <w:tc>
          <w:tcPr>
            <w:tcW w:w="1400" w:type="dxa"/>
            <w:vAlign w:val="bottom"/>
            <w:tcBorders>
              <w:bottom w:val="single" w:sz="8" w:color="17385E"/>
            </w:tcBorders>
            <w:gridSpan w:val="4"/>
          </w:tcPr>
          <w:p>
            <w:pPr>
              <w:jc w:val="center"/>
              <w:ind w:left="387"/>
              <w:spacing w:after="0"/>
              <w:rPr>
                <w:sz w:val="20"/>
                <w:szCs w:val="20"/>
                <w:color w:val="auto"/>
              </w:rPr>
            </w:pPr>
            <w:r>
              <w:rPr>
                <w:rFonts w:ascii="Arial" w:cs="Arial" w:eastAsia="Arial" w:hAnsi="Arial"/>
                <w:sz w:val="13"/>
                <w:szCs w:val="13"/>
                <w:color w:val="auto"/>
                <w:w w:val="96"/>
              </w:rPr>
              <w:t>information)</w:t>
            </w:r>
          </w:p>
        </w:tc>
        <w:tc>
          <w:tcPr>
            <w:tcW w:w="640" w:type="dxa"/>
            <w:vAlign w:val="bottom"/>
            <w:tcBorders>
              <w:bottom w:val="single" w:sz="8" w:color="17385E"/>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17385E"/>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17385E"/>
            </w:tcBorders>
          </w:tcPr>
          <w:p>
            <w:pPr>
              <w:spacing w:after="0"/>
              <w:rPr>
                <w:sz w:val="15"/>
                <w:szCs w:val="15"/>
                <w:color w:val="auto"/>
              </w:rPr>
            </w:pPr>
          </w:p>
        </w:tc>
        <w:tc>
          <w:tcPr>
            <w:tcW w:w="180" w:type="dxa"/>
            <w:vAlign w:val="bottom"/>
            <w:tcBorders>
              <w:bottom w:val="single" w:sz="8" w:color="17385E"/>
            </w:tcBorders>
          </w:tcPr>
          <w:p>
            <w:pPr>
              <w:spacing w:after="0"/>
              <w:rPr>
                <w:sz w:val="15"/>
                <w:szCs w:val="15"/>
                <w:color w:val="auto"/>
              </w:rPr>
            </w:pPr>
          </w:p>
        </w:tc>
        <w:tc>
          <w:tcPr>
            <w:tcW w:w="1360" w:type="dxa"/>
            <w:vAlign w:val="bottom"/>
            <w:tcBorders>
              <w:bottom w:val="single" w:sz="8" w:color="17385E"/>
            </w:tcBorders>
            <w:gridSpan w:val="4"/>
          </w:tcPr>
          <w:p>
            <w:pPr>
              <w:jc w:val="center"/>
              <w:ind w:left="387"/>
              <w:spacing w:after="0"/>
              <w:rPr>
                <w:sz w:val="20"/>
                <w:szCs w:val="20"/>
                <w:color w:val="auto"/>
              </w:rPr>
            </w:pPr>
            <w:r>
              <w:rPr>
                <w:rFonts w:ascii="Arial" w:cs="Arial" w:eastAsia="Arial" w:hAnsi="Arial"/>
                <w:sz w:val="13"/>
                <w:szCs w:val="13"/>
                <w:color w:val="auto"/>
                <w:w w:val="96"/>
              </w:rPr>
              <w:t>information)</w:t>
            </w:r>
          </w:p>
        </w:tc>
        <w:tc>
          <w:tcPr>
            <w:tcW w:w="640" w:type="dxa"/>
            <w:vAlign w:val="bottom"/>
            <w:tcBorders>
              <w:bottom w:val="single" w:sz="8" w:color="17385E"/>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17385E"/>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Revenue, including Intersegment</w:t>
            </w:r>
          </w:p>
        </w:tc>
        <w:tc>
          <w:tcPr>
            <w:tcW w:w="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56,158</w:t>
            </w:r>
          </w:p>
        </w:tc>
        <w:tc>
          <w:tcPr>
            <w:tcW w:w="100" w:type="dxa"/>
            <w:vAlign w:val="bottom"/>
            <w:vMerge w:val="restart"/>
          </w:tcPr>
          <w:p>
            <w:pPr>
              <w:jc w:val="center"/>
              <w:spacing w:after="0"/>
              <w:rPr>
                <w:sz w:val="20"/>
                <w:szCs w:val="20"/>
                <w:color w:val="auto"/>
              </w:rPr>
            </w:pPr>
            <w:r>
              <w:rPr>
                <w:rFonts w:ascii="Arial" w:cs="Arial" w:eastAsia="Arial" w:hAnsi="Arial"/>
                <w:sz w:val="16"/>
                <w:szCs w:val="16"/>
                <w:color w:val="auto"/>
                <w:w w:val="74"/>
              </w:rPr>
              <w:t>)</w:t>
            </w:r>
          </w:p>
        </w:tc>
        <w:tc>
          <w:tcPr>
            <w:tcW w:w="440" w:type="dxa"/>
            <w:vAlign w:val="bottom"/>
            <w:tcBorders>
              <w:bottom w:val="single" w:sz="8" w:color="A6A6A6"/>
            </w:tcBorders>
            <w:gridSpan w:val="2"/>
          </w:tcPr>
          <w:p>
            <w:pPr>
              <w:jc w:val="right"/>
              <w:ind w:right="1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47,053</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A6A6A6"/>
            </w:tcBorders>
          </w:tcPr>
          <w:p>
            <w:pPr>
              <w:spacing w:after="0"/>
              <w:rPr>
                <w:sz w:val="16"/>
                <w:szCs w:val="16"/>
                <w:color w:val="auto"/>
              </w:rPr>
            </w:pP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161,175</w:t>
            </w:r>
          </w:p>
        </w:tc>
        <w:tc>
          <w:tcPr>
            <w:tcW w:w="12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6A6A6"/>
            </w:tcBorders>
            <w:gridSpan w:val="2"/>
          </w:tcPr>
          <w:p>
            <w:pPr>
              <w:jc w:val="right"/>
              <w:ind w:right="1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135,397</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83"/>
        </w:trPr>
        <w:tc>
          <w:tcPr>
            <w:tcW w:w="4240" w:type="dxa"/>
            <w:vAlign w:val="bottom"/>
          </w:tcPr>
          <w:p>
            <w:pPr>
              <w:ind w:left="20"/>
              <w:spacing w:after="0" w:line="183" w:lineRule="exact"/>
              <w:rPr>
                <w:sz w:val="20"/>
                <w:szCs w:val="20"/>
                <w:color w:val="auto"/>
              </w:rPr>
            </w:pPr>
            <w:r>
              <w:rPr>
                <w:rFonts w:ascii="Arial" w:cs="Arial" w:eastAsia="Arial" w:hAnsi="Arial"/>
                <w:sz w:val="16"/>
                <w:szCs w:val="16"/>
                <w:color w:val="004483"/>
              </w:rPr>
              <w:t>Less Intersegment Revenue</w:t>
            </w:r>
          </w:p>
        </w:tc>
        <w:tc>
          <w:tcPr>
            <w:tcW w:w="16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(23,921</w:t>
            </w: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(21,128</w:t>
            </w:r>
          </w:p>
        </w:tc>
        <w:tc>
          <w:tcPr>
            <w:tcW w:w="100" w:type="dxa"/>
            <w:vAlign w:val="bottom"/>
            <w:vMerge w:val="continue"/>
          </w:tcPr>
          <w:p>
            <w:pPr>
              <w:spacing w:after="0"/>
              <w:rPr>
                <w:sz w:val="15"/>
                <w:szCs w:val="15"/>
                <w:color w:val="auto"/>
              </w:rPr>
            </w:pPr>
          </w:p>
        </w:tc>
        <w:tc>
          <w:tcPr>
            <w:tcW w:w="11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13 %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(69,542</w:t>
            </w: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(61,929</w:t>
            </w:r>
          </w:p>
        </w:tc>
        <w:tc>
          <w:tcPr>
            <w:tcW w:w="120" w:type="dxa"/>
            <w:vAlign w:val="bottom"/>
            <w:vMerge w:val="continue"/>
          </w:tcPr>
          <w:p>
            <w:pPr>
              <w:spacing w:after="0"/>
              <w:rPr>
                <w:sz w:val="15"/>
                <w:szCs w:val="15"/>
                <w:color w:val="auto"/>
              </w:rPr>
            </w:pPr>
          </w:p>
        </w:tc>
        <w:tc>
          <w:tcPr>
            <w:tcW w:w="11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6A6A6"/>
            </w:tcBorders>
          </w:tcPr>
          <w:p>
            <w:pPr>
              <w:spacing w:after="0"/>
              <w:rPr>
                <w:sz w:val="2"/>
                <w:szCs w:val="2"/>
                <w:color w:val="auto"/>
              </w:rPr>
            </w:pPr>
          </w:p>
        </w:tc>
        <w:tc>
          <w:tcPr>
            <w:tcW w:w="160" w:type="dxa"/>
            <w:vAlign w:val="bottom"/>
            <w:tcBorders>
              <w:bottom w:val="single" w:sz="8" w:color="004483"/>
            </w:tcBorders>
            <w:shd w:val="clear" w:color="auto" w:fill="004483"/>
          </w:tcPr>
          <w:p>
            <w:pPr>
              <w:spacing w:after="0"/>
              <w:rPr>
                <w:sz w:val="2"/>
                <w:szCs w:val="2"/>
                <w:color w:val="auto"/>
              </w:rPr>
            </w:pPr>
          </w:p>
        </w:tc>
        <w:tc>
          <w:tcPr>
            <w:tcW w:w="8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320" w:type="dxa"/>
            <w:vAlign w:val="bottom"/>
            <w:tcBorders>
              <w:bottom w:val="single" w:sz="8" w:color="004483"/>
            </w:tcBorders>
            <w:shd w:val="clear" w:color="auto" w:fill="004483"/>
          </w:tcPr>
          <w:p>
            <w:pPr>
              <w:spacing w:after="0"/>
              <w:rPr>
                <w:sz w:val="2"/>
                <w:szCs w:val="2"/>
                <w:color w:val="auto"/>
              </w:rPr>
            </w:pPr>
          </w:p>
        </w:tc>
        <w:tc>
          <w:tcPr>
            <w:tcW w:w="6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6A6A6"/>
            </w:tcBorders>
          </w:tcPr>
          <w:p>
            <w:pPr>
              <w:spacing w:after="0"/>
              <w:rPr>
                <w:sz w:val="2"/>
                <w:szCs w:val="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A6A6A6"/>
            </w:tcBorders>
          </w:tcPr>
          <w:p>
            <w:pPr>
              <w:spacing w:after="0"/>
              <w:rPr>
                <w:sz w:val="2"/>
                <w:szCs w:val="2"/>
                <w:color w:val="auto"/>
              </w:rPr>
            </w:pPr>
          </w:p>
        </w:tc>
        <w:tc>
          <w:tcPr>
            <w:tcW w:w="180" w:type="dxa"/>
            <w:vAlign w:val="bottom"/>
            <w:tcBorders>
              <w:bottom w:val="single" w:sz="8" w:color="004483"/>
            </w:tcBorders>
            <w:shd w:val="clear" w:color="auto" w:fill="004483"/>
          </w:tcPr>
          <w:p>
            <w:pPr>
              <w:spacing w:after="0"/>
              <w:rPr>
                <w:sz w:val="2"/>
                <w:szCs w:val="2"/>
                <w:color w:val="auto"/>
              </w:rPr>
            </w:pPr>
          </w:p>
        </w:tc>
        <w:tc>
          <w:tcPr>
            <w:tcW w:w="82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6A6A6"/>
            </w:tcBorders>
          </w:tcPr>
          <w:p>
            <w:pPr>
              <w:spacing w:after="0"/>
              <w:rPr>
                <w:sz w:val="2"/>
                <w:szCs w:val="2"/>
                <w:color w:val="auto"/>
              </w:rPr>
            </w:pPr>
          </w:p>
        </w:tc>
        <w:tc>
          <w:tcPr>
            <w:tcW w:w="320" w:type="dxa"/>
            <w:vAlign w:val="bottom"/>
            <w:tcBorders>
              <w:bottom w:val="single" w:sz="8" w:color="004483"/>
            </w:tcBorders>
            <w:shd w:val="clear" w:color="auto" w:fill="004483"/>
          </w:tcPr>
          <w:p>
            <w:pPr>
              <w:spacing w:after="0"/>
              <w:rPr>
                <w:sz w:val="2"/>
                <w:szCs w:val="2"/>
                <w:color w:val="auto"/>
              </w:rPr>
            </w:pPr>
          </w:p>
        </w:tc>
        <w:tc>
          <w:tcPr>
            <w:tcW w:w="64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6A6A6"/>
            </w:tcBorders>
          </w:tcPr>
          <w:p>
            <w:pPr>
              <w:spacing w:after="0"/>
              <w:rPr>
                <w:sz w:val="2"/>
                <w:szCs w:val="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83"/>
        </w:trPr>
        <w:tc>
          <w:tcPr>
            <w:tcW w:w="42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Revenue</w:t>
            </w:r>
          </w:p>
        </w:tc>
        <w:tc>
          <w:tcPr>
            <w:tcW w:w="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32,237</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25,925</w:t>
            </w:r>
          </w:p>
        </w:tc>
        <w:tc>
          <w:tcPr>
            <w:tcW w:w="100" w:type="dxa"/>
            <w:vAlign w:val="bottom"/>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24</w:t>
            </w:r>
          </w:p>
        </w:tc>
        <w:tc>
          <w:tcPr>
            <w:tcW w:w="160" w:type="dxa"/>
            <w:vAlign w:val="bottom"/>
            <w:vMerge w:val="continue"/>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91,633</w:t>
            </w:r>
          </w:p>
        </w:tc>
        <w:tc>
          <w:tcPr>
            <w:tcW w:w="12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73,468</w:t>
            </w:r>
          </w:p>
        </w:tc>
        <w:tc>
          <w:tcPr>
            <w:tcW w:w="120" w:type="dxa"/>
            <w:vAlign w:val="bottom"/>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w:t>
            </w: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6A6A6"/>
            </w:tcBorders>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6A6A6"/>
            </w:tcBorders>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83"/>
        </w:trPr>
        <w:tc>
          <w:tcPr>
            <w:tcW w:w="42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Sales Volume (M Tons)</w:t>
            </w:r>
          </w:p>
        </w:tc>
        <w:tc>
          <w:tcPr>
            <w:tcW w:w="16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90</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84</w:t>
            </w:r>
          </w:p>
        </w:tc>
        <w:tc>
          <w:tcPr>
            <w:tcW w:w="100" w:type="dxa"/>
            <w:vAlign w:val="bottom"/>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w:t>
            </w:r>
          </w:p>
        </w:tc>
        <w:tc>
          <w:tcPr>
            <w:tcW w:w="160" w:type="dxa"/>
            <w:vAlign w:val="bottom"/>
            <w:vMerge w:val="continue"/>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266</w:t>
            </w:r>
          </w:p>
        </w:tc>
        <w:tc>
          <w:tcPr>
            <w:tcW w:w="12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247</w:t>
            </w:r>
          </w:p>
        </w:tc>
        <w:tc>
          <w:tcPr>
            <w:tcW w:w="120" w:type="dxa"/>
            <w:vAlign w:val="bottom"/>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w:t>
            </w: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 xml:space="preserve">Average Net Sales Price, per ton </w:t>
            </w:r>
            <w:r>
              <w:rPr>
                <w:rFonts w:ascii="Arial" w:cs="Arial" w:eastAsia="Arial" w:hAnsi="Arial"/>
                <w:sz w:val="21"/>
                <w:szCs w:val="21"/>
                <w:color w:val="004483"/>
                <w:vertAlign w:val="superscript"/>
              </w:rPr>
              <w:t>(1)</w:t>
            </w:r>
          </w:p>
        </w:tc>
        <w:tc>
          <w:tcPr>
            <w:tcW w:w="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627.04</w:t>
            </w:r>
          </w:p>
        </w:tc>
        <w:tc>
          <w:tcPr>
            <w:tcW w:w="100" w:type="dxa"/>
            <w:vAlign w:val="bottom"/>
          </w:tcPr>
          <w:p>
            <w:pPr>
              <w:spacing w:after="0"/>
              <w:rPr>
                <w:sz w:val="15"/>
                <w:szCs w:val="15"/>
                <w:color w:val="auto"/>
              </w:rPr>
            </w:pPr>
          </w:p>
        </w:tc>
        <w:tc>
          <w:tcPr>
            <w:tcW w:w="440" w:type="dxa"/>
            <w:vAlign w:val="bottom"/>
            <w:tcBorders>
              <w:bottom w:val="single" w:sz="8" w:color="A6A6A6"/>
            </w:tcBorders>
            <w:gridSpan w:val="2"/>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559.49</w:t>
            </w:r>
          </w:p>
        </w:tc>
        <w:tc>
          <w:tcPr>
            <w:tcW w:w="100" w:type="dxa"/>
            <w:vAlign w:val="bottom"/>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606.68</w:t>
            </w:r>
          </w:p>
        </w:tc>
        <w:tc>
          <w:tcPr>
            <w:tcW w:w="120" w:type="dxa"/>
            <w:vAlign w:val="bottom"/>
          </w:tcPr>
          <w:p>
            <w:pPr>
              <w:spacing w:after="0"/>
              <w:rPr>
                <w:sz w:val="15"/>
                <w:szCs w:val="15"/>
                <w:color w:val="auto"/>
              </w:rPr>
            </w:pPr>
          </w:p>
        </w:tc>
        <w:tc>
          <w:tcPr>
            <w:tcW w:w="420" w:type="dxa"/>
            <w:vAlign w:val="bottom"/>
            <w:tcBorders>
              <w:bottom w:val="single" w:sz="8" w:color="A6A6A6"/>
            </w:tcBorders>
            <w:gridSpan w:val="2"/>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546.21</w:t>
            </w:r>
          </w:p>
        </w:tc>
        <w:tc>
          <w:tcPr>
            <w:tcW w:w="120" w:type="dxa"/>
            <w:vAlign w:val="bottom"/>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83"/>
        </w:trPr>
        <w:tc>
          <w:tcPr>
            <w:tcW w:w="42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Margin, per ton</w:t>
            </w:r>
          </w:p>
        </w:tc>
        <w:tc>
          <w:tcPr>
            <w:tcW w:w="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122.68</w:t>
            </w:r>
          </w:p>
        </w:tc>
        <w:tc>
          <w:tcPr>
            <w:tcW w:w="100" w:type="dxa"/>
            <w:vAlign w:val="bottom"/>
          </w:tcPr>
          <w:p>
            <w:pPr>
              <w:spacing w:after="0"/>
              <w:rPr>
                <w:sz w:val="15"/>
                <w:szCs w:val="15"/>
                <w:color w:val="auto"/>
              </w:rPr>
            </w:pPr>
          </w:p>
        </w:tc>
        <w:tc>
          <w:tcPr>
            <w:tcW w:w="440" w:type="dxa"/>
            <w:vAlign w:val="bottom"/>
            <w:tcBorders>
              <w:bottom w:val="single" w:sz="8" w:color="A6A6A6"/>
            </w:tcBorders>
            <w:gridSpan w:val="2"/>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89.57</w:t>
            </w:r>
          </w:p>
        </w:tc>
        <w:tc>
          <w:tcPr>
            <w:tcW w:w="100" w:type="dxa"/>
            <w:vAlign w:val="bottom"/>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37</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103.70</w:t>
            </w:r>
          </w:p>
        </w:tc>
        <w:tc>
          <w:tcPr>
            <w:tcW w:w="120" w:type="dxa"/>
            <w:vAlign w:val="bottom"/>
          </w:tcPr>
          <w:p>
            <w:pPr>
              <w:spacing w:after="0"/>
              <w:rPr>
                <w:sz w:val="15"/>
                <w:szCs w:val="15"/>
                <w:color w:val="auto"/>
              </w:rPr>
            </w:pPr>
          </w:p>
        </w:tc>
        <w:tc>
          <w:tcPr>
            <w:tcW w:w="420" w:type="dxa"/>
            <w:vAlign w:val="bottom"/>
            <w:tcBorders>
              <w:bottom w:val="single" w:sz="8" w:color="A6A6A6"/>
            </w:tcBorders>
            <w:gridSpan w:val="2"/>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90.35</w:t>
            </w:r>
          </w:p>
        </w:tc>
        <w:tc>
          <w:tcPr>
            <w:tcW w:w="120" w:type="dxa"/>
            <w:vAlign w:val="bottom"/>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83"/>
        </w:trPr>
        <w:tc>
          <w:tcPr>
            <w:tcW w:w="42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Earnings</w:t>
            </w:r>
          </w:p>
        </w:tc>
        <w:tc>
          <w:tcPr>
            <w:tcW w:w="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11,041</w:t>
            </w:r>
          </w:p>
        </w:tc>
        <w:tc>
          <w:tcPr>
            <w:tcW w:w="100" w:type="dxa"/>
            <w:vAlign w:val="bottom"/>
          </w:tcPr>
          <w:p>
            <w:pPr>
              <w:spacing w:after="0"/>
              <w:rPr>
                <w:sz w:val="15"/>
                <w:szCs w:val="15"/>
                <w:color w:val="auto"/>
              </w:rPr>
            </w:pPr>
          </w:p>
        </w:tc>
        <w:tc>
          <w:tcPr>
            <w:tcW w:w="440" w:type="dxa"/>
            <w:vAlign w:val="bottom"/>
            <w:tcBorders>
              <w:bottom w:val="single" w:sz="8" w:color="A6A6A6"/>
            </w:tcBorders>
            <w:gridSpan w:val="2"/>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7,524</w:t>
            </w:r>
          </w:p>
        </w:tc>
        <w:tc>
          <w:tcPr>
            <w:tcW w:w="100" w:type="dxa"/>
            <w:vAlign w:val="bottom"/>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47</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27,585</w:t>
            </w:r>
          </w:p>
        </w:tc>
        <w:tc>
          <w:tcPr>
            <w:tcW w:w="120" w:type="dxa"/>
            <w:vAlign w:val="bottom"/>
          </w:tcPr>
          <w:p>
            <w:pPr>
              <w:spacing w:after="0"/>
              <w:rPr>
                <w:sz w:val="15"/>
                <w:szCs w:val="15"/>
                <w:color w:val="auto"/>
              </w:rPr>
            </w:pPr>
          </w:p>
        </w:tc>
        <w:tc>
          <w:tcPr>
            <w:tcW w:w="420" w:type="dxa"/>
            <w:vAlign w:val="bottom"/>
            <w:tcBorders>
              <w:bottom w:val="single" w:sz="8" w:color="A6A6A6"/>
            </w:tcBorders>
            <w:gridSpan w:val="2"/>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22,316</w:t>
            </w:r>
          </w:p>
        </w:tc>
        <w:tc>
          <w:tcPr>
            <w:tcW w:w="120" w:type="dxa"/>
            <w:vAlign w:val="bottom"/>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24</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-1422400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-1422400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(1) Net of freight per ton.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2024</w:t>
      </w:r>
    </w:p>
    <w:p>
      <w:pPr>
        <w:spacing w:after="0" w:line="10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Recycled Paperboard Revenue increased 19% to $ 56.2 million during the three months ended December 31, 2024. The increase was due to higher gross sales prices and Sales Volume, which increased Revenue by $6.1 million and $3.0 million, respectively. Higher gross sales prices were related to the pricing provisions in our long-term sales agreements.</w:t>
      </w:r>
    </w:p>
    <w:p>
      <w:pPr>
        <w:spacing w:after="0" w:line="6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Operating Earnings increased 47% to $ 11.0 million, primarily because of higher gross sales prices and Sales Volume, which increased Operating Earnings by $6.1 million and $0.5 million, respectively. This was partially offset by higher operating costs, which reduced Operating Earnings by approximately $3.1 million. The increase in operating costs was primarily related to higher input costs, namely recycled fiber, which reduced Operating Earnings by approximately $2.9 million. The Operating Margin increased to 20% because of higher gross selling prices, partially offset by higher operating costs. Although the Company has certain provisions in its long-term sales agreements related to adjustments for the cost of raw materials, namely recycled fiber, natural gas, and electricity, prices are adjusted only at certain times throughout the year, so price adjustments are not always reflected in the same period as the change in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31, 2024</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Recycled Paperboard Revenue increased 19% to $ 161.2 million during the nine months ended December 31, 2024. The increase was due to higher gross sales prices and Sales Volume, which positively affected Revenue by $15.5 million and $10.3 million, respectively. Higher gross sales prices were related to the pricing provisions in our long-term sales agreements.</w:t>
      </w:r>
    </w:p>
    <w:p>
      <w:pPr>
        <w:spacing w:after="0" w:line="61"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Operating Earnings increased 24% to $27.6 million, primarily because of higher gross sales prices and Sales Volume, which increased Operating Earnings by $15.5 million and $1.7 million, respectively. This was partially offset by higher operating costs, which reduced Operating Earnings by approximately $11.9 million. The increase in operating costs was primarily related to higher input costs, namely recycled fiber, which lowered Operating Earnings by approximately $15.4 million. This was partially offset by lower energy, chemicals, and freight costs of $2.8 million, $0.5 million, and $0.5 million, respectively. The Operating Margin remained consistent at 16% as higher operating costs were offset by higher gross sales prices. Although the Company has certain provisions in its long-term sales agreements related to adjustments for the cost of raw materials, namely recycled fiber, natural gas, and electricity, prices are adjusted only at certain times throughout the year, so price adjustments are not always reflected in the same period as the change in costs.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4"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management to adopt accounting policies and make significant judgments and estimates to develop amounts disclosed in the financial statements. In many cases, alternative policies or estimation techniques could be used. We maintain a thorough process to review the application of our accounting policies and to evaluate the appropriateness of the many estimates that are required to prepare our financial statements. However, even under optimal circumstances, estimates routinely require adjustment based on changing circumstances and the receipt of new or better information.</w:t>
      </w:r>
    </w:p>
    <w:p>
      <w:pPr>
        <w:spacing w:after="0" w:line="71"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The three Critical Accounting Policies that are material to our financial statements and that we believe require either the most judgment, or the selection or application of alternative accounting policies, are those related to long-lived assets, goodwill, and business combinations. Management has discussed the development and selection of these Critical Accounting Policies and estimates with the Audit Committee of our Board of Directors and with our independent registered public accounting firm.</w:t>
      </w:r>
    </w:p>
    <w:p>
      <w:pPr>
        <w:spacing w:after="0" w:line="6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Information regarding our Critical Accounting Policies and a summary of our significant account policies can be found in our Annual Report, in Note (A) to the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0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Refer to Note (A) in the Notes to Unaudited Consolidated Financial Statements of this Form 10-Q for information regarding recently issued accounting pronouncements that may affect our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We believe we currently have access to sufficient financial resources from our liquidity sources to fund our business and operations, including contractual obligations, capital expenditures, and debt service obligations for at least the next twelve months. We regularly assess any potential disruptions to the economy and to our operations, particularly changing fiscal policy or economic conditions affecting our industries. Please see the Debt Financing Activities section below for a discussion of our Revolving Credit Facility and the amount of borrowings available to us in the next twelve-month period.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flows: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80" w:type="dxa"/>
            <w:vAlign w:val="bottom"/>
          </w:tcPr>
          <w:p>
            <w:pPr>
              <w:spacing w:after="0"/>
              <w:rPr>
                <w:sz w:val="12"/>
                <w:szCs w:val="12"/>
                <w:color w:val="auto"/>
              </w:rPr>
            </w:pPr>
          </w:p>
        </w:tc>
        <w:tc>
          <w:tcPr>
            <w:tcW w:w="400" w:type="dxa"/>
            <w:vAlign w:val="bottom"/>
            <w:shd w:val="clear" w:color="auto" w:fill="004483"/>
          </w:tcPr>
          <w:p>
            <w:pPr>
              <w:spacing w:after="0"/>
              <w:rPr>
                <w:sz w:val="12"/>
                <w:szCs w:val="12"/>
                <w:color w:val="auto"/>
              </w:rPr>
            </w:pPr>
          </w:p>
        </w:tc>
        <w:tc>
          <w:tcPr>
            <w:tcW w:w="2780" w:type="dxa"/>
            <w:vAlign w:val="bottom"/>
            <w:gridSpan w:val="4"/>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Nine Months Ended December 31,</w:t>
            </w:r>
          </w:p>
        </w:tc>
        <w:tc>
          <w:tcPr>
            <w:tcW w:w="680" w:type="dxa"/>
            <w:vAlign w:val="bottom"/>
            <w:shd w:val="clear" w:color="auto" w:fill="004483"/>
          </w:tcPr>
          <w:p>
            <w:pPr>
              <w:spacing w:after="0"/>
              <w:rPr>
                <w:sz w:val="12"/>
                <w:szCs w:val="12"/>
                <w:color w:val="auto"/>
              </w:rPr>
            </w:pPr>
          </w:p>
        </w:tc>
        <w:tc>
          <w:tcPr>
            <w:tcW w:w="100" w:type="dxa"/>
            <w:vAlign w:val="bottom"/>
            <w:shd w:val="clear" w:color="auto" w:fill="004483"/>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28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2780" w:type="dxa"/>
            <w:vAlign w:val="bottom"/>
            <w:tcBorders>
              <w:bottom w:val="single" w:sz="8" w:color="004483"/>
            </w:tcBorders>
            <w:gridSpan w:val="4"/>
          </w:tcPr>
          <w:p>
            <w:pPr>
              <w:jc w:val="right"/>
              <w:ind w:right="579"/>
              <w:spacing w:after="0"/>
              <w:rPr>
                <w:sz w:val="20"/>
                <w:szCs w:val="20"/>
                <w:color w:val="auto"/>
              </w:rPr>
            </w:pPr>
            <w:r>
              <w:rPr>
                <w:rFonts w:ascii="Arial" w:cs="Arial" w:eastAsia="Arial" w:hAnsi="Arial"/>
                <w:sz w:val="13"/>
                <w:szCs w:val="13"/>
                <w:color w:val="auto"/>
              </w:rPr>
              <w:t>(dollars in thousands)</w:t>
            </w:r>
          </w:p>
        </w:tc>
        <w:tc>
          <w:tcPr>
            <w:tcW w:w="6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400" w:type="dxa"/>
            <w:vAlign w:val="bottom"/>
            <w:tcBorders>
              <w:bottom w:val="single" w:sz="8" w:color="A6A6A6"/>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485,780</w:t>
            </w:r>
          </w:p>
        </w:tc>
        <w:tc>
          <w:tcPr>
            <w:tcW w:w="120" w:type="dxa"/>
            <w:vAlign w:val="bottom"/>
          </w:tcPr>
          <w:p>
            <w:pPr>
              <w:spacing w:after="0"/>
              <w:rPr>
                <w:sz w:val="16"/>
                <w:szCs w:val="16"/>
                <w:color w:val="auto"/>
              </w:rPr>
            </w:pPr>
          </w:p>
        </w:tc>
        <w:tc>
          <w:tcPr>
            <w:tcW w:w="1280" w:type="dxa"/>
            <w:vAlign w:val="bottom"/>
            <w:tcBorders>
              <w:bottom w:val="single" w:sz="8" w:color="A6A6A6"/>
            </w:tcBorders>
            <w:gridSpan w:val="2"/>
          </w:tcPr>
          <w:p>
            <w:pPr>
              <w:jc w:val="right"/>
              <w:ind w:right="91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500,549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Investing Activities</w:t>
            </w:r>
          </w:p>
        </w:tc>
        <w:tc>
          <w:tcPr>
            <w:tcW w:w="400" w:type="dxa"/>
            <w:vAlign w:val="bottom"/>
            <w:tcBorders>
              <w:bottom w:val="single" w:sz="8" w:color="A6A6A6"/>
            </w:tcBorders>
          </w:tcPr>
          <w:p>
            <w:pPr>
              <w:spacing w:after="0"/>
              <w:rPr>
                <w:sz w:val="17"/>
                <w:szCs w:val="17"/>
                <w:color w:val="auto"/>
              </w:rPr>
            </w:pPr>
          </w:p>
        </w:tc>
        <w:tc>
          <w:tcPr>
            <w:tcW w:w="138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c>
          <w:tcPr>
            <w:tcW w:w="6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Additions to Property, Plant, and Equipment</w:t>
            </w:r>
          </w:p>
        </w:tc>
        <w:tc>
          <w:tcPr>
            <w:tcW w:w="400" w:type="dxa"/>
            <w:vAlign w:val="bottom"/>
            <w:tcBorders>
              <w:bottom w:val="single" w:sz="8" w:color="A6A6A6"/>
            </w:tcBorders>
          </w:tcPr>
          <w:p>
            <w:pPr>
              <w:spacing w:after="0"/>
              <w:rPr>
                <w:sz w:val="16"/>
                <w:szCs w:val="16"/>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(146,975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6"/>
                <w:szCs w:val="16"/>
                <w:color w:val="auto"/>
              </w:rPr>
            </w:pPr>
          </w:p>
        </w:tc>
        <w:tc>
          <w:tcPr>
            <w:tcW w:w="1120" w:type="dxa"/>
            <w:vAlign w:val="bottom"/>
            <w:tcBorders>
              <w:bottom w:val="single" w:sz="8" w:color="A6A6A6"/>
            </w:tcBorders>
          </w:tcPr>
          <w:p>
            <w:pPr>
              <w:spacing w:after="0"/>
              <w:rPr>
                <w:sz w:val="16"/>
                <w:szCs w:val="16"/>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(87,848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2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Acquisition Spending</w:t>
            </w:r>
          </w:p>
        </w:tc>
        <w:tc>
          <w:tcPr>
            <w:tcW w:w="400" w:type="dxa"/>
            <w:vAlign w:val="bottom"/>
            <w:tcBorders>
              <w:bottom w:val="single" w:sz="8" w:color="004483"/>
            </w:tcBorders>
          </w:tcPr>
          <w:p>
            <w:pPr>
              <w:spacing w:after="0"/>
              <w:rPr>
                <w:sz w:val="18"/>
                <w:szCs w:val="18"/>
                <w:color w:val="auto"/>
              </w:rPr>
            </w:pPr>
          </w:p>
        </w:tc>
        <w:tc>
          <w:tcPr>
            <w:tcW w:w="13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(24,881</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1120" w:type="dxa"/>
            <w:vAlign w:val="bottom"/>
            <w:tcBorders>
              <w:bottom w:val="single" w:sz="8" w:color="004483"/>
            </w:tcBorders>
          </w:tcPr>
          <w:p>
            <w:pPr>
              <w:spacing w:after="0"/>
              <w:rPr>
                <w:sz w:val="18"/>
                <w:szCs w:val="18"/>
                <w:color w:val="auto"/>
              </w:rPr>
            </w:pPr>
          </w:p>
        </w:tc>
        <w:tc>
          <w:tcPr>
            <w:tcW w:w="6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(55,053</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2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Net Cash Used in Investing Activities</w:t>
            </w:r>
          </w:p>
        </w:tc>
        <w:tc>
          <w:tcPr>
            <w:tcW w:w="400" w:type="dxa"/>
            <w:vAlign w:val="bottom"/>
            <w:tcBorders>
              <w:bottom w:val="single" w:sz="8" w:color="004483"/>
            </w:tcBorders>
          </w:tcPr>
          <w:p>
            <w:pPr>
              <w:spacing w:after="0"/>
              <w:rPr>
                <w:sz w:val="18"/>
                <w:szCs w:val="18"/>
                <w:color w:val="auto"/>
              </w:rPr>
            </w:pPr>
          </w:p>
        </w:tc>
        <w:tc>
          <w:tcPr>
            <w:tcW w:w="13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(171,856</w:t>
            </w:r>
          </w:p>
        </w:tc>
        <w:tc>
          <w:tcPr>
            <w:tcW w:w="1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6A6A6"/>
            </w:tcBorders>
          </w:tcPr>
          <w:p>
            <w:pPr>
              <w:spacing w:after="0"/>
              <w:rPr>
                <w:sz w:val="18"/>
                <w:szCs w:val="18"/>
                <w:color w:val="auto"/>
              </w:rPr>
            </w:pPr>
          </w:p>
        </w:tc>
        <w:tc>
          <w:tcPr>
            <w:tcW w:w="1120" w:type="dxa"/>
            <w:vAlign w:val="bottom"/>
            <w:tcBorders>
              <w:bottom w:val="single" w:sz="8" w:color="004483"/>
            </w:tcBorders>
          </w:tcPr>
          <w:p>
            <w:pPr>
              <w:spacing w:after="0"/>
              <w:rPr>
                <w:sz w:val="18"/>
                <w:szCs w:val="18"/>
                <w:color w:val="auto"/>
              </w:rPr>
            </w:pPr>
          </w:p>
        </w:tc>
        <w:tc>
          <w:tcPr>
            <w:tcW w:w="6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98"/>
              </w:rPr>
              <w:t>(142,901</w:t>
            </w:r>
          </w:p>
        </w:tc>
        <w:tc>
          <w:tcPr>
            <w:tcW w:w="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72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Financing Activities</w:t>
            </w:r>
          </w:p>
        </w:tc>
        <w:tc>
          <w:tcPr>
            <w:tcW w:w="400" w:type="dxa"/>
            <w:vAlign w:val="bottom"/>
            <w:tcBorders>
              <w:bottom w:val="single" w:sz="8" w:color="A6A6A6"/>
            </w:tcBorders>
          </w:tcPr>
          <w:p>
            <w:pPr>
              <w:spacing w:after="0"/>
              <w:rPr>
                <w:sz w:val="17"/>
                <w:szCs w:val="17"/>
                <w:color w:val="auto"/>
              </w:rPr>
            </w:pPr>
          </w:p>
        </w:tc>
        <w:tc>
          <w:tcPr>
            <w:tcW w:w="138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c>
          <w:tcPr>
            <w:tcW w:w="6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Increase (Decrease) in Revolving Credit Facility</w:t>
            </w:r>
          </w:p>
        </w:tc>
        <w:tc>
          <w:tcPr>
            <w:tcW w:w="400" w:type="dxa"/>
            <w:vAlign w:val="bottom"/>
            <w:tcBorders>
              <w:bottom w:val="single" w:sz="8" w:color="A6A6A6"/>
            </w:tcBorders>
          </w:tcPr>
          <w:p>
            <w:pPr>
              <w:spacing w:after="0"/>
              <w:rPr>
                <w:sz w:val="16"/>
                <w:szCs w:val="16"/>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(85,000</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6"/>
                <w:szCs w:val="16"/>
                <w:color w:val="auto"/>
              </w:rPr>
            </w:pPr>
          </w:p>
        </w:tc>
        <w:tc>
          <w:tcPr>
            <w:tcW w:w="1120" w:type="dxa"/>
            <w:vAlign w:val="bottom"/>
            <w:tcBorders>
              <w:bottom w:val="single" w:sz="8" w:color="A6A6A6"/>
            </w:tcBorders>
          </w:tcPr>
          <w:p>
            <w:pPr>
              <w:spacing w:after="0"/>
              <w:rPr>
                <w:sz w:val="16"/>
                <w:szCs w:val="16"/>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2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Repayment of Term Loan and Term Loan Credit Agreement</w:t>
            </w:r>
          </w:p>
        </w:tc>
        <w:tc>
          <w:tcPr>
            <w:tcW w:w="400" w:type="dxa"/>
            <w:vAlign w:val="bottom"/>
            <w:tcBorders>
              <w:bottom w:val="single" w:sz="8" w:color="A6A6A6"/>
            </w:tcBorders>
          </w:tcPr>
          <w:p>
            <w:pPr>
              <w:spacing w:after="0"/>
              <w:rPr>
                <w:sz w:val="15"/>
                <w:szCs w:val="15"/>
                <w:color w:val="auto"/>
              </w:rPr>
            </w:pP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(7,500</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(7,500</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2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Dividends Paid to Stockholders</w:t>
            </w:r>
          </w:p>
        </w:tc>
        <w:tc>
          <w:tcPr>
            <w:tcW w:w="400" w:type="dxa"/>
            <w:vAlign w:val="bottom"/>
            <w:tcBorders>
              <w:bottom w:val="single" w:sz="8" w:color="A6A6A6"/>
            </w:tcBorders>
          </w:tcPr>
          <w:p>
            <w:pPr>
              <w:spacing w:after="0"/>
              <w:rPr>
                <w:sz w:val="15"/>
                <w:szCs w:val="15"/>
                <w:color w:val="auto"/>
              </w:rPr>
            </w:pP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(25,373</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(26,692</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2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Purchase and Retirement of Common Stock</w:t>
            </w:r>
          </w:p>
        </w:tc>
        <w:tc>
          <w:tcPr>
            <w:tcW w:w="400" w:type="dxa"/>
            <w:vAlign w:val="bottom"/>
            <w:tcBorders>
              <w:bottom w:val="single" w:sz="8" w:color="A6A6A6"/>
            </w:tcBorders>
          </w:tcPr>
          <w:p>
            <w:pPr>
              <w:spacing w:after="0"/>
              <w:rPr>
                <w:sz w:val="15"/>
                <w:szCs w:val="15"/>
                <w:color w:val="auto"/>
              </w:rPr>
            </w:pP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(201,276</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98"/>
              </w:rPr>
              <w:t>(248,852</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2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Payment of Excise Tax on Purchase and Retirement of Common Stock</w:t>
            </w:r>
          </w:p>
        </w:tc>
        <w:tc>
          <w:tcPr>
            <w:tcW w:w="400" w:type="dxa"/>
            <w:vAlign w:val="bottom"/>
            <w:tcBorders>
              <w:bottom w:val="single" w:sz="8" w:color="A6A6A6"/>
            </w:tcBorders>
          </w:tcPr>
          <w:p>
            <w:pPr>
              <w:spacing w:after="0"/>
              <w:rPr>
                <w:sz w:val="15"/>
                <w:szCs w:val="15"/>
                <w:color w:val="auto"/>
              </w:rPr>
            </w:pP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(3,331</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Proceeds from Stock Option Exercises</w:t>
            </w:r>
          </w:p>
        </w:tc>
        <w:tc>
          <w:tcPr>
            <w:tcW w:w="400" w:type="dxa"/>
            <w:vAlign w:val="bottom"/>
            <w:tcBorders>
              <w:bottom w:val="single" w:sz="8" w:color="A6A6A6"/>
            </w:tcBorders>
          </w:tcPr>
          <w:p>
            <w:pPr>
              <w:spacing w:after="0"/>
              <w:rPr>
                <w:sz w:val="15"/>
                <w:szCs w:val="15"/>
                <w:color w:val="auto"/>
              </w:rPr>
            </w:pP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6,260</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11,560</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2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Shares Redeemed to Settle Employee Taxes on Stock Compensation</w:t>
            </w:r>
          </w:p>
        </w:tc>
        <w:tc>
          <w:tcPr>
            <w:tcW w:w="400" w:type="dxa"/>
            <w:vAlign w:val="bottom"/>
            <w:tcBorders>
              <w:bottom w:val="single" w:sz="8" w:color="004483"/>
            </w:tcBorders>
          </w:tcPr>
          <w:p>
            <w:pPr>
              <w:spacing w:after="0"/>
              <w:rPr>
                <w:sz w:val="18"/>
                <w:szCs w:val="18"/>
                <w:color w:val="auto"/>
              </w:rPr>
            </w:pPr>
          </w:p>
        </w:tc>
        <w:tc>
          <w:tcPr>
            <w:tcW w:w="13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(1,456</w:t>
            </w:r>
          </w:p>
        </w:tc>
        <w:tc>
          <w:tcPr>
            <w:tcW w:w="120" w:type="dxa"/>
            <w:vAlign w:val="bottom"/>
            <w:vMerge w:val="continue"/>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20" w:type="dxa"/>
            <w:vAlign w:val="bottom"/>
            <w:tcBorders>
              <w:bottom w:val="single" w:sz="8" w:color="004483"/>
            </w:tcBorders>
          </w:tcPr>
          <w:p>
            <w:pPr>
              <w:spacing w:after="0"/>
              <w:rPr>
                <w:sz w:val="18"/>
                <w:szCs w:val="18"/>
                <w:color w:val="auto"/>
              </w:rPr>
            </w:pPr>
          </w:p>
        </w:tc>
        <w:tc>
          <w:tcPr>
            <w:tcW w:w="6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(2,494</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2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Net Cash Used in Financing Activities</w:t>
            </w:r>
          </w:p>
        </w:tc>
        <w:tc>
          <w:tcPr>
            <w:tcW w:w="400" w:type="dxa"/>
            <w:vAlign w:val="bottom"/>
          </w:tcPr>
          <w:p>
            <w:pPr>
              <w:spacing w:after="0"/>
              <w:rPr>
                <w:sz w:val="15"/>
                <w:szCs w:val="15"/>
                <w:color w:val="auto"/>
              </w:rPr>
            </w:pPr>
          </w:p>
        </w:tc>
        <w:tc>
          <w:tcPr>
            <w:tcW w:w="13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(317,676</w:t>
            </w:r>
          </w:p>
        </w:tc>
        <w:tc>
          <w:tcPr>
            <w:tcW w:w="1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98"/>
              </w:rPr>
              <w:t>(323,978</w:t>
            </w:r>
          </w:p>
        </w:tc>
        <w:tc>
          <w:tcPr>
            <w:tcW w:w="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7"/>
        </w:trPr>
        <w:tc>
          <w:tcPr>
            <w:tcW w:w="7280" w:type="dxa"/>
            <w:vAlign w:val="bottom"/>
            <w:tcBorders>
              <w:bottom w:val="single" w:sz="8" w:color="A6A6A6"/>
            </w:tcBorders>
          </w:tcPr>
          <w:p>
            <w:pPr>
              <w:spacing w:after="0"/>
              <w:rPr>
                <w:sz w:val="2"/>
                <w:szCs w:val="2"/>
                <w:color w:val="auto"/>
              </w:rPr>
            </w:pPr>
          </w:p>
        </w:tc>
        <w:tc>
          <w:tcPr>
            <w:tcW w:w="400" w:type="dxa"/>
            <w:vAlign w:val="bottom"/>
            <w:tcBorders>
              <w:bottom w:val="single" w:sz="8" w:color="004483"/>
            </w:tcBorders>
            <w:shd w:val="clear" w:color="auto" w:fill="004483"/>
          </w:tcPr>
          <w:p>
            <w:pPr>
              <w:spacing w:after="0"/>
              <w:rPr>
                <w:sz w:val="2"/>
                <w:szCs w:val="2"/>
                <w:color w:val="auto"/>
              </w:rPr>
            </w:pPr>
          </w:p>
        </w:tc>
        <w:tc>
          <w:tcPr>
            <w:tcW w:w="1380" w:type="dxa"/>
            <w:vAlign w:val="bottom"/>
            <w:tcBorders>
              <w:bottom w:val="single" w:sz="8" w:color="004483"/>
            </w:tcBorders>
            <w:shd w:val="clear" w:color="auto" w:fill="004483"/>
          </w:tcPr>
          <w:p>
            <w:pPr>
              <w:spacing w:after="0"/>
              <w:rPr>
                <w:sz w:val="2"/>
                <w:szCs w:val="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6A6A6"/>
            </w:tcBorders>
          </w:tcPr>
          <w:p>
            <w:pPr>
              <w:spacing w:after="0"/>
              <w:rPr>
                <w:sz w:val="2"/>
                <w:szCs w:val="2"/>
                <w:color w:val="auto"/>
              </w:rPr>
            </w:pPr>
          </w:p>
        </w:tc>
        <w:tc>
          <w:tcPr>
            <w:tcW w:w="1120" w:type="dxa"/>
            <w:vAlign w:val="bottom"/>
            <w:tcBorders>
              <w:bottom w:val="single" w:sz="8" w:color="004483"/>
            </w:tcBorders>
            <w:shd w:val="clear" w:color="auto" w:fill="004483"/>
          </w:tcPr>
          <w:p>
            <w:pPr>
              <w:spacing w:after="0"/>
              <w:rPr>
                <w:sz w:val="2"/>
                <w:szCs w:val="2"/>
                <w:color w:val="auto"/>
              </w:rPr>
            </w:pPr>
          </w:p>
        </w:tc>
        <w:tc>
          <w:tcPr>
            <w:tcW w:w="6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2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Net Increase (Decrease) in Cash and Cash Equivalents</w:t>
            </w:r>
          </w:p>
        </w:tc>
        <w:tc>
          <w:tcPr>
            <w:tcW w:w="400" w:type="dxa"/>
            <w:vAlign w:val="bottom"/>
            <w:tcBorders>
              <w:bottom w:val="single" w:sz="8" w:color="004483"/>
            </w:tcBorders>
          </w:tcPr>
          <w:p>
            <w:pPr>
              <w:jc w:val="right"/>
              <w:ind w:right="219"/>
              <w:spacing w:after="0" w:line="183" w:lineRule="exact"/>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(3,752</w:t>
            </w:r>
          </w:p>
        </w:tc>
        <w:tc>
          <w:tcPr>
            <w:tcW w:w="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bottom w:val="single" w:sz="8" w:color="004483"/>
            </w:tcBorders>
          </w:tcPr>
          <w:p>
            <w:pPr>
              <w:jc w:val="right"/>
              <w:ind w:right="919"/>
              <w:spacing w:after="0" w:line="183" w:lineRule="exact"/>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33,670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3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32" w:name="page33"/>
    <w:bookmarkEnd w:id="32"/>
    <w:p>
      <w:pPr>
        <w:jc w:val="both"/>
        <w:ind w:right="220"/>
        <w:spacing w:after="0" w:line="253" w:lineRule="auto"/>
        <w:rPr>
          <w:sz w:val="20"/>
          <w:szCs w:val="20"/>
          <w:color w:val="auto"/>
        </w:rPr>
      </w:pPr>
      <w:r>
        <w:rPr>
          <w:rFonts w:ascii="Arial" w:cs="Arial" w:eastAsia="Arial" w:hAnsi="Arial"/>
          <w:sz w:val="18"/>
          <w:szCs w:val="18"/>
          <w:color w:val="auto"/>
        </w:rPr>
        <w:t>Net Cash Provided by Operating Activities decreased by $14.7 million to $485.8 million during the nine months ended December 31, 2024. This decrease was attributable to lower cash flows from Net Earnings, adjusted for non-cash charges of $6.4 million, lower cash dividends from our Unconsolidated Joint Venture of $7.0 million, and lower cash flow from changes in working capital of $1.3 million.</w:t>
      </w:r>
    </w:p>
    <w:p>
      <w:pPr>
        <w:spacing w:after="0" w:line="61"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Working capital increased by $6.3 million to $394.6 million at December 31, 2024, compared with March 31, 2024. The increase was due to higher Inventories and Prepaid and Other Assets of $ 18.4 million and $4.9 million, respectively, and lower Accounts Payable and Accrued Liabilities of $15.8 million. This was partially offset by lower Cash and Accounts Receivable, net, of $ 3.7 million and $20.6 million, respectively. The August 2024 Acquisition increased working capital by approximately $0.3 million at December 31, 2024.</w:t>
      </w:r>
    </w:p>
    <w:p>
      <w:pPr>
        <w:spacing w:after="0" w:line="6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decrease in Accounts Receivable at December 31, 2024, was primarily related to increased collections during the three months ended December 31, 2024, compared with the three months ended March 31, 2024. As a percentage of quarterly sales generated for the respective quarter, Accounts Receivable was approximately 33% at December 31, 2024, and 43% at March 31, 2024. Management measures the change in Accounts Receivable by monitoring the days sales outstanding on a monthly basis to determine if any deterioration has occurred in the collectability of the Accounts Receivable. No significant deterioration in the collectability of our Accounts Receivable was identified at December 31, 2024.</w:t>
      </w:r>
    </w:p>
    <w:p>
      <w:pPr>
        <w:spacing w:after="0" w:line="7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Our Inventory balance at December 31, 2024, increased by approximately $18.4 million from our balance at March 31, 2024. Excluding the Kentucky Acquisition, our Inventory balance increased by $18.0 million. Within Inventory, Raw Materials and Materials-in-Progress, Aggregates, Gypsum Wallboard, Repair Parts, and Fuel and Coal increased by approximately $17.8 million, $ 4.2 million, $1.5 million, $1.1 million, and $3.9 million, respectively. This was partially offset by Finished Cement and Recycled Paperboard, which declined $5.6 million and $4.9 million, respectively. The decline in Finished Cement is consistent with our business cycle; we generally build up clinker inventory over the winter months to meet the demand for cement in the spring and summer. The largest individual balance in our Inventory is our Repair Parts. The size and complexity of our manufacturing plants, as well as the age of certain of our plants, makes it necessary to stock a high level of repair parts inventory. We believe all of these repair parts are necessary, and we perform semi-annual analyses to identify obsolete parts. We have less than one year’s sales of all product inventories, and our inventories have a low risk of obsolescence because our products are basic construction materials.</w:t>
      </w:r>
    </w:p>
    <w:p>
      <w:pPr>
        <w:spacing w:after="0" w:line="72"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Net Cash Used in Investing Activities during the nine months ended December 31, 2024, was approximately $171.9 million, compared with $142.9 million during the same period in fiscal 2024. The $29.0 million increase was primarily related to higher capital expenditures, most of which were related to the expansion of our Mountain Cement facility. This was partially offset by the lower purchase price for the Kentucky Acquisition in fiscal 2025, compared with the acquisition completed in fiscal 2024.</w:t>
      </w:r>
    </w:p>
    <w:p>
      <w:pPr>
        <w:spacing w:after="0" w:line="66"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Net Cash Used in Financing Activities was approximately $317.7 million during the nine months ended December 31, 2024, compared with $324.0 million during the nine months ended December 31, 2023. The $6.3 million decrease was primarily related to lower Purchase and Retirement of Common Stock and Dividends Paid to Stockholders of $47.6 million and $1.3 million, respectively. This was partially offset by higher net Repayments of Borrowings Under Revolving Credit Facility and Excise Tax on Purchase and Retirement of Common Stock of $35.0 million and $3.3 million, respectively, as well as lower Proceeds from Stock Option Exercises of $5.3 million.</w:t>
      </w:r>
    </w:p>
    <w:p>
      <w:pPr>
        <w:spacing w:after="0" w:line="68"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Our debt-to -capitalization ratio and net-debt-to-capitalization ratio were 40.3% and 39.5%, respectively, at December 31, 2024, compared with 45.7% and 44.9%, respectively, at March 31, 2024.</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Debt Financing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Company’s outstanding debt facilities at December 31, 2024: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Borders>
              <w:bottom w:val="single" w:sz="8" w:color="004483"/>
            </w:tcBorders>
          </w:tcPr>
          <w:p>
            <w:pPr>
              <w:spacing w:after="0"/>
              <w:rPr>
                <w:sz w:val="15"/>
                <w:szCs w:val="15"/>
                <w:color w:val="auto"/>
              </w:rPr>
            </w:pPr>
          </w:p>
        </w:tc>
        <w:tc>
          <w:tcPr>
            <w:tcW w:w="47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Maturity</w:t>
            </w:r>
          </w:p>
        </w:tc>
      </w:tr>
      <w:tr>
        <w:trPr>
          <w:trHeight w:val="189"/>
        </w:trPr>
        <w:tc>
          <w:tcPr>
            <w:tcW w:w="6460" w:type="dxa"/>
            <w:vAlign w:val="bottom"/>
            <w:tcBorders>
              <w:bottom w:val="single" w:sz="8" w:color="A3A3A3"/>
            </w:tcBorders>
          </w:tcPr>
          <w:p>
            <w:pPr>
              <w:ind w:left="60"/>
              <w:spacing w:after="0"/>
              <w:rPr>
                <w:sz w:val="20"/>
                <w:szCs w:val="20"/>
                <w:color w:val="auto"/>
              </w:rPr>
            </w:pPr>
            <w:r>
              <w:rPr>
                <w:rFonts w:ascii="Arial" w:cs="Arial" w:eastAsia="Arial" w:hAnsi="Arial"/>
                <w:sz w:val="16"/>
                <w:szCs w:val="16"/>
                <w:color w:val="004483"/>
              </w:rPr>
              <w:t>Revolving Credit Facility</w:t>
            </w:r>
          </w:p>
        </w:tc>
        <w:tc>
          <w:tcPr>
            <w:tcW w:w="478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auto"/>
              </w:rPr>
              <w:t>May 2027</w:t>
            </w:r>
          </w:p>
        </w:tc>
      </w:tr>
      <w:tr>
        <w:trPr>
          <w:trHeight w:val="183"/>
        </w:trPr>
        <w:tc>
          <w:tcPr>
            <w:tcW w:w="6460" w:type="dxa"/>
            <w:vAlign w:val="bottom"/>
            <w:tcBorders>
              <w:bottom w:val="single" w:sz="8" w:color="A6A6A6"/>
            </w:tcBorders>
          </w:tcPr>
          <w:p>
            <w:pPr>
              <w:ind w:left="60"/>
              <w:spacing w:after="0" w:line="183" w:lineRule="exact"/>
              <w:rPr>
                <w:sz w:val="20"/>
                <w:szCs w:val="20"/>
                <w:color w:val="auto"/>
              </w:rPr>
            </w:pPr>
            <w:r>
              <w:rPr>
                <w:rFonts w:ascii="Arial" w:cs="Arial" w:eastAsia="Arial" w:hAnsi="Arial"/>
                <w:sz w:val="16"/>
                <w:szCs w:val="16"/>
                <w:color w:val="004483"/>
              </w:rPr>
              <w:t>Term Loan</w:t>
            </w:r>
          </w:p>
        </w:tc>
        <w:tc>
          <w:tcPr>
            <w:tcW w:w="4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May 2027</w:t>
            </w:r>
          </w:p>
        </w:tc>
      </w:tr>
      <w:tr>
        <w:trPr>
          <w:trHeight w:val="183"/>
        </w:trPr>
        <w:tc>
          <w:tcPr>
            <w:tcW w:w="6460" w:type="dxa"/>
            <w:vAlign w:val="bottom"/>
            <w:tcBorders>
              <w:bottom w:val="single" w:sz="8" w:color="A6A6A6"/>
            </w:tcBorders>
          </w:tcPr>
          <w:p>
            <w:pPr>
              <w:ind w:left="60"/>
              <w:spacing w:after="0" w:line="183" w:lineRule="exact"/>
              <w:rPr>
                <w:sz w:val="20"/>
                <w:szCs w:val="20"/>
                <w:color w:val="auto"/>
              </w:rPr>
            </w:pPr>
            <w:r>
              <w:rPr>
                <w:rFonts w:ascii="Arial" w:cs="Arial" w:eastAsia="Arial" w:hAnsi="Arial"/>
                <w:sz w:val="16"/>
                <w:szCs w:val="16"/>
                <w:color w:val="004483"/>
              </w:rPr>
              <w:t>2.500% Senior Unsecured Notes</w:t>
            </w:r>
          </w:p>
        </w:tc>
        <w:tc>
          <w:tcPr>
            <w:tcW w:w="4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July 2031</w:t>
            </w:r>
          </w:p>
        </w:tc>
      </w:tr>
    </w:tbl>
    <w:p>
      <w:pPr>
        <w:spacing w:after="0" w:line="17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See Note (M) to the Unaudited Consolidated Financial Statements for further details on the Company’s debt facilities, including interest rate, and financial and other covenants and restrictions.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revolving borrowing capacity of our Revolving Credit Facility is $750.0 million (any revolving loans borrowed under the Revolving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Facility, as applicable, the Revolving Loans). The Revolving Credit Facility also includes a swingline loan sublimit of $25.0 million, and a</w:t>
      </w:r>
    </w:p>
    <w:p>
      <w:pPr>
        <w:spacing w:after="0" w:line="234" w:lineRule="auto"/>
        <w:rPr>
          <w:sz w:val="20"/>
          <w:szCs w:val="20"/>
          <w:color w:val="auto"/>
        </w:rPr>
      </w:pPr>
      <w:r>
        <w:rPr>
          <w:rFonts w:ascii="Arial" w:cs="Arial" w:eastAsia="Arial" w:hAnsi="Arial"/>
          <w:sz w:val="18"/>
          <w:szCs w:val="18"/>
          <w:color w:val="auto"/>
        </w:rPr>
        <w:t>$40.0 million letter of credit facility. At December 31, 2024, we had $85.0 million outstanding of Revolving Loans under the Revolving Credit</w:t>
      </w:r>
    </w:p>
    <w:p>
      <w:pPr>
        <w:spacing w:after="0" w:line="235" w:lineRule="auto"/>
        <w:rPr>
          <w:sz w:val="20"/>
          <w:szCs w:val="20"/>
          <w:color w:val="auto"/>
        </w:rPr>
      </w:pPr>
      <w:r>
        <w:rPr>
          <w:rFonts w:ascii="Arial" w:cs="Arial" w:eastAsia="Arial" w:hAnsi="Arial"/>
          <w:sz w:val="18"/>
          <w:szCs w:val="18"/>
          <w:color w:val="auto"/>
        </w:rPr>
        <w:t>Facility and $10.0 million of outstanding letters of credit. Subsequent to December 31, 2024, we borrowed approximately $152.5 million to</w:t>
      </w:r>
    </w:p>
    <w:p>
      <w:pPr>
        <w:spacing w:after="0" w:line="235" w:lineRule="auto"/>
        <w:rPr>
          <w:sz w:val="20"/>
          <w:szCs w:val="20"/>
          <w:color w:val="auto"/>
        </w:rPr>
      </w:pPr>
      <w:r>
        <w:rPr>
          <w:rFonts w:ascii="Arial" w:cs="Arial" w:eastAsia="Arial" w:hAnsi="Arial"/>
          <w:sz w:val="18"/>
          <w:szCs w:val="18"/>
          <w:color w:val="auto"/>
        </w:rPr>
        <w:t>fund the New Acquisition. After this borrowing we have $502.5 million of available borrowings under the Revolving Credit Facility, net of the</w:t>
      </w:r>
    </w:p>
    <w:p>
      <w:pPr>
        <w:spacing w:after="0" w:line="235" w:lineRule="auto"/>
        <w:rPr>
          <w:sz w:val="20"/>
          <w:szCs w:val="20"/>
          <w:color w:val="auto"/>
        </w:rPr>
      </w:pPr>
      <w:r>
        <w:rPr>
          <w:rFonts w:ascii="Arial" w:cs="Arial" w:eastAsia="Arial" w:hAnsi="Arial"/>
          <w:sz w:val="18"/>
          <w:szCs w:val="18"/>
          <w:color w:val="auto"/>
        </w:rPr>
        <w:t>outstanding letters of credit. We are contingently liable for performance under $30.0 million in performance bonds relating primarily to our</w:t>
      </w:r>
    </w:p>
    <w:p>
      <w:pPr>
        <w:spacing w:after="0"/>
        <w:rPr>
          <w:sz w:val="20"/>
          <w:szCs w:val="20"/>
          <w:color w:val="auto"/>
        </w:rPr>
      </w:pPr>
      <w:r>
        <w:rPr>
          <w:rFonts w:ascii="Arial" w:cs="Arial" w:eastAsia="Arial" w:hAnsi="Arial"/>
          <w:sz w:val="18"/>
          <w:szCs w:val="18"/>
          <w:color w:val="auto"/>
        </w:rPr>
        <w:t>mining operations. We do not have any off-balance sheet debt, or any outstanding debt guarantees.</w:t>
      </w:r>
    </w:p>
    <w:p>
      <w:pPr>
        <w:spacing w:after="0" w:line="8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Other than the Revolving Credit Facility, we have no additional source of committed external financing in place. Should the Revolving Credit Facility be terminated, no assurance can be given as to our ability to secure a new source of financing. Consequently, if any balance were outstanding on the Revolving Credit Facility at the time of termination, and an alternative source of financing could not be secured, it would have a material adverse impact on our business.</w:t>
      </w:r>
    </w:p>
    <w:p>
      <w:pPr>
        <w:spacing w:after="0" w:line="6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believe that our cash flow from operations and available borrowings under our Revolving Credit Facility, as well as cash on hand, should be sufficient to meet our currently anticipated operating needs, capital expenditures, and dividend and debt service requirements for at least the next 12 months. However, our future liquidity and capital requirements may vary depending on a number of factors, including market conditions in the construction industry, our ability to maintain compliance with covenants in our Revolving Credit Facility, the level of competition, and general and economic factors beyond our control, such as supply chain constraints and inflation. These and other developments could reduce our cash flow or require that we seek additional sources of funding. We cannot predict what effect these factors will have on our future liquidity. See Market Conditions and Outlook section above for further discussion of the possible effects on our business.</w:t>
      </w:r>
    </w:p>
    <w:p>
      <w:pPr>
        <w:spacing w:after="0" w:line="72" w:lineRule="exact"/>
        <w:rPr>
          <w:sz w:val="20"/>
          <w:szCs w:val="20"/>
          <w:color w:val="auto"/>
        </w:rPr>
      </w:pPr>
    </w:p>
    <w:p>
      <w:pPr>
        <w:ind w:right="400"/>
        <w:spacing w:after="0" w:line="244" w:lineRule="auto"/>
        <w:rPr>
          <w:sz w:val="20"/>
          <w:szCs w:val="20"/>
          <w:color w:val="auto"/>
        </w:rPr>
      </w:pPr>
      <w:r>
        <w:rPr>
          <w:rFonts w:ascii="Arial" w:cs="Arial" w:eastAsia="Arial" w:hAnsi="Arial"/>
          <w:sz w:val="18"/>
          <w:szCs w:val="18"/>
          <w:color w:val="auto"/>
        </w:rPr>
        <w:t>As market conditions warrant, the Company may from time to time seek to purchase or repay its outstanding debt securities or loans, including the 2.500% Senior Unsecured Notes, Term Loan, and borrowings under the Revolving Credit Facility, in privately negotiated or open market transactions, by tender offer or otherwise. Subject to any applicable limitations contained in the agreements governing our indebtedness, any purchases made by us may be funded by the use of cash on our balance sheet or the incurrence of new debt. The amounts involved in any such purchase transactions, individually or in aggregate, may be material.</w:t>
      </w:r>
    </w:p>
    <w:p>
      <w:pPr>
        <w:spacing w:after="0" w:line="6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We have approximately $40.0 million of lease liabilities at December 31, 2024, that have an average remaining life of approximately 11.2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Dividends paid were $25.4 million and $26.7 million for the nine months ended December 31, 2024 and 2023, respectively. Each quarterly dividend payment is subject to review and approval by our Board of Directors, who will continue to evaluate our dividend payment amount on a quarterly basis.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December 31, 2024, our share repurchases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Total Number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Maximum Number</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 Purchased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of Shares that May</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Number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Average Price Paid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as Part of Publicly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Yet be Purchased</w:t>
            </w:r>
          </w:p>
        </w:tc>
        <w:tc>
          <w:tcPr>
            <w:tcW w:w="0" w:type="dxa"/>
            <w:vAlign w:val="bottom"/>
          </w:tcPr>
          <w:p>
            <w:pPr>
              <w:spacing w:after="0"/>
              <w:rPr>
                <w:sz w:val="1"/>
                <w:szCs w:val="1"/>
                <w:color w:val="auto"/>
              </w:rPr>
            </w:pPr>
          </w:p>
        </w:tc>
      </w:tr>
      <w:tr>
        <w:trPr>
          <w:trHeight w:val="135"/>
        </w:trPr>
        <w:tc>
          <w:tcPr>
            <w:tcW w:w="54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Announced Plans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Under the Plans</w:t>
            </w:r>
          </w:p>
        </w:tc>
        <w:tc>
          <w:tcPr>
            <w:tcW w:w="0" w:type="dxa"/>
            <w:vAlign w:val="bottom"/>
          </w:tcPr>
          <w:p>
            <w:pPr>
              <w:spacing w:after="0"/>
              <w:rPr>
                <w:sz w:val="1"/>
                <w:szCs w:val="1"/>
                <w:color w:val="auto"/>
              </w:rPr>
            </w:pPr>
          </w:p>
        </w:tc>
      </w:tr>
      <w:tr>
        <w:trPr>
          <w:trHeight w:val="153"/>
        </w:trPr>
        <w:tc>
          <w:tcPr>
            <w:tcW w:w="5440" w:type="dxa"/>
            <w:vAlign w:val="bottom"/>
            <w:tcBorders>
              <w:bottom w:val="single" w:sz="8" w:color="004483"/>
            </w:tcBorders>
            <w:vMerge w:val="continue"/>
          </w:tcPr>
          <w:p>
            <w:pPr>
              <w:spacing w:after="0"/>
              <w:rPr>
                <w:sz w:val="13"/>
                <w:szCs w:val="13"/>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Shares Purchased</w:t>
            </w:r>
          </w:p>
        </w:tc>
        <w:tc>
          <w:tcPr>
            <w:tcW w:w="120" w:type="dxa"/>
            <w:vAlign w:val="bottom"/>
          </w:tcPr>
          <w:p>
            <w:pPr>
              <w:spacing w:after="0"/>
              <w:rPr>
                <w:sz w:val="13"/>
                <w:szCs w:val="13"/>
                <w:color w:val="auto"/>
              </w:rPr>
            </w:pPr>
          </w:p>
        </w:tc>
        <w:tc>
          <w:tcPr>
            <w:tcW w:w="140" w:type="dxa"/>
            <w:vAlign w:val="bottom"/>
            <w:tcBorders>
              <w:bottom w:val="single" w:sz="8" w:color="004483"/>
            </w:tcBorders>
          </w:tcPr>
          <w:p>
            <w:pPr>
              <w:spacing w:after="0"/>
              <w:rPr>
                <w:sz w:val="13"/>
                <w:szCs w:val="13"/>
                <w:color w:val="auto"/>
              </w:rPr>
            </w:pPr>
          </w:p>
        </w:tc>
        <w:tc>
          <w:tcPr>
            <w:tcW w:w="360" w:type="dxa"/>
            <w:vAlign w:val="bottom"/>
            <w:tcBorders>
              <w:bottom w:val="single" w:sz="8" w:color="004483"/>
            </w:tcBorders>
          </w:tcPr>
          <w:p>
            <w:pPr>
              <w:spacing w:after="0"/>
              <w:rPr>
                <w:sz w:val="13"/>
                <w:szCs w:val="13"/>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Per Share</w:t>
            </w:r>
          </w:p>
        </w:tc>
        <w:tc>
          <w:tcPr>
            <w:tcW w:w="120" w:type="dxa"/>
            <w:vAlign w:val="bottom"/>
          </w:tcPr>
          <w:p>
            <w:pPr>
              <w:spacing w:after="0"/>
              <w:rPr>
                <w:sz w:val="13"/>
                <w:szCs w:val="13"/>
                <w:color w:val="auto"/>
              </w:rPr>
            </w:pPr>
          </w:p>
        </w:tc>
        <w:tc>
          <w:tcPr>
            <w:tcW w:w="100" w:type="dxa"/>
            <w:vAlign w:val="bottom"/>
            <w:tcBorders>
              <w:bottom w:val="single" w:sz="8" w:color="004483"/>
            </w:tcBorders>
          </w:tcPr>
          <w:p>
            <w:pPr>
              <w:spacing w:after="0"/>
              <w:rPr>
                <w:sz w:val="13"/>
                <w:szCs w:val="13"/>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100" w:type="dxa"/>
            <w:vAlign w:val="bottom"/>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0" w:type="dxa"/>
            <w:vAlign w:val="bottom"/>
          </w:tcPr>
          <w:p>
            <w:pPr>
              <w:spacing w:after="0"/>
              <w:rPr>
                <w:sz w:val="1"/>
                <w:szCs w:val="1"/>
                <w:color w:val="auto"/>
              </w:rPr>
            </w:pPr>
          </w:p>
        </w:tc>
      </w:tr>
      <w:tr>
        <w:trPr>
          <w:trHeight w:val="183"/>
        </w:trPr>
        <w:tc>
          <w:tcPr>
            <w:tcW w:w="54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April 1 through April 30, 2024</w:t>
            </w:r>
          </w:p>
        </w:tc>
        <w:tc>
          <w:tcPr>
            <w:tcW w:w="12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129,067</w:t>
            </w:r>
          </w:p>
        </w:tc>
        <w:tc>
          <w:tcPr>
            <w:tcW w:w="120" w:type="dxa"/>
            <w:vAlign w:val="bottom"/>
          </w:tcPr>
          <w:p>
            <w:pPr>
              <w:spacing w:after="0"/>
              <w:rPr>
                <w:sz w:val="15"/>
                <w:szCs w:val="15"/>
                <w:color w:val="auto"/>
              </w:rPr>
            </w:pPr>
          </w:p>
        </w:tc>
        <w:tc>
          <w:tcPr>
            <w:tcW w:w="500" w:type="dxa"/>
            <w:vAlign w:val="bottom"/>
            <w:tcBorders>
              <w:bottom w:val="single" w:sz="8" w:color="A6A6A6"/>
            </w:tcBorders>
            <w:gridSpan w:val="2"/>
          </w:tcPr>
          <w:p>
            <w:pPr>
              <w:jc w:val="right"/>
              <w:ind w:right="162"/>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256.53</w:t>
            </w:r>
          </w:p>
        </w:tc>
        <w:tc>
          <w:tcPr>
            <w:tcW w:w="120" w:type="dxa"/>
            <w:vAlign w:val="bottom"/>
          </w:tcPr>
          <w:p>
            <w:pPr>
              <w:spacing w:after="0"/>
              <w:rPr>
                <w:sz w:val="15"/>
                <w:szCs w:val="15"/>
                <w:color w:val="auto"/>
              </w:rPr>
            </w:pPr>
          </w:p>
        </w:tc>
        <w:tc>
          <w:tcPr>
            <w:tcW w:w="134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129,067</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60" w:type="dxa"/>
            <w:vAlign w:val="bottom"/>
            <w:tcBorders>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May 1 through May 31, 2024</w:t>
            </w:r>
          </w:p>
        </w:tc>
        <w:tc>
          <w:tcPr>
            <w:tcW w:w="12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118,618</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36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253.81</w:t>
            </w:r>
          </w:p>
        </w:tc>
        <w:tc>
          <w:tcPr>
            <w:tcW w:w="120" w:type="dxa"/>
            <w:vAlign w:val="bottom"/>
          </w:tcPr>
          <w:p>
            <w:pPr>
              <w:spacing w:after="0"/>
              <w:rPr>
                <w:sz w:val="15"/>
                <w:szCs w:val="15"/>
                <w:color w:val="auto"/>
              </w:rPr>
            </w:pPr>
          </w:p>
        </w:tc>
        <w:tc>
          <w:tcPr>
            <w:tcW w:w="134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118,618</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60" w:type="dxa"/>
            <w:vAlign w:val="bottom"/>
            <w:tcBorders>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20"/>
              <w:spacing w:after="0" w:line="183" w:lineRule="exact"/>
              <w:rPr>
                <w:sz w:val="20"/>
                <w:szCs w:val="20"/>
                <w:color w:val="auto"/>
              </w:rPr>
            </w:pPr>
            <w:r>
              <w:rPr>
                <w:rFonts w:ascii="Arial" w:cs="Arial" w:eastAsia="Arial" w:hAnsi="Arial"/>
                <w:sz w:val="16"/>
                <w:szCs w:val="16"/>
                <w:color w:val="004483"/>
              </w:rPr>
              <w:t>June 1 through June 30, 2024</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100,048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222.63</w:t>
            </w:r>
          </w:p>
        </w:tc>
        <w:tc>
          <w:tcPr>
            <w:tcW w:w="120" w:type="dxa"/>
            <w:vAlign w:val="bottom"/>
          </w:tcPr>
          <w:p>
            <w:pPr>
              <w:spacing w:after="0"/>
              <w:rPr>
                <w:sz w:val="15"/>
                <w:szCs w:val="15"/>
                <w:color w:val="auto"/>
              </w:rPr>
            </w:pPr>
          </w:p>
        </w:tc>
        <w:tc>
          <w:tcPr>
            <w:tcW w:w="13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100,048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Borders>
              <w:top w:val="single" w:sz="8" w:color="A6A6A6"/>
              <w:bottom w:val="single" w:sz="8" w:color="A6A6A6"/>
            </w:tcBorders>
          </w:tcPr>
          <w:p>
            <w:pPr>
              <w:ind w:left="200"/>
              <w:spacing w:after="0" w:line="183" w:lineRule="exact"/>
              <w:rPr>
                <w:sz w:val="20"/>
                <w:szCs w:val="20"/>
                <w:color w:val="auto"/>
              </w:rPr>
            </w:pPr>
            <w:r>
              <w:rPr>
                <w:rFonts w:ascii="Arial" w:cs="Arial" w:eastAsia="Arial" w:hAnsi="Arial"/>
                <w:sz w:val="16"/>
                <w:szCs w:val="16"/>
                <w:b w:val="1"/>
                <w:bCs w:val="1"/>
                <w:color w:val="auto"/>
              </w:rPr>
              <w:t>Quarter 1 Totals</w:t>
            </w:r>
          </w:p>
        </w:tc>
        <w:tc>
          <w:tcPr>
            <w:tcW w:w="128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347,733</w:t>
            </w:r>
          </w:p>
        </w:tc>
        <w:tc>
          <w:tcPr>
            <w:tcW w:w="120" w:type="dxa"/>
            <w:vAlign w:val="bottom"/>
          </w:tcPr>
          <w:p>
            <w:pPr>
              <w:spacing w:after="0"/>
              <w:rPr>
                <w:sz w:val="15"/>
                <w:szCs w:val="15"/>
                <w:color w:val="auto"/>
              </w:rPr>
            </w:pPr>
          </w:p>
        </w:tc>
        <w:tc>
          <w:tcPr>
            <w:tcW w:w="140" w:type="dxa"/>
            <w:vAlign w:val="bottom"/>
            <w:tcBorders>
              <w:top w:val="single" w:sz="8" w:color="A6A6A6"/>
            </w:tcBorders>
          </w:tcPr>
          <w:p>
            <w:pPr>
              <w:spacing w:after="0"/>
              <w:rPr>
                <w:sz w:val="15"/>
                <w:szCs w:val="15"/>
                <w:color w:val="auto"/>
              </w:rPr>
            </w:pPr>
          </w:p>
        </w:tc>
        <w:tc>
          <w:tcPr>
            <w:tcW w:w="360" w:type="dxa"/>
            <w:vAlign w:val="bottom"/>
            <w:tcBorders>
              <w:top w:val="single" w:sz="8" w:color="004483"/>
              <w:bottom w:val="single" w:sz="8" w:color="004483"/>
            </w:tcBorders>
          </w:tcPr>
          <w:p>
            <w:pPr>
              <w:jc w:val="right"/>
              <w:ind w:right="162"/>
              <w:spacing w:after="0" w:line="183" w:lineRule="exact"/>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245.85</w:t>
            </w:r>
          </w:p>
        </w:tc>
        <w:tc>
          <w:tcPr>
            <w:tcW w:w="120" w:type="dxa"/>
            <w:vAlign w:val="bottom"/>
          </w:tcPr>
          <w:p>
            <w:pPr>
              <w:spacing w:after="0"/>
              <w:rPr>
                <w:sz w:val="15"/>
                <w:szCs w:val="15"/>
                <w:color w:val="auto"/>
              </w:rPr>
            </w:pPr>
          </w:p>
        </w:tc>
        <w:tc>
          <w:tcPr>
            <w:tcW w:w="100" w:type="dxa"/>
            <w:vAlign w:val="bottom"/>
            <w:tcBorders>
              <w:top w:val="single" w:sz="8" w:color="A6A6A6"/>
            </w:tcBorders>
          </w:tcPr>
          <w:p>
            <w:pPr>
              <w:spacing w:after="0"/>
              <w:rPr>
                <w:sz w:val="15"/>
                <w:szCs w:val="15"/>
                <w:color w:val="auto"/>
              </w:rPr>
            </w:pPr>
          </w:p>
        </w:tc>
        <w:tc>
          <w:tcPr>
            <w:tcW w:w="124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347,733</w:t>
            </w:r>
          </w:p>
        </w:tc>
        <w:tc>
          <w:tcPr>
            <w:tcW w:w="10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1260" w:type="dxa"/>
            <w:vAlign w:val="bottom"/>
            <w:tcBorders>
              <w:top w:val="single" w:sz="8" w:color="A6A6A6"/>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20"/>
              <w:spacing w:after="0" w:line="183" w:lineRule="exact"/>
              <w:rPr>
                <w:sz w:val="20"/>
                <w:szCs w:val="20"/>
                <w:color w:val="auto"/>
              </w:rPr>
            </w:pPr>
            <w:r>
              <w:rPr>
                <w:rFonts w:ascii="Arial" w:cs="Arial" w:eastAsia="Arial" w:hAnsi="Arial"/>
                <w:sz w:val="16"/>
                <w:szCs w:val="16"/>
                <w:color w:val="004483"/>
              </w:rPr>
              <w:t>July 1 through July 31, 2024</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143,000</w:t>
            </w:r>
          </w:p>
        </w:tc>
        <w:tc>
          <w:tcPr>
            <w:tcW w:w="260" w:type="dxa"/>
            <w:vAlign w:val="bottom"/>
            <w:gridSpan w:val="2"/>
          </w:tcPr>
          <w:p>
            <w:pPr>
              <w:spacing w:after="0"/>
              <w:rPr>
                <w:sz w:val="15"/>
                <w:szCs w:val="15"/>
                <w:color w:val="auto"/>
              </w:rPr>
            </w:pPr>
          </w:p>
        </w:tc>
        <w:tc>
          <w:tcPr>
            <w:tcW w:w="360" w:type="dxa"/>
            <w:vAlign w:val="bottom"/>
          </w:tcPr>
          <w:p>
            <w:pPr>
              <w:jc w:val="right"/>
              <w:ind w:right="162"/>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225.75</w:t>
            </w:r>
          </w:p>
        </w:tc>
        <w:tc>
          <w:tcPr>
            <w:tcW w:w="220" w:type="dxa"/>
            <w:vAlign w:val="bottom"/>
            <w:gridSpan w:val="2"/>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143,000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August 1 through August 31, 2024</w:t>
            </w:r>
          </w:p>
        </w:tc>
        <w:tc>
          <w:tcPr>
            <w:tcW w:w="12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70,000</w:t>
            </w:r>
          </w:p>
        </w:tc>
        <w:tc>
          <w:tcPr>
            <w:tcW w:w="12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360" w:type="dxa"/>
            <w:vAlign w:val="bottom"/>
            <w:tcBorders>
              <w:top w:val="single" w:sz="8" w:color="A6A6A6"/>
              <w:bottom w:val="single" w:sz="8" w:color="A6A6A6"/>
            </w:tcBorders>
          </w:tcPr>
          <w:p>
            <w:pPr>
              <w:spacing w:after="0"/>
              <w:rPr>
                <w:sz w:val="15"/>
                <w:szCs w:val="15"/>
                <w:color w:val="auto"/>
              </w:rPr>
            </w:pPr>
          </w:p>
        </w:tc>
        <w:tc>
          <w:tcPr>
            <w:tcW w:w="8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252.44</w:t>
            </w:r>
          </w:p>
        </w:tc>
        <w:tc>
          <w:tcPr>
            <w:tcW w:w="120" w:type="dxa"/>
            <w:vAlign w:val="bottom"/>
          </w:tcPr>
          <w:p>
            <w:pPr>
              <w:spacing w:after="0"/>
              <w:rPr>
                <w:sz w:val="15"/>
                <w:szCs w:val="15"/>
                <w:color w:val="auto"/>
              </w:rPr>
            </w:pPr>
          </w:p>
        </w:tc>
        <w:tc>
          <w:tcPr>
            <w:tcW w:w="1340" w:type="dxa"/>
            <w:vAlign w:val="bottom"/>
            <w:tcBorders>
              <w:top w:val="single" w:sz="8" w:color="A6A6A6"/>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70,000</w:t>
            </w:r>
          </w:p>
        </w:tc>
        <w:tc>
          <w:tcPr>
            <w:tcW w:w="10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1260" w:type="dxa"/>
            <w:vAlign w:val="bottom"/>
            <w:tcBorders>
              <w:top w:val="single" w:sz="8" w:color="A6A6A6"/>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20"/>
              <w:spacing w:after="0" w:line="183" w:lineRule="exact"/>
              <w:rPr>
                <w:sz w:val="20"/>
                <w:szCs w:val="20"/>
                <w:color w:val="auto"/>
              </w:rPr>
            </w:pPr>
            <w:r>
              <w:rPr>
                <w:rFonts w:ascii="Arial" w:cs="Arial" w:eastAsia="Arial" w:hAnsi="Arial"/>
                <w:sz w:val="16"/>
                <w:szCs w:val="16"/>
                <w:color w:val="004483"/>
              </w:rPr>
              <w:t>September 1 through September 30, 2024</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40,000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268.40</w:t>
            </w:r>
          </w:p>
        </w:tc>
        <w:tc>
          <w:tcPr>
            <w:tcW w:w="120" w:type="dxa"/>
            <w:vAlign w:val="bottom"/>
          </w:tcPr>
          <w:p>
            <w:pPr>
              <w:spacing w:after="0"/>
              <w:rPr>
                <w:sz w:val="15"/>
                <w:szCs w:val="15"/>
                <w:color w:val="auto"/>
              </w:rPr>
            </w:pPr>
          </w:p>
        </w:tc>
        <w:tc>
          <w:tcPr>
            <w:tcW w:w="13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40,000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Borders>
              <w:top w:val="single" w:sz="8" w:color="A6A6A6"/>
              <w:bottom w:val="single" w:sz="8" w:color="A3A3A3"/>
            </w:tcBorders>
          </w:tcPr>
          <w:p>
            <w:pPr>
              <w:ind w:left="200"/>
              <w:spacing w:after="0" w:line="183" w:lineRule="exact"/>
              <w:rPr>
                <w:sz w:val="20"/>
                <w:szCs w:val="20"/>
                <w:color w:val="auto"/>
              </w:rPr>
            </w:pPr>
            <w:r>
              <w:rPr>
                <w:rFonts w:ascii="Arial" w:cs="Arial" w:eastAsia="Arial" w:hAnsi="Arial"/>
                <w:sz w:val="16"/>
                <w:szCs w:val="16"/>
                <w:b w:val="1"/>
                <w:bCs w:val="1"/>
                <w:color w:val="auto"/>
              </w:rPr>
              <w:t>Quarter 2 Totals</w:t>
            </w:r>
          </w:p>
        </w:tc>
        <w:tc>
          <w:tcPr>
            <w:tcW w:w="128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253,000</w:t>
            </w:r>
          </w:p>
        </w:tc>
        <w:tc>
          <w:tcPr>
            <w:tcW w:w="120" w:type="dxa"/>
            <w:vAlign w:val="bottom"/>
          </w:tcPr>
          <w:p>
            <w:pPr>
              <w:spacing w:after="0"/>
              <w:rPr>
                <w:sz w:val="15"/>
                <w:szCs w:val="15"/>
                <w:color w:val="auto"/>
              </w:rPr>
            </w:pPr>
          </w:p>
        </w:tc>
        <w:tc>
          <w:tcPr>
            <w:tcW w:w="140" w:type="dxa"/>
            <w:vAlign w:val="bottom"/>
            <w:tcBorders>
              <w:top w:val="single" w:sz="8" w:color="A6A6A6"/>
              <w:bottom w:val="single" w:sz="8" w:color="A3A3A3"/>
            </w:tcBorders>
          </w:tcPr>
          <w:p>
            <w:pPr>
              <w:spacing w:after="0"/>
              <w:rPr>
                <w:sz w:val="15"/>
                <w:szCs w:val="15"/>
                <w:color w:val="auto"/>
              </w:rPr>
            </w:pPr>
          </w:p>
        </w:tc>
        <w:tc>
          <w:tcPr>
            <w:tcW w:w="360" w:type="dxa"/>
            <w:vAlign w:val="bottom"/>
            <w:tcBorders>
              <w:top w:val="single" w:sz="8" w:color="004483"/>
              <w:bottom w:val="single" w:sz="8" w:color="004483"/>
            </w:tcBorders>
          </w:tcPr>
          <w:p>
            <w:pPr>
              <w:jc w:val="right"/>
              <w:ind w:right="162"/>
              <w:spacing w:after="0" w:line="183" w:lineRule="exact"/>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239.88</w:t>
            </w:r>
          </w:p>
        </w:tc>
        <w:tc>
          <w:tcPr>
            <w:tcW w:w="120" w:type="dxa"/>
            <w:vAlign w:val="bottom"/>
          </w:tcPr>
          <w:p>
            <w:pPr>
              <w:spacing w:after="0"/>
              <w:rPr>
                <w:sz w:val="15"/>
                <w:szCs w:val="15"/>
                <w:color w:val="auto"/>
              </w:rPr>
            </w:pPr>
          </w:p>
        </w:tc>
        <w:tc>
          <w:tcPr>
            <w:tcW w:w="100" w:type="dxa"/>
            <w:vAlign w:val="bottom"/>
            <w:tcBorders>
              <w:top w:val="single" w:sz="8" w:color="A6A6A6"/>
              <w:bottom w:val="single" w:sz="8" w:color="A3A3A3"/>
            </w:tcBorders>
          </w:tcPr>
          <w:p>
            <w:pPr>
              <w:spacing w:after="0"/>
              <w:rPr>
                <w:sz w:val="15"/>
                <w:szCs w:val="15"/>
                <w:color w:val="auto"/>
              </w:rPr>
            </w:pPr>
          </w:p>
        </w:tc>
        <w:tc>
          <w:tcPr>
            <w:tcW w:w="124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253,000</w:t>
            </w:r>
          </w:p>
        </w:tc>
        <w:tc>
          <w:tcPr>
            <w:tcW w:w="100" w:type="dxa"/>
            <w:vAlign w:val="bottom"/>
          </w:tcPr>
          <w:p>
            <w:pPr>
              <w:spacing w:after="0"/>
              <w:rPr>
                <w:sz w:val="15"/>
                <w:szCs w:val="15"/>
                <w:color w:val="auto"/>
              </w:rPr>
            </w:pPr>
          </w:p>
        </w:tc>
        <w:tc>
          <w:tcPr>
            <w:tcW w:w="120" w:type="dxa"/>
            <w:vAlign w:val="bottom"/>
            <w:tcBorders>
              <w:top w:val="single" w:sz="8" w:color="A6A6A6"/>
              <w:bottom w:val="single" w:sz="8" w:color="A3A3A3"/>
            </w:tcBorders>
          </w:tcPr>
          <w:p>
            <w:pPr>
              <w:spacing w:after="0"/>
              <w:rPr>
                <w:sz w:val="15"/>
                <w:szCs w:val="15"/>
                <w:color w:val="auto"/>
              </w:rPr>
            </w:pPr>
          </w:p>
        </w:tc>
        <w:tc>
          <w:tcPr>
            <w:tcW w:w="1260" w:type="dxa"/>
            <w:vAlign w:val="bottom"/>
            <w:tcBorders>
              <w:top w:val="single" w:sz="8" w:color="A6A6A6"/>
              <w:bottom w:val="single" w:sz="8" w:color="A3A3A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Borders>
              <w:bottom w:val="single" w:sz="8" w:color="A3A3A3"/>
            </w:tcBorders>
          </w:tcPr>
          <w:p>
            <w:pPr>
              <w:ind w:left="20"/>
              <w:spacing w:after="0" w:line="183" w:lineRule="exact"/>
              <w:rPr>
                <w:sz w:val="20"/>
                <w:szCs w:val="20"/>
                <w:color w:val="auto"/>
              </w:rPr>
            </w:pPr>
            <w:r>
              <w:rPr>
                <w:rFonts w:ascii="Arial" w:cs="Arial" w:eastAsia="Arial" w:hAnsi="Arial"/>
                <w:sz w:val="16"/>
                <w:szCs w:val="16"/>
                <w:color w:val="004483"/>
              </w:rPr>
              <w:t>October 1 through October 31, 2024</w:t>
            </w:r>
          </w:p>
        </w:tc>
        <w:tc>
          <w:tcPr>
            <w:tcW w:w="128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11,567</w:t>
            </w:r>
          </w:p>
        </w:tc>
        <w:tc>
          <w:tcPr>
            <w:tcW w:w="120" w:type="dxa"/>
            <w:vAlign w:val="bottom"/>
          </w:tcPr>
          <w:p>
            <w:pPr>
              <w:spacing w:after="0"/>
              <w:rPr>
                <w:sz w:val="15"/>
                <w:szCs w:val="15"/>
                <w:color w:val="auto"/>
              </w:rPr>
            </w:pPr>
          </w:p>
        </w:tc>
        <w:tc>
          <w:tcPr>
            <w:tcW w:w="140" w:type="dxa"/>
            <w:vAlign w:val="bottom"/>
            <w:tcBorders>
              <w:bottom w:val="single" w:sz="8" w:color="A3A3A3"/>
            </w:tcBorders>
          </w:tcPr>
          <w:p>
            <w:pPr>
              <w:spacing w:after="0"/>
              <w:rPr>
                <w:sz w:val="15"/>
                <w:szCs w:val="15"/>
                <w:color w:val="auto"/>
              </w:rPr>
            </w:pPr>
          </w:p>
        </w:tc>
        <w:tc>
          <w:tcPr>
            <w:tcW w:w="360" w:type="dxa"/>
            <w:vAlign w:val="bottom"/>
            <w:tcBorders>
              <w:bottom w:val="single" w:sz="8" w:color="A3A3A3"/>
            </w:tcBorders>
          </w:tcPr>
          <w:p>
            <w:pPr>
              <w:jc w:val="right"/>
              <w:ind w:right="162"/>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286.18</w:t>
            </w:r>
          </w:p>
        </w:tc>
        <w:tc>
          <w:tcPr>
            <w:tcW w:w="120" w:type="dxa"/>
            <w:vAlign w:val="bottom"/>
          </w:tcPr>
          <w:p>
            <w:pPr>
              <w:spacing w:after="0"/>
              <w:rPr>
                <w:sz w:val="15"/>
                <w:szCs w:val="15"/>
                <w:color w:val="auto"/>
              </w:rPr>
            </w:pPr>
          </w:p>
        </w:tc>
        <w:tc>
          <w:tcPr>
            <w:tcW w:w="100" w:type="dxa"/>
            <w:vAlign w:val="bottom"/>
            <w:tcBorders>
              <w:bottom w:val="single" w:sz="8" w:color="A3A3A3"/>
            </w:tcBorders>
          </w:tcPr>
          <w:p>
            <w:pPr>
              <w:spacing w:after="0"/>
              <w:rPr>
                <w:sz w:val="15"/>
                <w:szCs w:val="15"/>
                <w:color w:val="auto"/>
              </w:rPr>
            </w:pPr>
          </w:p>
        </w:tc>
        <w:tc>
          <w:tcPr>
            <w:tcW w:w="124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11,567</w:t>
            </w:r>
          </w:p>
        </w:tc>
        <w:tc>
          <w:tcPr>
            <w:tcW w:w="100" w:type="dxa"/>
            <w:vAlign w:val="bottom"/>
          </w:tcPr>
          <w:p>
            <w:pPr>
              <w:spacing w:after="0"/>
              <w:rPr>
                <w:sz w:val="15"/>
                <w:szCs w:val="15"/>
                <w:color w:val="auto"/>
              </w:rPr>
            </w:pPr>
          </w:p>
        </w:tc>
        <w:tc>
          <w:tcPr>
            <w:tcW w:w="120" w:type="dxa"/>
            <w:vAlign w:val="bottom"/>
            <w:tcBorders>
              <w:bottom w:val="single" w:sz="8" w:color="A3A3A3"/>
            </w:tcBorders>
          </w:tcPr>
          <w:p>
            <w:pPr>
              <w:spacing w:after="0"/>
              <w:rPr>
                <w:sz w:val="15"/>
                <w:szCs w:val="15"/>
                <w:color w:val="auto"/>
              </w:rPr>
            </w:pPr>
          </w:p>
        </w:tc>
        <w:tc>
          <w:tcPr>
            <w:tcW w:w="1260" w:type="dxa"/>
            <w:vAlign w:val="bottom"/>
            <w:tcBorders>
              <w:bottom w:val="single" w:sz="8" w:color="A3A3A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Borders>
              <w:bottom w:val="single" w:sz="8" w:color="A3A3A3"/>
            </w:tcBorders>
          </w:tcPr>
          <w:p>
            <w:pPr>
              <w:ind w:left="20"/>
              <w:spacing w:after="0" w:line="183" w:lineRule="exact"/>
              <w:rPr>
                <w:sz w:val="20"/>
                <w:szCs w:val="20"/>
                <w:color w:val="auto"/>
              </w:rPr>
            </w:pPr>
            <w:r>
              <w:rPr>
                <w:rFonts w:ascii="Arial" w:cs="Arial" w:eastAsia="Arial" w:hAnsi="Arial"/>
                <w:sz w:val="16"/>
                <w:szCs w:val="16"/>
                <w:color w:val="004483"/>
              </w:rPr>
              <w:t>November 1 through November 30, 2024</w:t>
            </w:r>
          </w:p>
        </w:tc>
        <w:tc>
          <w:tcPr>
            <w:tcW w:w="128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65,000</w:t>
            </w:r>
          </w:p>
        </w:tc>
        <w:tc>
          <w:tcPr>
            <w:tcW w:w="120" w:type="dxa"/>
            <w:vAlign w:val="bottom"/>
          </w:tcPr>
          <w:p>
            <w:pPr>
              <w:spacing w:after="0"/>
              <w:rPr>
                <w:sz w:val="15"/>
                <w:szCs w:val="15"/>
                <w:color w:val="auto"/>
              </w:rPr>
            </w:pPr>
          </w:p>
        </w:tc>
        <w:tc>
          <w:tcPr>
            <w:tcW w:w="140" w:type="dxa"/>
            <w:vAlign w:val="bottom"/>
            <w:tcBorders>
              <w:bottom w:val="single" w:sz="8" w:color="A3A3A3"/>
            </w:tcBorders>
          </w:tcPr>
          <w:p>
            <w:pPr>
              <w:spacing w:after="0"/>
              <w:rPr>
                <w:sz w:val="15"/>
                <w:szCs w:val="15"/>
                <w:color w:val="auto"/>
              </w:rPr>
            </w:pPr>
          </w:p>
        </w:tc>
        <w:tc>
          <w:tcPr>
            <w:tcW w:w="360" w:type="dxa"/>
            <w:vAlign w:val="bottom"/>
            <w:tcBorders>
              <w:bottom w:val="single" w:sz="8" w:color="A3A3A3"/>
            </w:tcBorders>
          </w:tcPr>
          <w:p>
            <w:pPr>
              <w:spacing w:after="0"/>
              <w:rPr>
                <w:sz w:val="15"/>
                <w:szCs w:val="15"/>
                <w:color w:val="auto"/>
              </w:rPr>
            </w:pPr>
          </w:p>
        </w:tc>
        <w:tc>
          <w:tcPr>
            <w:tcW w:w="86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301.49</w:t>
            </w:r>
          </w:p>
        </w:tc>
        <w:tc>
          <w:tcPr>
            <w:tcW w:w="120" w:type="dxa"/>
            <w:vAlign w:val="bottom"/>
          </w:tcPr>
          <w:p>
            <w:pPr>
              <w:spacing w:after="0"/>
              <w:rPr>
                <w:sz w:val="15"/>
                <w:szCs w:val="15"/>
                <w:color w:val="auto"/>
              </w:rPr>
            </w:pPr>
          </w:p>
        </w:tc>
        <w:tc>
          <w:tcPr>
            <w:tcW w:w="1340" w:type="dxa"/>
            <w:vAlign w:val="bottom"/>
            <w:tcBorders>
              <w:bottom w:val="single" w:sz="8" w:color="A3A3A3"/>
            </w:tcBorders>
            <w:gridSpan w:val="2"/>
          </w:tcPr>
          <w:p>
            <w:pPr>
              <w:jc w:val="right"/>
              <w:spacing w:after="0" w:line="183" w:lineRule="exact"/>
              <w:rPr>
                <w:sz w:val="20"/>
                <w:szCs w:val="20"/>
                <w:color w:val="auto"/>
              </w:rPr>
            </w:pPr>
            <w:r>
              <w:rPr>
                <w:rFonts w:ascii="Arial" w:cs="Arial" w:eastAsia="Arial" w:hAnsi="Arial"/>
                <w:sz w:val="16"/>
                <w:szCs w:val="16"/>
                <w:color w:val="auto"/>
              </w:rPr>
              <w:t>65,000</w:t>
            </w:r>
          </w:p>
        </w:tc>
        <w:tc>
          <w:tcPr>
            <w:tcW w:w="100" w:type="dxa"/>
            <w:vAlign w:val="bottom"/>
          </w:tcPr>
          <w:p>
            <w:pPr>
              <w:spacing w:after="0"/>
              <w:rPr>
                <w:sz w:val="15"/>
                <w:szCs w:val="15"/>
                <w:color w:val="auto"/>
              </w:rPr>
            </w:pPr>
          </w:p>
        </w:tc>
        <w:tc>
          <w:tcPr>
            <w:tcW w:w="120" w:type="dxa"/>
            <w:vAlign w:val="bottom"/>
            <w:tcBorders>
              <w:bottom w:val="single" w:sz="8" w:color="A3A3A3"/>
            </w:tcBorders>
          </w:tcPr>
          <w:p>
            <w:pPr>
              <w:spacing w:after="0"/>
              <w:rPr>
                <w:sz w:val="15"/>
                <w:szCs w:val="15"/>
                <w:color w:val="auto"/>
              </w:rPr>
            </w:pPr>
          </w:p>
        </w:tc>
        <w:tc>
          <w:tcPr>
            <w:tcW w:w="1260" w:type="dxa"/>
            <w:vAlign w:val="bottom"/>
            <w:tcBorders>
              <w:bottom w:val="single" w:sz="8" w:color="A3A3A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20"/>
              <w:spacing w:after="0" w:line="183" w:lineRule="exact"/>
              <w:rPr>
                <w:sz w:val="20"/>
                <w:szCs w:val="20"/>
                <w:color w:val="auto"/>
              </w:rPr>
            </w:pPr>
            <w:r>
              <w:rPr>
                <w:rFonts w:ascii="Arial" w:cs="Arial" w:eastAsia="Arial" w:hAnsi="Arial"/>
                <w:sz w:val="16"/>
                <w:szCs w:val="16"/>
                <w:color w:val="004483"/>
              </w:rPr>
              <w:t>December 1 through December 31, 2024</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118,419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271.81</w:t>
            </w:r>
          </w:p>
        </w:tc>
        <w:tc>
          <w:tcPr>
            <w:tcW w:w="120" w:type="dxa"/>
            <w:vAlign w:val="bottom"/>
          </w:tcPr>
          <w:p>
            <w:pPr>
              <w:spacing w:after="0"/>
              <w:rPr>
                <w:sz w:val="15"/>
                <w:szCs w:val="15"/>
                <w:color w:val="auto"/>
              </w:rPr>
            </w:pPr>
          </w:p>
        </w:tc>
        <w:tc>
          <w:tcPr>
            <w:tcW w:w="13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118,419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Borders>
              <w:top w:val="single" w:sz="8" w:color="A3A3A3"/>
              <w:bottom w:val="single" w:sz="8" w:color="A3A3A3"/>
            </w:tcBorders>
          </w:tcPr>
          <w:p>
            <w:pPr>
              <w:ind w:left="200"/>
              <w:spacing w:after="0" w:line="183" w:lineRule="exact"/>
              <w:rPr>
                <w:sz w:val="20"/>
                <w:szCs w:val="20"/>
                <w:color w:val="auto"/>
              </w:rPr>
            </w:pPr>
            <w:r>
              <w:rPr>
                <w:rFonts w:ascii="Arial" w:cs="Arial" w:eastAsia="Arial" w:hAnsi="Arial"/>
                <w:sz w:val="16"/>
                <w:szCs w:val="16"/>
                <w:b w:val="1"/>
                <w:bCs w:val="1"/>
                <w:color w:val="auto"/>
              </w:rPr>
              <w:t>Quarter 3 Totals</w:t>
            </w:r>
          </w:p>
        </w:tc>
        <w:tc>
          <w:tcPr>
            <w:tcW w:w="128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194,986</w:t>
            </w:r>
          </w:p>
        </w:tc>
        <w:tc>
          <w:tcPr>
            <w:tcW w:w="120" w:type="dxa"/>
            <w:vAlign w:val="bottom"/>
          </w:tcPr>
          <w:p>
            <w:pPr>
              <w:spacing w:after="0"/>
              <w:rPr>
                <w:sz w:val="15"/>
                <w:szCs w:val="15"/>
                <w:color w:val="auto"/>
              </w:rPr>
            </w:pPr>
          </w:p>
        </w:tc>
        <w:tc>
          <w:tcPr>
            <w:tcW w:w="140" w:type="dxa"/>
            <w:vAlign w:val="bottom"/>
            <w:tcBorders>
              <w:top w:val="single" w:sz="8" w:color="A3A3A3"/>
            </w:tcBorders>
          </w:tcPr>
          <w:p>
            <w:pPr>
              <w:spacing w:after="0"/>
              <w:rPr>
                <w:sz w:val="15"/>
                <w:szCs w:val="15"/>
                <w:color w:val="auto"/>
              </w:rPr>
            </w:pPr>
          </w:p>
        </w:tc>
        <w:tc>
          <w:tcPr>
            <w:tcW w:w="360" w:type="dxa"/>
            <w:vAlign w:val="bottom"/>
            <w:tcBorders>
              <w:top w:val="single" w:sz="8" w:color="004483"/>
              <w:bottom w:val="single" w:sz="8" w:color="004483"/>
            </w:tcBorders>
          </w:tcPr>
          <w:p>
            <w:pPr>
              <w:jc w:val="right"/>
              <w:ind w:right="162"/>
              <w:spacing w:after="0" w:line="183" w:lineRule="exact"/>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282.56</w:t>
            </w:r>
          </w:p>
        </w:tc>
        <w:tc>
          <w:tcPr>
            <w:tcW w:w="120" w:type="dxa"/>
            <w:vAlign w:val="bottom"/>
          </w:tcPr>
          <w:p>
            <w:pPr>
              <w:spacing w:after="0"/>
              <w:rPr>
                <w:sz w:val="15"/>
                <w:szCs w:val="15"/>
                <w:color w:val="auto"/>
              </w:rPr>
            </w:pPr>
          </w:p>
        </w:tc>
        <w:tc>
          <w:tcPr>
            <w:tcW w:w="100" w:type="dxa"/>
            <w:vAlign w:val="bottom"/>
            <w:tcBorders>
              <w:top w:val="single" w:sz="8" w:color="A3A3A3"/>
            </w:tcBorders>
          </w:tcPr>
          <w:p>
            <w:pPr>
              <w:spacing w:after="0"/>
              <w:rPr>
                <w:sz w:val="15"/>
                <w:szCs w:val="15"/>
                <w:color w:val="auto"/>
              </w:rPr>
            </w:pPr>
          </w:p>
        </w:tc>
        <w:tc>
          <w:tcPr>
            <w:tcW w:w="124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194,986</w:t>
            </w:r>
          </w:p>
        </w:tc>
        <w:tc>
          <w:tcPr>
            <w:tcW w:w="100" w:type="dxa"/>
            <w:vAlign w:val="bottom"/>
          </w:tcPr>
          <w:p>
            <w:pPr>
              <w:spacing w:after="0"/>
              <w:rPr>
                <w:sz w:val="15"/>
                <w:szCs w:val="15"/>
                <w:color w:val="auto"/>
              </w:rPr>
            </w:pPr>
          </w:p>
        </w:tc>
        <w:tc>
          <w:tcPr>
            <w:tcW w:w="120" w:type="dxa"/>
            <w:vAlign w:val="bottom"/>
            <w:tcBorders>
              <w:top w:val="single" w:sz="8" w:color="A3A3A3"/>
              <w:bottom w:val="single" w:sz="8" w:color="A3A3A3"/>
            </w:tcBorders>
          </w:tcPr>
          <w:p>
            <w:pPr>
              <w:spacing w:after="0"/>
              <w:rPr>
                <w:sz w:val="15"/>
                <w:szCs w:val="15"/>
                <w:color w:val="auto"/>
              </w:rPr>
            </w:pPr>
          </w:p>
        </w:tc>
        <w:tc>
          <w:tcPr>
            <w:tcW w:w="1260" w:type="dxa"/>
            <w:vAlign w:val="bottom"/>
            <w:tcBorders>
              <w:top w:val="single" w:sz="8" w:color="A3A3A3"/>
              <w:bottom w:val="single" w:sz="8" w:color="00448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Year-to-Date Totals</w:t>
            </w:r>
          </w:p>
        </w:tc>
        <w:tc>
          <w:tcPr>
            <w:tcW w:w="12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795,719</w:t>
            </w:r>
          </w:p>
        </w:tc>
        <w:tc>
          <w:tcPr>
            <w:tcW w:w="260" w:type="dxa"/>
            <w:vAlign w:val="bottom"/>
            <w:gridSpan w:val="2"/>
          </w:tcPr>
          <w:p>
            <w:pPr>
              <w:spacing w:after="0"/>
              <w:rPr>
                <w:sz w:val="15"/>
                <w:szCs w:val="15"/>
                <w:color w:val="auto"/>
              </w:rPr>
            </w:pPr>
          </w:p>
        </w:tc>
        <w:tc>
          <w:tcPr>
            <w:tcW w:w="360" w:type="dxa"/>
            <w:vAlign w:val="bottom"/>
            <w:tcBorders>
              <w:bottom w:val="single" w:sz="8" w:color="004483"/>
            </w:tcBorders>
          </w:tcPr>
          <w:p>
            <w:pPr>
              <w:jc w:val="right"/>
              <w:ind w:right="162"/>
              <w:spacing w:after="0" w:line="183" w:lineRule="exact"/>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252.95</w:t>
            </w:r>
          </w:p>
        </w:tc>
        <w:tc>
          <w:tcPr>
            <w:tcW w:w="220" w:type="dxa"/>
            <w:vAlign w:val="bottom"/>
            <w:gridSpan w:val="2"/>
          </w:tcPr>
          <w:p>
            <w:pPr>
              <w:spacing w:after="0"/>
              <w:rPr>
                <w:sz w:val="15"/>
                <w:szCs w:val="15"/>
                <w:color w:val="auto"/>
              </w:rPr>
            </w:pPr>
          </w:p>
        </w:tc>
        <w:tc>
          <w:tcPr>
            <w:tcW w:w="12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795,719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5,087,951</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580"/>
        <w:spacing w:after="0" w:line="253" w:lineRule="auto"/>
        <w:rPr>
          <w:sz w:val="20"/>
          <w:szCs w:val="20"/>
          <w:color w:val="auto"/>
        </w:rPr>
      </w:pPr>
      <w:r>
        <w:rPr>
          <w:rFonts w:ascii="Arial" w:cs="Arial" w:eastAsia="Arial" w:hAnsi="Arial"/>
          <w:sz w:val="18"/>
          <w:szCs w:val="18"/>
          <w:color w:val="auto"/>
        </w:rPr>
        <w:t>On May 17, 2022, the Board of Directors authorized us to repurchase an additional 7.5 million shares. This authorization brought the cumulative total of Common Stock our Board has approved for repurchase in the open market to 55.9 million shares since we became publicly held in April 1994. Through December 31, 2024, we have repurchased approximately 50.8 million shares.</w:t>
      </w:r>
    </w:p>
    <w:p>
      <w:pPr>
        <w:spacing w:after="0" w:line="6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Share repurchases may be made from time to time in the open market or in privately negotiated transactions. The timing and amount of any share repurchases are determined by management, based on its evaluation of market and economic conditions and other factors. In some cases, repurchases may be made pursuant to plans, programs, or directions established from time to time by the Company’s management, including plans intended to comply with the safe harbor provided by Rule 10b5-1.</w:t>
      </w:r>
    </w:p>
    <w:p>
      <w:pPr>
        <w:spacing w:after="0" w:line="66" w:lineRule="exact"/>
        <w:rPr>
          <w:sz w:val="20"/>
          <w:szCs w:val="20"/>
          <w:color w:val="auto"/>
        </w:rPr>
      </w:pPr>
    </w:p>
    <w:p>
      <w:pPr>
        <w:ind w:right="640"/>
        <w:spacing w:after="0" w:line="253" w:lineRule="auto"/>
        <w:rPr>
          <w:sz w:val="20"/>
          <w:szCs w:val="20"/>
          <w:color w:val="auto"/>
        </w:rPr>
      </w:pPr>
      <w:r>
        <w:rPr>
          <w:rFonts w:ascii="Arial" w:cs="Arial" w:eastAsia="Arial" w:hAnsi="Arial"/>
          <w:sz w:val="18"/>
          <w:szCs w:val="18"/>
          <w:color w:val="auto"/>
        </w:rPr>
        <w:t>During the nine months ended December 31, 2024, the Company withheld from employees 5,636 shares of stock upon the vesting of Restricted Shares that were granted under the Plan. We withheld these shares to satisfy the employees’ statutory tax withholding requirements, which is necessary once the Restricted Shares or Restricted Share Units are vested.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Expenditures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capital expenditures by category: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80" w:type="dxa"/>
            <w:vAlign w:val="bottom"/>
          </w:tcPr>
          <w:p>
            <w:pPr>
              <w:spacing w:after="0"/>
              <w:rPr>
                <w:sz w:val="12"/>
                <w:szCs w:val="12"/>
                <w:color w:val="auto"/>
              </w:rPr>
            </w:pPr>
          </w:p>
        </w:tc>
        <w:tc>
          <w:tcPr>
            <w:tcW w:w="400" w:type="dxa"/>
            <w:vAlign w:val="bottom"/>
            <w:shd w:val="clear" w:color="auto" w:fill="004483"/>
          </w:tcPr>
          <w:p>
            <w:pPr>
              <w:spacing w:after="0"/>
              <w:rPr>
                <w:sz w:val="12"/>
                <w:szCs w:val="12"/>
                <w:color w:val="auto"/>
              </w:rPr>
            </w:pPr>
          </w:p>
        </w:tc>
        <w:tc>
          <w:tcPr>
            <w:tcW w:w="2840" w:type="dxa"/>
            <w:vAlign w:val="bottom"/>
            <w:gridSpan w:val="4"/>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Nine Months Ended December 31,</w:t>
            </w:r>
          </w:p>
        </w:tc>
        <w:tc>
          <w:tcPr>
            <w:tcW w:w="620" w:type="dxa"/>
            <w:vAlign w:val="bottom"/>
            <w:shd w:val="clear" w:color="auto" w:fill="004483"/>
          </w:tcPr>
          <w:p>
            <w:pPr>
              <w:spacing w:after="0"/>
              <w:rPr>
                <w:sz w:val="12"/>
                <w:szCs w:val="12"/>
                <w:color w:val="auto"/>
              </w:rPr>
            </w:pPr>
          </w:p>
        </w:tc>
        <w:tc>
          <w:tcPr>
            <w:tcW w:w="100" w:type="dxa"/>
            <w:vAlign w:val="bottom"/>
            <w:shd w:val="clear" w:color="auto" w:fill="004483"/>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28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2840" w:type="dxa"/>
            <w:vAlign w:val="bottom"/>
            <w:tcBorders>
              <w:bottom w:val="single" w:sz="8" w:color="004483"/>
            </w:tcBorders>
            <w:gridSpan w:val="4"/>
          </w:tcPr>
          <w:p>
            <w:pPr>
              <w:jc w:val="right"/>
              <w:ind w:right="639"/>
              <w:spacing w:after="0"/>
              <w:rPr>
                <w:sz w:val="20"/>
                <w:szCs w:val="20"/>
                <w:color w:val="auto"/>
              </w:rPr>
            </w:pPr>
            <w:r>
              <w:rPr>
                <w:rFonts w:ascii="Arial" w:cs="Arial" w:eastAsia="Arial" w:hAnsi="Arial"/>
                <w:sz w:val="13"/>
                <w:szCs w:val="13"/>
                <w:color w:val="auto"/>
              </w:rPr>
              <w:t>(dollars in thousands)</w:t>
            </w:r>
          </w:p>
        </w:tc>
        <w:tc>
          <w:tcPr>
            <w:tcW w:w="62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80" w:type="dxa"/>
            <w:vAlign w:val="bottom"/>
          </w:tcPr>
          <w:p>
            <w:pPr>
              <w:ind w:left="20"/>
              <w:spacing w:after="0"/>
              <w:rPr>
                <w:sz w:val="20"/>
                <w:szCs w:val="20"/>
                <w:color w:val="auto"/>
              </w:rPr>
            </w:pPr>
            <w:r>
              <w:rPr>
                <w:rFonts w:ascii="Arial" w:cs="Arial" w:eastAsia="Arial" w:hAnsi="Arial"/>
                <w:sz w:val="16"/>
                <w:szCs w:val="16"/>
                <w:color w:val="004483"/>
              </w:rPr>
              <w:t>Land and Quarries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5,758</w:t>
            </w:r>
          </w:p>
        </w:tc>
        <w:tc>
          <w:tcPr>
            <w:tcW w:w="1460" w:type="dxa"/>
            <w:vAlign w:val="bottom"/>
            <w:gridSpan w:val="3"/>
          </w:tcPr>
          <w:p>
            <w:pPr>
              <w:jc w:val="right"/>
              <w:ind w:right="97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11,178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8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Plants</w:t>
            </w:r>
          </w:p>
        </w:tc>
        <w:tc>
          <w:tcPr>
            <w:tcW w:w="400" w:type="dxa"/>
            <w:vAlign w:val="bottom"/>
            <w:tcBorders>
              <w:top w:val="single" w:sz="8" w:color="A6A6A6"/>
              <w:bottom w:val="single" w:sz="8" w:color="A6A6A6"/>
            </w:tcBorders>
          </w:tcPr>
          <w:p>
            <w:pPr>
              <w:spacing w:after="0"/>
              <w:rPr>
                <w:sz w:val="15"/>
                <w:szCs w:val="15"/>
                <w:color w:val="auto"/>
              </w:rPr>
            </w:pPr>
          </w:p>
        </w:tc>
        <w:tc>
          <w:tcPr>
            <w:tcW w:w="13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91,100</w:t>
            </w:r>
          </w:p>
        </w:tc>
        <w:tc>
          <w:tcPr>
            <w:tcW w:w="120" w:type="dxa"/>
            <w:vAlign w:val="bottom"/>
          </w:tcPr>
          <w:p>
            <w:pPr>
              <w:spacing w:after="0"/>
              <w:rPr>
                <w:sz w:val="15"/>
                <w:szCs w:val="15"/>
                <w:color w:val="auto"/>
              </w:rPr>
            </w:pPr>
          </w:p>
        </w:tc>
        <w:tc>
          <w:tcPr>
            <w:tcW w:w="160" w:type="dxa"/>
            <w:vAlign w:val="bottom"/>
            <w:tcBorders>
              <w:top w:val="single" w:sz="8" w:color="A6A6A6"/>
              <w:bottom w:val="single" w:sz="8" w:color="A6A6A6"/>
            </w:tcBorders>
          </w:tcPr>
          <w:p>
            <w:pPr>
              <w:spacing w:after="0"/>
              <w:rPr>
                <w:sz w:val="15"/>
                <w:szCs w:val="15"/>
                <w:color w:val="auto"/>
              </w:rPr>
            </w:pPr>
          </w:p>
        </w:tc>
        <w:tc>
          <w:tcPr>
            <w:tcW w:w="1180" w:type="dxa"/>
            <w:vAlign w:val="bottom"/>
            <w:tcBorders>
              <w:top w:val="single" w:sz="8" w:color="A6A6A6"/>
              <w:bottom w:val="single" w:sz="8" w:color="A6A6A6"/>
            </w:tcBorders>
          </w:tcPr>
          <w:p>
            <w:pPr>
              <w:spacing w:after="0"/>
              <w:rPr>
                <w:sz w:val="15"/>
                <w:szCs w:val="15"/>
                <w:color w:val="auto"/>
              </w:rPr>
            </w:pPr>
          </w:p>
        </w:tc>
        <w:tc>
          <w:tcPr>
            <w:tcW w:w="6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33,650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80" w:type="dxa"/>
            <w:vAlign w:val="bottom"/>
          </w:tcPr>
          <w:p>
            <w:pPr>
              <w:ind w:left="20"/>
              <w:spacing w:after="0" w:line="183" w:lineRule="exact"/>
              <w:rPr>
                <w:sz w:val="20"/>
                <w:szCs w:val="20"/>
                <w:color w:val="auto"/>
              </w:rPr>
            </w:pPr>
            <w:r>
              <w:rPr>
                <w:rFonts w:ascii="Arial" w:cs="Arial" w:eastAsia="Arial" w:hAnsi="Arial"/>
                <w:sz w:val="16"/>
                <w:szCs w:val="16"/>
                <w:color w:val="004483"/>
              </w:rPr>
              <w:t>Buildings, Machinery, and Equipment</w:t>
            </w:r>
          </w:p>
        </w:tc>
        <w:tc>
          <w:tcPr>
            <w:tcW w:w="400" w:type="dxa"/>
            <w:vAlign w:val="bottom"/>
          </w:tcPr>
          <w:p>
            <w:pPr>
              <w:spacing w:after="0"/>
              <w:rPr>
                <w:sz w:val="15"/>
                <w:szCs w:val="15"/>
                <w:color w:val="auto"/>
              </w:rPr>
            </w:pP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50,117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16,123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280" w:type="dxa"/>
            <w:vAlign w:val="bottom"/>
            <w:tcBorders>
              <w:bottom w:val="single" w:sz="8" w:color="A6A6A6"/>
            </w:tcBorders>
          </w:tcPr>
          <w:p>
            <w:pPr>
              <w:spacing w:after="0"/>
              <w:rPr>
                <w:sz w:val="2"/>
                <w:szCs w:val="2"/>
                <w:color w:val="auto"/>
              </w:rPr>
            </w:pPr>
          </w:p>
        </w:tc>
        <w:tc>
          <w:tcPr>
            <w:tcW w:w="400" w:type="dxa"/>
            <w:vAlign w:val="bottom"/>
            <w:tcBorders>
              <w:bottom w:val="single" w:sz="8" w:color="004483"/>
            </w:tcBorders>
            <w:shd w:val="clear" w:color="auto" w:fill="004483"/>
          </w:tcPr>
          <w:p>
            <w:pPr>
              <w:spacing w:after="0"/>
              <w:rPr>
                <w:sz w:val="2"/>
                <w:szCs w:val="2"/>
                <w:color w:val="auto"/>
              </w:rPr>
            </w:pPr>
          </w:p>
        </w:tc>
        <w:tc>
          <w:tcPr>
            <w:tcW w:w="1380" w:type="dxa"/>
            <w:vAlign w:val="bottom"/>
            <w:tcBorders>
              <w:bottom w:val="single" w:sz="8" w:color="004483"/>
            </w:tcBorders>
            <w:shd w:val="clear" w:color="auto" w:fill="004483"/>
          </w:tcPr>
          <w:p>
            <w:pPr>
              <w:spacing w:after="0"/>
              <w:rPr>
                <w:sz w:val="2"/>
                <w:szCs w:val="2"/>
                <w:color w:val="auto"/>
              </w:rPr>
            </w:pPr>
          </w:p>
        </w:tc>
        <w:tc>
          <w:tcPr>
            <w:tcW w:w="120" w:type="dxa"/>
            <w:vAlign w:val="bottom"/>
            <w:vMerge w:val="restart"/>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1180" w:type="dxa"/>
            <w:vAlign w:val="bottom"/>
            <w:tcBorders>
              <w:bottom w:val="single" w:sz="8" w:color="004483"/>
            </w:tcBorders>
            <w:shd w:val="clear" w:color="auto" w:fill="004483"/>
          </w:tcPr>
          <w:p>
            <w:pPr>
              <w:spacing w:after="0"/>
              <w:rPr>
                <w:sz w:val="2"/>
                <w:szCs w:val="2"/>
                <w:color w:val="auto"/>
              </w:rPr>
            </w:pPr>
          </w:p>
        </w:tc>
        <w:tc>
          <w:tcPr>
            <w:tcW w:w="62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280" w:type="dxa"/>
            <w:vAlign w:val="bottom"/>
          </w:tcPr>
          <w:p>
            <w:pPr>
              <w:ind w:left="120"/>
              <w:spacing w:after="0" w:line="183" w:lineRule="exact"/>
              <w:rPr>
                <w:sz w:val="20"/>
                <w:szCs w:val="20"/>
                <w:color w:val="auto"/>
              </w:rPr>
            </w:pPr>
            <w:r>
              <w:rPr>
                <w:rFonts w:ascii="Arial" w:cs="Arial" w:eastAsia="Arial" w:hAnsi="Arial"/>
                <w:sz w:val="16"/>
                <w:szCs w:val="16"/>
                <w:b w:val="1"/>
                <w:bCs w:val="1"/>
                <w:color w:val="auto"/>
              </w:rPr>
              <w:t>Total Capital Expenditures</w:t>
            </w:r>
          </w:p>
        </w:tc>
        <w:tc>
          <w:tcPr>
            <w:tcW w:w="400" w:type="dxa"/>
            <w:vAlign w:val="bottom"/>
            <w:tcBorders>
              <w:bottom w:val="single" w:sz="8" w:color="004483"/>
            </w:tcBorders>
          </w:tcPr>
          <w:p>
            <w:pPr>
              <w:jc w:val="right"/>
              <w:ind w:right="219"/>
              <w:spacing w:after="0" w:line="183" w:lineRule="exact"/>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146,975</w:t>
            </w:r>
          </w:p>
        </w:tc>
        <w:tc>
          <w:tcPr>
            <w:tcW w:w="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Borders>
              <w:bottom w:val="single" w:sz="8" w:color="004483"/>
            </w:tcBorders>
          </w:tcPr>
          <w:p>
            <w:pPr>
              <w:jc w:val="right"/>
              <w:ind w:right="979"/>
              <w:spacing w:after="0" w:line="183" w:lineRule="exact"/>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60,951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3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004483"/>
            </w:tcBorders>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Capital expenditures for fiscal 2025 are expected to range from $215.0 million to $ 235.0 million and will be allocated across both Heavy Materials and Light Materials sectors. The increase from the prior year reflects our beginning construction of the previously announced modernization and expansion of our Mountain Cement facility. The Mountain Cement construction project will continue through fiscal 2027, with expected completion in late fiscal 2027. These estimated capital expenditures will include maintenance capital expenditures and improvements, as well as other safety and regulatory projects.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matters discussed in this report contain forward-looking statements within the meaning of Section 27A of the Securities Act of 1933, Section 21E of the Securities Exchange Act of 1934 and the Private Securities Litigation Reform Act of 1995. Forward-looking statements may be identified by the context of the statements and generally arise when the Company is discussing its beliefs, estimates or expectations as to future events. These statements are not historical facts or guarantees of future performance but instead represent only the Company’s belief at the time the statements were made regarding future events which are subject to certain risks, uncertainties and other factors, many of which are outside the Company’s control. Actual results and outcomes may differ materially from what is expressed or forecast in such forward-looking statements. The principal risks and uncertainties that may affect the Company’s actual performance include the following: the cyclical and seasonal nature of the Company’s businesses; fluctuations in public infrastructure expenditures; the effects of adverse weather conditions on infrastructure and other construction projects as well as our facilities and operations; the fact that our products are commodities and that prices for our products are subject to material fluctuation due to market conditions and other factors beyond our control; the availability of and fluctuations in the cost of raw materials; changes in the costs of energy, including, without limitation, natural gas, coal, and oil (including diesel), and the nature of our obligations to counterparties under energy supply contracts, such as those related to market conditions (for example, spot market prices), governmental orders and other matters; changes in the cost and availability of transportation; unexpected operational difficulties, including unexpected maintenance costs, equipment downtime, and interruption of production; material nonpayment or non-performance by any of our key customers; consolidation of our customers; inability to timely execute announced capacity expansions; difficulties and delays in the development of new business lines; governmental regulation, and changes in governmental and public policy (including, without limitation, climate change and other environmental regulation); possible losses or other adverse outcomes from pending or future litigation or arbitration proceedings; changes in economic conditions or the nature or level of activity in any one or more of the markets or industries in which the Company or its customers are engaged; competition; cyber-attacks or data security breaches, together with the costs of protecting our systems against such incidents and the possible effects thereof on our operations; increases in capacity in the gypsum wallboard and cement industries; changes in the demand for residential housing construction or commercial construction or construction projects undertaken by state or local governments; the availability of acquisitions or other growth opportunities that meet our financial return standards and fit our strategic focus; risks related to pursuit of acquisitions, joint ventures and other transactions or the execution or implementation of such transactions, including the integration of operations acquired by the Company; general economic conditions, including inflation and recessionary conditions; and changes in interest rates and the resulting effects on the Company and demand for our products. For example, increases in interest rates, decreases in demand for construction materials, or increases in the cost of energy (including, without limitation, natural gas, coal, and oil) or the cost of our raw materials can be expected to adversely affect the revenue and operating earnings of our operations. In addition, changes in national or regional economic conditions and levels of infrastructure and construction spending could also adversely affect the Company’s results of operations. Finally, any forward-looking statements made by the Company are subject to the risks and impacts associated with natural disasters, the outbreak, escalation or resurgence of health emergencies, pandemics or other unforeseen events, including, without limitation, the COVID-19 pandemic and responses thereto designed to contain its spread and mitigate its public health effects, as well as their impact on our operations and on economic conditions, capital and financial markets. These and other factors are described in the Company’s Annual Report on Form 10-K for the fiscal year ended March 31, 2024, and subsequent quarterly and annual reports upon filing. These reports are filed with the Securities and Exchange Commission. All forward-looking statements made herein are made as of the date hereof, and the risk that actual results will differ materially from expectations expressed herein will increase with the passage of time. The Company undertakes no duty to update any forward-looking statement to reflect future events or changes in the Company’s expectations.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8" w:right="359" w:bottom="1440" w:gutter="0" w:footer="0" w:header="0"/>
        </w:sectPr>
      </w:pPr>
    </w:p>
    <w:bookmarkStart w:id="36" w:name="page37"/>
    <w:bookmarkEnd w:id="36"/>
    <w:p>
      <w:pPr>
        <w:spacing w:after="0" w:line="35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3. Quantitative and Qualitative Disclosures About Market Risk</w:t>
      </w:r>
    </w:p>
    <w:p>
      <w:pPr>
        <w:spacing w:after="0" w:line="12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are exposed to market risks related to fluctuations in interest rates on our Revolving Credit Facility. We have occasionally utilized derivative instruments, including interest rate swaps, in conjunction with our overall strategy to manage the debt outstanding that is subject to changes in interest rates. We had a $750.0 million Revolving Credit Facility at December 31, 2024, under which borrowings bear interest at a variable rate. A hypothetical 100 basis point increase in interest rates on the $85.0 million of borrowings under the Revolving Credit Facility and the $175.0 million of borrowings under the Term Loan at December 31, 2024, would increase interest expense by approximately $2.6 million on an annual basis. At present, we do not utilize derivative financial instruments.</w:t>
      </w:r>
    </w:p>
    <w:p>
      <w:pPr>
        <w:spacing w:after="0" w:line="71"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We are subject to commodity risk with respect to price changes principally in coal, coke, natural gas, and power. We attempt to limit our exposure to changes in commodity prices by entering into contracts or increasing our use of alternative fuels.</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Controls and Procedures</w:t>
      </w:r>
    </w:p>
    <w:p>
      <w:pPr>
        <w:spacing w:after="0" w:line="12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have established a system of disclosure controls and procedures that are designed to ensure that information relating to the Company, which is required to be disclosed by us in the reports that we file or submit under the Securities Exchange Act of 1934 (Exchange Act), is recorded, processed, summarized, and reported within the time periods specified by the SEC’s rules and forms, and that such information is accumulated and communicated to management, including our Chief Executive Officer (CEO) and Chief Financial Officer (CFO), in a timely fashion. An evaluation of the effectiveness of the design and operation of our disclosure controls and procedures (as defined in Rule 13a-15(e) under the Exchange Act) was performed as of the end of the period covered by this quarterly report. This evaluation was performed under the supervision and with the participation of management, including our CEO and CFO. Based upon that evaluation, our CEO and CFO have concluded that these disclosure controls and procedures were effective.</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spacing w:after="0"/>
        <w:rPr>
          <w:sz w:val="20"/>
          <w:szCs w:val="20"/>
          <w:color w:val="auto"/>
        </w:rPr>
      </w:pPr>
      <w:r>
        <w:rPr>
          <w:rFonts w:ascii="Arial" w:cs="Arial" w:eastAsia="Arial" w:hAnsi="Arial"/>
          <w:sz w:val="23"/>
          <w:szCs w:val="23"/>
          <w:b w:val="1"/>
          <w:bCs w:val="1"/>
          <w:color w:val="auto"/>
        </w:rPr>
        <w:t>PART II. OTHER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Legal Proceedings</w:t>
      </w:r>
    </w:p>
    <w:p>
      <w:pPr>
        <w:spacing w:after="0" w:line="128"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In February 2023, the EPA published a final rule disapproving the State Implementation Plans (SIPs) for 21 states, which addressed each state’s obligations under the 2015 ozone NAAQS to eliminate significant contributions to nonattainment, or interference with maintenance, in downwind states (interstate transport requirements). States subject to a SIP Disapproval under this final action relevant to our cement operations include Illinois, Kentucky, Missouri, Nevada, Ohio, Oklahoma, and Texas.</w:t>
      </w:r>
    </w:p>
    <w:p>
      <w:pPr>
        <w:spacing w:after="0" w:line="66"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In March 2023, the EPA finalized a Federal Implementation Plan (FIP), also known as the “Good Neighbor Plan,” which addresses interstate transport obligations for the 21 states with disapproved SIPs, as well as two additional states that had not submitted any revisions for their SIPs. The FIP went into effect on August 4, 2023, and requires kilns used in cement and cement product manufacturing in 20 states, including Illinois, Kentucky, Missouri, Nevada, Ohio, Oklahoma, and Texas, to comply with nitrogen oxide (NOx) emissions limitations during the ozone season (May 1 to September 30) beginning in 2026. The FIP has not been implemented in 12 of the states with disapproved SIPs due to legal challenges. In January 2024, the EPA proposed to extend the FIP to five additional states.</w:t>
      </w:r>
    </w:p>
    <w:p>
      <w:pPr>
        <w:spacing w:after="0" w:line="7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Our cement plants located in Nevada, Oklahoma, and Texas are most directly affected by the EPA’s SIP Disapprovals and Good Neighbor Plan. Multiple parties have filed lawsuits challenging the EPA’s SIP Disapprovals for 12 states including Nevada, Oklahoma, and Texas. Legal challenges to the EPA’s SIP Disapprovals for Nevada, Oklahoma, and Texas are all ongoing, and have resulted in stays for each of these disapprovals and prevented implementation of the Good Neighbor Plan in these states. In each of these actions, the petitioners have challenged the failure on the part of the EPA to appropriately defer to the applicable state’s analysis and determinations regarding interstate transport obligations. Multiple parties have also filed lawsuits challenging the EPA’s Good Neighbor Plan, resulting in a stay order by the Supreme Court preventing enforcement nationwide, pending resolution of these challenges.</w:t>
      </w:r>
    </w:p>
    <w:p>
      <w:pPr>
        <w:spacing w:after="0" w:line="77"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An adverse outcome in these actions resulting in implementation of the Good Neighbor Plan could require us to incur significant capital expenditures related to the installation of additional controls and additional operating costs at the affected facilities or, if the installation of controls proves impracticable, to modify or curtail our operations at such facilities, which could have a material adverse effect on their profitability. Challenges to both the SIP Disapprovals and the Good Neighbor Plan are ongoing in multiple courts, and no court has issued a final ruling on the validity of the disapprovals or the FIP.</w:t>
      </w:r>
    </w:p>
    <w:p>
      <w:pPr>
        <w:spacing w:after="0" w:line="6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At this time, we are unable to predict the likely outcome of the multiple legal challenges to both the state disapprovals and the Good Neighbor Plan. Nevertheless, on July 12, 2024, we entered into a settlement agreement with the EPA related to our cement operations in Nevada, which agreement provides (i) for the potential installation of additional emissions controls referred to as “low NOx burners” and (ii) if the controls are installed, that we perform a test-and-set process to determine an appropriate NOx emission limit by February 1, 2027. Assuming such emission limit is finalized and approved by the EPA, our Nevada cement operations would no longer be subject to the emissions limit in the Good Neighbor Plan. We estimate the cost of installing the low NOx burners to be approximately $2.5 million.</w:t>
      </w:r>
    </w:p>
    <w:p>
      <w:pPr>
        <w:spacing w:after="0" w:line="71"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In addition to the legal matters described in Part 1, Item 3 "Legal Proceedings" of our Form 10-K for the fiscal year ended March 31, 2024, from time to time, we have been and may in the future become involved in litigation or other legal proceedings in the ordinary course of our business activities or in connection with transactions or activities undertaken by us, including claims related to worker safety, worker health, environmental matters, commercial contracts, land use rights, taxes, and permits. While the outcome of these proceedings cannot be predicted with certainty, in the opinion of management (based on currently available facts), we do not believe that the ultimate outcome of any currently pending legal proceeding will have a material effect on our consolidated financial condition, results of operations, or liquidity.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38" w:name="page39"/>
    <w:bookmarkEnd w:id="38"/>
    <w:p>
      <w:pPr>
        <w:ind w:right="360"/>
        <w:spacing w:after="0" w:line="271" w:lineRule="auto"/>
        <w:rPr>
          <w:sz w:val="20"/>
          <w:szCs w:val="20"/>
          <w:color w:val="auto"/>
        </w:rPr>
      </w:pPr>
      <w:r>
        <w:rPr>
          <w:rFonts w:ascii="Arial" w:cs="Arial" w:eastAsia="Arial" w:hAnsi="Arial"/>
          <w:sz w:val="18"/>
          <w:szCs w:val="18"/>
          <w:color w:val="auto"/>
        </w:rPr>
        <w:t>For additional information regarding claims and other contingent liabilities to which we may be subject, see Footnote (P) in the Unaudited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1A. Risk Factors</w:t>
      </w:r>
    </w:p>
    <w:p>
      <w:pPr>
        <w:spacing w:after="0" w:line="12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information regarding factors that could affect our results of operations, financial condition, and liquidity, see Part 1. Item 1A. Risk Factors in our Form 10-K for the fiscal year ended March 31, 2024, filed with the Securities and Exchange Commission on May 22, 2024.</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 Unregistered Sales of Equity Securities and Use of Proceeds</w:t>
      </w:r>
    </w:p>
    <w:p>
      <w:pPr>
        <w:spacing w:after="0" w:line="128"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The disclosure required under this Item is included in “Management’s Discussion and Analysis of Results of Operations and Financial Condition” of this Quarterly Report on Form 10-Q under the heading “Share Repurchases”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Mine Safety Disclosures</w:t>
      </w:r>
    </w:p>
    <w:p>
      <w:pPr>
        <w:spacing w:after="0" w:line="128"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The information concerning mine safety violations or other regulatory matters required by Section 1503 (a) of the Dodd-Frank Wall Street Reform and Consumer Protection Act and Item 104 of Regulation S-K is included in Exhibit 95 to this Form 10-Q.</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5. Other Information</w:t>
      </w:r>
    </w:p>
    <w:p>
      <w:pPr>
        <w:spacing w:after="0" w:line="128"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None of the Company's directors or officers adopted, modified, or terminated a Rule 10b5-1 trading arrangement, or a non-Rule 10b5-1 trading arrangement during the Company's fiscal third quarter ended December 31, 2024.</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6. Exhibits</w:t>
      </w: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9960" w:type="dxa"/>
            <w:vAlign w:val="bottom"/>
            <w:gridSpan w:val="9"/>
          </w:tcPr>
          <w:p>
            <w:pPr>
              <w:spacing w:after="0"/>
              <w:rPr>
                <w:sz w:val="20"/>
                <w:szCs w:val="20"/>
                <w:color w:val="auto"/>
              </w:rPr>
            </w:pPr>
            <w:r>
              <w:rPr>
                <w:rFonts w:ascii="Arial" w:cs="Arial" w:eastAsia="Arial" w:hAnsi="Arial"/>
                <w:sz w:val="18"/>
                <w:szCs w:val="18"/>
                <w:color w:val="auto"/>
              </w:rPr>
              <w:t>Certification of the Chief Executive Officer of Eagle Materials Inc. pursuant to Rules 13a-14 and 15d-14 promulgated under</w:t>
            </w:r>
          </w:p>
        </w:tc>
      </w:tr>
      <w:tr>
        <w:trPr>
          <w:trHeight w:val="183"/>
        </w:trPr>
        <w:tc>
          <w:tcPr>
            <w:tcW w:w="12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2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auto"/>
                <w:w w:val="98"/>
              </w:rPr>
              <w:t>the Securities Exchange Act of 1934, as amended.</w:t>
            </w:r>
          </w:p>
        </w:tc>
        <w:tc>
          <w:tcPr>
            <w:tcW w:w="5760" w:type="dxa"/>
            <w:vAlign w:val="bottom"/>
            <w:tcBorders>
              <w:top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90"/>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9960" w:type="dxa"/>
            <w:vAlign w:val="bottom"/>
            <w:gridSpan w:val="9"/>
          </w:tcPr>
          <w:p>
            <w:pPr>
              <w:spacing w:after="0"/>
              <w:rPr>
                <w:sz w:val="20"/>
                <w:szCs w:val="20"/>
                <w:color w:val="auto"/>
              </w:rPr>
            </w:pPr>
            <w:r>
              <w:rPr>
                <w:rFonts w:ascii="Arial" w:cs="Arial" w:eastAsia="Arial" w:hAnsi="Arial"/>
                <w:sz w:val="18"/>
                <w:szCs w:val="18"/>
                <w:color w:val="auto"/>
              </w:rPr>
              <w:t>Certification of the Chief Financial Officer of Eagle Materials Inc. pursuant to Rules 13a-14 and 15d-14 promulgated under</w:t>
            </w:r>
          </w:p>
        </w:tc>
      </w:tr>
      <w:tr>
        <w:trPr>
          <w:trHeight w:val="183"/>
        </w:trPr>
        <w:tc>
          <w:tcPr>
            <w:tcW w:w="12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2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auto"/>
                <w:w w:val="98"/>
              </w:rPr>
              <w:t>the Securities Exchange Act of 1934, as amended.</w:t>
            </w:r>
          </w:p>
        </w:tc>
        <w:tc>
          <w:tcPr>
            <w:tcW w:w="5700" w:type="dxa"/>
            <w:vAlign w:val="bottom"/>
            <w:tcBorders>
              <w:top w:val="single" w:sz="8" w:color="0000EE"/>
            </w:tcBorders>
          </w:tcPr>
          <w:p>
            <w:pPr>
              <w:spacing w:after="0"/>
              <w:rPr>
                <w:sz w:val="15"/>
                <w:szCs w:val="15"/>
                <w:color w:val="auto"/>
              </w:rPr>
            </w:pPr>
          </w:p>
        </w:tc>
        <w:tc>
          <w:tcPr>
            <w:tcW w:w="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r>
      <w:tr>
        <w:trPr>
          <w:trHeight w:val="290"/>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9960" w:type="dxa"/>
            <w:vAlign w:val="bottom"/>
            <w:gridSpan w:val="9"/>
          </w:tcPr>
          <w:p>
            <w:pPr>
              <w:spacing w:after="0"/>
              <w:rPr>
                <w:sz w:val="20"/>
                <w:szCs w:val="20"/>
                <w:color w:val="auto"/>
              </w:rPr>
            </w:pPr>
            <w:r>
              <w:rPr>
                <w:rFonts w:ascii="Arial" w:cs="Arial" w:eastAsia="Arial" w:hAnsi="Arial"/>
                <w:sz w:val="18"/>
                <w:szCs w:val="18"/>
                <w:color w:val="auto"/>
              </w:rPr>
              <w:t>Certification of the Chief Executive Officer of Eagle Materials Inc. pursuant to 18 U.S.C. Section 1350, as adopted pursuant</w:t>
            </w:r>
          </w:p>
        </w:tc>
      </w:tr>
      <w:tr>
        <w:trPr>
          <w:trHeight w:val="183"/>
        </w:trPr>
        <w:tc>
          <w:tcPr>
            <w:tcW w:w="12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98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auto"/>
                <w:w w:val="98"/>
              </w:rPr>
              <w:t>to Section 906 of the Sarbanes-Oxley Act of 2002.</w:t>
            </w:r>
          </w:p>
        </w:tc>
        <w:tc>
          <w:tcPr>
            <w:tcW w:w="5820" w:type="dxa"/>
            <w:vAlign w:val="bottom"/>
            <w:tcBorders>
              <w:top w:val="single" w:sz="8" w:color="0000EE"/>
            </w:tcBorders>
            <w:gridSpan w:val="4"/>
          </w:tcPr>
          <w:p>
            <w:pPr>
              <w:spacing w:after="0"/>
              <w:rPr>
                <w:sz w:val="15"/>
                <w:szCs w:val="15"/>
                <w:color w:val="auto"/>
              </w:rPr>
            </w:pPr>
          </w:p>
        </w:tc>
        <w:tc>
          <w:tcPr>
            <w:tcW w:w="140" w:type="dxa"/>
            <w:vAlign w:val="bottom"/>
          </w:tcPr>
          <w:p>
            <w:pPr>
              <w:spacing w:after="0"/>
              <w:rPr>
                <w:sz w:val="15"/>
                <w:szCs w:val="15"/>
                <w:color w:val="auto"/>
              </w:rPr>
            </w:pPr>
          </w:p>
        </w:tc>
      </w:tr>
      <w:tr>
        <w:trPr>
          <w:trHeight w:val="290"/>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9960" w:type="dxa"/>
            <w:vAlign w:val="bottom"/>
            <w:gridSpan w:val="9"/>
          </w:tcPr>
          <w:p>
            <w:pPr>
              <w:spacing w:after="0"/>
              <w:rPr>
                <w:sz w:val="20"/>
                <w:szCs w:val="20"/>
                <w:color w:val="auto"/>
              </w:rPr>
            </w:pPr>
            <w:r>
              <w:rPr>
                <w:rFonts w:ascii="Arial" w:cs="Arial" w:eastAsia="Arial" w:hAnsi="Arial"/>
                <w:sz w:val="18"/>
                <w:szCs w:val="18"/>
                <w:color w:val="auto"/>
              </w:rPr>
              <w:t>Certification of the Chief Financial Officer of Eagle Materials Inc. pursuant to 18 U.S.C. Section 1350, as adopted pursuant to</w:t>
            </w:r>
          </w:p>
        </w:tc>
      </w:tr>
      <w:tr>
        <w:trPr>
          <w:trHeight w:val="183"/>
        </w:trPr>
        <w:tc>
          <w:tcPr>
            <w:tcW w:w="12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7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auto"/>
                <w:w w:val="98"/>
              </w:rPr>
              <w:t>Section 906 of the Sarbanes-Oxley Act of 2002.</w:t>
            </w:r>
          </w:p>
        </w:tc>
        <w:tc>
          <w:tcPr>
            <w:tcW w:w="6160" w:type="dxa"/>
            <w:vAlign w:val="bottom"/>
            <w:tcBorders>
              <w:top w:val="single" w:sz="8" w:color="0000EE"/>
            </w:tcBorders>
            <w:gridSpan w:val="6"/>
          </w:tcPr>
          <w:p>
            <w:pPr>
              <w:spacing w:after="0"/>
              <w:rPr>
                <w:sz w:val="15"/>
                <w:szCs w:val="15"/>
                <w:color w:val="auto"/>
              </w:rPr>
            </w:pPr>
          </w:p>
        </w:tc>
      </w:tr>
      <w:tr>
        <w:trPr>
          <w:trHeight w:val="290"/>
        </w:trPr>
        <w:tc>
          <w:tcPr>
            <w:tcW w:w="1220" w:type="dxa"/>
            <w:vAlign w:val="bottom"/>
          </w:tcPr>
          <w:p>
            <w:pPr>
              <w:spacing w:after="0"/>
              <w:rPr>
                <w:sz w:val="20"/>
                <w:szCs w:val="20"/>
                <w:color w:val="auto"/>
              </w:rPr>
            </w:pPr>
            <w:r>
              <w:rPr>
                <w:rFonts w:ascii="Arial" w:cs="Arial" w:eastAsia="Arial" w:hAnsi="Arial"/>
                <w:sz w:val="18"/>
                <w:szCs w:val="18"/>
                <w:color w:val="auto"/>
              </w:rPr>
              <w:t>95*</w:t>
            </w:r>
          </w:p>
        </w:tc>
        <w:tc>
          <w:tcPr>
            <w:tcW w:w="9960" w:type="dxa"/>
            <w:vAlign w:val="bottom"/>
            <w:gridSpan w:val="9"/>
          </w:tcPr>
          <w:p>
            <w:pPr>
              <w:spacing w:after="0"/>
              <w:rPr>
                <w:sz w:val="20"/>
                <w:szCs w:val="20"/>
                <w:color w:val="auto"/>
              </w:rPr>
            </w:pPr>
            <w:r>
              <w:rPr>
                <w:rFonts w:ascii="Arial" w:cs="Arial" w:eastAsia="Arial" w:hAnsi="Arial"/>
                <w:sz w:val="18"/>
                <w:szCs w:val="18"/>
                <w:color w:val="auto"/>
              </w:rPr>
              <w:t>Mine Safety Disclosure.</w:t>
            </w:r>
          </w:p>
        </w:tc>
      </w:tr>
      <w:tr>
        <w:trPr>
          <w:trHeight w:val="20"/>
        </w:trPr>
        <w:tc>
          <w:tcPr>
            <w:tcW w:w="1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8080" w:type="dxa"/>
            <w:vAlign w:val="bottom"/>
            <w:gridSpan w:val="7"/>
          </w:tcPr>
          <w:p>
            <w:pPr>
              <w:spacing w:after="0" w:line="20" w:lineRule="exact"/>
              <w:rPr>
                <w:sz w:val="1"/>
                <w:szCs w:val="1"/>
                <w:color w:val="auto"/>
              </w:rPr>
            </w:pPr>
          </w:p>
        </w:tc>
      </w:tr>
      <w:tr>
        <w:trPr>
          <w:trHeight w:val="299"/>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9960" w:type="dxa"/>
            <w:vAlign w:val="bottom"/>
            <w:gridSpan w:val="9"/>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39"/>
        </w:trPr>
        <w:tc>
          <w:tcPr>
            <w:tcW w:w="1220" w:type="dxa"/>
            <w:vAlign w:val="bottom"/>
          </w:tcPr>
          <w:p>
            <w:pPr>
              <w:spacing w:after="0"/>
              <w:rPr>
                <w:sz w:val="20"/>
                <w:szCs w:val="20"/>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310"/>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996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 with Embedded Linkbase Document.</w:t>
            </w:r>
          </w:p>
        </w:tc>
      </w:tr>
    </w:tbl>
    <w:p>
      <w:pPr>
        <w:spacing w:after="0" w:line="72" w:lineRule="exact"/>
        <w:rPr>
          <w:sz w:val="20"/>
          <w:szCs w:val="20"/>
          <w:color w:val="auto"/>
        </w:rPr>
      </w:pPr>
    </w:p>
    <w:p>
      <w:pPr>
        <w:ind w:right="2680" w:firstLine="21"/>
        <w:spacing w:after="0" w:line="354" w:lineRule="auto"/>
        <w:tabs>
          <w:tab w:leader="none" w:pos="1229"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Cover Page Interactive Data File –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3742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ind w:left="400" w:hanging="392"/>
        <w:spacing w:after="0" w:line="205" w:lineRule="auto"/>
        <w:tabs>
          <w:tab w:leader="none" w:pos="400" w:val="left"/>
        </w:tabs>
        <w:numPr>
          <w:ilvl w:val="0"/>
          <w:numId w:val="18"/>
        </w:numPr>
        <w:rPr>
          <w:rFonts w:ascii="Arial" w:cs="Arial" w:eastAsia="Arial" w:hAnsi="Arial"/>
          <w:sz w:val="24"/>
          <w:szCs w:val="24"/>
          <w:color w:val="auto"/>
          <w:vertAlign w:val="superscript"/>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23"/>
          <w:szCs w:val="23"/>
          <w:b w:val="1"/>
          <w:bCs w:val="1"/>
          <w:color w:val="auto"/>
        </w:rPr>
        <w:t>SIGNATURES</w:t>
      </w:r>
    </w:p>
    <w:p>
      <w:pPr>
        <w:spacing w:after="0" w:line="12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Registrant</w:t>
      </w:r>
    </w:p>
    <w:p>
      <w:pPr>
        <w:spacing w:after="0" w:line="194" w:lineRule="exact"/>
        <w:rPr>
          <w:sz w:val="20"/>
          <w:szCs w:val="20"/>
          <w:color w:val="auto"/>
        </w:rPr>
      </w:pPr>
    </w:p>
    <w:p>
      <w:pPr>
        <w:ind w:left="20"/>
        <w:spacing w:after="0"/>
        <w:tabs>
          <w:tab w:leader="none" w:pos="8000" w:val="left"/>
        </w:tabs>
        <w:rPr>
          <w:sz w:val="20"/>
          <w:szCs w:val="20"/>
          <w:color w:val="auto"/>
        </w:rPr>
      </w:pPr>
      <w:r>
        <w:rPr>
          <w:rFonts w:ascii="Arial" w:cs="Arial" w:eastAsia="Arial" w:hAnsi="Arial"/>
          <w:sz w:val="18"/>
          <w:szCs w:val="18"/>
          <w:color w:val="auto"/>
        </w:rPr>
        <w:t>January 29, 2025</w:t>
      </w:r>
      <w:r>
        <w:rPr>
          <w:sz w:val="20"/>
          <w:szCs w:val="20"/>
          <w:color w:val="auto"/>
        </w:rPr>
        <w:tab/>
      </w:r>
      <w:r>
        <w:rPr>
          <w:rFonts w:ascii="Arial" w:cs="Arial" w:eastAsia="Arial" w:hAnsi="Arial"/>
          <w:sz w:val="17"/>
          <w:szCs w:val="17"/>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Michael R. Haack</w:t>
      </w:r>
    </w:p>
    <w:p>
      <w:pPr>
        <w:jc w:val="center"/>
        <w:ind w:left="674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executive officer)</w:t>
      </w:r>
    </w:p>
    <w:p>
      <w:pPr>
        <w:spacing w:after="0" w:line="207" w:lineRule="exact"/>
        <w:rPr>
          <w:sz w:val="20"/>
          <w:szCs w:val="20"/>
          <w:color w:val="auto"/>
        </w:rPr>
      </w:pPr>
    </w:p>
    <w:p>
      <w:pPr>
        <w:ind w:left="20"/>
        <w:spacing w:after="0"/>
        <w:tabs>
          <w:tab w:leader="none" w:pos="8080" w:val="left"/>
        </w:tabs>
        <w:rPr>
          <w:sz w:val="20"/>
          <w:szCs w:val="20"/>
          <w:color w:val="auto"/>
        </w:rPr>
      </w:pPr>
      <w:r>
        <w:rPr>
          <w:rFonts w:ascii="Arial" w:cs="Arial" w:eastAsia="Arial" w:hAnsi="Arial"/>
          <w:sz w:val="18"/>
          <w:szCs w:val="18"/>
          <w:color w:val="auto"/>
        </w:rPr>
        <w:t>January 29, 2025</w:t>
      </w:r>
      <w:r>
        <w:rPr>
          <w:sz w:val="20"/>
          <w:szCs w:val="20"/>
          <w:color w:val="auto"/>
        </w:rPr>
        <w:tab/>
      </w:r>
      <w:r>
        <w:rPr>
          <w:rFonts w:ascii="Arial" w:cs="Arial" w:eastAsia="Arial" w:hAnsi="Arial"/>
          <w:sz w:val="17"/>
          <w:szCs w:val="17"/>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D. Craig Kesler</w:t>
      </w:r>
    </w:p>
    <w:p>
      <w:pPr>
        <w:jc w:val="center"/>
        <w:ind w:left="6740"/>
        <w:spacing w:after="0" w:line="234" w:lineRule="auto"/>
        <w:rPr>
          <w:sz w:val="20"/>
          <w:szCs w:val="20"/>
          <w:color w:val="auto"/>
        </w:rPr>
      </w:pPr>
      <w:r>
        <w:rPr>
          <w:rFonts w:ascii="Arial" w:cs="Arial" w:eastAsia="Arial" w:hAnsi="Arial"/>
          <w:sz w:val="18"/>
          <w:szCs w:val="18"/>
          <w:color w:val="auto"/>
        </w:rPr>
        <w:t>Executive Vice President – Finance and</w:t>
      </w:r>
    </w:p>
    <w:p>
      <w:pPr>
        <w:jc w:val="center"/>
        <w:ind w:left="6740"/>
        <w:spacing w:after="0" w:line="235" w:lineRule="auto"/>
        <w:rPr>
          <w:sz w:val="20"/>
          <w:szCs w:val="20"/>
          <w:color w:val="auto"/>
        </w:rPr>
      </w:pPr>
      <w:r>
        <w:rPr>
          <w:rFonts w:ascii="Arial" w:cs="Arial" w:eastAsia="Arial" w:hAnsi="Arial"/>
          <w:sz w:val="18"/>
          <w:szCs w:val="18"/>
          <w:color w:val="auto"/>
        </w:rPr>
        <w:t>Administration and Chief Financial Officer</w:t>
      </w:r>
    </w:p>
    <w:p>
      <w:pPr>
        <w:spacing w:after="0" w:line="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financial officer)</w:t>
      </w:r>
    </w:p>
    <w:p>
      <w:pPr>
        <w:spacing w:after="0" w:line="234" w:lineRule="exact"/>
        <w:rPr>
          <w:sz w:val="20"/>
          <w:szCs w:val="20"/>
          <w:color w:val="auto"/>
        </w:rPr>
      </w:pPr>
    </w:p>
    <w:p>
      <w:pPr>
        <w:ind w:left="20"/>
        <w:spacing w:after="0"/>
        <w:tabs>
          <w:tab w:leader="none" w:pos="8040" w:val="left"/>
        </w:tabs>
        <w:rPr>
          <w:sz w:val="20"/>
          <w:szCs w:val="20"/>
          <w:color w:val="auto"/>
        </w:rPr>
      </w:pPr>
      <w:r>
        <w:rPr>
          <w:rFonts w:ascii="Arial" w:cs="Arial" w:eastAsia="Arial" w:hAnsi="Arial"/>
          <w:sz w:val="18"/>
          <w:szCs w:val="18"/>
          <w:color w:val="auto"/>
        </w:rPr>
        <w:t>January 29, 2025</w:t>
      </w:r>
      <w:r>
        <w:rPr>
          <w:sz w:val="20"/>
          <w:szCs w:val="20"/>
          <w:color w:val="auto"/>
        </w:rPr>
        <w:tab/>
      </w:r>
      <w:r>
        <w:rPr>
          <w:rFonts w:ascii="Arial" w:cs="Arial" w:eastAsia="Arial" w:hAnsi="Arial"/>
          <w:sz w:val="17"/>
          <w:szCs w:val="17"/>
          <w:color w:val="auto"/>
        </w:rPr>
        <w:t>/s/ WILLIAM R. DEVLIN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8890</wp:posOffset>
            </wp:positionV>
            <wp:extent cx="28371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William R. Devlin</w:t>
      </w:r>
    </w:p>
    <w:p>
      <w:pPr>
        <w:jc w:val="center"/>
        <w:ind w:left="6760"/>
        <w:spacing w:after="0" w:line="234" w:lineRule="auto"/>
        <w:rPr>
          <w:sz w:val="20"/>
          <w:szCs w:val="20"/>
          <w:color w:val="auto"/>
        </w:rPr>
      </w:pPr>
      <w:r>
        <w:rPr>
          <w:rFonts w:ascii="Arial" w:cs="Arial" w:eastAsia="Arial" w:hAnsi="Arial"/>
          <w:sz w:val="18"/>
          <w:szCs w:val="18"/>
          <w:color w:val="auto"/>
        </w:rPr>
        <w:t>Senior Vice President – Controller and</w:t>
      </w:r>
    </w:p>
    <w:p>
      <w:pPr>
        <w:jc w:val="center"/>
        <w:ind w:left="6760"/>
        <w:spacing w:after="0" w:line="235"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24" w:right="4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R. Haack, certify that:</w:t>
      </w:r>
    </w:p>
    <w:p>
      <w:pPr>
        <w:spacing w:after="0" w:line="117"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Eagle Materials Inc.;</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8"/>
        <w:spacing w:after="0" w:line="266" w:lineRule="auto"/>
        <w:tabs>
          <w:tab w:leader="none" w:pos="1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21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firstLine="8"/>
        <w:spacing w:after="0" w:line="282" w:lineRule="auto"/>
        <w:tabs>
          <w:tab w:leader="none" w:pos="1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sz w:val="20"/>
          <w:szCs w:val="20"/>
          <w:color w:val="auto"/>
        </w:rPr>
      </w:pPr>
    </w:p>
    <w:p>
      <w:pPr>
        <w:ind w:firstLine="8"/>
        <w:spacing w:after="0" w:line="282" w:lineRule="auto"/>
        <w:tabs>
          <w:tab w:leader="none" w:pos="1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29, 2025</w:t>
      </w:r>
    </w:p>
    <w:p>
      <w:pPr>
        <w:spacing w:after="0" w:line="252" w:lineRule="exact"/>
        <w:rPr>
          <w:sz w:val="20"/>
          <w:szCs w:val="20"/>
          <w:color w:val="auto"/>
        </w:rPr>
      </w:pPr>
    </w:p>
    <w:p>
      <w:pPr>
        <w:ind w:left="20"/>
        <w:spacing w:after="0"/>
        <w:tabs>
          <w:tab w:leader="none" w:pos="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6142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Michael R. Haack</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 Craig Kesler, certify that:</w:t>
      </w:r>
    </w:p>
    <w:p>
      <w:pPr>
        <w:spacing w:after="0" w:line="117"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Eagle Materials Inc.;</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8"/>
        <w:spacing w:after="0" w:line="266" w:lineRule="auto"/>
        <w:tabs>
          <w:tab w:leader="none" w:pos="1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21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firstLine="8"/>
        <w:spacing w:after="0" w:line="282" w:lineRule="auto"/>
        <w:tabs>
          <w:tab w:leader="none" w:pos="1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sz w:val="20"/>
          <w:szCs w:val="20"/>
          <w:color w:val="auto"/>
        </w:rPr>
      </w:pPr>
    </w:p>
    <w:p>
      <w:pPr>
        <w:ind w:firstLine="8"/>
        <w:spacing w:after="0" w:line="282" w:lineRule="auto"/>
        <w:tabs>
          <w:tab w:leader="none" w:pos="1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29, 2025</w:t>
      </w:r>
    </w:p>
    <w:p>
      <w:pPr>
        <w:spacing w:after="0" w:line="225" w:lineRule="exact"/>
        <w:rPr>
          <w:sz w:val="20"/>
          <w:szCs w:val="20"/>
          <w:color w:val="auto"/>
        </w:rPr>
      </w:pPr>
    </w:p>
    <w:p>
      <w:pPr>
        <w:ind w:left="20"/>
        <w:spacing w:after="0"/>
        <w:tabs>
          <w:tab w:leader="none" w:pos="360" w:val="left"/>
        </w:tabs>
        <w:rPr>
          <w:sz w:val="20"/>
          <w:szCs w:val="20"/>
          <w:color w:val="auto"/>
        </w:rPr>
      </w:pPr>
      <w:r>
        <w:rPr>
          <w:rFonts w:ascii="Times New Roman" w:cs="Times New Roman" w:eastAsia="Times New Roman" w:hAnsi="Times New Roman"/>
          <w:sz w:val="18"/>
          <w:szCs w:val="18"/>
          <w:color w:val="auto"/>
        </w:rPr>
        <w:t>By</w:t>
        <w:tab/>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61429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 Craig Kesler</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906 of the Sarbanes-Oxley Act of 2002</w:t>
      </w:r>
    </w:p>
    <w:p>
      <w:pPr>
        <w:spacing w:after="0" w:line="22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Eagle Materials Inc. and subsidiaries (the “Company”) on Form 10-Q for the period ended December 31, 2024 as filed with the Securities and Exchange Commission on the date hereof (the “Report”), I, Michael R. Haack, President and Chief Executive Officer of the Company, certify, pursuant to 18 U.S.C. section 1350, as adopted pursuant to section 906 of the Sarbanes-Oxley Act of 2002, that, to the best of my knowledge:</w:t>
      </w:r>
    </w:p>
    <w:p>
      <w:pPr>
        <w:spacing w:after="0" w:line="72" w:lineRule="exact"/>
        <w:rPr>
          <w:sz w:val="20"/>
          <w:szCs w:val="20"/>
          <w:color w:val="auto"/>
        </w:rPr>
      </w:pPr>
    </w:p>
    <w:p>
      <w:pPr>
        <w:ind w:left="640" w:hanging="377"/>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29, 2025</w:t>
      </w:r>
    </w:p>
    <w:p>
      <w:pPr>
        <w:spacing w:after="0" w:line="225" w:lineRule="exact"/>
        <w:rPr>
          <w:sz w:val="20"/>
          <w:szCs w:val="20"/>
          <w:color w:val="auto"/>
        </w:rPr>
      </w:pPr>
    </w:p>
    <w:p>
      <w:pPr>
        <w:ind w:left="20"/>
        <w:spacing w:after="0"/>
        <w:tabs>
          <w:tab w:leader="none" w:pos="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6142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Michael R. Haack</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906 of the Sarbanes-Oxley Act of 2002</w:t>
      </w:r>
    </w:p>
    <w:p>
      <w:pPr>
        <w:spacing w:after="0" w:line="22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Eagle Materials Inc. and subsidiaries (the “Company”) on Form 10-Q for the period ended December 31, 2024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w:t>
      </w:r>
    </w:p>
    <w:p>
      <w:pPr>
        <w:spacing w:after="0" w:line="68" w:lineRule="exact"/>
        <w:rPr>
          <w:sz w:val="20"/>
          <w:szCs w:val="20"/>
          <w:color w:val="auto"/>
        </w:rPr>
      </w:pPr>
    </w:p>
    <w:p>
      <w:pPr>
        <w:ind w:left="640" w:hanging="377"/>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29, 2025</w:t>
      </w:r>
    </w:p>
    <w:p>
      <w:pPr>
        <w:spacing w:after="0" w:line="225" w:lineRule="exact"/>
        <w:rPr>
          <w:sz w:val="20"/>
          <w:szCs w:val="20"/>
          <w:color w:val="auto"/>
        </w:rPr>
      </w:pPr>
    </w:p>
    <w:p>
      <w:pPr>
        <w:ind w:left="20"/>
        <w:spacing w:after="0"/>
        <w:tabs>
          <w:tab w:leader="none" w:pos="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26060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 Craig Kesler</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56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95</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i w:val="1"/>
          <w:iCs w:val="1"/>
          <w:color w:val="auto"/>
        </w:rPr>
        <w:t>MINE SAFETY DISCLOSURE</w:t>
      </w:r>
    </w:p>
    <w:p>
      <w:pPr>
        <w:spacing w:after="0" w:line="225" w:lineRule="exact"/>
        <w:rPr>
          <w:sz w:val="20"/>
          <w:szCs w:val="20"/>
          <w:color w:val="auto"/>
        </w:rPr>
      </w:pPr>
    </w:p>
    <w:p>
      <w:pPr>
        <w:ind w:left="640" w:right="340"/>
        <w:spacing w:after="0" w:line="269" w:lineRule="auto"/>
        <w:rPr>
          <w:sz w:val="20"/>
          <w:szCs w:val="20"/>
          <w:color w:val="auto"/>
        </w:rPr>
      </w:pPr>
      <w:r>
        <w:rPr>
          <w:rFonts w:ascii="Times New Roman" w:cs="Times New Roman" w:eastAsia="Times New Roman" w:hAnsi="Times New Roman"/>
          <w:sz w:val="16"/>
          <w:szCs w:val="16"/>
          <w:color w:val="auto"/>
        </w:rPr>
        <w:t>Section 1503 of the Dodd-Frank Wall Street Reform and Consumer Protection Act contains reporting requirements regarding mine safety. The operation of our quarries is subject to regulation by the federal Mine Safety and Health Administration, or MSHA, under the Federal Mine Safety and Health Act of 1977, or the Mine Act. Set forth below is the required information regarding certain mining safety and health matters for the three-month period ended December 31, 2024 for our facilities. In evaluating this information, consideration should be given to factors such as: (i) the number of citations and orders will vary depending on the size of the quarry, (ii) the number of citations issued will vary from inspector-to-inspector and mine-to-mine, and (iii) citations and orders can be contested and appealed, and in that process, may be reduced in severity and amount, and are sometimes dismissed.</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920" w:type="dxa"/>
            <w:vAlign w:val="bottom"/>
            <w:tcBorders>
              <w:top w:val="single" w:sz="8" w:color="auto"/>
              <w:left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9"/>
              </w:rPr>
              <w:t>Received</w:t>
            </w:r>
          </w:p>
        </w:tc>
        <w:tc>
          <w:tcPr>
            <w:tcW w:w="7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Received</w:t>
            </w:r>
          </w:p>
        </w:tc>
        <w:tc>
          <w:tcPr>
            <w:tcW w:w="82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Notice</w:t>
            </w:r>
          </w:p>
        </w:tc>
        <w:tc>
          <w:tcPr>
            <w:tcW w:w="74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Notice</w:t>
            </w: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Pattern</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Mine or</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gridSpan w:val="2"/>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Potential</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continue"/>
          </w:tcPr>
          <w:p>
            <w:pPr>
              <w:spacing w:after="0"/>
              <w:rPr>
                <w:sz w:val="12"/>
                <w:szCs w:val="12"/>
                <w:color w:val="auto"/>
              </w:rPr>
            </w:pPr>
          </w:p>
        </w:tc>
        <w:tc>
          <w:tcPr>
            <w:tcW w:w="70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9"/>
              </w:rPr>
              <w:t>Section</w:t>
            </w: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70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9"/>
              </w:rPr>
              <w:t>Section</w:t>
            </w:r>
          </w:p>
        </w:tc>
        <w:tc>
          <w:tcPr>
            <w:tcW w:w="6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Dollar</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Violatio</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to Have</w:t>
            </w:r>
          </w:p>
        </w:tc>
        <w:tc>
          <w:tcPr>
            <w:tcW w:w="82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Value of</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740" w:type="dxa"/>
            <w:vAlign w:val="bottom"/>
            <w:tcBorders>
              <w:right w:val="single" w:sz="8" w:color="auto"/>
            </w:tcBorders>
          </w:tcPr>
          <w:p>
            <w:pPr>
              <w:ind w:left="260"/>
              <w:spacing w:after="0" w:line="149" w:lineRule="exact"/>
              <w:rPr>
                <w:sz w:val="20"/>
                <w:szCs w:val="20"/>
                <w:color w:val="auto"/>
              </w:rPr>
            </w:pPr>
            <w:r>
              <w:rPr>
                <w:rFonts w:ascii="Times New Roman" w:cs="Times New Roman" w:eastAsia="Times New Roman" w:hAnsi="Times New Roman"/>
                <w:sz w:val="14"/>
                <w:szCs w:val="14"/>
                <w:color w:val="auto"/>
              </w:rPr>
              <w:t>ns</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Pattern</w:t>
            </w: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84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Name/MS</w:t>
            </w:r>
          </w:p>
        </w:tc>
        <w:tc>
          <w:tcPr>
            <w:tcW w:w="70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Section</w:t>
            </w:r>
          </w:p>
        </w:tc>
        <w:tc>
          <w:tcPr>
            <w:tcW w:w="78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104(d)</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110(b)</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Section</w:t>
            </w:r>
          </w:p>
        </w:tc>
        <w:tc>
          <w:tcPr>
            <w:tcW w:w="76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MSHA</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Mining</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Pending</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HA</w:t>
            </w:r>
          </w:p>
        </w:tc>
        <w:tc>
          <w:tcPr>
            <w:tcW w:w="70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w w:val="98"/>
              </w:rPr>
              <w:t>S&amp;S</w:t>
            </w: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Citations</w:t>
            </w:r>
          </w:p>
        </w:tc>
        <w:tc>
          <w:tcPr>
            <w:tcW w:w="70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8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Assessm</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Related</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Section</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Section</w:t>
            </w: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as of Last</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Initiated</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Resolved</w:t>
            </w: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Identificati</w:t>
            </w:r>
          </w:p>
        </w:tc>
        <w:tc>
          <w:tcPr>
            <w:tcW w:w="7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Citation</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104(b)</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Violatio</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107(a)</w:t>
            </w:r>
          </w:p>
        </w:tc>
        <w:tc>
          <w:tcPr>
            <w:tcW w:w="220" w:type="dxa"/>
            <w:vAlign w:val="bottom"/>
          </w:tcPr>
          <w:p>
            <w:pPr>
              <w:spacing w:after="0"/>
              <w:rPr>
                <w:sz w:val="12"/>
                <w:szCs w:val="12"/>
                <w:color w:val="auto"/>
              </w:rPr>
            </w:pPr>
          </w:p>
        </w:tc>
        <w:tc>
          <w:tcPr>
            <w:tcW w:w="540" w:type="dxa"/>
            <w:vAlign w:val="bottom"/>
            <w:tcBorders>
              <w:right w:val="single" w:sz="8" w:color="auto"/>
            </w:tcBorders>
          </w:tcPr>
          <w:p>
            <w:pPr>
              <w:jc w:val="center"/>
              <w:ind w:right="208"/>
              <w:spacing w:after="0" w:line="149" w:lineRule="exact"/>
              <w:rPr>
                <w:sz w:val="20"/>
                <w:szCs w:val="20"/>
                <w:color w:val="auto"/>
              </w:rPr>
            </w:pPr>
            <w:r>
              <w:rPr>
                <w:rFonts w:ascii="Times New Roman" w:cs="Times New Roman" w:eastAsia="Times New Roman" w:hAnsi="Times New Roman"/>
                <w:sz w:val="14"/>
                <w:szCs w:val="14"/>
                <w:color w:val="auto"/>
                <w:w w:val="97"/>
              </w:rPr>
              <w:t>ents</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Fatalitie</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104(e)</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104(e)</w:t>
            </w: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Day of</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0" w:type="dxa"/>
            <w:vAlign w:val="bottom"/>
          </w:tcPr>
          <w:p>
            <w:pPr>
              <w:spacing w:after="0"/>
              <w:rPr>
                <w:sz w:val="1"/>
                <w:szCs w:val="1"/>
                <w:color w:val="auto"/>
              </w:rPr>
            </w:pPr>
          </w:p>
        </w:tc>
      </w:tr>
      <w:tr>
        <w:trPr>
          <w:trHeight w:val="168"/>
        </w:trPr>
        <w:tc>
          <w:tcPr>
            <w:tcW w:w="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on Number</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Orders</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Orders</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ns</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Orders</w:t>
            </w:r>
          </w:p>
        </w:tc>
        <w:tc>
          <w:tcPr>
            <w:tcW w:w="7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Proposed</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(yes/no)</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(yes/no)</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Period</w:t>
            </w:r>
          </w:p>
        </w:tc>
        <w:tc>
          <w:tcPr>
            <w:tcW w:w="0" w:type="dxa"/>
            <w:vAlign w:val="bottom"/>
          </w:tcPr>
          <w:p>
            <w:pPr>
              <w:spacing w:after="0"/>
              <w:rPr>
                <w:sz w:val="1"/>
                <w:szCs w:val="1"/>
                <w:color w:val="auto"/>
              </w:rPr>
            </w:pPr>
          </w:p>
        </w:tc>
      </w:tr>
      <w:tr>
        <w:trPr>
          <w:trHeight w:val="123"/>
        </w:trPr>
        <w:tc>
          <w:tcPr>
            <w:tcW w:w="920" w:type="dxa"/>
            <w:vAlign w:val="bottom"/>
            <w:tcBorders>
              <w:right w:val="single" w:sz="8" w:color="auto"/>
            </w:tcBorders>
          </w:tcPr>
          <w:p>
            <w:pPr>
              <w:ind w:left="120"/>
              <w:spacing w:after="0" w:line="123" w:lineRule="exact"/>
              <w:rPr>
                <w:sz w:val="20"/>
                <w:szCs w:val="20"/>
                <w:color w:val="auto"/>
              </w:rPr>
            </w:pPr>
            <w:r>
              <w:rPr>
                <w:rFonts w:ascii="Times New Roman" w:cs="Times New Roman" w:eastAsia="Times New Roman" w:hAnsi="Times New Roman"/>
                <w:sz w:val="14"/>
                <w:szCs w:val="14"/>
                <w:color w:val="auto"/>
              </w:rPr>
              <w:t>3D</w:t>
            </w: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Concrete</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07"/>
        </w:trPr>
        <w:tc>
          <w:tcPr>
            <w:tcW w:w="920" w:type="dxa"/>
            <w:vAlign w:val="bottom"/>
            <w:tcBorders>
              <w:right w:val="single" w:sz="8" w:color="auto"/>
            </w:tcBorders>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Lyon,</w:t>
            </w:r>
          </w:p>
        </w:tc>
        <w:tc>
          <w:tcPr>
            <w:tcW w:w="70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54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920" w:type="dxa"/>
            <w:vAlign w:val="bottom"/>
            <w:tcBorders>
              <w:right w:val="single" w:sz="8" w:color="auto"/>
            </w:tcBorders>
            <w:vMerge w:val="continue"/>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Nevada</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(2602412)</w:t>
            </w: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D9E2F3"/>
              <w:right w:val="single" w:sz="8" w:color="auto"/>
            </w:tcBorders>
            <w:shd w:val="clear" w:color="auto" w:fill="D9E2F3"/>
          </w:tcPr>
          <w:p>
            <w:pPr>
              <w:ind w:left="120"/>
              <w:spacing w:after="0" w:line="119" w:lineRule="exact"/>
              <w:rPr>
                <w:sz w:val="20"/>
                <w:szCs w:val="20"/>
                <w:color w:val="auto"/>
              </w:rPr>
            </w:pPr>
            <w:r>
              <w:rPr>
                <w:rFonts w:ascii="Times New Roman" w:cs="Times New Roman" w:eastAsia="Times New Roman" w:hAnsi="Times New Roman"/>
                <w:sz w:val="13"/>
                <w:szCs w:val="13"/>
                <w:color w:val="auto"/>
              </w:rPr>
              <w:t>American</w:t>
            </w:r>
          </w:p>
        </w:tc>
        <w:tc>
          <w:tcPr>
            <w:tcW w:w="70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8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680" w:type="dxa"/>
            <w:vAlign w:val="bottom"/>
            <w:tcBorders>
              <w:right w:val="single" w:sz="8" w:color="auto"/>
            </w:tcBorders>
            <w:shd w:val="clear" w:color="auto" w:fill="D9E2F3"/>
          </w:tcPr>
          <w:p>
            <w:pPr>
              <w:spacing w:after="0"/>
              <w:rPr>
                <w:sz w:val="10"/>
                <w:szCs w:val="10"/>
                <w:color w:val="auto"/>
              </w:rPr>
            </w:pPr>
          </w:p>
        </w:tc>
        <w:tc>
          <w:tcPr>
            <w:tcW w:w="220" w:type="dxa"/>
            <w:vAlign w:val="bottom"/>
            <w:shd w:val="clear" w:color="auto" w:fill="D9E2F3"/>
          </w:tcPr>
          <w:p>
            <w:pPr>
              <w:spacing w:after="0"/>
              <w:rPr>
                <w:sz w:val="10"/>
                <w:szCs w:val="10"/>
                <w:color w:val="auto"/>
              </w:rPr>
            </w:pPr>
          </w:p>
        </w:tc>
        <w:tc>
          <w:tcPr>
            <w:tcW w:w="54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820" w:type="dxa"/>
            <w:vAlign w:val="bottom"/>
            <w:tcBorders>
              <w:right w:val="single" w:sz="8" w:color="auto"/>
            </w:tcBorders>
            <w:shd w:val="clear" w:color="auto" w:fill="D9E2F3"/>
          </w:tcPr>
          <w:p>
            <w:pPr>
              <w:spacing w:after="0"/>
              <w:rPr>
                <w:sz w:val="10"/>
                <w:szCs w:val="10"/>
                <w:color w:val="auto"/>
              </w:rPr>
            </w:pPr>
          </w:p>
        </w:tc>
        <w:tc>
          <w:tcPr>
            <w:tcW w:w="840" w:type="dxa"/>
            <w:vAlign w:val="bottom"/>
            <w:tcBorders>
              <w:right w:val="single" w:sz="8" w:color="auto"/>
            </w:tcBorders>
            <w:shd w:val="clear" w:color="auto" w:fill="D9E2F3"/>
          </w:tcPr>
          <w:p>
            <w:pPr>
              <w:spacing w:after="0"/>
              <w:rPr>
                <w:sz w:val="10"/>
                <w:szCs w:val="10"/>
                <w:color w:val="auto"/>
              </w:rPr>
            </w:pPr>
          </w:p>
        </w:tc>
        <w:tc>
          <w:tcPr>
            <w:tcW w:w="860" w:type="dxa"/>
            <w:vAlign w:val="bottom"/>
            <w:tcBorders>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Gypsum</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20" w:type="dxa"/>
            <w:vAlign w:val="bottom"/>
            <w:vMerge w:val="restart"/>
            <w:shd w:val="clear" w:color="auto" w:fill="D9E2F3"/>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vMerge w:val="restart"/>
            <w:shd w:val="clear" w:color="auto" w:fill="D9E2F3"/>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9"/>
        </w:trPr>
        <w:tc>
          <w:tcPr>
            <w:tcW w:w="92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680" w:type="dxa"/>
            <w:vAlign w:val="bottom"/>
            <w:tcBorders>
              <w:right w:val="single" w:sz="8" w:color="auto"/>
            </w:tcBorders>
            <w:vMerge w:val="continue"/>
            <w:shd w:val="clear" w:color="auto" w:fill="D9E2F3"/>
          </w:tcPr>
          <w:p>
            <w:pPr>
              <w:spacing w:after="0"/>
              <w:rPr>
                <w:sz w:val="12"/>
                <w:szCs w:val="12"/>
                <w:color w:val="auto"/>
              </w:rPr>
            </w:pPr>
          </w:p>
        </w:tc>
        <w:tc>
          <w:tcPr>
            <w:tcW w:w="220" w:type="dxa"/>
            <w:vAlign w:val="bottom"/>
            <w:vMerge w:val="continue"/>
            <w:shd w:val="clear" w:color="auto" w:fill="D9E2F3"/>
          </w:tcPr>
          <w:p>
            <w:pPr>
              <w:spacing w:after="0"/>
              <w:rPr>
                <w:sz w:val="12"/>
                <w:szCs w:val="12"/>
                <w:color w:val="auto"/>
              </w:rPr>
            </w:pPr>
          </w:p>
        </w:tc>
        <w:tc>
          <w:tcPr>
            <w:tcW w:w="54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82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86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Albuquerq</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ue, NM</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Borders>
              <w:left w:val="single" w:sz="8" w:color="D9E2F3"/>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(2900181)</w:t>
            </w: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680" w:type="dxa"/>
            <w:vAlign w:val="bottom"/>
            <w:tcBorders>
              <w:bottom w:val="single" w:sz="8" w:color="auto"/>
              <w:right w:val="single" w:sz="8" w:color="auto"/>
            </w:tcBorders>
            <w:shd w:val="clear" w:color="auto" w:fill="D9E2F3"/>
          </w:tcPr>
          <w:p>
            <w:pPr>
              <w:spacing w:after="0"/>
              <w:rPr>
                <w:sz w:val="14"/>
                <w:szCs w:val="14"/>
                <w:color w:val="auto"/>
              </w:rPr>
            </w:pPr>
          </w:p>
        </w:tc>
        <w:tc>
          <w:tcPr>
            <w:tcW w:w="220" w:type="dxa"/>
            <w:vAlign w:val="bottom"/>
            <w:tcBorders>
              <w:bottom w:val="single" w:sz="8" w:color="auto"/>
            </w:tcBorders>
            <w:shd w:val="clear" w:color="auto" w:fill="D9E2F3"/>
          </w:tcPr>
          <w:p>
            <w:pPr>
              <w:spacing w:after="0"/>
              <w:rPr>
                <w:sz w:val="14"/>
                <w:szCs w:val="14"/>
                <w:color w:val="auto"/>
              </w:rPr>
            </w:pPr>
          </w:p>
        </w:tc>
        <w:tc>
          <w:tcPr>
            <w:tcW w:w="54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82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86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American</w:t>
            </w: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Gypsum</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07"/>
        </w:trPr>
        <w:tc>
          <w:tcPr>
            <w:tcW w:w="920" w:type="dxa"/>
            <w:vAlign w:val="bottom"/>
            <w:tcBorders>
              <w:right w:val="single" w:sz="8" w:color="auto"/>
            </w:tcBorders>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54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920" w:type="dxa"/>
            <w:vAlign w:val="bottom"/>
            <w:tcBorders>
              <w:right w:val="single" w:sz="8" w:color="auto"/>
            </w:tcBorders>
            <w:vMerge w:val="continue"/>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Duke, OK</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(3400256)</w:t>
            </w: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D9E2F3"/>
              <w:right w:val="single" w:sz="8" w:color="auto"/>
            </w:tcBorders>
            <w:shd w:val="clear" w:color="auto" w:fill="D9E2F3"/>
          </w:tcPr>
          <w:p>
            <w:pPr>
              <w:ind w:left="120"/>
              <w:spacing w:after="0" w:line="119" w:lineRule="exact"/>
              <w:rPr>
                <w:sz w:val="20"/>
                <w:szCs w:val="20"/>
                <w:color w:val="auto"/>
              </w:rPr>
            </w:pPr>
            <w:r>
              <w:rPr>
                <w:rFonts w:ascii="Times New Roman" w:cs="Times New Roman" w:eastAsia="Times New Roman" w:hAnsi="Times New Roman"/>
                <w:sz w:val="13"/>
                <w:szCs w:val="13"/>
                <w:color w:val="auto"/>
              </w:rPr>
              <w:t>American</w:t>
            </w:r>
          </w:p>
        </w:tc>
        <w:tc>
          <w:tcPr>
            <w:tcW w:w="70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8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680" w:type="dxa"/>
            <w:vAlign w:val="bottom"/>
            <w:tcBorders>
              <w:right w:val="single" w:sz="8" w:color="auto"/>
            </w:tcBorders>
            <w:shd w:val="clear" w:color="auto" w:fill="D9E2F3"/>
          </w:tcPr>
          <w:p>
            <w:pPr>
              <w:spacing w:after="0"/>
              <w:rPr>
                <w:sz w:val="10"/>
                <w:szCs w:val="10"/>
                <w:color w:val="auto"/>
              </w:rPr>
            </w:pPr>
          </w:p>
        </w:tc>
        <w:tc>
          <w:tcPr>
            <w:tcW w:w="220" w:type="dxa"/>
            <w:vAlign w:val="bottom"/>
            <w:shd w:val="clear" w:color="auto" w:fill="D9E2F3"/>
          </w:tcPr>
          <w:p>
            <w:pPr>
              <w:spacing w:after="0"/>
              <w:rPr>
                <w:sz w:val="10"/>
                <w:szCs w:val="10"/>
                <w:color w:val="auto"/>
              </w:rPr>
            </w:pPr>
          </w:p>
        </w:tc>
        <w:tc>
          <w:tcPr>
            <w:tcW w:w="54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820" w:type="dxa"/>
            <w:vAlign w:val="bottom"/>
            <w:tcBorders>
              <w:right w:val="single" w:sz="8" w:color="auto"/>
            </w:tcBorders>
            <w:shd w:val="clear" w:color="auto" w:fill="D9E2F3"/>
          </w:tcPr>
          <w:p>
            <w:pPr>
              <w:spacing w:after="0"/>
              <w:rPr>
                <w:sz w:val="10"/>
                <w:szCs w:val="10"/>
                <w:color w:val="auto"/>
              </w:rPr>
            </w:pPr>
          </w:p>
        </w:tc>
        <w:tc>
          <w:tcPr>
            <w:tcW w:w="840" w:type="dxa"/>
            <w:vAlign w:val="bottom"/>
            <w:tcBorders>
              <w:right w:val="single" w:sz="8" w:color="auto"/>
            </w:tcBorders>
            <w:shd w:val="clear" w:color="auto" w:fill="D9E2F3"/>
          </w:tcPr>
          <w:p>
            <w:pPr>
              <w:spacing w:after="0"/>
              <w:rPr>
                <w:sz w:val="10"/>
                <w:szCs w:val="10"/>
                <w:color w:val="auto"/>
              </w:rPr>
            </w:pPr>
          </w:p>
        </w:tc>
        <w:tc>
          <w:tcPr>
            <w:tcW w:w="860" w:type="dxa"/>
            <w:vAlign w:val="bottom"/>
            <w:tcBorders>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Gypsum</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20" w:type="dxa"/>
            <w:vAlign w:val="bottom"/>
            <w:vMerge w:val="restart"/>
            <w:shd w:val="clear" w:color="auto" w:fill="D9E2F3"/>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vMerge w:val="restart"/>
            <w:shd w:val="clear" w:color="auto" w:fill="D9E2F3"/>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07"/>
        </w:trPr>
        <w:tc>
          <w:tcPr>
            <w:tcW w:w="920" w:type="dxa"/>
            <w:vAlign w:val="bottom"/>
            <w:tcBorders>
              <w:left w:val="single" w:sz="8" w:color="D9E2F3"/>
              <w:right w:val="single" w:sz="8" w:color="auto"/>
            </w:tcBorders>
            <w:vMerge w:val="restart"/>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60" w:type="dxa"/>
            <w:vAlign w:val="bottom"/>
            <w:tcBorders>
              <w:right w:val="single" w:sz="8" w:color="auto"/>
            </w:tcBorders>
            <w:vMerge w:val="continue"/>
            <w:shd w:val="clear" w:color="auto" w:fill="D9E2F3"/>
          </w:tcPr>
          <w:p>
            <w:pPr>
              <w:spacing w:after="0"/>
              <w:rPr>
                <w:sz w:val="9"/>
                <w:szCs w:val="9"/>
                <w:color w:val="auto"/>
              </w:rPr>
            </w:pPr>
          </w:p>
        </w:tc>
        <w:tc>
          <w:tcPr>
            <w:tcW w:w="78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680" w:type="dxa"/>
            <w:vAlign w:val="bottom"/>
            <w:tcBorders>
              <w:right w:val="single" w:sz="8" w:color="auto"/>
            </w:tcBorders>
            <w:vMerge w:val="continue"/>
            <w:shd w:val="clear" w:color="auto" w:fill="D9E2F3"/>
          </w:tcPr>
          <w:p>
            <w:pPr>
              <w:spacing w:after="0"/>
              <w:rPr>
                <w:sz w:val="9"/>
                <w:szCs w:val="9"/>
                <w:color w:val="auto"/>
              </w:rPr>
            </w:pPr>
          </w:p>
        </w:tc>
        <w:tc>
          <w:tcPr>
            <w:tcW w:w="220" w:type="dxa"/>
            <w:vAlign w:val="bottom"/>
            <w:vMerge w:val="continue"/>
            <w:shd w:val="clear" w:color="auto" w:fill="D9E2F3"/>
          </w:tcPr>
          <w:p>
            <w:pPr>
              <w:spacing w:after="0"/>
              <w:rPr>
                <w:sz w:val="9"/>
                <w:szCs w:val="9"/>
                <w:color w:val="auto"/>
              </w:rPr>
            </w:pPr>
          </w:p>
        </w:tc>
        <w:tc>
          <w:tcPr>
            <w:tcW w:w="54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40" w:type="dxa"/>
            <w:vAlign w:val="bottom"/>
            <w:tcBorders>
              <w:right w:val="single" w:sz="8" w:color="auto"/>
            </w:tcBorders>
            <w:vMerge w:val="continue"/>
            <w:shd w:val="clear" w:color="auto" w:fill="D9E2F3"/>
          </w:tcPr>
          <w:p>
            <w:pPr>
              <w:spacing w:after="0"/>
              <w:rPr>
                <w:sz w:val="9"/>
                <w:szCs w:val="9"/>
                <w:color w:val="auto"/>
              </w:rPr>
            </w:pPr>
          </w:p>
        </w:tc>
        <w:tc>
          <w:tcPr>
            <w:tcW w:w="740" w:type="dxa"/>
            <w:vAlign w:val="bottom"/>
            <w:tcBorders>
              <w:right w:val="single" w:sz="8" w:color="auto"/>
            </w:tcBorders>
            <w:vMerge w:val="continue"/>
            <w:shd w:val="clear" w:color="auto" w:fill="D9E2F3"/>
          </w:tcPr>
          <w:p>
            <w:pPr>
              <w:spacing w:after="0"/>
              <w:rPr>
                <w:sz w:val="9"/>
                <w:szCs w:val="9"/>
                <w:color w:val="auto"/>
              </w:rPr>
            </w:pPr>
          </w:p>
        </w:tc>
        <w:tc>
          <w:tcPr>
            <w:tcW w:w="820" w:type="dxa"/>
            <w:vAlign w:val="bottom"/>
            <w:tcBorders>
              <w:right w:val="single" w:sz="8" w:color="auto"/>
            </w:tcBorders>
            <w:vMerge w:val="continue"/>
            <w:shd w:val="clear" w:color="auto" w:fill="D9E2F3"/>
          </w:tcPr>
          <w:p>
            <w:pPr>
              <w:spacing w:after="0"/>
              <w:rPr>
                <w:sz w:val="9"/>
                <w:szCs w:val="9"/>
                <w:color w:val="auto"/>
              </w:rPr>
            </w:pPr>
          </w:p>
        </w:tc>
        <w:tc>
          <w:tcPr>
            <w:tcW w:w="840" w:type="dxa"/>
            <w:vAlign w:val="bottom"/>
            <w:tcBorders>
              <w:right w:val="single" w:sz="8" w:color="auto"/>
            </w:tcBorders>
            <w:vMerge w:val="continue"/>
            <w:shd w:val="clear" w:color="auto" w:fill="D9E2F3"/>
          </w:tcPr>
          <w:p>
            <w:pPr>
              <w:spacing w:after="0"/>
              <w:rPr>
                <w:sz w:val="9"/>
                <w:szCs w:val="9"/>
                <w:color w:val="auto"/>
              </w:rPr>
            </w:pPr>
          </w:p>
        </w:tc>
        <w:tc>
          <w:tcPr>
            <w:tcW w:w="860" w:type="dxa"/>
            <w:vAlign w:val="bottom"/>
            <w:tcBorders>
              <w:right w:val="single" w:sz="8" w:color="auto"/>
            </w:tcBorders>
            <w:vMerge w:val="continue"/>
            <w:shd w:val="clear" w:color="auto" w:fill="D9E2F3"/>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920" w:type="dxa"/>
            <w:vAlign w:val="bottom"/>
            <w:tcBorders>
              <w:left w:val="single" w:sz="8" w:color="D9E2F3"/>
              <w:right w:val="single" w:sz="8" w:color="auto"/>
            </w:tcBorders>
            <w:vMerge w:val="continue"/>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8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680" w:type="dxa"/>
            <w:vAlign w:val="bottom"/>
            <w:tcBorders>
              <w:right w:val="single" w:sz="8" w:color="auto"/>
            </w:tcBorders>
            <w:shd w:val="clear" w:color="auto" w:fill="D9E2F3"/>
          </w:tcPr>
          <w:p>
            <w:pPr>
              <w:spacing w:after="0"/>
              <w:rPr>
                <w:sz w:val="3"/>
                <w:szCs w:val="3"/>
                <w:color w:val="auto"/>
              </w:rPr>
            </w:pPr>
          </w:p>
        </w:tc>
        <w:tc>
          <w:tcPr>
            <w:tcW w:w="220" w:type="dxa"/>
            <w:vAlign w:val="bottom"/>
            <w:shd w:val="clear" w:color="auto" w:fill="D9E2F3"/>
          </w:tcPr>
          <w:p>
            <w:pPr>
              <w:spacing w:after="0"/>
              <w:rPr>
                <w:sz w:val="3"/>
                <w:szCs w:val="3"/>
                <w:color w:val="auto"/>
              </w:rPr>
            </w:pPr>
          </w:p>
        </w:tc>
        <w:tc>
          <w:tcPr>
            <w:tcW w:w="54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820" w:type="dxa"/>
            <w:vAlign w:val="bottom"/>
            <w:tcBorders>
              <w:right w:val="single" w:sz="8" w:color="auto"/>
            </w:tcBorders>
            <w:shd w:val="clear" w:color="auto" w:fill="D9E2F3"/>
          </w:tcPr>
          <w:p>
            <w:pPr>
              <w:spacing w:after="0"/>
              <w:rPr>
                <w:sz w:val="3"/>
                <w:szCs w:val="3"/>
                <w:color w:val="auto"/>
              </w:rPr>
            </w:pPr>
          </w:p>
        </w:tc>
        <w:tc>
          <w:tcPr>
            <w:tcW w:w="840" w:type="dxa"/>
            <w:vAlign w:val="bottom"/>
            <w:tcBorders>
              <w:right w:val="single" w:sz="8" w:color="auto"/>
            </w:tcBorders>
            <w:shd w:val="clear" w:color="auto" w:fill="D9E2F3"/>
          </w:tcPr>
          <w:p>
            <w:pPr>
              <w:spacing w:after="0"/>
              <w:rPr>
                <w:sz w:val="3"/>
                <w:szCs w:val="3"/>
                <w:color w:val="auto"/>
              </w:rPr>
            </w:pPr>
          </w:p>
        </w:tc>
        <w:tc>
          <w:tcPr>
            <w:tcW w:w="860" w:type="dxa"/>
            <w:vAlign w:val="bottom"/>
            <w:tcBorders>
              <w:right w:val="single" w:sz="8" w:color="auto"/>
            </w:tcBorders>
            <w:shd w:val="clear" w:color="auto" w:fill="D9E2F3"/>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Eagle, CO</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Borders>
              <w:left w:val="single" w:sz="8" w:color="D9E2F3"/>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(0503997)</w:t>
            </w: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680" w:type="dxa"/>
            <w:vAlign w:val="bottom"/>
            <w:tcBorders>
              <w:bottom w:val="single" w:sz="8" w:color="auto"/>
              <w:right w:val="single" w:sz="8" w:color="auto"/>
            </w:tcBorders>
            <w:shd w:val="clear" w:color="auto" w:fill="D9E2F3"/>
          </w:tcPr>
          <w:p>
            <w:pPr>
              <w:spacing w:after="0"/>
              <w:rPr>
                <w:sz w:val="14"/>
                <w:szCs w:val="14"/>
                <w:color w:val="auto"/>
              </w:rPr>
            </w:pPr>
          </w:p>
        </w:tc>
        <w:tc>
          <w:tcPr>
            <w:tcW w:w="220" w:type="dxa"/>
            <w:vAlign w:val="bottom"/>
            <w:tcBorders>
              <w:bottom w:val="single" w:sz="8" w:color="auto"/>
            </w:tcBorders>
            <w:shd w:val="clear" w:color="auto" w:fill="D9E2F3"/>
          </w:tcPr>
          <w:p>
            <w:pPr>
              <w:spacing w:after="0"/>
              <w:rPr>
                <w:sz w:val="14"/>
                <w:szCs w:val="14"/>
                <w:color w:val="auto"/>
              </w:rPr>
            </w:pPr>
          </w:p>
        </w:tc>
        <w:tc>
          <w:tcPr>
            <w:tcW w:w="54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82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86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Battletown</w:t>
            </w: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Quarry</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9"/>
        </w:trPr>
        <w:tc>
          <w:tcPr>
            <w:tcW w:w="92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Battletown,</w:t>
            </w: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4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KY</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(1500040)</w:t>
            </w: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D9E2F3"/>
              <w:right w:val="single" w:sz="8" w:color="auto"/>
            </w:tcBorders>
            <w:shd w:val="clear" w:color="auto" w:fill="D9E2F3"/>
          </w:tcPr>
          <w:p>
            <w:pPr>
              <w:ind w:left="120"/>
              <w:spacing w:after="0" w:line="119" w:lineRule="exact"/>
              <w:rPr>
                <w:sz w:val="20"/>
                <w:szCs w:val="20"/>
                <w:color w:val="auto"/>
              </w:rPr>
            </w:pPr>
            <w:r>
              <w:rPr>
                <w:rFonts w:ascii="Times New Roman" w:cs="Times New Roman" w:eastAsia="Times New Roman" w:hAnsi="Times New Roman"/>
                <w:sz w:val="13"/>
                <w:szCs w:val="13"/>
                <w:color w:val="auto"/>
              </w:rPr>
              <w:t>Centex</w:t>
            </w:r>
          </w:p>
        </w:tc>
        <w:tc>
          <w:tcPr>
            <w:tcW w:w="70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8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680" w:type="dxa"/>
            <w:vAlign w:val="bottom"/>
            <w:tcBorders>
              <w:right w:val="single" w:sz="8" w:color="auto"/>
            </w:tcBorders>
            <w:shd w:val="clear" w:color="auto" w:fill="D9E2F3"/>
          </w:tcPr>
          <w:p>
            <w:pPr>
              <w:spacing w:after="0"/>
              <w:rPr>
                <w:sz w:val="10"/>
                <w:szCs w:val="10"/>
                <w:color w:val="auto"/>
              </w:rPr>
            </w:pPr>
          </w:p>
        </w:tc>
        <w:tc>
          <w:tcPr>
            <w:tcW w:w="220" w:type="dxa"/>
            <w:vAlign w:val="bottom"/>
            <w:shd w:val="clear" w:color="auto" w:fill="D9E2F3"/>
          </w:tcPr>
          <w:p>
            <w:pPr>
              <w:spacing w:after="0"/>
              <w:rPr>
                <w:sz w:val="10"/>
                <w:szCs w:val="10"/>
                <w:color w:val="auto"/>
              </w:rPr>
            </w:pPr>
          </w:p>
        </w:tc>
        <w:tc>
          <w:tcPr>
            <w:tcW w:w="54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820" w:type="dxa"/>
            <w:vAlign w:val="bottom"/>
            <w:tcBorders>
              <w:right w:val="single" w:sz="8" w:color="auto"/>
            </w:tcBorders>
            <w:shd w:val="clear" w:color="auto" w:fill="D9E2F3"/>
          </w:tcPr>
          <w:p>
            <w:pPr>
              <w:spacing w:after="0"/>
              <w:rPr>
                <w:sz w:val="10"/>
                <w:szCs w:val="10"/>
                <w:color w:val="auto"/>
              </w:rPr>
            </w:pPr>
          </w:p>
        </w:tc>
        <w:tc>
          <w:tcPr>
            <w:tcW w:w="840" w:type="dxa"/>
            <w:vAlign w:val="bottom"/>
            <w:tcBorders>
              <w:right w:val="single" w:sz="8" w:color="auto"/>
            </w:tcBorders>
            <w:shd w:val="clear" w:color="auto" w:fill="D9E2F3"/>
          </w:tcPr>
          <w:p>
            <w:pPr>
              <w:spacing w:after="0"/>
              <w:rPr>
                <w:sz w:val="10"/>
                <w:szCs w:val="10"/>
                <w:color w:val="auto"/>
              </w:rPr>
            </w:pPr>
          </w:p>
        </w:tc>
        <w:tc>
          <w:tcPr>
            <w:tcW w:w="860" w:type="dxa"/>
            <w:vAlign w:val="bottom"/>
            <w:tcBorders>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Materials</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20" w:type="dxa"/>
            <w:vAlign w:val="bottom"/>
            <w:vMerge w:val="restart"/>
            <w:shd w:val="clear" w:color="auto" w:fill="D9E2F3"/>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vMerge w:val="restart"/>
            <w:shd w:val="clear" w:color="auto" w:fill="D9E2F3"/>
          </w:tcPr>
          <w:p>
            <w:pPr>
              <w:jc w:val="right"/>
              <w:ind w:right="22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9"/>
        </w:trPr>
        <w:tc>
          <w:tcPr>
            <w:tcW w:w="92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680" w:type="dxa"/>
            <w:vAlign w:val="bottom"/>
            <w:tcBorders>
              <w:right w:val="single" w:sz="8" w:color="auto"/>
            </w:tcBorders>
            <w:vMerge w:val="continue"/>
            <w:shd w:val="clear" w:color="auto" w:fill="D9E2F3"/>
          </w:tcPr>
          <w:p>
            <w:pPr>
              <w:spacing w:after="0"/>
              <w:rPr>
                <w:sz w:val="12"/>
                <w:szCs w:val="12"/>
                <w:color w:val="auto"/>
              </w:rPr>
            </w:pPr>
          </w:p>
        </w:tc>
        <w:tc>
          <w:tcPr>
            <w:tcW w:w="220" w:type="dxa"/>
            <w:vAlign w:val="bottom"/>
            <w:vMerge w:val="continue"/>
            <w:shd w:val="clear" w:color="auto" w:fill="D9E2F3"/>
          </w:tcPr>
          <w:p>
            <w:pPr>
              <w:spacing w:after="0"/>
              <w:rPr>
                <w:sz w:val="12"/>
                <w:szCs w:val="12"/>
                <w:color w:val="auto"/>
              </w:rPr>
            </w:pPr>
          </w:p>
        </w:tc>
        <w:tc>
          <w:tcPr>
            <w:tcW w:w="54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82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86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Buda, TX</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Borders>
              <w:left w:val="single" w:sz="8" w:color="D9E2F3"/>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(4102241)</w:t>
            </w: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680" w:type="dxa"/>
            <w:vAlign w:val="bottom"/>
            <w:tcBorders>
              <w:bottom w:val="single" w:sz="8" w:color="auto"/>
              <w:right w:val="single" w:sz="8" w:color="auto"/>
            </w:tcBorders>
            <w:shd w:val="clear" w:color="auto" w:fill="D9E2F3"/>
          </w:tcPr>
          <w:p>
            <w:pPr>
              <w:spacing w:after="0"/>
              <w:rPr>
                <w:sz w:val="14"/>
                <w:szCs w:val="14"/>
                <w:color w:val="auto"/>
              </w:rPr>
            </w:pPr>
          </w:p>
        </w:tc>
        <w:tc>
          <w:tcPr>
            <w:tcW w:w="220" w:type="dxa"/>
            <w:vAlign w:val="bottom"/>
            <w:tcBorders>
              <w:bottom w:val="single" w:sz="8" w:color="auto"/>
            </w:tcBorders>
            <w:shd w:val="clear" w:color="auto" w:fill="D9E2F3"/>
          </w:tcPr>
          <w:p>
            <w:pPr>
              <w:spacing w:after="0"/>
              <w:rPr>
                <w:sz w:val="14"/>
                <w:szCs w:val="14"/>
                <w:color w:val="auto"/>
              </w:rPr>
            </w:pPr>
          </w:p>
        </w:tc>
        <w:tc>
          <w:tcPr>
            <w:tcW w:w="54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82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86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Central</w:t>
            </w: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Plains</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20" w:type="dxa"/>
            <w:vAlign w:val="bottom"/>
            <w:tcBorders>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24"/>
                <w:szCs w:val="24"/>
                <w:color w:val="auto"/>
                <w:w w:val="97"/>
                <w:vertAlign w:val="subscript"/>
              </w:rPr>
              <w:t>1</w:t>
            </w:r>
            <w:r>
              <w:rPr>
                <w:rFonts w:ascii="Times New Roman" w:cs="Times New Roman" w:eastAsia="Times New Roman" w:hAnsi="Times New Roman"/>
                <w:sz w:val="9"/>
                <w:szCs w:val="9"/>
                <w:color w:val="auto"/>
                <w:w w:val="97"/>
              </w:rPr>
              <w:t>(1)</w:t>
            </w:r>
          </w:p>
        </w:tc>
        <w:tc>
          <w:tcPr>
            <w:tcW w:w="840" w:type="dxa"/>
            <w:vAlign w:val="bottom"/>
            <w:tcBorders>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24"/>
                <w:szCs w:val="24"/>
                <w:color w:val="auto"/>
                <w:w w:val="97"/>
                <w:vertAlign w:val="subscript"/>
              </w:rPr>
              <w:t>1</w:t>
            </w:r>
            <w:r>
              <w:rPr>
                <w:rFonts w:ascii="Times New Roman" w:cs="Times New Roman" w:eastAsia="Times New Roman" w:hAnsi="Times New Roman"/>
                <w:sz w:val="9"/>
                <w:szCs w:val="9"/>
                <w:color w:val="auto"/>
                <w:w w:val="97"/>
              </w:rPr>
              <w:t>(1)</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85"/>
        </w:trPr>
        <w:tc>
          <w:tcPr>
            <w:tcW w:w="920" w:type="dxa"/>
            <w:vAlign w:val="bottom"/>
            <w:tcBorders>
              <w:right w:val="single" w:sz="8" w:color="auto"/>
            </w:tcBorders>
          </w:tcPr>
          <w:p>
            <w:pPr>
              <w:ind w:left="120"/>
              <w:spacing w:after="0" w:line="85" w:lineRule="exact"/>
              <w:rPr>
                <w:sz w:val="20"/>
                <w:szCs w:val="20"/>
                <w:color w:val="auto"/>
              </w:rPr>
            </w:pPr>
            <w:r>
              <w:rPr>
                <w:rFonts w:ascii="Times New Roman" w:cs="Times New Roman" w:eastAsia="Times New Roman" w:hAnsi="Times New Roman"/>
                <w:sz w:val="9"/>
                <w:szCs w:val="9"/>
                <w:color w:val="auto"/>
              </w:rPr>
              <w:t>LLC</w:t>
            </w:r>
          </w:p>
        </w:tc>
        <w:tc>
          <w:tcPr>
            <w:tcW w:w="70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Sugar</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Creek, MO</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(2302171)</w:t>
            </w: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D9E2F3"/>
              <w:right w:val="single" w:sz="8" w:color="auto"/>
            </w:tcBorders>
            <w:shd w:val="clear" w:color="auto" w:fill="D9E2F3"/>
          </w:tcPr>
          <w:p>
            <w:pPr>
              <w:ind w:left="120"/>
              <w:spacing w:after="0" w:line="119" w:lineRule="exact"/>
              <w:rPr>
                <w:sz w:val="20"/>
                <w:szCs w:val="20"/>
                <w:color w:val="auto"/>
              </w:rPr>
            </w:pPr>
            <w:r>
              <w:rPr>
                <w:rFonts w:ascii="Times New Roman" w:cs="Times New Roman" w:eastAsia="Times New Roman" w:hAnsi="Times New Roman"/>
                <w:sz w:val="13"/>
                <w:szCs w:val="13"/>
                <w:color w:val="auto"/>
              </w:rPr>
              <w:t>Central</w:t>
            </w:r>
          </w:p>
        </w:tc>
        <w:tc>
          <w:tcPr>
            <w:tcW w:w="70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8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680" w:type="dxa"/>
            <w:vAlign w:val="bottom"/>
            <w:tcBorders>
              <w:right w:val="single" w:sz="8" w:color="auto"/>
            </w:tcBorders>
            <w:shd w:val="clear" w:color="auto" w:fill="D9E2F3"/>
          </w:tcPr>
          <w:p>
            <w:pPr>
              <w:spacing w:after="0"/>
              <w:rPr>
                <w:sz w:val="10"/>
                <w:szCs w:val="10"/>
                <w:color w:val="auto"/>
              </w:rPr>
            </w:pPr>
          </w:p>
        </w:tc>
        <w:tc>
          <w:tcPr>
            <w:tcW w:w="220" w:type="dxa"/>
            <w:vAlign w:val="bottom"/>
            <w:shd w:val="clear" w:color="auto" w:fill="D9E2F3"/>
          </w:tcPr>
          <w:p>
            <w:pPr>
              <w:spacing w:after="0"/>
              <w:rPr>
                <w:sz w:val="10"/>
                <w:szCs w:val="10"/>
                <w:color w:val="auto"/>
              </w:rPr>
            </w:pPr>
          </w:p>
        </w:tc>
        <w:tc>
          <w:tcPr>
            <w:tcW w:w="54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820" w:type="dxa"/>
            <w:vAlign w:val="bottom"/>
            <w:tcBorders>
              <w:right w:val="single" w:sz="8" w:color="auto"/>
            </w:tcBorders>
            <w:shd w:val="clear" w:color="auto" w:fill="D9E2F3"/>
          </w:tcPr>
          <w:p>
            <w:pPr>
              <w:spacing w:after="0"/>
              <w:rPr>
                <w:sz w:val="10"/>
                <w:szCs w:val="10"/>
                <w:color w:val="auto"/>
              </w:rPr>
            </w:pPr>
          </w:p>
        </w:tc>
        <w:tc>
          <w:tcPr>
            <w:tcW w:w="840" w:type="dxa"/>
            <w:vAlign w:val="bottom"/>
            <w:tcBorders>
              <w:right w:val="single" w:sz="8" w:color="auto"/>
            </w:tcBorders>
            <w:shd w:val="clear" w:color="auto" w:fill="D9E2F3"/>
          </w:tcPr>
          <w:p>
            <w:pPr>
              <w:spacing w:after="0"/>
              <w:rPr>
                <w:sz w:val="10"/>
                <w:szCs w:val="10"/>
                <w:color w:val="auto"/>
              </w:rPr>
            </w:pPr>
          </w:p>
        </w:tc>
        <w:tc>
          <w:tcPr>
            <w:tcW w:w="860" w:type="dxa"/>
            <w:vAlign w:val="bottom"/>
            <w:tcBorders>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Plains</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gridSpan w:val="2"/>
            <w:vMerge w:val="restart"/>
            <w:shd w:val="clear" w:color="auto" w:fill="D9E2F3"/>
          </w:tcPr>
          <w:p>
            <w:pPr>
              <w:ind w:left="140"/>
              <w:spacing w:after="0"/>
              <w:rPr>
                <w:sz w:val="20"/>
                <w:szCs w:val="20"/>
                <w:color w:val="auto"/>
              </w:rPr>
            </w:pPr>
            <w:r>
              <w:rPr>
                <w:rFonts w:ascii="Times New Roman" w:cs="Times New Roman" w:eastAsia="Times New Roman" w:hAnsi="Times New Roman"/>
                <w:sz w:val="14"/>
                <w:szCs w:val="14"/>
                <w:color w:val="auto"/>
              </w:rPr>
              <w:t>$16,317</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9"/>
        </w:trPr>
        <w:tc>
          <w:tcPr>
            <w:tcW w:w="92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68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gridSpan w:val="2"/>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82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86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Tulsa, OK</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Borders>
              <w:left w:val="single" w:sz="8" w:color="D9E2F3"/>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(3400026)</w:t>
            </w: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680" w:type="dxa"/>
            <w:vAlign w:val="bottom"/>
            <w:tcBorders>
              <w:bottom w:val="single" w:sz="8" w:color="auto"/>
              <w:right w:val="single" w:sz="8" w:color="auto"/>
            </w:tcBorders>
            <w:shd w:val="clear" w:color="auto" w:fill="D9E2F3"/>
          </w:tcPr>
          <w:p>
            <w:pPr>
              <w:spacing w:after="0"/>
              <w:rPr>
                <w:sz w:val="14"/>
                <w:szCs w:val="14"/>
                <w:color w:val="auto"/>
              </w:rPr>
            </w:pPr>
          </w:p>
        </w:tc>
        <w:tc>
          <w:tcPr>
            <w:tcW w:w="220" w:type="dxa"/>
            <w:vAlign w:val="bottom"/>
            <w:tcBorders>
              <w:bottom w:val="single" w:sz="8" w:color="auto"/>
            </w:tcBorders>
            <w:shd w:val="clear" w:color="auto" w:fill="D9E2F3"/>
          </w:tcPr>
          <w:p>
            <w:pPr>
              <w:spacing w:after="0"/>
              <w:rPr>
                <w:sz w:val="14"/>
                <w:szCs w:val="14"/>
                <w:color w:val="auto"/>
              </w:rPr>
            </w:pPr>
          </w:p>
        </w:tc>
        <w:tc>
          <w:tcPr>
            <w:tcW w:w="54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82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86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Fairborn</w:t>
            </w: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07"/>
        </w:trPr>
        <w:tc>
          <w:tcPr>
            <w:tcW w:w="920" w:type="dxa"/>
            <w:vAlign w:val="bottom"/>
            <w:tcBorders>
              <w:right w:val="single" w:sz="8" w:color="auto"/>
            </w:tcBorders>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Greene</w:t>
            </w:r>
          </w:p>
        </w:tc>
        <w:tc>
          <w:tcPr>
            <w:tcW w:w="70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54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920" w:type="dxa"/>
            <w:vAlign w:val="bottom"/>
            <w:tcBorders>
              <w:right w:val="single" w:sz="8" w:color="auto"/>
            </w:tcBorders>
            <w:vMerge w:val="continue"/>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92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County,</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OH</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(3300161)</w:t>
            </w: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D9E2F3"/>
              <w:right w:val="single" w:sz="8" w:color="auto"/>
            </w:tcBorders>
            <w:shd w:val="clear" w:color="auto" w:fill="D9E2F3"/>
          </w:tcPr>
          <w:p>
            <w:pPr>
              <w:ind w:left="120"/>
              <w:spacing w:after="0" w:line="119" w:lineRule="exact"/>
              <w:rPr>
                <w:sz w:val="20"/>
                <w:szCs w:val="20"/>
                <w:color w:val="auto"/>
              </w:rPr>
            </w:pPr>
            <w:r>
              <w:rPr>
                <w:rFonts w:ascii="Times New Roman" w:cs="Times New Roman" w:eastAsia="Times New Roman" w:hAnsi="Times New Roman"/>
                <w:sz w:val="13"/>
                <w:szCs w:val="13"/>
                <w:color w:val="auto"/>
              </w:rPr>
              <w:t>Illinois</w:t>
            </w:r>
          </w:p>
        </w:tc>
        <w:tc>
          <w:tcPr>
            <w:tcW w:w="70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8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680" w:type="dxa"/>
            <w:vAlign w:val="bottom"/>
            <w:tcBorders>
              <w:right w:val="single" w:sz="8" w:color="auto"/>
            </w:tcBorders>
            <w:shd w:val="clear" w:color="auto" w:fill="D9E2F3"/>
          </w:tcPr>
          <w:p>
            <w:pPr>
              <w:spacing w:after="0"/>
              <w:rPr>
                <w:sz w:val="10"/>
                <w:szCs w:val="10"/>
                <w:color w:val="auto"/>
              </w:rPr>
            </w:pPr>
          </w:p>
        </w:tc>
        <w:tc>
          <w:tcPr>
            <w:tcW w:w="220" w:type="dxa"/>
            <w:vAlign w:val="bottom"/>
            <w:shd w:val="clear" w:color="auto" w:fill="D9E2F3"/>
          </w:tcPr>
          <w:p>
            <w:pPr>
              <w:spacing w:after="0"/>
              <w:rPr>
                <w:sz w:val="10"/>
                <w:szCs w:val="10"/>
                <w:color w:val="auto"/>
              </w:rPr>
            </w:pPr>
          </w:p>
        </w:tc>
        <w:tc>
          <w:tcPr>
            <w:tcW w:w="54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820" w:type="dxa"/>
            <w:vAlign w:val="bottom"/>
            <w:tcBorders>
              <w:right w:val="single" w:sz="8" w:color="auto"/>
            </w:tcBorders>
            <w:shd w:val="clear" w:color="auto" w:fill="D9E2F3"/>
          </w:tcPr>
          <w:p>
            <w:pPr>
              <w:spacing w:after="0"/>
              <w:rPr>
                <w:sz w:val="10"/>
                <w:szCs w:val="10"/>
                <w:color w:val="auto"/>
              </w:rPr>
            </w:pPr>
          </w:p>
        </w:tc>
        <w:tc>
          <w:tcPr>
            <w:tcW w:w="840" w:type="dxa"/>
            <w:vAlign w:val="bottom"/>
            <w:tcBorders>
              <w:right w:val="single" w:sz="8" w:color="auto"/>
            </w:tcBorders>
            <w:shd w:val="clear" w:color="auto" w:fill="D9E2F3"/>
          </w:tcPr>
          <w:p>
            <w:pPr>
              <w:spacing w:after="0"/>
              <w:rPr>
                <w:sz w:val="10"/>
                <w:szCs w:val="10"/>
                <w:color w:val="auto"/>
              </w:rPr>
            </w:pPr>
          </w:p>
        </w:tc>
        <w:tc>
          <w:tcPr>
            <w:tcW w:w="860" w:type="dxa"/>
            <w:vAlign w:val="bottom"/>
            <w:tcBorders>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20" w:type="dxa"/>
            <w:vAlign w:val="bottom"/>
            <w:vMerge w:val="restart"/>
            <w:shd w:val="clear" w:color="auto" w:fill="D9E2F3"/>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vMerge w:val="restart"/>
            <w:shd w:val="clear" w:color="auto" w:fill="D9E2F3"/>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07"/>
        </w:trPr>
        <w:tc>
          <w:tcPr>
            <w:tcW w:w="920" w:type="dxa"/>
            <w:vAlign w:val="bottom"/>
            <w:tcBorders>
              <w:left w:val="single" w:sz="8" w:color="D9E2F3"/>
              <w:right w:val="single" w:sz="8" w:color="auto"/>
            </w:tcBorders>
            <w:vMerge w:val="restart"/>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60" w:type="dxa"/>
            <w:vAlign w:val="bottom"/>
            <w:tcBorders>
              <w:right w:val="single" w:sz="8" w:color="auto"/>
            </w:tcBorders>
            <w:vMerge w:val="continue"/>
            <w:shd w:val="clear" w:color="auto" w:fill="D9E2F3"/>
          </w:tcPr>
          <w:p>
            <w:pPr>
              <w:spacing w:after="0"/>
              <w:rPr>
                <w:sz w:val="9"/>
                <w:szCs w:val="9"/>
                <w:color w:val="auto"/>
              </w:rPr>
            </w:pPr>
          </w:p>
        </w:tc>
        <w:tc>
          <w:tcPr>
            <w:tcW w:w="78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680" w:type="dxa"/>
            <w:vAlign w:val="bottom"/>
            <w:tcBorders>
              <w:right w:val="single" w:sz="8" w:color="auto"/>
            </w:tcBorders>
            <w:vMerge w:val="continue"/>
            <w:shd w:val="clear" w:color="auto" w:fill="D9E2F3"/>
          </w:tcPr>
          <w:p>
            <w:pPr>
              <w:spacing w:after="0"/>
              <w:rPr>
                <w:sz w:val="9"/>
                <w:szCs w:val="9"/>
                <w:color w:val="auto"/>
              </w:rPr>
            </w:pPr>
          </w:p>
        </w:tc>
        <w:tc>
          <w:tcPr>
            <w:tcW w:w="220" w:type="dxa"/>
            <w:vAlign w:val="bottom"/>
            <w:vMerge w:val="continue"/>
            <w:shd w:val="clear" w:color="auto" w:fill="D9E2F3"/>
          </w:tcPr>
          <w:p>
            <w:pPr>
              <w:spacing w:after="0"/>
              <w:rPr>
                <w:sz w:val="9"/>
                <w:szCs w:val="9"/>
                <w:color w:val="auto"/>
              </w:rPr>
            </w:pPr>
          </w:p>
        </w:tc>
        <w:tc>
          <w:tcPr>
            <w:tcW w:w="54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40" w:type="dxa"/>
            <w:vAlign w:val="bottom"/>
            <w:tcBorders>
              <w:right w:val="single" w:sz="8" w:color="auto"/>
            </w:tcBorders>
            <w:vMerge w:val="continue"/>
            <w:shd w:val="clear" w:color="auto" w:fill="D9E2F3"/>
          </w:tcPr>
          <w:p>
            <w:pPr>
              <w:spacing w:after="0"/>
              <w:rPr>
                <w:sz w:val="9"/>
                <w:szCs w:val="9"/>
                <w:color w:val="auto"/>
              </w:rPr>
            </w:pPr>
          </w:p>
        </w:tc>
        <w:tc>
          <w:tcPr>
            <w:tcW w:w="740" w:type="dxa"/>
            <w:vAlign w:val="bottom"/>
            <w:tcBorders>
              <w:right w:val="single" w:sz="8" w:color="auto"/>
            </w:tcBorders>
            <w:vMerge w:val="continue"/>
            <w:shd w:val="clear" w:color="auto" w:fill="D9E2F3"/>
          </w:tcPr>
          <w:p>
            <w:pPr>
              <w:spacing w:after="0"/>
              <w:rPr>
                <w:sz w:val="9"/>
                <w:szCs w:val="9"/>
                <w:color w:val="auto"/>
              </w:rPr>
            </w:pPr>
          </w:p>
        </w:tc>
        <w:tc>
          <w:tcPr>
            <w:tcW w:w="820" w:type="dxa"/>
            <w:vAlign w:val="bottom"/>
            <w:tcBorders>
              <w:right w:val="single" w:sz="8" w:color="auto"/>
            </w:tcBorders>
            <w:vMerge w:val="continue"/>
            <w:shd w:val="clear" w:color="auto" w:fill="D9E2F3"/>
          </w:tcPr>
          <w:p>
            <w:pPr>
              <w:spacing w:after="0"/>
              <w:rPr>
                <w:sz w:val="9"/>
                <w:szCs w:val="9"/>
                <w:color w:val="auto"/>
              </w:rPr>
            </w:pPr>
          </w:p>
        </w:tc>
        <w:tc>
          <w:tcPr>
            <w:tcW w:w="840" w:type="dxa"/>
            <w:vAlign w:val="bottom"/>
            <w:tcBorders>
              <w:right w:val="single" w:sz="8" w:color="auto"/>
            </w:tcBorders>
            <w:vMerge w:val="continue"/>
            <w:shd w:val="clear" w:color="auto" w:fill="D9E2F3"/>
          </w:tcPr>
          <w:p>
            <w:pPr>
              <w:spacing w:after="0"/>
              <w:rPr>
                <w:sz w:val="9"/>
                <w:szCs w:val="9"/>
                <w:color w:val="auto"/>
              </w:rPr>
            </w:pPr>
          </w:p>
        </w:tc>
        <w:tc>
          <w:tcPr>
            <w:tcW w:w="860" w:type="dxa"/>
            <w:vAlign w:val="bottom"/>
            <w:tcBorders>
              <w:right w:val="single" w:sz="8" w:color="auto"/>
            </w:tcBorders>
            <w:vMerge w:val="continue"/>
            <w:shd w:val="clear" w:color="auto" w:fill="D9E2F3"/>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920" w:type="dxa"/>
            <w:vAlign w:val="bottom"/>
            <w:tcBorders>
              <w:left w:val="single" w:sz="8" w:color="D9E2F3"/>
              <w:right w:val="single" w:sz="8" w:color="auto"/>
            </w:tcBorders>
            <w:vMerge w:val="continue"/>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8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680" w:type="dxa"/>
            <w:vAlign w:val="bottom"/>
            <w:tcBorders>
              <w:right w:val="single" w:sz="8" w:color="auto"/>
            </w:tcBorders>
            <w:shd w:val="clear" w:color="auto" w:fill="D9E2F3"/>
          </w:tcPr>
          <w:p>
            <w:pPr>
              <w:spacing w:after="0"/>
              <w:rPr>
                <w:sz w:val="3"/>
                <w:szCs w:val="3"/>
                <w:color w:val="auto"/>
              </w:rPr>
            </w:pPr>
          </w:p>
        </w:tc>
        <w:tc>
          <w:tcPr>
            <w:tcW w:w="220" w:type="dxa"/>
            <w:vAlign w:val="bottom"/>
            <w:shd w:val="clear" w:color="auto" w:fill="D9E2F3"/>
          </w:tcPr>
          <w:p>
            <w:pPr>
              <w:spacing w:after="0"/>
              <w:rPr>
                <w:sz w:val="3"/>
                <w:szCs w:val="3"/>
                <w:color w:val="auto"/>
              </w:rPr>
            </w:pPr>
          </w:p>
        </w:tc>
        <w:tc>
          <w:tcPr>
            <w:tcW w:w="54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820" w:type="dxa"/>
            <w:vAlign w:val="bottom"/>
            <w:tcBorders>
              <w:right w:val="single" w:sz="8" w:color="auto"/>
            </w:tcBorders>
            <w:shd w:val="clear" w:color="auto" w:fill="D9E2F3"/>
          </w:tcPr>
          <w:p>
            <w:pPr>
              <w:spacing w:after="0"/>
              <w:rPr>
                <w:sz w:val="3"/>
                <w:szCs w:val="3"/>
                <w:color w:val="auto"/>
              </w:rPr>
            </w:pPr>
          </w:p>
        </w:tc>
        <w:tc>
          <w:tcPr>
            <w:tcW w:w="840" w:type="dxa"/>
            <w:vAlign w:val="bottom"/>
            <w:tcBorders>
              <w:right w:val="single" w:sz="8" w:color="auto"/>
            </w:tcBorders>
            <w:shd w:val="clear" w:color="auto" w:fill="D9E2F3"/>
          </w:tcPr>
          <w:p>
            <w:pPr>
              <w:spacing w:after="0"/>
              <w:rPr>
                <w:sz w:val="3"/>
                <w:szCs w:val="3"/>
                <w:color w:val="auto"/>
              </w:rPr>
            </w:pPr>
          </w:p>
        </w:tc>
        <w:tc>
          <w:tcPr>
            <w:tcW w:w="860" w:type="dxa"/>
            <w:vAlign w:val="bottom"/>
            <w:tcBorders>
              <w:right w:val="single" w:sz="8" w:color="auto"/>
            </w:tcBorders>
            <w:shd w:val="clear" w:color="auto" w:fill="D9E2F3"/>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LaSalle, IL</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Borders>
              <w:left w:val="single" w:sz="8" w:color="D9E2F3"/>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(1100003)</w:t>
            </w: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680" w:type="dxa"/>
            <w:vAlign w:val="bottom"/>
            <w:tcBorders>
              <w:bottom w:val="single" w:sz="8" w:color="auto"/>
              <w:right w:val="single" w:sz="8" w:color="auto"/>
            </w:tcBorders>
            <w:shd w:val="clear" w:color="auto" w:fill="D9E2F3"/>
          </w:tcPr>
          <w:p>
            <w:pPr>
              <w:spacing w:after="0"/>
              <w:rPr>
                <w:sz w:val="14"/>
                <w:szCs w:val="14"/>
                <w:color w:val="auto"/>
              </w:rPr>
            </w:pPr>
          </w:p>
        </w:tc>
        <w:tc>
          <w:tcPr>
            <w:tcW w:w="220" w:type="dxa"/>
            <w:vAlign w:val="bottom"/>
            <w:tcBorders>
              <w:bottom w:val="single" w:sz="8" w:color="auto"/>
            </w:tcBorders>
            <w:shd w:val="clear" w:color="auto" w:fill="D9E2F3"/>
          </w:tcPr>
          <w:p>
            <w:pPr>
              <w:spacing w:after="0"/>
              <w:rPr>
                <w:sz w:val="14"/>
                <w:szCs w:val="14"/>
                <w:color w:val="auto"/>
              </w:rPr>
            </w:pPr>
          </w:p>
        </w:tc>
        <w:tc>
          <w:tcPr>
            <w:tcW w:w="54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82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86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Kosmos</w:t>
            </w: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4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Jefferson,</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KY</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(1504469)</w:t>
            </w: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D9E2F3"/>
              <w:right w:val="single" w:sz="8" w:color="auto"/>
            </w:tcBorders>
            <w:shd w:val="clear" w:color="auto" w:fill="D9E2F3"/>
          </w:tcPr>
          <w:p>
            <w:pPr>
              <w:ind w:left="120"/>
              <w:spacing w:after="0" w:line="119" w:lineRule="exact"/>
              <w:rPr>
                <w:sz w:val="20"/>
                <w:szCs w:val="20"/>
                <w:color w:val="auto"/>
              </w:rPr>
            </w:pPr>
            <w:r>
              <w:rPr>
                <w:rFonts w:ascii="Times New Roman" w:cs="Times New Roman" w:eastAsia="Times New Roman" w:hAnsi="Times New Roman"/>
                <w:sz w:val="13"/>
                <w:szCs w:val="13"/>
                <w:color w:val="auto"/>
              </w:rPr>
              <w:t>Mountain</w:t>
            </w:r>
          </w:p>
        </w:tc>
        <w:tc>
          <w:tcPr>
            <w:tcW w:w="700" w:type="dxa"/>
            <w:vAlign w:val="bottom"/>
            <w:tcBorders>
              <w:right w:val="single" w:sz="8" w:color="auto"/>
            </w:tcBorders>
            <w:shd w:val="clear" w:color="auto" w:fill="D9E2F3"/>
          </w:tcPr>
          <w:p>
            <w:pPr>
              <w:jc w:val="center"/>
              <w:spacing w:after="0" w:line="119" w:lineRule="exact"/>
              <w:rPr>
                <w:sz w:val="20"/>
                <w:szCs w:val="20"/>
                <w:color w:val="auto"/>
              </w:rPr>
            </w:pPr>
            <w:r>
              <w:rPr>
                <w:rFonts w:ascii="Times New Roman" w:cs="Times New Roman" w:eastAsia="Times New Roman" w:hAnsi="Times New Roman"/>
                <w:sz w:val="13"/>
                <w:szCs w:val="13"/>
                <w:color w:val="auto"/>
                <w:w w:val="91"/>
              </w:rPr>
              <w:t>0</w:t>
            </w:r>
          </w:p>
        </w:tc>
        <w:tc>
          <w:tcPr>
            <w:tcW w:w="760" w:type="dxa"/>
            <w:vAlign w:val="bottom"/>
            <w:tcBorders>
              <w:right w:val="single" w:sz="8" w:color="auto"/>
            </w:tcBorders>
            <w:shd w:val="clear" w:color="auto" w:fill="D9E2F3"/>
          </w:tcPr>
          <w:p>
            <w:pPr>
              <w:jc w:val="center"/>
              <w:spacing w:after="0" w:line="119" w:lineRule="exact"/>
              <w:rPr>
                <w:sz w:val="20"/>
                <w:szCs w:val="20"/>
                <w:color w:val="auto"/>
              </w:rPr>
            </w:pPr>
            <w:r>
              <w:rPr>
                <w:rFonts w:ascii="Times New Roman" w:cs="Times New Roman" w:eastAsia="Times New Roman" w:hAnsi="Times New Roman"/>
                <w:sz w:val="13"/>
                <w:szCs w:val="13"/>
                <w:color w:val="auto"/>
              </w:rPr>
              <w:t>0</w:t>
            </w:r>
          </w:p>
        </w:tc>
        <w:tc>
          <w:tcPr>
            <w:tcW w:w="780" w:type="dxa"/>
            <w:vAlign w:val="bottom"/>
            <w:tcBorders>
              <w:right w:val="single" w:sz="8" w:color="auto"/>
            </w:tcBorders>
            <w:shd w:val="clear" w:color="auto" w:fill="D9E2F3"/>
          </w:tcPr>
          <w:p>
            <w:pPr>
              <w:jc w:val="center"/>
              <w:spacing w:after="0" w:line="119" w:lineRule="exact"/>
              <w:rPr>
                <w:sz w:val="20"/>
                <w:szCs w:val="20"/>
                <w:color w:val="auto"/>
              </w:rPr>
            </w:pPr>
            <w:r>
              <w:rPr>
                <w:rFonts w:ascii="Times New Roman" w:cs="Times New Roman" w:eastAsia="Times New Roman" w:hAnsi="Times New Roman"/>
                <w:sz w:val="13"/>
                <w:szCs w:val="13"/>
                <w:color w:val="auto"/>
              </w:rPr>
              <w:t>0</w:t>
            </w:r>
          </w:p>
        </w:tc>
        <w:tc>
          <w:tcPr>
            <w:tcW w:w="700" w:type="dxa"/>
            <w:vAlign w:val="bottom"/>
            <w:tcBorders>
              <w:right w:val="single" w:sz="8" w:color="auto"/>
            </w:tcBorders>
            <w:shd w:val="clear" w:color="auto" w:fill="D9E2F3"/>
          </w:tcPr>
          <w:p>
            <w:pPr>
              <w:jc w:val="center"/>
              <w:spacing w:after="0" w:line="119" w:lineRule="exact"/>
              <w:rPr>
                <w:sz w:val="20"/>
                <w:szCs w:val="20"/>
                <w:color w:val="auto"/>
              </w:rPr>
            </w:pPr>
            <w:r>
              <w:rPr>
                <w:rFonts w:ascii="Times New Roman" w:cs="Times New Roman" w:eastAsia="Times New Roman" w:hAnsi="Times New Roman"/>
                <w:sz w:val="13"/>
                <w:szCs w:val="13"/>
                <w:color w:val="auto"/>
                <w:w w:val="91"/>
              </w:rPr>
              <w:t>0</w:t>
            </w:r>
          </w:p>
        </w:tc>
        <w:tc>
          <w:tcPr>
            <w:tcW w:w="680" w:type="dxa"/>
            <w:vAlign w:val="bottom"/>
            <w:tcBorders>
              <w:right w:val="single" w:sz="8" w:color="auto"/>
            </w:tcBorders>
            <w:shd w:val="clear" w:color="auto" w:fill="D9E2F3"/>
          </w:tcPr>
          <w:p>
            <w:pPr>
              <w:jc w:val="center"/>
              <w:spacing w:after="0" w:line="119" w:lineRule="exact"/>
              <w:rPr>
                <w:sz w:val="20"/>
                <w:szCs w:val="20"/>
                <w:color w:val="auto"/>
              </w:rPr>
            </w:pPr>
            <w:r>
              <w:rPr>
                <w:rFonts w:ascii="Times New Roman" w:cs="Times New Roman" w:eastAsia="Times New Roman" w:hAnsi="Times New Roman"/>
                <w:sz w:val="13"/>
                <w:szCs w:val="13"/>
                <w:color w:val="auto"/>
                <w:w w:val="91"/>
              </w:rPr>
              <w:t>0</w:t>
            </w:r>
          </w:p>
        </w:tc>
        <w:tc>
          <w:tcPr>
            <w:tcW w:w="220" w:type="dxa"/>
            <w:vAlign w:val="bottom"/>
            <w:shd w:val="clear" w:color="auto" w:fill="D9E2F3"/>
          </w:tcPr>
          <w:p>
            <w:pPr>
              <w:ind w:left="14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right w:val="single" w:sz="8" w:color="auto"/>
            </w:tcBorders>
            <w:shd w:val="clear" w:color="auto" w:fill="D9E2F3"/>
          </w:tcPr>
          <w:p>
            <w:pPr>
              <w:jc w:val="right"/>
              <w:ind w:right="128"/>
              <w:spacing w:after="0" w:line="119" w:lineRule="exact"/>
              <w:rPr>
                <w:sz w:val="20"/>
                <w:szCs w:val="20"/>
                <w:color w:val="auto"/>
              </w:rPr>
            </w:pPr>
            <w:r>
              <w:rPr>
                <w:rFonts w:ascii="Times New Roman" w:cs="Times New Roman" w:eastAsia="Times New Roman" w:hAnsi="Times New Roman"/>
                <w:sz w:val="13"/>
                <w:szCs w:val="13"/>
                <w:color w:val="auto"/>
              </w:rPr>
              <w:t>0</w:t>
            </w:r>
          </w:p>
        </w:tc>
        <w:tc>
          <w:tcPr>
            <w:tcW w:w="700" w:type="dxa"/>
            <w:vAlign w:val="bottom"/>
            <w:tcBorders>
              <w:right w:val="single" w:sz="8" w:color="auto"/>
            </w:tcBorders>
            <w:shd w:val="clear" w:color="auto" w:fill="D9E2F3"/>
          </w:tcPr>
          <w:p>
            <w:pPr>
              <w:jc w:val="center"/>
              <w:spacing w:after="0" w:line="119" w:lineRule="exact"/>
              <w:rPr>
                <w:sz w:val="20"/>
                <w:szCs w:val="20"/>
                <w:color w:val="auto"/>
              </w:rPr>
            </w:pPr>
            <w:r>
              <w:rPr>
                <w:rFonts w:ascii="Times New Roman" w:cs="Times New Roman" w:eastAsia="Times New Roman" w:hAnsi="Times New Roman"/>
                <w:sz w:val="13"/>
                <w:szCs w:val="13"/>
                <w:color w:val="auto"/>
              </w:rPr>
              <w:t>0</w:t>
            </w:r>
          </w:p>
        </w:tc>
        <w:tc>
          <w:tcPr>
            <w:tcW w:w="740" w:type="dxa"/>
            <w:vAlign w:val="bottom"/>
            <w:tcBorders>
              <w:right w:val="single" w:sz="8" w:color="auto"/>
            </w:tcBorders>
            <w:shd w:val="clear" w:color="auto" w:fill="D9E2F3"/>
          </w:tcPr>
          <w:p>
            <w:pPr>
              <w:jc w:val="center"/>
              <w:spacing w:after="0" w:line="119" w:lineRule="exact"/>
              <w:rPr>
                <w:sz w:val="20"/>
                <w:szCs w:val="20"/>
                <w:color w:val="auto"/>
              </w:rPr>
            </w:pPr>
            <w:r>
              <w:rPr>
                <w:rFonts w:ascii="Times New Roman" w:cs="Times New Roman" w:eastAsia="Times New Roman" w:hAnsi="Times New Roman"/>
                <w:sz w:val="13"/>
                <w:szCs w:val="13"/>
                <w:color w:val="auto"/>
              </w:rPr>
              <w:t>no</w:t>
            </w:r>
          </w:p>
        </w:tc>
        <w:tc>
          <w:tcPr>
            <w:tcW w:w="740" w:type="dxa"/>
            <w:vAlign w:val="bottom"/>
            <w:tcBorders>
              <w:right w:val="single" w:sz="8" w:color="auto"/>
            </w:tcBorders>
            <w:shd w:val="clear" w:color="auto" w:fill="D9E2F3"/>
          </w:tcPr>
          <w:p>
            <w:pPr>
              <w:jc w:val="center"/>
              <w:spacing w:after="0" w:line="119" w:lineRule="exact"/>
              <w:rPr>
                <w:sz w:val="20"/>
                <w:szCs w:val="20"/>
                <w:color w:val="auto"/>
              </w:rPr>
            </w:pPr>
            <w:r>
              <w:rPr>
                <w:rFonts w:ascii="Times New Roman" w:cs="Times New Roman" w:eastAsia="Times New Roman" w:hAnsi="Times New Roman"/>
                <w:sz w:val="13"/>
                <w:szCs w:val="13"/>
                <w:color w:val="auto"/>
              </w:rPr>
              <w:t>no</w:t>
            </w:r>
          </w:p>
        </w:tc>
        <w:tc>
          <w:tcPr>
            <w:tcW w:w="820" w:type="dxa"/>
            <w:vAlign w:val="bottom"/>
            <w:tcBorders>
              <w:right w:val="single" w:sz="8" w:color="auto"/>
            </w:tcBorders>
            <w:shd w:val="clear" w:color="auto" w:fill="D9E2F3"/>
          </w:tcPr>
          <w:p>
            <w:pPr>
              <w:jc w:val="center"/>
              <w:spacing w:after="0" w:line="119" w:lineRule="exact"/>
              <w:rPr>
                <w:sz w:val="20"/>
                <w:szCs w:val="20"/>
                <w:color w:val="auto"/>
              </w:rPr>
            </w:pPr>
            <w:r>
              <w:rPr>
                <w:rFonts w:ascii="Times New Roman" w:cs="Times New Roman" w:eastAsia="Times New Roman" w:hAnsi="Times New Roman"/>
                <w:sz w:val="13"/>
                <w:szCs w:val="13"/>
                <w:color w:val="auto"/>
              </w:rPr>
              <w:t>0</w:t>
            </w:r>
          </w:p>
        </w:tc>
        <w:tc>
          <w:tcPr>
            <w:tcW w:w="840" w:type="dxa"/>
            <w:vAlign w:val="bottom"/>
            <w:tcBorders>
              <w:right w:val="single" w:sz="8" w:color="auto"/>
            </w:tcBorders>
            <w:shd w:val="clear" w:color="auto" w:fill="D9E2F3"/>
          </w:tcPr>
          <w:p>
            <w:pPr>
              <w:jc w:val="center"/>
              <w:spacing w:after="0" w:line="119" w:lineRule="exact"/>
              <w:rPr>
                <w:sz w:val="20"/>
                <w:szCs w:val="20"/>
                <w:color w:val="auto"/>
              </w:rPr>
            </w:pPr>
            <w:r>
              <w:rPr>
                <w:rFonts w:ascii="Times New Roman" w:cs="Times New Roman" w:eastAsia="Times New Roman" w:hAnsi="Times New Roman"/>
                <w:sz w:val="13"/>
                <w:szCs w:val="13"/>
                <w:color w:val="auto"/>
                <w:w w:val="91"/>
              </w:rPr>
              <w:t>0</w:t>
            </w:r>
          </w:p>
        </w:tc>
        <w:tc>
          <w:tcPr>
            <w:tcW w:w="860" w:type="dxa"/>
            <w:vAlign w:val="bottom"/>
            <w:tcBorders>
              <w:right w:val="single" w:sz="8" w:color="auto"/>
            </w:tcBorders>
            <w:shd w:val="clear" w:color="auto" w:fill="D9E2F3"/>
          </w:tcPr>
          <w:p>
            <w:pPr>
              <w:jc w:val="center"/>
              <w:spacing w:after="0" w:line="119" w:lineRule="exact"/>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88"/>
        </w:trPr>
        <w:tc>
          <w:tcPr>
            <w:tcW w:w="920" w:type="dxa"/>
            <w:vAlign w:val="bottom"/>
            <w:tcBorders>
              <w:left w:val="single" w:sz="8" w:color="D9E2F3"/>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Cement</w:t>
            </w:r>
          </w:p>
        </w:tc>
        <w:tc>
          <w:tcPr>
            <w:tcW w:w="700" w:type="dxa"/>
            <w:vAlign w:val="bottom"/>
            <w:tcBorders>
              <w:right w:val="single" w:sz="8" w:color="auto"/>
            </w:tcBorders>
            <w:shd w:val="clear" w:color="auto" w:fill="D9E2F3"/>
          </w:tcPr>
          <w:p>
            <w:pPr>
              <w:spacing w:after="0"/>
              <w:rPr>
                <w:sz w:val="16"/>
                <w:szCs w:val="16"/>
                <w:color w:val="auto"/>
              </w:rPr>
            </w:pPr>
          </w:p>
        </w:tc>
        <w:tc>
          <w:tcPr>
            <w:tcW w:w="760" w:type="dxa"/>
            <w:vAlign w:val="bottom"/>
            <w:tcBorders>
              <w:right w:val="single" w:sz="8" w:color="auto"/>
            </w:tcBorders>
            <w:shd w:val="clear" w:color="auto" w:fill="D9E2F3"/>
          </w:tcPr>
          <w:p>
            <w:pPr>
              <w:spacing w:after="0"/>
              <w:rPr>
                <w:sz w:val="16"/>
                <w:szCs w:val="16"/>
                <w:color w:val="auto"/>
              </w:rPr>
            </w:pPr>
          </w:p>
        </w:tc>
        <w:tc>
          <w:tcPr>
            <w:tcW w:w="780" w:type="dxa"/>
            <w:vAlign w:val="bottom"/>
            <w:tcBorders>
              <w:right w:val="single" w:sz="8" w:color="auto"/>
            </w:tcBorders>
            <w:shd w:val="clear" w:color="auto" w:fill="D9E2F3"/>
          </w:tcPr>
          <w:p>
            <w:pPr>
              <w:spacing w:after="0"/>
              <w:rPr>
                <w:sz w:val="16"/>
                <w:szCs w:val="16"/>
                <w:color w:val="auto"/>
              </w:rPr>
            </w:pPr>
          </w:p>
        </w:tc>
        <w:tc>
          <w:tcPr>
            <w:tcW w:w="700" w:type="dxa"/>
            <w:vAlign w:val="bottom"/>
            <w:tcBorders>
              <w:right w:val="single" w:sz="8" w:color="auto"/>
            </w:tcBorders>
            <w:shd w:val="clear" w:color="auto" w:fill="D9E2F3"/>
          </w:tcPr>
          <w:p>
            <w:pPr>
              <w:spacing w:after="0"/>
              <w:rPr>
                <w:sz w:val="16"/>
                <w:szCs w:val="16"/>
                <w:color w:val="auto"/>
              </w:rPr>
            </w:pPr>
          </w:p>
        </w:tc>
        <w:tc>
          <w:tcPr>
            <w:tcW w:w="680" w:type="dxa"/>
            <w:vAlign w:val="bottom"/>
            <w:tcBorders>
              <w:right w:val="single" w:sz="8" w:color="auto"/>
            </w:tcBorders>
            <w:shd w:val="clear" w:color="auto" w:fill="D9E2F3"/>
          </w:tcPr>
          <w:p>
            <w:pPr>
              <w:spacing w:after="0"/>
              <w:rPr>
                <w:sz w:val="16"/>
                <w:szCs w:val="16"/>
                <w:color w:val="auto"/>
              </w:rPr>
            </w:pPr>
          </w:p>
        </w:tc>
        <w:tc>
          <w:tcPr>
            <w:tcW w:w="220" w:type="dxa"/>
            <w:vAlign w:val="bottom"/>
            <w:shd w:val="clear" w:color="auto" w:fill="D9E2F3"/>
          </w:tcPr>
          <w:p>
            <w:pPr>
              <w:spacing w:after="0"/>
              <w:rPr>
                <w:sz w:val="16"/>
                <w:szCs w:val="16"/>
                <w:color w:val="auto"/>
              </w:rPr>
            </w:pPr>
          </w:p>
        </w:tc>
        <w:tc>
          <w:tcPr>
            <w:tcW w:w="540" w:type="dxa"/>
            <w:vAlign w:val="bottom"/>
            <w:tcBorders>
              <w:right w:val="single" w:sz="8" w:color="auto"/>
            </w:tcBorders>
            <w:shd w:val="clear" w:color="auto" w:fill="D9E2F3"/>
          </w:tcPr>
          <w:p>
            <w:pPr>
              <w:spacing w:after="0"/>
              <w:rPr>
                <w:sz w:val="16"/>
                <w:szCs w:val="16"/>
                <w:color w:val="auto"/>
              </w:rPr>
            </w:pPr>
          </w:p>
        </w:tc>
        <w:tc>
          <w:tcPr>
            <w:tcW w:w="700" w:type="dxa"/>
            <w:vAlign w:val="bottom"/>
            <w:tcBorders>
              <w:right w:val="single" w:sz="8" w:color="auto"/>
            </w:tcBorders>
            <w:shd w:val="clear" w:color="auto" w:fill="D9E2F3"/>
          </w:tcPr>
          <w:p>
            <w:pPr>
              <w:spacing w:after="0"/>
              <w:rPr>
                <w:sz w:val="16"/>
                <w:szCs w:val="16"/>
                <w:color w:val="auto"/>
              </w:rPr>
            </w:pPr>
          </w:p>
        </w:tc>
        <w:tc>
          <w:tcPr>
            <w:tcW w:w="740" w:type="dxa"/>
            <w:vAlign w:val="bottom"/>
            <w:tcBorders>
              <w:right w:val="single" w:sz="8" w:color="auto"/>
            </w:tcBorders>
            <w:shd w:val="clear" w:color="auto" w:fill="D9E2F3"/>
          </w:tcPr>
          <w:p>
            <w:pPr>
              <w:spacing w:after="0"/>
              <w:rPr>
                <w:sz w:val="16"/>
                <w:szCs w:val="16"/>
                <w:color w:val="auto"/>
              </w:rPr>
            </w:pPr>
          </w:p>
        </w:tc>
        <w:tc>
          <w:tcPr>
            <w:tcW w:w="740" w:type="dxa"/>
            <w:vAlign w:val="bottom"/>
            <w:tcBorders>
              <w:right w:val="single" w:sz="8" w:color="auto"/>
            </w:tcBorders>
            <w:shd w:val="clear" w:color="auto" w:fill="D9E2F3"/>
          </w:tcPr>
          <w:p>
            <w:pPr>
              <w:spacing w:after="0"/>
              <w:rPr>
                <w:sz w:val="16"/>
                <w:szCs w:val="16"/>
                <w:color w:val="auto"/>
              </w:rPr>
            </w:pPr>
          </w:p>
        </w:tc>
        <w:tc>
          <w:tcPr>
            <w:tcW w:w="820" w:type="dxa"/>
            <w:vAlign w:val="bottom"/>
            <w:tcBorders>
              <w:right w:val="single" w:sz="8" w:color="auto"/>
            </w:tcBorders>
            <w:shd w:val="clear" w:color="auto" w:fill="D9E2F3"/>
          </w:tcPr>
          <w:p>
            <w:pPr>
              <w:spacing w:after="0"/>
              <w:rPr>
                <w:sz w:val="16"/>
                <w:szCs w:val="16"/>
                <w:color w:val="auto"/>
              </w:rPr>
            </w:pPr>
          </w:p>
        </w:tc>
        <w:tc>
          <w:tcPr>
            <w:tcW w:w="840" w:type="dxa"/>
            <w:vAlign w:val="bottom"/>
            <w:tcBorders>
              <w:right w:val="single" w:sz="8" w:color="auto"/>
            </w:tcBorders>
            <w:shd w:val="clear" w:color="auto" w:fill="D9E2F3"/>
          </w:tcPr>
          <w:p>
            <w:pPr>
              <w:spacing w:after="0"/>
              <w:rPr>
                <w:sz w:val="16"/>
                <w:szCs w:val="16"/>
                <w:color w:val="auto"/>
              </w:rPr>
            </w:pPr>
          </w:p>
        </w:tc>
        <w:tc>
          <w:tcPr>
            <w:tcW w:w="860" w:type="dxa"/>
            <w:vAlign w:val="bottom"/>
            <w:tcBorders>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920" w:type="dxa"/>
            <w:vAlign w:val="bottom"/>
            <w:tcBorders>
              <w:left w:val="single" w:sz="8" w:color="D9E2F3"/>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680" w:type="dxa"/>
            <w:vAlign w:val="bottom"/>
            <w:tcBorders>
              <w:right w:val="single" w:sz="8" w:color="auto"/>
            </w:tcBorders>
            <w:shd w:val="clear" w:color="auto" w:fill="D9E2F3"/>
          </w:tcPr>
          <w:p>
            <w:pPr>
              <w:spacing w:after="0"/>
              <w:rPr>
                <w:sz w:val="11"/>
                <w:szCs w:val="11"/>
                <w:color w:val="auto"/>
              </w:rPr>
            </w:pPr>
          </w:p>
        </w:tc>
        <w:tc>
          <w:tcPr>
            <w:tcW w:w="220" w:type="dxa"/>
            <w:vAlign w:val="bottom"/>
            <w:shd w:val="clear" w:color="auto" w:fill="D9E2F3"/>
          </w:tcPr>
          <w:p>
            <w:pPr>
              <w:spacing w:after="0"/>
              <w:rPr>
                <w:sz w:val="11"/>
                <w:szCs w:val="11"/>
                <w:color w:val="auto"/>
              </w:rPr>
            </w:pPr>
          </w:p>
        </w:tc>
        <w:tc>
          <w:tcPr>
            <w:tcW w:w="54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86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0140"/>
          </w:cols>
          <w:pgMar w:left="760" w:top="1427" w:right="999" w:bottom="0" w:gutter="0" w:footer="0" w:header="0"/>
        </w:sectPr>
      </w:pPr>
    </w:p>
    <w:bookmarkStart w:id="45" w:name="page46"/>
    <w:bookmarkEnd w:id="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33026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6130" cy="33026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1"/>
        </w:trPr>
        <w:tc>
          <w:tcPr>
            <w:tcW w:w="920" w:type="dxa"/>
            <w:vAlign w:val="bottom"/>
            <w:tcBorders>
              <w:left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shd w:val="clear" w:color="auto" w:fill="D9E2F3"/>
          </w:tcPr>
          <w:p>
            <w:pPr>
              <w:spacing w:after="0"/>
              <w:rPr>
                <w:sz w:val="13"/>
                <w:szCs w:val="13"/>
                <w:color w:val="auto"/>
              </w:rPr>
            </w:pPr>
          </w:p>
        </w:tc>
        <w:tc>
          <w:tcPr>
            <w:tcW w:w="760" w:type="dxa"/>
            <w:vAlign w:val="bottom"/>
            <w:tcBorders>
              <w:right w:val="single" w:sz="8" w:color="auto"/>
            </w:tcBorders>
            <w:shd w:val="clear" w:color="auto" w:fill="D9E2F3"/>
          </w:tcPr>
          <w:p>
            <w:pPr>
              <w:spacing w:after="0"/>
              <w:rPr>
                <w:sz w:val="13"/>
                <w:szCs w:val="13"/>
                <w:color w:val="auto"/>
              </w:rPr>
            </w:pPr>
          </w:p>
        </w:tc>
        <w:tc>
          <w:tcPr>
            <w:tcW w:w="780" w:type="dxa"/>
            <w:vAlign w:val="bottom"/>
            <w:tcBorders>
              <w:right w:val="single" w:sz="8" w:color="auto"/>
            </w:tcBorders>
            <w:shd w:val="clear" w:color="auto" w:fill="D9E2F3"/>
          </w:tcPr>
          <w:p>
            <w:pPr>
              <w:spacing w:after="0"/>
              <w:rPr>
                <w:sz w:val="13"/>
                <w:szCs w:val="13"/>
                <w:color w:val="auto"/>
              </w:rPr>
            </w:pPr>
          </w:p>
        </w:tc>
        <w:tc>
          <w:tcPr>
            <w:tcW w:w="700" w:type="dxa"/>
            <w:vAlign w:val="bottom"/>
            <w:tcBorders>
              <w:right w:val="single" w:sz="8" w:color="auto"/>
            </w:tcBorders>
            <w:shd w:val="clear" w:color="auto" w:fill="D9E2F3"/>
          </w:tcPr>
          <w:p>
            <w:pPr>
              <w:spacing w:after="0"/>
              <w:rPr>
                <w:sz w:val="13"/>
                <w:szCs w:val="13"/>
                <w:color w:val="auto"/>
              </w:rPr>
            </w:pPr>
          </w:p>
        </w:tc>
        <w:tc>
          <w:tcPr>
            <w:tcW w:w="680" w:type="dxa"/>
            <w:vAlign w:val="bottom"/>
            <w:tcBorders>
              <w:right w:val="single" w:sz="8" w:color="auto"/>
            </w:tcBorders>
            <w:shd w:val="clear" w:color="auto" w:fill="D9E2F3"/>
          </w:tcPr>
          <w:p>
            <w:pPr>
              <w:spacing w:after="0"/>
              <w:rPr>
                <w:sz w:val="13"/>
                <w:szCs w:val="13"/>
                <w:color w:val="auto"/>
              </w:rPr>
            </w:pPr>
          </w:p>
        </w:tc>
        <w:tc>
          <w:tcPr>
            <w:tcW w:w="320" w:type="dxa"/>
            <w:vAlign w:val="bottom"/>
            <w:shd w:val="clear" w:color="auto" w:fill="D9E2F3"/>
          </w:tcPr>
          <w:p>
            <w:pPr>
              <w:spacing w:after="0"/>
              <w:rPr>
                <w:sz w:val="13"/>
                <w:szCs w:val="13"/>
                <w:color w:val="auto"/>
              </w:rPr>
            </w:pPr>
          </w:p>
        </w:tc>
        <w:tc>
          <w:tcPr>
            <w:tcW w:w="440" w:type="dxa"/>
            <w:vAlign w:val="bottom"/>
            <w:tcBorders>
              <w:right w:val="single" w:sz="8" w:color="auto"/>
            </w:tcBorders>
            <w:shd w:val="clear" w:color="auto" w:fill="D9E2F3"/>
          </w:tcPr>
          <w:p>
            <w:pPr>
              <w:spacing w:after="0"/>
              <w:rPr>
                <w:sz w:val="13"/>
                <w:szCs w:val="13"/>
                <w:color w:val="auto"/>
              </w:rPr>
            </w:pPr>
          </w:p>
        </w:tc>
        <w:tc>
          <w:tcPr>
            <w:tcW w:w="700" w:type="dxa"/>
            <w:vAlign w:val="bottom"/>
            <w:tcBorders>
              <w:right w:val="single" w:sz="8" w:color="auto"/>
            </w:tcBorders>
            <w:shd w:val="clear" w:color="auto" w:fill="D9E2F3"/>
          </w:tcPr>
          <w:p>
            <w:pPr>
              <w:spacing w:after="0"/>
              <w:rPr>
                <w:sz w:val="13"/>
                <w:szCs w:val="13"/>
                <w:color w:val="auto"/>
              </w:rPr>
            </w:pPr>
          </w:p>
        </w:tc>
        <w:tc>
          <w:tcPr>
            <w:tcW w:w="740" w:type="dxa"/>
            <w:vAlign w:val="bottom"/>
            <w:tcBorders>
              <w:right w:val="single" w:sz="8" w:color="auto"/>
            </w:tcBorders>
            <w:shd w:val="clear" w:color="auto" w:fill="D9E2F3"/>
          </w:tcPr>
          <w:p>
            <w:pPr>
              <w:spacing w:after="0"/>
              <w:rPr>
                <w:sz w:val="13"/>
                <w:szCs w:val="13"/>
                <w:color w:val="auto"/>
              </w:rPr>
            </w:pPr>
          </w:p>
        </w:tc>
        <w:tc>
          <w:tcPr>
            <w:tcW w:w="740" w:type="dxa"/>
            <w:vAlign w:val="bottom"/>
            <w:tcBorders>
              <w:right w:val="single" w:sz="8" w:color="auto"/>
            </w:tcBorders>
            <w:shd w:val="clear" w:color="auto" w:fill="D9E2F3"/>
          </w:tcPr>
          <w:p>
            <w:pPr>
              <w:spacing w:after="0"/>
              <w:rPr>
                <w:sz w:val="13"/>
                <w:szCs w:val="13"/>
                <w:color w:val="auto"/>
              </w:rPr>
            </w:pPr>
          </w:p>
        </w:tc>
        <w:tc>
          <w:tcPr>
            <w:tcW w:w="820" w:type="dxa"/>
            <w:vAlign w:val="bottom"/>
            <w:tcBorders>
              <w:right w:val="single" w:sz="8" w:color="auto"/>
            </w:tcBorders>
            <w:shd w:val="clear" w:color="auto" w:fill="D9E2F3"/>
          </w:tcPr>
          <w:p>
            <w:pPr>
              <w:spacing w:after="0"/>
              <w:rPr>
                <w:sz w:val="13"/>
                <w:szCs w:val="13"/>
                <w:color w:val="auto"/>
              </w:rPr>
            </w:pPr>
          </w:p>
        </w:tc>
        <w:tc>
          <w:tcPr>
            <w:tcW w:w="840" w:type="dxa"/>
            <w:vAlign w:val="bottom"/>
            <w:tcBorders>
              <w:right w:val="single" w:sz="8" w:color="auto"/>
            </w:tcBorders>
            <w:shd w:val="clear" w:color="auto" w:fill="D9E2F3"/>
          </w:tcPr>
          <w:p>
            <w:pPr>
              <w:spacing w:after="0"/>
              <w:rPr>
                <w:sz w:val="13"/>
                <w:szCs w:val="13"/>
                <w:color w:val="auto"/>
              </w:rPr>
            </w:pPr>
          </w:p>
        </w:tc>
        <w:tc>
          <w:tcPr>
            <w:tcW w:w="860" w:type="dxa"/>
            <w:vAlign w:val="bottom"/>
            <w:tcBorders>
              <w:right w:val="single" w:sz="8" w:color="auto"/>
            </w:tcBorders>
            <w:shd w:val="clear" w:color="auto" w:fill="D9E2F3"/>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320" w:type="dxa"/>
            <w:vAlign w:val="bottom"/>
            <w:shd w:val="clear" w:color="auto" w:fill="D9E2F3"/>
          </w:tcPr>
          <w:p>
            <w:pPr>
              <w:spacing w:after="0"/>
              <w:rPr>
                <w:sz w:val="12"/>
                <w:szCs w:val="12"/>
                <w:color w:val="auto"/>
              </w:rPr>
            </w:pPr>
          </w:p>
        </w:tc>
        <w:tc>
          <w:tcPr>
            <w:tcW w:w="4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Laramie,</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320" w:type="dxa"/>
            <w:vAlign w:val="bottom"/>
            <w:shd w:val="clear" w:color="auto" w:fill="D9E2F3"/>
          </w:tcPr>
          <w:p>
            <w:pPr>
              <w:spacing w:after="0"/>
              <w:rPr>
                <w:sz w:val="12"/>
                <w:szCs w:val="12"/>
                <w:color w:val="auto"/>
              </w:rPr>
            </w:pPr>
          </w:p>
        </w:tc>
        <w:tc>
          <w:tcPr>
            <w:tcW w:w="4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WY</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320" w:type="dxa"/>
            <w:vAlign w:val="bottom"/>
            <w:shd w:val="clear" w:color="auto" w:fill="D9E2F3"/>
          </w:tcPr>
          <w:p>
            <w:pPr>
              <w:spacing w:after="0"/>
              <w:rPr>
                <w:sz w:val="12"/>
                <w:szCs w:val="12"/>
                <w:color w:val="auto"/>
              </w:rPr>
            </w:pPr>
          </w:p>
        </w:tc>
        <w:tc>
          <w:tcPr>
            <w:tcW w:w="4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(4800007)</w:t>
            </w: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680" w:type="dxa"/>
            <w:vAlign w:val="bottom"/>
            <w:tcBorders>
              <w:bottom w:val="single" w:sz="8" w:color="auto"/>
              <w:right w:val="single" w:sz="8" w:color="auto"/>
            </w:tcBorders>
            <w:shd w:val="clear" w:color="auto" w:fill="D9E2F3"/>
          </w:tcPr>
          <w:p>
            <w:pPr>
              <w:spacing w:after="0"/>
              <w:rPr>
                <w:sz w:val="14"/>
                <w:szCs w:val="14"/>
                <w:color w:val="auto"/>
              </w:rPr>
            </w:pPr>
          </w:p>
        </w:tc>
        <w:tc>
          <w:tcPr>
            <w:tcW w:w="320" w:type="dxa"/>
            <w:vAlign w:val="bottom"/>
            <w:tcBorders>
              <w:bottom w:val="single" w:sz="8" w:color="auto"/>
            </w:tcBorders>
            <w:shd w:val="clear" w:color="auto" w:fill="D9E2F3"/>
          </w:tcPr>
          <w:p>
            <w:pPr>
              <w:spacing w:after="0"/>
              <w:rPr>
                <w:sz w:val="14"/>
                <w:szCs w:val="14"/>
                <w:color w:val="auto"/>
              </w:rPr>
            </w:pPr>
          </w:p>
        </w:tc>
        <w:tc>
          <w:tcPr>
            <w:tcW w:w="44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82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86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Nevada</w:t>
            </w: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no</w:t>
            </w:r>
          </w:p>
        </w:tc>
        <w:tc>
          <w:tcPr>
            <w:tcW w:w="74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4"/>
                <w:szCs w:val="14"/>
                <w:color w:val="auto"/>
              </w:rPr>
              <w:t>no</w:t>
            </w:r>
          </w:p>
        </w:tc>
        <w:tc>
          <w:tcPr>
            <w:tcW w:w="820" w:type="dxa"/>
            <w:vAlign w:val="bottom"/>
            <w:tcBorders>
              <w:right w:val="single" w:sz="8" w:color="auto"/>
            </w:tcBorders>
            <w:vMerge w:val="restart"/>
          </w:tcPr>
          <w:p>
            <w:pPr>
              <w:jc w:val="center"/>
              <w:spacing w:after="0" w:line="297" w:lineRule="exact"/>
              <w:rPr>
                <w:sz w:val="20"/>
                <w:szCs w:val="20"/>
                <w:color w:val="auto"/>
              </w:rPr>
            </w:pPr>
            <w:r>
              <w:rPr>
                <w:rFonts w:ascii="Times New Roman" w:cs="Times New Roman" w:eastAsia="Times New Roman" w:hAnsi="Times New Roman"/>
                <w:sz w:val="28"/>
                <w:szCs w:val="28"/>
                <w:color w:val="auto"/>
                <w:w w:val="85"/>
                <w:vertAlign w:val="subscript"/>
              </w:rPr>
              <w:t>2</w:t>
            </w:r>
            <w:r>
              <w:rPr>
                <w:rFonts w:ascii="Times New Roman" w:cs="Times New Roman" w:eastAsia="Times New Roman" w:hAnsi="Times New Roman"/>
                <w:sz w:val="10"/>
                <w:szCs w:val="10"/>
                <w:color w:val="auto"/>
                <w:w w:val="85"/>
              </w:rPr>
              <w:t>(1)</w:t>
            </w:r>
          </w:p>
        </w:tc>
        <w:tc>
          <w:tcPr>
            <w:tcW w:w="840" w:type="dxa"/>
            <w:vAlign w:val="bottom"/>
            <w:tcBorders>
              <w:right w:val="single" w:sz="8" w:color="auto"/>
            </w:tcBorders>
            <w:vMerge w:val="restart"/>
          </w:tcPr>
          <w:p>
            <w:pPr>
              <w:jc w:val="center"/>
              <w:ind w:left="36"/>
              <w:spacing w:after="0" w:line="297" w:lineRule="exact"/>
              <w:rPr>
                <w:sz w:val="20"/>
                <w:szCs w:val="20"/>
                <w:color w:val="auto"/>
              </w:rPr>
            </w:pPr>
            <w:r>
              <w:rPr>
                <w:rFonts w:ascii="Times New Roman" w:cs="Times New Roman" w:eastAsia="Times New Roman" w:hAnsi="Times New Roman"/>
                <w:sz w:val="28"/>
                <w:szCs w:val="28"/>
                <w:color w:val="auto"/>
                <w:w w:val="85"/>
                <w:vertAlign w:val="subscript"/>
              </w:rPr>
              <w:t>1</w:t>
            </w:r>
            <w:r>
              <w:rPr>
                <w:rFonts w:ascii="Times New Roman" w:cs="Times New Roman" w:eastAsia="Times New Roman" w:hAnsi="Times New Roman"/>
                <w:sz w:val="10"/>
                <w:szCs w:val="10"/>
                <w:color w:val="auto"/>
                <w:w w:val="85"/>
              </w:rPr>
              <w:t>(1)</w:t>
            </w:r>
          </w:p>
        </w:tc>
        <w:tc>
          <w:tcPr>
            <w:tcW w:w="860" w:type="dxa"/>
            <w:vAlign w:val="bottom"/>
            <w:tcBorders>
              <w:right w:val="single" w:sz="8" w:color="auto"/>
            </w:tcBorders>
            <w:vMerge w:val="restart"/>
          </w:tcPr>
          <w:p>
            <w:pPr>
              <w:jc w:val="center"/>
              <w:spacing w:after="0" w:line="297" w:lineRule="exact"/>
              <w:rPr>
                <w:sz w:val="20"/>
                <w:szCs w:val="20"/>
                <w:color w:val="auto"/>
              </w:rPr>
            </w:pPr>
            <w:r>
              <w:rPr>
                <w:rFonts w:ascii="Times New Roman" w:cs="Times New Roman" w:eastAsia="Times New Roman" w:hAnsi="Times New Roman"/>
                <w:sz w:val="28"/>
                <w:szCs w:val="28"/>
                <w:color w:val="auto"/>
                <w:w w:val="95"/>
                <w:vertAlign w:val="subscript"/>
              </w:rPr>
              <w:t>2</w:t>
            </w:r>
            <w:r>
              <w:rPr>
                <w:rFonts w:ascii="Times New Roman" w:cs="Times New Roman" w:eastAsia="Times New Roman" w:hAnsi="Times New Roman"/>
                <w:sz w:val="10"/>
                <w:szCs w:val="10"/>
                <w:color w:val="auto"/>
                <w:w w:val="95"/>
              </w:rPr>
              <w:t>(1)</w:t>
            </w: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44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Fernley,</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NV</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(2600015)</w:t>
            </w: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shd w:val="clear" w:color="auto" w:fill="D9E2F3"/>
          </w:tcPr>
          <w:p>
            <w:pPr>
              <w:ind w:left="120"/>
              <w:spacing w:after="0" w:line="119" w:lineRule="exact"/>
              <w:rPr>
                <w:sz w:val="20"/>
                <w:szCs w:val="20"/>
                <w:color w:val="auto"/>
              </w:rPr>
            </w:pPr>
            <w:r>
              <w:rPr>
                <w:rFonts w:ascii="Times New Roman" w:cs="Times New Roman" w:eastAsia="Times New Roman" w:hAnsi="Times New Roman"/>
                <w:sz w:val="13"/>
                <w:szCs w:val="13"/>
                <w:color w:val="auto"/>
              </w:rPr>
              <w:t>Seguin</w:t>
            </w:r>
          </w:p>
        </w:tc>
        <w:tc>
          <w:tcPr>
            <w:tcW w:w="70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8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680" w:type="dxa"/>
            <w:vAlign w:val="bottom"/>
            <w:tcBorders>
              <w:right w:val="single" w:sz="8" w:color="auto"/>
            </w:tcBorders>
            <w:shd w:val="clear" w:color="auto" w:fill="D9E2F3"/>
          </w:tcPr>
          <w:p>
            <w:pPr>
              <w:spacing w:after="0"/>
              <w:rPr>
                <w:sz w:val="10"/>
                <w:szCs w:val="10"/>
                <w:color w:val="auto"/>
              </w:rPr>
            </w:pPr>
          </w:p>
        </w:tc>
        <w:tc>
          <w:tcPr>
            <w:tcW w:w="320" w:type="dxa"/>
            <w:vAlign w:val="bottom"/>
            <w:shd w:val="clear" w:color="auto" w:fill="D9E2F3"/>
          </w:tcPr>
          <w:p>
            <w:pPr>
              <w:spacing w:after="0"/>
              <w:rPr>
                <w:sz w:val="10"/>
                <w:szCs w:val="10"/>
                <w:color w:val="auto"/>
              </w:rPr>
            </w:pPr>
          </w:p>
        </w:tc>
        <w:tc>
          <w:tcPr>
            <w:tcW w:w="44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820" w:type="dxa"/>
            <w:vAlign w:val="bottom"/>
            <w:tcBorders>
              <w:right w:val="single" w:sz="8" w:color="auto"/>
            </w:tcBorders>
            <w:shd w:val="clear" w:color="auto" w:fill="D9E2F3"/>
          </w:tcPr>
          <w:p>
            <w:pPr>
              <w:spacing w:after="0"/>
              <w:rPr>
                <w:sz w:val="10"/>
                <w:szCs w:val="10"/>
                <w:color w:val="auto"/>
              </w:rPr>
            </w:pPr>
          </w:p>
        </w:tc>
        <w:tc>
          <w:tcPr>
            <w:tcW w:w="840" w:type="dxa"/>
            <w:vAlign w:val="bottom"/>
            <w:tcBorders>
              <w:right w:val="single" w:sz="8" w:color="auto"/>
            </w:tcBorders>
            <w:shd w:val="clear" w:color="auto" w:fill="D9E2F3"/>
          </w:tcPr>
          <w:p>
            <w:pPr>
              <w:spacing w:after="0"/>
              <w:rPr>
                <w:sz w:val="10"/>
                <w:szCs w:val="10"/>
                <w:color w:val="auto"/>
              </w:rPr>
            </w:pPr>
          </w:p>
        </w:tc>
        <w:tc>
          <w:tcPr>
            <w:tcW w:w="860" w:type="dxa"/>
            <w:vAlign w:val="bottom"/>
            <w:tcBorders>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Sand</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320" w:type="dxa"/>
            <w:vAlign w:val="bottom"/>
            <w:shd w:val="clear" w:color="auto" w:fill="D9E2F3"/>
          </w:tcPr>
          <w:p>
            <w:pPr>
              <w:spacing w:after="0"/>
              <w:rPr>
                <w:sz w:val="12"/>
                <w:szCs w:val="12"/>
                <w:color w:val="auto"/>
              </w:rPr>
            </w:pPr>
          </w:p>
        </w:tc>
        <w:tc>
          <w:tcPr>
            <w:tcW w:w="440" w:type="dxa"/>
            <w:vAlign w:val="bottom"/>
            <w:tcBorders>
              <w:right w:val="single" w:sz="8" w:color="auto"/>
            </w:tcBorders>
            <w:vMerge w:val="restart"/>
            <w:shd w:val="clear" w:color="auto" w:fill="D9E2F3"/>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920" w:type="dxa"/>
            <w:vAlign w:val="bottom"/>
            <w:tcBorders>
              <w:left w:val="single" w:sz="8" w:color="auto"/>
              <w:right w:val="single" w:sz="8" w:color="auto"/>
            </w:tcBorders>
            <w:vMerge w:val="restart"/>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Guadalupe,</w:t>
            </w:r>
          </w:p>
        </w:tc>
        <w:tc>
          <w:tcPr>
            <w:tcW w:w="700" w:type="dxa"/>
            <w:vAlign w:val="bottom"/>
            <w:tcBorders>
              <w:right w:val="single" w:sz="8" w:color="auto"/>
            </w:tcBorders>
            <w:vMerge w:val="restart"/>
            <w:shd w:val="clear" w:color="auto" w:fill="D9E2F3"/>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right w:val="single" w:sz="8" w:color="auto"/>
            </w:tcBorders>
            <w:vMerge w:val="restart"/>
            <w:shd w:val="clear" w:color="auto" w:fill="D9E2F3"/>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320" w:type="dxa"/>
            <w:vAlign w:val="bottom"/>
            <w:vMerge w:val="restart"/>
            <w:shd w:val="clear" w:color="auto" w:fill="D9E2F3"/>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44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restart"/>
            <w:shd w:val="clear" w:color="auto" w:fill="D9E2F3"/>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shd w:val="clear" w:color="auto" w:fill="D9E2F3"/>
          </w:tcPr>
          <w:p>
            <w:pPr>
              <w:ind w:left="280"/>
              <w:spacing w:after="0" w:line="149" w:lineRule="exact"/>
              <w:rPr>
                <w:sz w:val="20"/>
                <w:szCs w:val="20"/>
                <w:color w:val="auto"/>
              </w:rPr>
            </w:pPr>
            <w:r>
              <w:rPr>
                <w:rFonts w:ascii="Times New Roman" w:cs="Times New Roman" w:eastAsia="Times New Roman" w:hAnsi="Times New Roman"/>
                <w:sz w:val="14"/>
                <w:szCs w:val="14"/>
                <w:color w:val="auto"/>
              </w:rPr>
              <w:t>no</w:t>
            </w:r>
          </w:p>
        </w:tc>
        <w:tc>
          <w:tcPr>
            <w:tcW w:w="740" w:type="dxa"/>
            <w:vAlign w:val="bottom"/>
            <w:tcBorders>
              <w:right w:val="single" w:sz="8" w:color="auto"/>
            </w:tcBorders>
            <w:vMerge w:val="restart"/>
            <w:shd w:val="clear" w:color="auto" w:fill="D9E2F3"/>
          </w:tcPr>
          <w:p>
            <w:pPr>
              <w:ind w:left="300"/>
              <w:spacing w:after="0" w:line="149" w:lineRule="exact"/>
              <w:rPr>
                <w:sz w:val="20"/>
                <w:szCs w:val="20"/>
                <w:color w:val="auto"/>
              </w:rPr>
            </w:pPr>
            <w:r>
              <w:rPr>
                <w:rFonts w:ascii="Times New Roman" w:cs="Times New Roman" w:eastAsia="Times New Roman" w:hAnsi="Times New Roman"/>
                <w:sz w:val="14"/>
                <w:szCs w:val="14"/>
                <w:color w:val="auto"/>
              </w:rPr>
              <w:t>no</w:t>
            </w:r>
          </w:p>
        </w:tc>
        <w:tc>
          <w:tcPr>
            <w:tcW w:w="82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center"/>
              <w:ind w:left="16"/>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6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41"/>
        </w:trPr>
        <w:tc>
          <w:tcPr>
            <w:tcW w:w="920" w:type="dxa"/>
            <w:vAlign w:val="bottom"/>
            <w:tcBorders>
              <w:left w:val="single" w:sz="8" w:color="auto"/>
              <w:right w:val="single" w:sz="8" w:color="auto"/>
            </w:tcBorders>
            <w:vMerge w:val="continue"/>
            <w:shd w:val="clear" w:color="auto" w:fill="D9E2F3"/>
          </w:tcPr>
          <w:p>
            <w:pPr>
              <w:spacing w:after="0"/>
              <w:rPr>
                <w:sz w:val="3"/>
                <w:szCs w:val="3"/>
                <w:color w:val="auto"/>
              </w:rPr>
            </w:pPr>
          </w:p>
        </w:tc>
        <w:tc>
          <w:tcPr>
            <w:tcW w:w="700" w:type="dxa"/>
            <w:vAlign w:val="bottom"/>
            <w:tcBorders>
              <w:right w:val="single" w:sz="8" w:color="auto"/>
            </w:tcBorders>
            <w:vMerge w:val="continue"/>
            <w:shd w:val="clear" w:color="auto" w:fill="D9E2F3"/>
          </w:tcPr>
          <w:p>
            <w:pPr>
              <w:spacing w:after="0"/>
              <w:rPr>
                <w:sz w:val="3"/>
                <w:szCs w:val="3"/>
                <w:color w:val="auto"/>
              </w:rPr>
            </w:pPr>
          </w:p>
        </w:tc>
        <w:tc>
          <w:tcPr>
            <w:tcW w:w="760" w:type="dxa"/>
            <w:vAlign w:val="bottom"/>
            <w:tcBorders>
              <w:right w:val="single" w:sz="8" w:color="auto"/>
            </w:tcBorders>
            <w:vMerge w:val="continue"/>
            <w:shd w:val="clear" w:color="auto" w:fill="D9E2F3"/>
          </w:tcPr>
          <w:p>
            <w:pPr>
              <w:spacing w:after="0"/>
              <w:rPr>
                <w:sz w:val="3"/>
                <w:szCs w:val="3"/>
                <w:color w:val="auto"/>
              </w:rPr>
            </w:pPr>
          </w:p>
        </w:tc>
        <w:tc>
          <w:tcPr>
            <w:tcW w:w="780" w:type="dxa"/>
            <w:vAlign w:val="bottom"/>
            <w:tcBorders>
              <w:right w:val="single" w:sz="8" w:color="auto"/>
            </w:tcBorders>
            <w:vMerge w:val="continue"/>
            <w:shd w:val="clear" w:color="auto" w:fill="D9E2F3"/>
          </w:tcPr>
          <w:p>
            <w:pPr>
              <w:spacing w:after="0"/>
              <w:rPr>
                <w:sz w:val="3"/>
                <w:szCs w:val="3"/>
                <w:color w:val="auto"/>
              </w:rPr>
            </w:pPr>
          </w:p>
        </w:tc>
        <w:tc>
          <w:tcPr>
            <w:tcW w:w="700" w:type="dxa"/>
            <w:vAlign w:val="bottom"/>
            <w:tcBorders>
              <w:right w:val="single" w:sz="8" w:color="auto"/>
            </w:tcBorders>
            <w:vMerge w:val="continue"/>
            <w:shd w:val="clear" w:color="auto" w:fill="D9E2F3"/>
          </w:tcPr>
          <w:p>
            <w:pPr>
              <w:spacing w:after="0"/>
              <w:rPr>
                <w:sz w:val="3"/>
                <w:szCs w:val="3"/>
                <w:color w:val="auto"/>
              </w:rPr>
            </w:pPr>
          </w:p>
        </w:tc>
        <w:tc>
          <w:tcPr>
            <w:tcW w:w="680" w:type="dxa"/>
            <w:vAlign w:val="bottom"/>
            <w:tcBorders>
              <w:right w:val="single" w:sz="8" w:color="auto"/>
            </w:tcBorders>
            <w:vMerge w:val="continue"/>
            <w:shd w:val="clear" w:color="auto" w:fill="D9E2F3"/>
          </w:tcPr>
          <w:p>
            <w:pPr>
              <w:spacing w:after="0"/>
              <w:rPr>
                <w:sz w:val="3"/>
                <w:szCs w:val="3"/>
                <w:color w:val="auto"/>
              </w:rPr>
            </w:pPr>
          </w:p>
        </w:tc>
        <w:tc>
          <w:tcPr>
            <w:tcW w:w="320" w:type="dxa"/>
            <w:vAlign w:val="bottom"/>
            <w:vMerge w:val="continue"/>
            <w:shd w:val="clear" w:color="auto" w:fill="D9E2F3"/>
          </w:tcPr>
          <w:p>
            <w:pPr>
              <w:spacing w:after="0"/>
              <w:rPr>
                <w:sz w:val="3"/>
                <w:szCs w:val="3"/>
                <w:color w:val="auto"/>
              </w:rPr>
            </w:pPr>
          </w:p>
        </w:tc>
        <w:tc>
          <w:tcPr>
            <w:tcW w:w="44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vMerge w:val="continue"/>
            <w:shd w:val="clear" w:color="auto" w:fill="D9E2F3"/>
          </w:tcPr>
          <w:p>
            <w:pPr>
              <w:spacing w:after="0"/>
              <w:rPr>
                <w:sz w:val="3"/>
                <w:szCs w:val="3"/>
                <w:color w:val="auto"/>
              </w:rPr>
            </w:pPr>
          </w:p>
        </w:tc>
        <w:tc>
          <w:tcPr>
            <w:tcW w:w="740" w:type="dxa"/>
            <w:vAlign w:val="bottom"/>
            <w:tcBorders>
              <w:right w:val="single" w:sz="8" w:color="auto"/>
            </w:tcBorders>
            <w:vMerge w:val="continue"/>
            <w:shd w:val="clear" w:color="auto" w:fill="D9E2F3"/>
          </w:tcPr>
          <w:p>
            <w:pPr>
              <w:spacing w:after="0"/>
              <w:rPr>
                <w:sz w:val="3"/>
                <w:szCs w:val="3"/>
                <w:color w:val="auto"/>
              </w:rPr>
            </w:pPr>
          </w:p>
        </w:tc>
        <w:tc>
          <w:tcPr>
            <w:tcW w:w="740" w:type="dxa"/>
            <w:vAlign w:val="bottom"/>
            <w:tcBorders>
              <w:right w:val="single" w:sz="8" w:color="auto"/>
            </w:tcBorders>
            <w:vMerge w:val="continue"/>
            <w:shd w:val="clear" w:color="auto" w:fill="D9E2F3"/>
          </w:tcPr>
          <w:p>
            <w:pPr>
              <w:spacing w:after="0"/>
              <w:rPr>
                <w:sz w:val="3"/>
                <w:szCs w:val="3"/>
                <w:color w:val="auto"/>
              </w:rPr>
            </w:pPr>
          </w:p>
        </w:tc>
        <w:tc>
          <w:tcPr>
            <w:tcW w:w="820" w:type="dxa"/>
            <w:vAlign w:val="bottom"/>
            <w:tcBorders>
              <w:right w:val="single" w:sz="8" w:color="auto"/>
            </w:tcBorders>
            <w:vMerge w:val="continue"/>
            <w:shd w:val="clear" w:color="auto" w:fill="D9E2F3"/>
          </w:tcPr>
          <w:p>
            <w:pPr>
              <w:spacing w:after="0"/>
              <w:rPr>
                <w:sz w:val="3"/>
                <w:szCs w:val="3"/>
                <w:color w:val="auto"/>
              </w:rPr>
            </w:pPr>
          </w:p>
        </w:tc>
        <w:tc>
          <w:tcPr>
            <w:tcW w:w="840" w:type="dxa"/>
            <w:vAlign w:val="bottom"/>
            <w:tcBorders>
              <w:right w:val="single" w:sz="8" w:color="auto"/>
            </w:tcBorders>
            <w:vMerge w:val="continue"/>
            <w:shd w:val="clear" w:color="auto" w:fill="D9E2F3"/>
          </w:tcPr>
          <w:p>
            <w:pPr>
              <w:spacing w:after="0"/>
              <w:rPr>
                <w:sz w:val="3"/>
                <w:szCs w:val="3"/>
                <w:color w:val="auto"/>
              </w:rPr>
            </w:pPr>
          </w:p>
        </w:tc>
        <w:tc>
          <w:tcPr>
            <w:tcW w:w="860" w:type="dxa"/>
            <w:vAlign w:val="bottom"/>
            <w:tcBorders>
              <w:right w:val="single" w:sz="8" w:color="auto"/>
            </w:tcBorders>
            <w:vMerge w:val="continue"/>
            <w:shd w:val="clear" w:color="auto" w:fill="D9E2F3"/>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920" w:type="dxa"/>
            <w:vAlign w:val="bottom"/>
            <w:tcBorders>
              <w:left w:val="single" w:sz="8" w:color="auto"/>
              <w:right w:val="single" w:sz="8" w:color="auto"/>
            </w:tcBorders>
            <w:vMerge w:val="restart"/>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TX</w:t>
            </w:r>
          </w:p>
        </w:tc>
        <w:tc>
          <w:tcPr>
            <w:tcW w:w="700" w:type="dxa"/>
            <w:vAlign w:val="bottom"/>
            <w:tcBorders>
              <w:right w:val="single" w:sz="8" w:color="auto"/>
            </w:tcBorders>
            <w:shd w:val="clear" w:color="auto" w:fill="D9E2F3"/>
          </w:tcPr>
          <w:p>
            <w:pPr>
              <w:spacing w:after="0"/>
              <w:rPr>
                <w:sz w:val="9"/>
                <w:szCs w:val="9"/>
                <w:color w:val="auto"/>
              </w:rPr>
            </w:pPr>
          </w:p>
        </w:tc>
        <w:tc>
          <w:tcPr>
            <w:tcW w:w="760" w:type="dxa"/>
            <w:vAlign w:val="bottom"/>
            <w:tcBorders>
              <w:right w:val="single" w:sz="8" w:color="auto"/>
            </w:tcBorders>
            <w:shd w:val="clear" w:color="auto" w:fill="D9E2F3"/>
          </w:tcPr>
          <w:p>
            <w:pPr>
              <w:spacing w:after="0"/>
              <w:rPr>
                <w:sz w:val="9"/>
                <w:szCs w:val="9"/>
                <w:color w:val="auto"/>
              </w:rPr>
            </w:pPr>
          </w:p>
        </w:tc>
        <w:tc>
          <w:tcPr>
            <w:tcW w:w="780" w:type="dxa"/>
            <w:vAlign w:val="bottom"/>
            <w:tcBorders>
              <w:right w:val="single" w:sz="8" w:color="auto"/>
            </w:tcBorders>
            <w:shd w:val="clear" w:color="auto" w:fill="D9E2F3"/>
          </w:tcPr>
          <w:p>
            <w:pPr>
              <w:spacing w:after="0"/>
              <w:rPr>
                <w:sz w:val="9"/>
                <w:szCs w:val="9"/>
                <w:color w:val="auto"/>
              </w:rPr>
            </w:pPr>
          </w:p>
        </w:tc>
        <w:tc>
          <w:tcPr>
            <w:tcW w:w="700" w:type="dxa"/>
            <w:vAlign w:val="bottom"/>
            <w:tcBorders>
              <w:right w:val="single" w:sz="8" w:color="auto"/>
            </w:tcBorders>
            <w:shd w:val="clear" w:color="auto" w:fill="D9E2F3"/>
          </w:tcPr>
          <w:p>
            <w:pPr>
              <w:spacing w:after="0"/>
              <w:rPr>
                <w:sz w:val="9"/>
                <w:szCs w:val="9"/>
                <w:color w:val="auto"/>
              </w:rPr>
            </w:pPr>
          </w:p>
        </w:tc>
        <w:tc>
          <w:tcPr>
            <w:tcW w:w="680" w:type="dxa"/>
            <w:vAlign w:val="bottom"/>
            <w:tcBorders>
              <w:right w:val="single" w:sz="8" w:color="auto"/>
            </w:tcBorders>
            <w:shd w:val="clear" w:color="auto" w:fill="D9E2F3"/>
          </w:tcPr>
          <w:p>
            <w:pPr>
              <w:spacing w:after="0"/>
              <w:rPr>
                <w:sz w:val="9"/>
                <w:szCs w:val="9"/>
                <w:color w:val="auto"/>
              </w:rPr>
            </w:pPr>
          </w:p>
        </w:tc>
        <w:tc>
          <w:tcPr>
            <w:tcW w:w="320" w:type="dxa"/>
            <w:vAlign w:val="bottom"/>
            <w:vMerge w:val="continue"/>
            <w:shd w:val="clear" w:color="auto" w:fill="D9E2F3"/>
          </w:tcPr>
          <w:p>
            <w:pPr>
              <w:spacing w:after="0"/>
              <w:rPr>
                <w:sz w:val="9"/>
                <w:szCs w:val="9"/>
                <w:color w:val="auto"/>
              </w:rPr>
            </w:pPr>
          </w:p>
        </w:tc>
        <w:tc>
          <w:tcPr>
            <w:tcW w:w="440" w:type="dxa"/>
            <w:vAlign w:val="bottom"/>
            <w:tcBorders>
              <w:right w:val="single" w:sz="8" w:color="auto"/>
            </w:tcBorders>
            <w:shd w:val="clear" w:color="auto" w:fill="D9E2F3"/>
          </w:tcPr>
          <w:p>
            <w:pPr>
              <w:spacing w:after="0"/>
              <w:rPr>
                <w:sz w:val="9"/>
                <w:szCs w:val="9"/>
                <w:color w:val="auto"/>
              </w:rPr>
            </w:pPr>
          </w:p>
        </w:tc>
        <w:tc>
          <w:tcPr>
            <w:tcW w:w="700" w:type="dxa"/>
            <w:vAlign w:val="bottom"/>
            <w:tcBorders>
              <w:right w:val="single" w:sz="8" w:color="auto"/>
            </w:tcBorders>
            <w:shd w:val="clear" w:color="auto" w:fill="D9E2F3"/>
          </w:tcPr>
          <w:p>
            <w:pPr>
              <w:spacing w:after="0"/>
              <w:rPr>
                <w:sz w:val="9"/>
                <w:szCs w:val="9"/>
                <w:color w:val="auto"/>
              </w:rPr>
            </w:pPr>
          </w:p>
        </w:tc>
        <w:tc>
          <w:tcPr>
            <w:tcW w:w="740" w:type="dxa"/>
            <w:vAlign w:val="bottom"/>
            <w:tcBorders>
              <w:right w:val="single" w:sz="8" w:color="auto"/>
            </w:tcBorders>
            <w:shd w:val="clear" w:color="auto" w:fill="D9E2F3"/>
          </w:tcPr>
          <w:p>
            <w:pPr>
              <w:spacing w:after="0"/>
              <w:rPr>
                <w:sz w:val="9"/>
                <w:szCs w:val="9"/>
                <w:color w:val="auto"/>
              </w:rPr>
            </w:pPr>
          </w:p>
        </w:tc>
        <w:tc>
          <w:tcPr>
            <w:tcW w:w="740" w:type="dxa"/>
            <w:vAlign w:val="bottom"/>
            <w:tcBorders>
              <w:right w:val="single" w:sz="8" w:color="auto"/>
            </w:tcBorders>
            <w:shd w:val="clear" w:color="auto" w:fill="D9E2F3"/>
          </w:tcPr>
          <w:p>
            <w:pPr>
              <w:spacing w:after="0"/>
              <w:rPr>
                <w:sz w:val="9"/>
                <w:szCs w:val="9"/>
                <w:color w:val="auto"/>
              </w:rPr>
            </w:pPr>
          </w:p>
        </w:tc>
        <w:tc>
          <w:tcPr>
            <w:tcW w:w="820" w:type="dxa"/>
            <w:vAlign w:val="bottom"/>
            <w:tcBorders>
              <w:right w:val="single" w:sz="8" w:color="auto"/>
            </w:tcBorders>
            <w:shd w:val="clear" w:color="auto" w:fill="D9E2F3"/>
          </w:tcPr>
          <w:p>
            <w:pPr>
              <w:spacing w:after="0"/>
              <w:rPr>
                <w:sz w:val="9"/>
                <w:szCs w:val="9"/>
                <w:color w:val="auto"/>
              </w:rPr>
            </w:pPr>
          </w:p>
        </w:tc>
        <w:tc>
          <w:tcPr>
            <w:tcW w:w="840" w:type="dxa"/>
            <w:vAlign w:val="bottom"/>
            <w:tcBorders>
              <w:right w:val="single" w:sz="8" w:color="auto"/>
            </w:tcBorders>
            <w:shd w:val="clear" w:color="auto" w:fill="D9E2F3"/>
          </w:tcPr>
          <w:p>
            <w:pPr>
              <w:spacing w:after="0"/>
              <w:rPr>
                <w:sz w:val="9"/>
                <w:szCs w:val="9"/>
                <w:color w:val="auto"/>
              </w:rPr>
            </w:pPr>
          </w:p>
        </w:tc>
        <w:tc>
          <w:tcPr>
            <w:tcW w:w="860" w:type="dxa"/>
            <w:vAlign w:val="bottom"/>
            <w:tcBorders>
              <w:right w:val="single" w:sz="8" w:color="auto"/>
            </w:tcBorders>
            <w:shd w:val="clear" w:color="auto" w:fill="D9E2F3"/>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920" w:type="dxa"/>
            <w:vAlign w:val="bottom"/>
            <w:tcBorders>
              <w:left w:val="single" w:sz="8" w:color="auto"/>
              <w:right w:val="single" w:sz="8" w:color="auto"/>
            </w:tcBorders>
            <w:vMerge w:val="continue"/>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8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680" w:type="dxa"/>
            <w:vAlign w:val="bottom"/>
            <w:tcBorders>
              <w:right w:val="single" w:sz="8" w:color="auto"/>
            </w:tcBorders>
            <w:shd w:val="clear" w:color="auto" w:fill="D9E2F3"/>
          </w:tcPr>
          <w:p>
            <w:pPr>
              <w:spacing w:after="0"/>
              <w:rPr>
                <w:sz w:val="3"/>
                <w:szCs w:val="3"/>
                <w:color w:val="auto"/>
              </w:rPr>
            </w:pPr>
          </w:p>
        </w:tc>
        <w:tc>
          <w:tcPr>
            <w:tcW w:w="320" w:type="dxa"/>
            <w:vAlign w:val="bottom"/>
            <w:shd w:val="clear" w:color="auto" w:fill="D9E2F3"/>
          </w:tcPr>
          <w:p>
            <w:pPr>
              <w:spacing w:after="0"/>
              <w:rPr>
                <w:sz w:val="3"/>
                <w:szCs w:val="3"/>
                <w:color w:val="auto"/>
              </w:rPr>
            </w:pPr>
          </w:p>
        </w:tc>
        <w:tc>
          <w:tcPr>
            <w:tcW w:w="44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820" w:type="dxa"/>
            <w:vAlign w:val="bottom"/>
            <w:tcBorders>
              <w:right w:val="single" w:sz="8" w:color="auto"/>
            </w:tcBorders>
            <w:shd w:val="clear" w:color="auto" w:fill="D9E2F3"/>
          </w:tcPr>
          <w:p>
            <w:pPr>
              <w:spacing w:after="0"/>
              <w:rPr>
                <w:sz w:val="3"/>
                <w:szCs w:val="3"/>
                <w:color w:val="auto"/>
              </w:rPr>
            </w:pPr>
          </w:p>
        </w:tc>
        <w:tc>
          <w:tcPr>
            <w:tcW w:w="840" w:type="dxa"/>
            <w:vAlign w:val="bottom"/>
            <w:tcBorders>
              <w:right w:val="single" w:sz="8" w:color="auto"/>
            </w:tcBorders>
            <w:shd w:val="clear" w:color="auto" w:fill="D9E2F3"/>
          </w:tcPr>
          <w:p>
            <w:pPr>
              <w:spacing w:after="0"/>
              <w:rPr>
                <w:sz w:val="3"/>
                <w:szCs w:val="3"/>
                <w:color w:val="auto"/>
              </w:rPr>
            </w:pPr>
          </w:p>
        </w:tc>
        <w:tc>
          <w:tcPr>
            <w:tcW w:w="860" w:type="dxa"/>
            <w:vAlign w:val="bottom"/>
            <w:tcBorders>
              <w:right w:val="single" w:sz="8" w:color="auto"/>
            </w:tcBorders>
            <w:shd w:val="clear" w:color="auto" w:fill="D9E2F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(4105665)</w:t>
            </w: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680" w:type="dxa"/>
            <w:vAlign w:val="bottom"/>
            <w:tcBorders>
              <w:bottom w:val="single" w:sz="8" w:color="auto"/>
              <w:right w:val="single" w:sz="8" w:color="auto"/>
            </w:tcBorders>
            <w:shd w:val="clear" w:color="auto" w:fill="D9E2F3"/>
          </w:tcPr>
          <w:p>
            <w:pPr>
              <w:spacing w:after="0"/>
              <w:rPr>
                <w:sz w:val="14"/>
                <w:szCs w:val="14"/>
                <w:color w:val="auto"/>
              </w:rPr>
            </w:pPr>
          </w:p>
        </w:tc>
        <w:tc>
          <w:tcPr>
            <w:tcW w:w="320" w:type="dxa"/>
            <w:vAlign w:val="bottom"/>
            <w:tcBorders>
              <w:bottom w:val="single" w:sz="8" w:color="auto"/>
            </w:tcBorders>
            <w:shd w:val="clear" w:color="auto" w:fill="D9E2F3"/>
          </w:tcPr>
          <w:p>
            <w:pPr>
              <w:spacing w:after="0"/>
              <w:rPr>
                <w:sz w:val="14"/>
                <w:szCs w:val="14"/>
                <w:color w:val="auto"/>
              </w:rPr>
            </w:pPr>
          </w:p>
        </w:tc>
        <w:tc>
          <w:tcPr>
            <w:tcW w:w="44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82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86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Texas</w:t>
            </w: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Lehigh</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00" w:type="dxa"/>
            <w:vAlign w:val="bottom"/>
            <w:tcBorders>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no</w:t>
            </w:r>
          </w:p>
        </w:tc>
        <w:tc>
          <w:tcPr>
            <w:tcW w:w="74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4"/>
                <w:szCs w:val="14"/>
                <w:color w:val="auto"/>
              </w:rPr>
              <w:t>no</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tcPr>
          <w:p>
            <w:pPr>
              <w:jc w:val="center"/>
              <w:ind w:left="16"/>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44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LP</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Buda, TX</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(4102781)</w:t>
            </w: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320" w:hanging="700"/>
        <w:spacing w:after="0"/>
        <w:tabs>
          <w:tab w:leader="none" w:pos="1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legal actions were penalty contests.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850900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760" w:top="77" w:right="113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214"/>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upperLetter"/>
      <w:start w:val="2"/>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
      <w:numFmt w:val="bullet"/>
      <w:start w:val="1"/>
    </w:lvl>
    <w:lvl w:ilvl="1">
      <w:lvlJc w:val="left"/>
      <w:lvlText w:val="%2"/>
      <w:numFmt w:val="decimal"/>
      <w:start w:val="104"/>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decimal"/>
      <w:start w:val="5"/>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decimal"/>
      <w:start w:val="5"/>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lowerRoman"/>
      <w:start w:val="1"/>
    </w:lvl>
  </w:abstractNum>
  <w:abstractNum w:abstractNumId="27">
    <w:nsid w:val="836C40E"/>
    <w:multiLevelType w:val="hybridMultilevel"/>
    <w:lvl w:ilvl="0">
      <w:lvlJc w:val="left"/>
      <w:lvlText w:val="(%1)"/>
      <w:numFmt w:val="lowerRoman"/>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2025-01-29T16:02:19Z</dcterms:created>
  <dcterms:modified xsi:type="dcterms:W3CDTF">2025-01-29T16:02:19Z</dcterms:modified>
</cp:coreProperties>
</file>